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28,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12529"/>
        </w:rPr>
        <w:t xml:space="preserve">On July 28, 2020, Waste Management, Inc. (the “Company”) entered into </w:t>
      </w:r>
      <w:r>
        <w:rPr>
          <w:rFonts w:ascii="Arial" w:cs="Arial" w:eastAsia="Arial" w:hAnsi="Arial"/>
          <w:sz w:val="17"/>
          <w:szCs w:val="17"/>
          <w:color w:val="000000"/>
        </w:rPr>
        <w:t>a 364-day $3.0 billion U.S. revolving credit facility, maturing July 27,</w:t>
      </w:r>
      <w:r>
        <w:rPr>
          <w:rFonts w:ascii="Arial" w:cs="Arial" w:eastAsia="Arial" w:hAnsi="Arial"/>
          <w:sz w:val="17"/>
          <w:szCs w:val="17"/>
          <w:color w:val="212529"/>
        </w:rPr>
        <w:t xml:space="preserve"> </w:t>
      </w:r>
      <w:r>
        <w:rPr>
          <w:rFonts w:ascii="Arial" w:cs="Arial" w:eastAsia="Arial" w:hAnsi="Arial"/>
          <w:sz w:val="17"/>
          <w:szCs w:val="17"/>
          <w:color w:val="000000"/>
        </w:rPr>
        <w:t>2021, with the lenders from time to time party thereto (the “Banks”) and Mizuho Bank, Ltd., as administrative agent for the Banks (the “Agent”) (the “Credit Agreement”), to be used for general corporate purposes, including acquisitions and the refinancing of indebtedness.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provides the Company the option to convert outstanding balances into a term loan maturing no later than the first anniversary of the maturity date, subject to the payment of a fee and notifying the Agent at least 15 days prior to the original maturity date. Waste Management Holdings, Inc. a wholly-owned subsidiary of the Company, guarantees all the obligations under the Credit Agreement.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212529"/>
        </w:rPr>
        <w:t>Under the Credit Agreement, the Company is required to pay, quarterly in arrears, an annual facility fee in an amount ranging from 0.125% to 0.2% of the $3.0 billion borrowing availability under the agreement (the “Facility Fee”). Any borrowings under the Credit Agreement will bear interest at</w:t>
      </w:r>
    </w:p>
    <w:p>
      <w:pPr>
        <w:jc w:val="both"/>
        <w:ind w:firstLine="8"/>
        <w:spacing w:after="0" w:line="253" w:lineRule="auto"/>
        <w:tabs>
          <w:tab w:leader="none" w:pos="257" w:val="left"/>
        </w:tabs>
        <w:numPr>
          <w:ilvl w:val="0"/>
          <w:numId w:val="2"/>
        </w:numPr>
        <w:rPr>
          <w:rFonts w:ascii="Arial" w:cs="Arial" w:eastAsia="Arial" w:hAnsi="Arial"/>
          <w:sz w:val="18"/>
          <w:szCs w:val="18"/>
          <w:color w:val="212529"/>
        </w:rPr>
      </w:pPr>
      <w:r>
        <w:rPr>
          <w:rFonts w:ascii="Arial" w:cs="Arial" w:eastAsia="Arial" w:hAnsi="Arial"/>
          <w:sz w:val="18"/>
          <w:szCs w:val="18"/>
          <w:color w:val="212529"/>
        </w:rPr>
        <w:t>the London Interbank Offered Rate (“LIBOR”) for the applicable interest period, plus a spread ranging from 1.0% to 1.3% per annum (a “Eurocurrency Loan”) or (y) a base rate equal to the highest of (i) the U.S. Federal Funds Rate plus 0.5%, (ii) Mizuho Bank, Ltd.'s announced prime rate, or (iii) one-month LIBOR plus 1.0%, plus, in each case, a spread ranging from zero to 0.3% per annum (a “Base Rate Loan”). In certain instances, the Agent may approve a comparable or successor reference rate.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12529"/>
        </w:rPr>
        <w:t>The Facility Fee percentages and the spread applicable to Eurocurrency Loans and Base Rate Loans depend on the Company’s senior public debt rating as determined by Standard &amp; Poor’s and Moody’s. Based on the Company’s current senior public debt rating, the Facility Fee is 0.15% per annum, the spread applicable to Eurocurrency Loans is 1.225% per annum, and the spread applicable to Base Rate Loans is 0.225%.</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12529"/>
        </w:rPr>
        <w:t>The Credit Agreement contains customary representations and warranties and affirmative and negative covenants. The Credit Agreement contains one financial covenant, which sets forth a maximum total debt to consolidated earnings before interest, taxes, depreciation and amortization (“EBITDA”) ratio. This covenant provides that the ratio of the Company’s total debt to its EBITDA (the “Leverage Ratio”) for the preceding four fiscal quarters will not be more than 3.75 to 1, provided that if an acquisition permitted under the Credit Agreement involving aggregate consideration in excess of $200 million occurs during the fiscal quarter, the Company shall have the right to increase the Leverage Ratio to 4.25 to 1 during such fiscal quarter and for the following three fiscal quarters (the “Elevated Leverage Ratio Period”). There shall be no more than two Elevated Leverage Ratio Periods during the term of the agreement, and the Leverage Ratio must return to 3.75 to 1 for at least one quarter between Elevated Leverage Ratio Periods. The calculation of all components used in the Leverage Ratio covenant are as defined in the Credit Agreement. The Credit Agreement also contains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529"/>
        </w:rPr>
        <w:t>The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$200 million; certain unsatisfied judgments of more than $200 million; certain ERISA-related events; and a change in control of the Company (as specified in the agreement). If an event of default occurs and is continuing, the Company may be required to repay all amounts outstanding under the Credit Agreement. The Agent may, and upon the request of Banks that hold more than 50% of the commitments under the Credit Agreement shall, accelerate the maturity of all amounts due upon the occurrence and during the continuation of an event of default.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212529"/>
        </w:rPr>
        <w:t>Several of the Banks that are party to the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212529"/>
        </w:rPr>
        <w:t>The Credit Agreement is Exhibit 10.1 to this Current Report on Form 8-K. The above description of the Credit Agreement is not complete and is qualified in its entirety by reference to the exhibit.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second quarter of 2020,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9164328. A replay of the call will be available on the Company’s website and by telephone until August 13, 2020. To access a replay telephonically, please dial (855) 859-2056 and use the replay conference ID number 9164328.</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information set forth under Item 1.01 above is incorporated herein by reference as if fully set forth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p>
      <w:pPr>
        <w:jc w:val="both"/>
        <w:ind w:left="920" w:hanging="903"/>
        <w:spacing w:after="0" w:line="277" w:lineRule="auto"/>
        <w:tabs>
          <w:tab w:leader="none" w:pos="90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$3.0 Billion Credit Agreement dated as of July 28, 2020 by and among Waste Management, Inc., Waste Management Holdings, Inc., certain</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banks party thereto, and Mizuho Bank, Ltd., as administrative agent.</w:t>
        </w:r>
      </w:hyperlink>
    </w:p>
    <w:p>
      <w:pPr>
        <w:spacing w:after="0" w:line="170" w:lineRule="exact"/>
        <w:rPr>
          <w:rFonts w:ascii="Arial" w:cs="Arial" w:eastAsia="Arial" w:hAnsi="Arial"/>
          <w:sz w:val="18"/>
          <w:szCs w:val="18"/>
          <w:u w:val="single" w:color="auto"/>
          <w:color w:val="0000EE"/>
        </w:rPr>
      </w:pPr>
    </w:p>
    <w:p>
      <w:pPr>
        <w:spacing w:after="0"/>
        <w:tabs>
          <w:tab w:leader="none" w:pos="900" w:val="left"/>
        </w:tabs>
        <w:rPr>
          <w:rFonts w:ascii="Arial" w:cs="Arial" w:eastAsia="Arial" w:hAnsi="Arial"/>
          <w:sz w:val="15"/>
          <w:szCs w:val="15"/>
          <w:u w:val="single" w:color="auto"/>
          <w:color w:val="0000EE"/>
        </w:rPr>
      </w:pPr>
      <w:hyperlink w:anchor="page128">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128">
        <w:r>
          <w:rPr>
            <w:rFonts w:ascii="Arial" w:cs="Arial" w:eastAsia="Arial" w:hAnsi="Arial"/>
            <w:sz w:val="15"/>
            <w:szCs w:val="15"/>
            <w:u w:val="single" w:color="auto"/>
            <w:color w:val="0000EE"/>
          </w:rPr>
          <w:t>Press Release dated July 30, 2020</w:t>
        </w:r>
      </w:hyperlink>
    </w:p>
    <w:p>
      <w:pPr>
        <w:spacing w:after="0" w:line="225" w:lineRule="exact"/>
        <w:rPr>
          <w:sz w:val="20"/>
          <w:szCs w:val="20"/>
          <w:color w:val="auto"/>
        </w:rPr>
      </w:pPr>
    </w:p>
    <w:p>
      <w:pPr>
        <w:ind w:left="5580" w:right="3800" w:hanging="5572"/>
        <w:spacing w:after="0" w:line="778" w:lineRule="auto"/>
        <w:tabs>
          <w:tab w:leader="none" w:pos="91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WASTE MANAGEMENT, INC.</w:t>
            </w: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July 30, 2020</w:t>
            </w:r>
          </w:p>
        </w:tc>
        <w:tc>
          <w:tcPr>
            <w:tcW w:w="7720" w:type="dxa"/>
            <w:vAlign w:val="bottom"/>
            <w:gridSpan w:val="2"/>
          </w:tcPr>
          <w:p>
            <w:pPr>
              <w:ind w:left="2120"/>
              <w:spacing w:after="0"/>
              <w:rPr>
                <w:sz w:val="20"/>
                <w:szCs w:val="20"/>
                <w:color w:val="auto"/>
              </w:rPr>
            </w:pPr>
            <w:r>
              <w:rPr>
                <w:rFonts w:ascii="Arial" w:cs="Arial" w:eastAsia="Arial" w:hAnsi="Arial"/>
                <w:sz w:val="18"/>
                <w:szCs w:val="18"/>
                <w:i w:val="1"/>
                <w:iCs w:val="1"/>
                <w:color w:val="auto"/>
              </w:rPr>
              <w:t>By:  /s/ Charles C. Boettcher</w:t>
            </w:r>
          </w:p>
        </w:tc>
      </w:tr>
      <w:tr>
        <w:trPr>
          <w:trHeight w:val="195"/>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Executive Vice President, Corporate Development and Chief Legal</w:t>
            </w:r>
          </w:p>
        </w:tc>
      </w:tr>
      <w:tr>
        <w:trPr>
          <w:trHeight w:val="230"/>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94107LAN8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Revolver CUSIP Number: 94107LAP3</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$3,000,000,000</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July 28, 2020</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WASTE MANAGEMENT HOLDINGS,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Guarantor,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CERTAIN BANKS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07" w:lineRule="exact"/>
        <w:rPr>
          <w:sz w:val="20"/>
          <w:szCs w:val="20"/>
          <w:color w:val="auto"/>
        </w:rPr>
      </w:pPr>
    </w:p>
    <w:p>
      <w:pPr>
        <w:jc w:val="right"/>
        <w:ind w:right="468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jc w:val="right"/>
        <w:ind w:right="462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right"/>
        <w:ind w:right="456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THE BANK OF NOVA SCOTIA,</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494665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8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b w:val="1"/>
                <w:bCs w:val="1"/>
                <w:color w:val="auto"/>
                <w:w w:val="78"/>
              </w:rPr>
              <w:t>Page</w:t>
            </w: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DEFINITIONS AND RULES OF INTERPRETATION</w:t>
            </w:r>
          </w:p>
        </w:tc>
        <w:tc>
          <w:tcPr>
            <w:tcW w:w="2340" w:type="dxa"/>
            <w:vAlign w:val="bottom"/>
          </w:tcPr>
          <w:p>
            <w:pPr>
              <w:jc w:val="center"/>
              <w:ind w:left="1890"/>
              <w:spacing w:after="0"/>
              <w:rPr>
                <w:sz w:val="20"/>
                <w:szCs w:val="20"/>
                <w:color w:val="auto"/>
              </w:rPr>
            </w:pPr>
            <w:r>
              <w:rPr>
                <w:rFonts w:ascii="Arial" w:cs="Arial" w:eastAsia="Arial" w:hAnsi="Arial"/>
                <w:sz w:val="18"/>
                <w:szCs w:val="18"/>
                <w:color w:val="auto"/>
                <w:w w:val="79"/>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1.1</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Definitions</w:t>
            </w:r>
          </w:p>
        </w:tc>
        <w:tc>
          <w:tcPr>
            <w:tcW w:w="2340" w:type="dxa"/>
            <w:vAlign w:val="bottom"/>
          </w:tcPr>
          <w:p>
            <w:pPr>
              <w:jc w:val="center"/>
              <w:ind w:left="1890"/>
              <w:spacing w:after="0"/>
              <w:rPr>
                <w:sz w:val="20"/>
                <w:szCs w:val="20"/>
                <w:color w:val="auto"/>
              </w:rPr>
            </w:pPr>
            <w:r>
              <w:rPr>
                <w:rFonts w:ascii="Arial" w:cs="Arial" w:eastAsia="Arial" w:hAnsi="Arial"/>
                <w:sz w:val="18"/>
                <w:szCs w:val="18"/>
                <w:color w:val="auto"/>
                <w:w w:val="79"/>
              </w:rPr>
              <w:t>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Rules of Interpretation</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Classification of Loans and Borrowings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1.4</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20</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1.5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Times of Day</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20</w:t>
            </w: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THE LOAN FACILITIES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Loans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Fees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Reduction of Total Commitment</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2.4</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Borrowings, Conversions and Continuations of Loans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2.6</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2.7</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Prepayments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2.8</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Repayment of Loans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2.9</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Interest</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2.10</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Computation of Interest and Fees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2.11</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Evidence of Debt</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Payments Generally; Administrative Agent’s Clawback</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Sharing of Payments by Banks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2.14</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Term-Out Option</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2.16</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2.17</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Defaulting Banks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27</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2.18</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Replacement of Banks; Termination of Commitments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28</w:t>
            </w: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TAXES, YIELD PROTECTION AND ILLEGALITY</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3.1</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Taxes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Illegality</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Inability to Determine Rates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3.4</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Increased Costs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Compensation for Losses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3.6</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Mitigation Obligations; Replacement of Banks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37</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3.7</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Survival</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38</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38</w:t>
            </w:r>
          </w:p>
        </w:tc>
      </w:tr>
      <w:tr>
        <w:trPr>
          <w:trHeight w:val="432"/>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[RESERVED.]</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38</w:t>
            </w: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84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REPRESENTATIONS AND WARRANTIES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6.1</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Corporate Authority</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6.2</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Governmental and Other Approvals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6.3</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Title to Properties; Leases</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6.4</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 Solvency</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6.5</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No Material Changes, Etc.</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6.6</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Franchises, Patents, Copyrights, Etc</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40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6.7</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Litigation</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40</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6.8</w:t>
            </w:r>
          </w:p>
        </w:tc>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No Materially Adverse Contracts, Etc.</w:t>
            </w:r>
          </w:p>
        </w:tc>
        <w:tc>
          <w:tcPr>
            <w:tcW w:w="2340" w:type="dxa"/>
            <w:vAlign w:val="bottom"/>
          </w:tcPr>
          <w:p>
            <w:pPr>
              <w:jc w:val="center"/>
              <w:ind w:left="1910"/>
              <w:spacing w:after="0"/>
              <w:rPr>
                <w:sz w:val="20"/>
                <w:szCs w:val="20"/>
                <w:color w:val="auto"/>
              </w:rPr>
            </w:pPr>
            <w:r>
              <w:rPr>
                <w:rFonts w:ascii="Arial" w:cs="Arial" w:eastAsia="Arial" w:hAnsi="Arial"/>
                <w:sz w:val="18"/>
                <w:szCs w:val="18"/>
                <w:color w:val="auto"/>
                <w:w w:val="89"/>
              </w:rPr>
              <w:t>40</w:t>
            </w: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6.9</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Compliance with Other Instruments, Laws, Etc.</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6.10</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Tax Status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No Event of Default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6.12</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Investment Company Act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6.13</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Absence of Financing Statements, Etc.</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6.14</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Employee Benefit Plans</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6.15</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Environmental Compliance</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6.16</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Disclosure</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6.17</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Permits and Governmental Authority</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6.18</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Margin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6.19</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Sanctions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6.20</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Anti-Corruption Laws; Sanctions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4"/>
        </w:trPr>
        <w:tc>
          <w:tcPr>
            <w:tcW w:w="40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6.21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Affected Financial Institutions; Beneficial Ownership Certification; Covered Entities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9620" w:type="dxa"/>
            <w:vAlign w:val="bottom"/>
            <w:gridSpan w:val="2"/>
          </w:tcPr>
          <w:p>
            <w:pPr>
              <w:ind w:left="180"/>
              <w:spacing w:after="0"/>
              <w:rPr>
                <w:sz w:val="20"/>
                <w:szCs w:val="20"/>
                <w:color w:val="auto"/>
              </w:rPr>
            </w:pPr>
            <w:r>
              <w:rPr>
                <w:rFonts w:ascii="Arial" w:cs="Arial" w:eastAsia="Arial" w:hAnsi="Arial"/>
                <w:sz w:val="18"/>
                <w:szCs w:val="18"/>
                <w:b w:val="1"/>
                <w:bCs w:val="1"/>
                <w:color w:val="auto"/>
              </w:rPr>
              <w:t>AFFIRMATIVE COVENANTS OF THE COMPANY</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Punctual Payment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7.2</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Maintenance of U.S. Office</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7.3</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Records and Accounts</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7.4</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 Certificates and Information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7.5</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Existence and Conduct of Business</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7.6</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Maintenance of Properties</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7.7</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Insurance</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7.8</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Taxes</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7.9</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Inspection of Properties, Books and Contracts</w:t>
            </w: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7.10</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w w:val="99"/>
              </w:rPr>
              <w:t>Compliance with Laws, Contracts, Licenses and Permits; Maintenance of Material Licenses and Permits</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Environmental Indemnification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7.12</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Further Assurances</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7.13</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Notice of Potential Claims or Litigation</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7.14</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Notice of Certain Events Concerning Environmental Claims and/or ERISA Reportable Events</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7.15</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Notice of Default</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7.16</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Use of Proceeds</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7.17</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Certain Transactions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4"/>
        </w:trPr>
        <w:tc>
          <w:tcPr>
            <w:tcW w:w="40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7.18</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Anti-Corruption Laws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96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NEGATIVE COVENANTS OF THE COMPANY</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Restrictions on Indebtedness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8.2</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Restrictions on Liens</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8.3</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8.4</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Mergers, Consolidations,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8.5</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8.6</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Canadian Defined Benefit Pension Plans</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8.7</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Sanctions</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4"/>
        </w:trPr>
        <w:tc>
          <w:tcPr>
            <w:tcW w:w="40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8.8</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Anti-Corruption Laws</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96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COVENANT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96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CONDITIONS PRECEDENT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4"/>
        </w:trPr>
        <w:tc>
          <w:tcPr>
            <w:tcW w:w="40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10.1</w:t>
            </w:r>
          </w:p>
        </w:tc>
        <w:tc>
          <w:tcPr>
            <w:tcW w:w="9000" w:type="dxa"/>
            <w:vAlign w:val="bottom"/>
          </w:tcPr>
          <w:p>
            <w:pPr>
              <w:ind w:left="120"/>
              <w:spacing w:after="0"/>
              <w:rPr>
                <w:sz w:val="20"/>
                <w:szCs w:val="20"/>
                <w:color w:val="auto"/>
              </w:rPr>
            </w:pPr>
            <w:r>
              <w:rPr>
                <w:rFonts w:ascii="Arial" w:cs="Arial" w:eastAsia="Arial" w:hAnsi="Arial"/>
                <w:sz w:val="18"/>
                <w:szCs w:val="18"/>
                <w:b w:val="1"/>
                <w:bCs w:val="1"/>
                <w:color w:val="auto"/>
              </w:rPr>
              <w:t>Conditions to Effectiveness</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720" w:type="dxa"/>
            <w:vAlign w:val="bottom"/>
            <w:gridSpan w:val="3"/>
          </w:tcPr>
          <w:p>
            <w:pPr>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CONDITIONS TO ALL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11.1</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Representations True</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11.2</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Performance; No Event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11.3</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Proceedings and Documents</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EVENTS OF DEFAULT; ACCELERATION; TERMINATION OF COMMITMENT</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12.1</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Events of Default and Acceleration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12.2</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Termination of Commitments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12.3</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Remedies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12.4</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Application of Receipts</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SETOFF</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THE AGENTS</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15.1</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Authorization and Action</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15.2</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Administrative Agent’s Reliance, Etc.</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15.3</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Mizuho Bank and Affiliates</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15.4</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Bank Credit Decision</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15.5</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Indemnification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15.6</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Successor Administrative Agent</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15.7</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Lead Arrangers, Etc.</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15.8</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Documents</w:t>
            </w: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15.9</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Action by the Banks, Consents, Amendments, Waivers, Etc</w:t>
            </w: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15.10</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Bank ERISA Matters</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INDEMNIFICATION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[RESERVED.]</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TREATMENT OF CERTAIN CONFIDENTIAL INFORMATION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18.1</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Confidentiality</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18.2</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Prior Notification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18.3</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SURVIVAL OF COVENANTS, ETC</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20.</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ASSIGNMENT AND PARTICIPATION</w:t>
            </w: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PARTIES IN INTEREST</w:t>
            </w: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NOTICES, ETC</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MISCELLANEOUS</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CONSENTS, ETC</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WAIVER OF JURY TRIAL</w:t>
            </w: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GOVERNING LAW; SUBMISSION TO JURISDICTION; DESIGNATION OF NY PROCESS AGENT</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SEVERABILITY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4"/>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9320" w:type="dxa"/>
            <w:vAlign w:val="bottom"/>
            <w:gridSpan w:val="2"/>
          </w:tcPr>
          <w:p>
            <w:pPr>
              <w:ind w:left="180"/>
              <w:spacing w:after="0"/>
              <w:rPr>
                <w:sz w:val="20"/>
                <w:szCs w:val="20"/>
                <w:color w:val="auto"/>
              </w:rPr>
            </w:pPr>
            <w:r>
              <w:rPr>
                <w:rFonts w:ascii="Arial" w:cs="Arial" w:eastAsia="Arial" w:hAnsi="Arial"/>
                <w:sz w:val="18"/>
                <w:szCs w:val="18"/>
                <w:b w:val="1"/>
                <w:bCs w:val="1"/>
                <w:color w:val="auto"/>
              </w:rPr>
              <w:t>GUARANTY</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28.1</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Guaranty</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28.2</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Guaranty Absolute</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28.3</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Effectiveness; Enforcement</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28.4</w:t>
            </w:r>
          </w:p>
        </w:tc>
        <w:tc>
          <w:tcPr>
            <w:tcW w:w="8660" w:type="dxa"/>
            <w:vAlign w:val="bottom"/>
          </w:tcPr>
          <w:p>
            <w:pPr>
              <w:ind w:left="80"/>
              <w:spacing w:after="0"/>
              <w:rPr>
                <w:sz w:val="20"/>
                <w:szCs w:val="20"/>
                <w:color w:val="auto"/>
              </w:rPr>
            </w:pPr>
            <w:r>
              <w:rPr>
                <w:rFonts w:ascii="Arial" w:cs="Arial" w:eastAsia="Arial" w:hAnsi="Arial"/>
                <w:sz w:val="18"/>
                <w:szCs w:val="18"/>
                <w:b w:val="1"/>
                <w:bCs w:val="1"/>
                <w:color w:val="auto"/>
              </w:rPr>
              <w:t>Waiver</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28.5</w:t>
            </w:r>
          </w:p>
        </w:tc>
        <w:tc>
          <w:tcPr>
            <w:tcW w:w="920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28.6</w:t>
            </w:r>
          </w:p>
        </w:tc>
        <w:tc>
          <w:tcPr>
            <w:tcW w:w="9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Concerning Joint and Several Liability of the Guarantor</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0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28.7</w:t>
            </w:r>
          </w:p>
        </w:tc>
        <w:tc>
          <w:tcPr>
            <w:tcW w:w="9200" w:type="dxa"/>
            <w:vAlign w:val="bottom"/>
            <w:gridSpan w:val="2"/>
          </w:tcPr>
          <w:p>
            <w:pPr>
              <w:ind w:left="20"/>
              <w:spacing w:after="0"/>
              <w:rPr>
                <w:sz w:val="20"/>
                <w:szCs w:val="20"/>
                <w:color w:val="auto"/>
              </w:rPr>
            </w:pPr>
            <w:r>
              <w:rPr>
                <w:rFonts w:ascii="Arial" w:cs="Arial" w:eastAsia="Arial" w:hAnsi="Arial"/>
                <w:sz w:val="18"/>
                <w:szCs w:val="18"/>
                <w:b w:val="1"/>
                <w:bCs w:val="1"/>
                <w:color w:val="auto"/>
              </w:rPr>
              <w:t>Waiver</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4"/>
        </w:trPr>
        <w:tc>
          <w:tcPr>
            <w:tcW w:w="40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28.8</w:t>
            </w:r>
          </w:p>
        </w:tc>
        <w:tc>
          <w:tcPr>
            <w:tcW w:w="92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Subrogation; Subordination</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PRO RATA TREATMENT</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30.</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FINAL AGREEMENT</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USA PATRIOT ACT</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NO ADVISORY OR FIDUCIARY RESPONSIBILITY</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PAYMENTS SET ASIDE</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ELECTRONIC EXECUTION OF CREDIT AGREEMENT, ASSIGNMENTS AND CERTAIN OTHER DOCUMENTS</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ACKNOWLEDGEMENT AND CONSENT TO BAIL-IN OF AFFECTED FINANCIAL INSTITUTIONS</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INTEREST RATE LIMITATION</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[RESERVED.]</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9920" w:type="dxa"/>
            <w:vAlign w:val="bottom"/>
            <w:gridSpan w:val="3"/>
          </w:tcPr>
          <w:p>
            <w:pPr>
              <w:ind w:left="180"/>
              <w:spacing w:after="0"/>
              <w:rPr>
                <w:sz w:val="20"/>
                <w:szCs w:val="20"/>
                <w:color w:val="auto"/>
              </w:rPr>
            </w:pPr>
            <w:r>
              <w:rPr>
                <w:rFonts w:ascii="Arial" w:cs="Arial" w:eastAsia="Arial" w:hAnsi="Arial"/>
                <w:sz w:val="18"/>
                <w:szCs w:val="18"/>
                <w:b w:val="1"/>
                <w:bCs w:val="1"/>
                <w:color w:val="auto"/>
              </w:rPr>
              <w:t>ACKNOWLEDGEMENT REGARDING ANY SUPPORTED QFCS</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4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Form of:</w:t>
            </w:r>
          </w:p>
        </w:tc>
        <w:tc>
          <w:tcPr>
            <w:tcW w:w="4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Loan Notice</w:t>
            </w:r>
          </w:p>
        </w:tc>
        <w:tc>
          <w:tcPr>
            <w:tcW w:w="7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7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7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Assignment and Assumption</w:t>
            </w:r>
          </w:p>
        </w:tc>
        <w:tc>
          <w:tcPr>
            <w:tcW w:w="7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Administrative Questionnaire</w:t>
            </w:r>
          </w:p>
        </w:tc>
        <w:tc>
          <w:tcPr>
            <w:tcW w:w="740" w:type="dxa"/>
            <w:vAlign w:val="bottom"/>
          </w:tcPr>
          <w:p>
            <w:pPr>
              <w:spacing w:after="0"/>
              <w:rPr>
                <w:sz w:val="18"/>
                <w:szCs w:val="18"/>
                <w:color w:val="auto"/>
              </w:rPr>
            </w:pP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44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[Reserved]</w:t>
            </w:r>
          </w:p>
        </w:tc>
        <w:tc>
          <w:tcPr>
            <w:tcW w:w="740" w:type="dxa"/>
            <w:vAlign w:val="bottom"/>
          </w:tcPr>
          <w:p>
            <w:pPr>
              <w:spacing w:after="0"/>
              <w:rPr>
                <w:sz w:val="18"/>
                <w:szCs w:val="18"/>
                <w:color w:val="auto"/>
              </w:rPr>
            </w:pPr>
          </w:p>
        </w:tc>
      </w:tr>
      <w:tr>
        <w:trPr>
          <w:trHeight w:val="230"/>
        </w:trPr>
        <w:tc>
          <w:tcPr>
            <w:tcW w:w="1560" w:type="dxa"/>
            <w:vAlign w:val="bottom"/>
            <w:gridSpan w:val="3"/>
          </w:tcPr>
          <w:p>
            <w:pPr>
              <w:spacing w:after="0"/>
              <w:rPr>
                <w:sz w:val="20"/>
                <w:szCs w:val="20"/>
                <w:color w:val="auto"/>
              </w:rPr>
            </w:pPr>
            <w:r>
              <w:rPr>
                <w:rFonts w:ascii="Arial" w:cs="Arial" w:eastAsia="Arial" w:hAnsi="Arial"/>
                <w:sz w:val="18"/>
                <w:szCs w:val="18"/>
                <w:color w:val="auto"/>
              </w:rPr>
              <w:t>EXHIBIT G-1-4</w:t>
            </w:r>
          </w:p>
        </w:tc>
        <w:tc>
          <w:tcPr>
            <w:tcW w:w="8760" w:type="dxa"/>
            <w:vAlign w:val="bottom"/>
          </w:tcPr>
          <w:p>
            <w:pPr>
              <w:ind w:left="140"/>
              <w:spacing w:after="0"/>
              <w:rPr>
                <w:sz w:val="20"/>
                <w:szCs w:val="20"/>
                <w:color w:val="auto"/>
              </w:rPr>
            </w:pPr>
            <w:r>
              <w:rPr>
                <w:rFonts w:ascii="Arial" w:cs="Arial" w:eastAsia="Arial" w:hAnsi="Arial"/>
                <w:sz w:val="18"/>
                <w:szCs w:val="18"/>
                <w:color w:val="auto"/>
              </w:rPr>
              <w:t>U.S. Tax Compliance Certificates</w:t>
            </w:r>
          </w:p>
        </w:tc>
        <w:tc>
          <w:tcPr>
            <w:tcW w:w="740" w:type="dxa"/>
            <w:vAlign w:val="bottom"/>
          </w:tcPr>
          <w:p>
            <w:pPr>
              <w:spacing w:after="0"/>
              <w:rPr>
                <w:sz w:val="20"/>
                <w:szCs w:val="20"/>
                <w:color w:val="auto"/>
              </w:rPr>
            </w:pPr>
          </w:p>
        </w:tc>
      </w:tr>
      <w:tr>
        <w:trPr>
          <w:trHeight w:val="432"/>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8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w w:val="97"/>
              </w:rPr>
              <w:t>SCHEDULE 1</w:t>
            </w:r>
          </w:p>
        </w:tc>
        <w:tc>
          <w:tcPr>
            <w:tcW w:w="440" w:type="dxa"/>
            <w:vAlign w:val="bottom"/>
          </w:tcPr>
          <w:p>
            <w:pPr>
              <w:spacing w:after="0"/>
              <w:rPr>
                <w:sz w:val="24"/>
                <w:szCs w:val="24"/>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Banks; Commitments</w:t>
            </w:r>
          </w:p>
        </w:tc>
        <w:tc>
          <w:tcPr>
            <w:tcW w:w="740" w:type="dxa"/>
            <w:vAlign w:val="bottom"/>
          </w:tcPr>
          <w:p>
            <w:pPr>
              <w:spacing w:after="0"/>
              <w:rPr>
                <w:sz w:val="24"/>
                <w:szCs w:val="24"/>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8760" w:type="dxa"/>
            <w:vAlign w:val="bottom"/>
          </w:tcPr>
          <w:p>
            <w:pPr>
              <w:ind w:left="140"/>
              <w:spacing w:after="0"/>
              <w:rPr>
                <w:sz w:val="20"/>
                <w:szCs w:val="20"/>
                <w:color w:val="auto"/>
              </w:rPr>
            </w:pPr>
            <w:r>
              <w:rPr>
                <w:rFonts w:ascii="Arial" w:cs="Arial" w:eastAsia="Arial" w:hAnsi="Arial"/>
                <w:sz w:val="18"/>
                <w:szCs w:val="18"/>
                <w:color w:val="auto"/>
              </w:rPr>
              <w:t>Existing Liens</w:t>
            </w:r>
          </w:p>
        </w:tc>
        <w:tc>
          <w:tcPr>
            <w:tcW w:w="740" w:type="dxa"/>
            <w:vAlign w:val="bottom"/>
          </w:tcPr>
          <w:p>
            <w:pPr>
              <w:spacing w:after="0"/>
              <w:rPr>
                <w:sz w:val="18"/>
                <w:szCs w:val="18"/>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8"/>
                <w:szCs w:val="18"/>
                <w:color w:val="auto"/>
              </w:rPr>
              <w:t>SCHEDULE 6.7</w:t>
            </w:r>
          </w:p>
        </w:tc>
        <w:tc>
          <w:tcPr>
            <w:tcW w:w="87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740" w:type="dxa"/>
            <w:vAlign w:val="bottom"/>
          </w:tcPr>
          <w:p>
            <w:pPr>
              <w:spacing w:after="0"/>
              <w:rPr>
                <w:sz w:val="18"/>
                <w:szCs w:val="18"/>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8"/>
                <w:szCs w:val="18"/>
                <w:color w:val="auto"/>
              </w:rPr>
              <w:t>SCHEDULE 6.15</w:t>
            </w:r>
          </w:p>
        </w:tc>
        <w:tc>
          <w:tcPr>
            <w:tcW w:w="8760" w:type="dxa"/>
            <w:vAlign w:val="bottom"/>
          </w:tcPr>
          <w:p>
            <w:pPr>
              <w:ind w:left="140"/>
              <w:spacing w:after="0"/>
              <w:rPr>
                <w:sz w:val="20"/>
                <w:szCs w:val="20"/>
                <w:color w:val="auto"/>
              </w:rPr>
            </w:pPr>
            <w:r>
              <w:rPr>
                <w:rFonts w:ascii="Arial" w:cs="Arial" w:eastAsia="Arial" w:hAnsi="Arial"/>
                <w:sz w:val="18"/>
                <w:szCs w:val="18"/>
                <w:color w:val="auto"/>
              </w:rPr>
              <w:t>Environmental Compliance</w:t>
            </w:r>
          </w:p>
        </w:tc>
        <w:tc>
          <w:tcPr>
            <w:tcW w:w="740" w:type="dxa"/>
            <w:vAlign w:val="bottom"/>
          </w:tcPr>
          <w:p>
            <w:pPr>
              <w:spacing w:after="0"/>
              <w:rPr>
                <w:sz w:val="18"/>
                <w:szCs w:val="18"/>
                <w:color w:val="auto"/>
              </w:rPr>
            </w:pPr>
          </w:p>
        </w:tc>
      </w:tr>
      <w:tr>
        <w:trPr>
          <w:trHeight w:val="216"/>
        </w:trPr>
        <w:tc>
          <w:tcPr>
            <w:tcW w:w="1560" w:type="dxa"/>
            <w:vAlign w:val="bottom"/>
            <w:gridSpan w:val="3"/>
          </w:tcPr>
          <w:p>
            <w:pPr>
              <w:spacing w:after="0"/>
              <w:rPr>
                <w:sz w:val="20"/>
                <w:szCs w:val="20"/>
                <w:color w:val="auto"/>
              </w:rPr>
            </w:pPr>
            <w:r>
              <w:rPr>
                <w:rFonts w:ascii="Arial" w:cs="Arial" w:eastAsia="Arial" w:hAnsi="Arial"/>
                <w:sz w:val="18"/>
                <w:szCs w:val="18"/>
                <w:color w:val="auto"/>
              </w:rPr>
              <w:t>SCHEDULE 8.1(a)</w:t>
            </w:r>
          </w:p>
        </w:tc>
        <w:tc>
          <w:tcPr>
            <w:tcW w:w="8760" w:type="dxa"/>
            <w:vAlign w:val="bottom"/>
          </w:tcPr>
          <w:p>
            <w:pPr>
              <w:ind w:left="140"/>
              <w:spacing w:after="0"/>
              <w:rPr>
                <w:sz w:val="20"/>
                <w:szCs w:val="20"/>
                <w:color w:val="auto"/>
              </w:rPr>
            </w:pPr>
            <w:r>
              <w:rPr>
                <w:rFonts w:ascii="Arial" w:cs="Arial" w:eastAsia="Arial" w:hAnsi="Arial"/>
                <w:sz w:val="18"/>
                <w:szCs w:val="18"/>
                <w:color w:val="auto"/>
              </w:rPr>
              <w:t>Existing Indebtedness</w:t>
            </w:r>
          </w:p>
        </w:tc>
        <w:tc>
          <w:tcPr>
            <w:tcW w:w="740" w:type="dxa"/>
            <w:vAlign w:val="bottom"/>
          </w:tcPr>
          <w:p>
            <w:pPr>
              <w:spacing w:after="0"/>
              <w:rPr>
                <w:sz w:val="18"/>
                <w:szCs w:val="18"/>
                <w:color w:val="auto"/>
              </w:rPr>
            </w:pPr>
          </w:p>
        </w:tc>
      </w:tr>
      <w:tr>
        <w:trPr>
          <w:trHeight w:val="230"/>
        </w:trPr>
        <w:tc>
          <w:tcPr>
            <w:tcW w:w="1560" w:type="dxa"/>
            <w:vAlign w:val="bottom"/>
            <w:gridSpan w:val="3"/>
          </w:tcPr>
          <w:p>
            <w:pPr>
              <w:spacing w:after="0"/>
              <w:rPr>
                <w:sz w:val="20"/>
                <w:szCs w:val="20"/>
                <w:color w:val="auto"/>
              </w:rPr>
            </w:pPr>
            <w:r>
              <w:rPr>
                <w:rFonts w:ascii="Arial" w:cs="Arial" w:eastAsia="Arial" w:hAnsi="Arial"/>
                <w:sz w:val="18"/>
                <w:szCs w:val="18"/>
                <w:color w:val="auto"/>
              </w:rPr>
              <w:t>SCHEDULE 22</w:t>
            </w:r>
          </w:p>
        </w:tc>
        <w:tc>
          <w:tcPr>
            <w:tcW w:w="8760" w:type="dxa"/>
            <w:vAlign w:val="bottom"/>
          </w:tcPr>
          <w:p>
            <w:pPr>
              <w:ind w:left="140"/>
              <w:spacing w:after="0"/>
              <w:rPr>
                <w:sz w:val="20"/>
                <w:szCs w:val="20"/>
                <w:color w:val="auto"/>
              </w:rPr>
            </w:pPr>
            <w:r>
              <w:rPr>
                <w:rFonts w:ascii="Arial" w:cs="Arial" w:eastAsia="Arial" w:hAnsi="Arial"/>
                <w:sz w:val="18"/>
                <w:szCs w:val="18"/>
                <w:color w:val="auto"/>
              </w:rPr>
              <w:t>Administrative Agent’s Office; Certain Addresses for Notices</w:t>
            </w:r>
          </w:p>
        </w:tc>
        <w:tc>
          <w:tcPr>
            <w:tcW w:w="7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CREDIT AGREEMENT</w:t>
      </w:r>
      <w:r>
        <w:rPr>
          <w:rFonts w:ascii="Arial" w:cs="Arial" w:eastAsia="Arial" w:hAnsi="Arial"/>
          <w:sz w:val="18"/>
          <w:szCs w:val="18"/>
          <w:color w:val="auto"/>
        </w:rPr>
        <w:t xml:space="preserve"> is made as of July 28, 2020, by and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WASTE MANAGEMENT HOLDINGS, INC.</w:t>
      </w:r>
      <w:r>
        <w:rPr>
          <w:rFonts w:ascii="Arial" w:cs="Arial" w:eastAsia="Arial" w:hAnsi="Arial"/>
          <w:sz w:val="18"/>
          <w:szCs w:val="18"/>
          <w:color w:val="auto"/>
        </w:rPr>
        <w:t>, a Delaware corporation and a wholly-owned Subsidiary of the Company (the “</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the lenders from time to time party hereto (the “</w:t>
      </w:r>
      <w:r>
        <w:rPr>
          <w:rFonts w:ascii="Arial" w:cs="Arial" w:eastAsia="Arial" w:hAnsi="Arial"/>
          <w:sz w:val="18"/>
          <w:szCs w:val="18"/>
          <w:b w:val="1"/>
          <w:bCs w:val="1"/>
          <w:i w:val="1"/>
          <w:iCs w:val="1"/>
          <w:color w:val="auto"/>
        </w:rPr>
        <w:t>Banks</w:t>
      </w:r>
      <w:r>
        <w:rPr>
          <w:rFonts w:ascii="Arial" w:cs="Arial" w:eastAsia="Arial" w:hAnsi="Arial"/>
          <w:sz w:val="18"/>
          <w:szCs w:val="18"/>
          <w:color w:val="auto"/>
        </w:rPr>
        <w:t xml:space="preserve">”) and </w:t>
      </w:r>
      <w:r>
        <w:rPr>
          <w:rFonts w:ascii="Arial" w:cs="Arial" w:eastAsia="Arial" w:hAnsi="Arial"/>
          <w:sz w:val="18"/>
          <w:szCs w:val="18"/>
          <w:b w:val="1"/>
          <w:bCs w:val="1"/>
          <w:color w:val="auto"/>
        </w:rPr>
        <w:t>MIZUHO BANK, LTD.</w:t>
      </w:r>
      <w:r>
        <w:rPr>
          <w:rFonts w:ascii="Arial" w:cs="Arial" w:eastAsia="Arial" w:hAnsi="Arial"/>
          <w:sz w:val="18"/>
          <w:szCs w:val="18"/>
          <w:color w:val="auto"/>
        </w:rPr>
        <w:t>, as Administrative Agent (in such capacity,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requested that the Banks provide a revolving credit facility, and the Banks are willing to do so as further provided herein and upon the terms and conditions contained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 AND RULES OF INTERPRETATION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The following terms shall have the meanings set forth in this </w:t>
      </w:r>
      <w:r>
        <w:rPr>
          <w:rFonts w:ascii="Arial" w:cs="Arial" w:eastAsia="Arial" w:hAnsi="Arial"/>
          <w:sz w:val="18"/>
          <w:szCs w:val="18"/>
          <w:b w:val="1"/>
          <w:bCs w:val="1"/>
          <w:i w:val="1"/>
          <w:iCs w:val="1"/>
          <w:color w:val="auto"/>
        </w:rPr>
        <w:t>Section 1</w:t>
      </w:r>
      <w:r>
        <w:rPr>
          <w:rFonts w:ascii="Arial" w:cs="Arial" w:eastAsia="Arial" w:hAnsi="Arial"/>
          <w:sz w:val="18"/>
          <w:szCs w:val="18"/>
          <w:color w:val="auto"/>
        </w:rPr>
        <w:t xml:space="preserve"> or elsewhere in the provisions of this Agreement referred to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7.4(a)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means any transaction, or any series of related transactions, consummated on or after the date of this Agreement, by which any Loan Party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means Mizuho Bank in its capacity as administrative agent under any of the Loan Documents, or any successor administrative agent.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b w:val="1"/>
          <w:bCs w:val="1"/>
          <w:i w:val="1"/>
          <w:iCs w:val="1"/>
          <w:color w:val="auto"/>
        </w:rPr>
        <w:t>Schedule 22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the Company and the Banks.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b w:val="1"/>
          <w:bCs w:val="1"/>
          <w:i w:val="1"/>
          <w:iCs w:val="1"/>
          <w:color w:val="auto"/>
        </w:rPr>
        <w:t>Exhibit E</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Affected Bank</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Credit Agreement, including the Schedules and Exhibits hereto, as from time to time amended and supplemented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Rate</w:t>
      </w:r>
      <w:r>
        <w:rPr>
          <w:rFonts w:ascii="Arial" w:cs="Arial" w:eastAsia="Arial" w:hAnsi="Arial"/>
          <w:sz w:val="18"/>
          <w:szCs w:val="18"/>
          <w:color w:val="auto"/>
        </w:rPr>
        <w:t xml:space="preserve">” means the applicable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Base Rate Loans, Eurocurrency Rate Loans and the Facility Fee, in each case as set forth in the Pricing Table.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Requirements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7.10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Fund</w:t>
      </w:r>
      <w:r>
        <w:rPr>
          <w:rFonts w:ascii="Arial" w:cs="Arial" w:eastAsia="Arial" w:hAnsi="Arial"/>
          <w:sz w:val="17"/>
          <w:szCs w:val="17"/>
          <w:color w:val="auto"/>
        </w:rPr>
        <w:t>” means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Assumption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Availability Period</w:t>
      </w:r>
      <w:r>
        <w:rPr>
          <w:rFonts w:ascii="Arial" w:cs="Arial" w:eastAsia="Arial" w:hAnsi="Arial"/>
          <w:sz w:val="16"/>
          <w:szCs w:val="16"/>
          <w:color w:val="auto"/>
        </w:rPr>
        <w:t xml:space="preserve">” mean the period from and including the Effective Date to the earliest of (a) the Maturity Date, (b) the date of termination of the Total Commitments pursuant to </w:t>
      </w:r>
      <w:r>
        <w:rPr>
          <w:rFonts w:ascii="Arial" w:cs="Arial" w:eastAsia="Arial" w:hAnsi="Arial"/>
          <w:sz w:val="16"/>
          <w:szCs w:val="16"/>
          <w:b w:val="1"/>
          <w:bCs w:val="1"/>
          <w:i w:val="1"/>
          <w:iCs w:val="1"/>
          <w:color w:val="auto"/>
        </w:rPr>
        <w:t>Section 2.18</w:t>
      </w:r>
      <w:r>
        <w:rPr>
          <w:rFonts w:ascii="Arial" w:cs="Arial" w:eastAsia="Arial" w:hAnsi="Arial"/>
          <w:sz w:val="16"/>
          <w:szCs w:val="16"/>
          <w:color w:val="auto"/>
        </w:rPr>
        <w:t xml:space="preserve">, and (c) the date of termination of the commitment of each Bank to make Loans pursuant to </w:t>
      </w:r>
      <w:r>
        <w:rPr>
          <w:rFonts w:ascii="Arial" w:cs="Arial" w:eastAsia="Arial" w:hAnsi="Arial"/>
          <w:sz w:val="16"/>
          <w:szCs w:val="16"/>
          <w:b w:val="1"/>
          <w:bCs w:val="1"/>
          <w:i w:val="1"/>
          <w:iCs w:val="1"/>
          <w:color w:val="auto"/>
        </w:rPr>
        <w:t>Section 12.2</w:t>
      </w:r>
      <w:r>
        <w:rPr>
          <w:rFonts w:ascii="Arial" w:cs="Arial" w:eastAsia="Arial" w:hAnsi="Arial"/>
          <w:sz w:val="16"/>
          <w:szCs w:val="16"/>
          <w:color w:val="auto"/>
        </w:rPr>
        <w: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Sheet Date</w:t>
      </w:r>
      <w:r>
        <w:rPr>
          <w:rFonts w:ascii="Arial" w:cs="Arial" w:eastAsia="Arial" w:hAnsi="Arial"/>
          <w:sz w:val="18"/>
          <w:szCs w:val="18"/>
          <w:color w:val="auto"/>
        </w:rPr>
        <w:t>” means December 31, 2019.</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Bank Affiliate</w:t>
      </w:r>
      <w:r>
        <w:rPr>
          <w:rFonts w:ascii="Arial" w:cs="Arial" w:eastAsia="Arial" w:hAnsi="Arial"/>
          <w:sz w:val="17"/>
          <w:szCs w:val="17"/>
          <w:color w:val="auto"/>
        </w:rPr>
        <w:t>” means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Base Rate</w:t>
      </w:r>
      <w:r>
        <w:rPr>
          <w:rFonts w:ascii="Arial" w:cs="Arial" w:eastAsia="Arial" w:hAnsi="Arial"/>
          <w:sz w:val="17"/>
          <w:szCs w:val="17"/>
          <w:color w:val="auto"/>
        </w:rPr>
        <w:t xml:space="preserve">” means for any day, a fluctuating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highest of (a) the Federal Funds Rate plus 1/2 of 1%, (b) the rate of interest in effect for such day as publicly announced from time to time by Mizuho Bank as its “prime rate,” and (c) the Eurocurrency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1.00%; and if Base Rate shall be less than zero, such rate shall be deemed zero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b w:val="1"/>
          <w:bCs w:val="1"/>
          <w:i w:val="1"/>
          <w:iCs w:val="1"/>
          <w:color w:val="auto"/>
        </w:rPr>
        <w:t>clause (c)</w:t>
      </w:r>
      <w:r>
        <w:rPr>
          <w:rFonts w:ascii="Arial" w:cs="Arial" w:eastAsia="Arial" w:hAnsi="Arial"/>
          <w:sz w:val="17"/>
          <w:szCs w:val="17"/>
          <w:color w:val="auto"/>
        </w:rPr>
        <w:t xml:space="preserve"> shall not be applicable during any period in which LIBOR is unavailable or unascertainable). The “prime rate” is a rate set by Mizuho Bank based upon various factors including Mizuho Bank’s costs and desired return, general economic conditions and other factors, and is used as a reference point for pricing some loans, which may be priced at, above, or below such announced rate. Any change in such prime rate announced by Mizuho Bank shall take effect at the opening of business on the day specified in the public announcement of such change.</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 Loans</w:t>
      </w:r>
      <w:r>
        <w:rPr>
          <w:rFonts w:ascii="Arial" w:cs="Arial" w:eastAsia="Arial" w:hAnsi="Arial"/>
          <w:sz w:val="18"/>
          <w:szCs w:val="18"/>
          <w:color w:val="auto"/>
        </w:rPr>
        <w:t>” means Loans bearing interest calculated by reference to the Base Rate.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Company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Dollar-denominated syndicated credit facilities and (b) the Benchmark Replacement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Benchmark Replacement as so determined would be less than zero, the Benchmark Replacement will be deemed to be zero for the purposes of this Agreement.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 Replacement Adjustment</w:t>
      </w:r>
      <w:r>
        <w:rPr>
          <w:rFonts w:ascii="Arial" w:cs="Arial" w:eastAsia="Arial" w:hAnsi="Arial"/>
          <w:sz w:val="17"/>
          <w:szCs w:val="17"/>
          <w:color w:val="auto"/>
        </w:rPr>
        <w: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Administrative Agent and the Company giving due consideration to (i) any selection or recommendation of a spread adjustment, or method for calculating or determining such spread adjustment, for the replacement of LIBOR with the applicable Unadjusted Benchmark Replacement by the Relevant Governmental Body or (ii) any evolving or then-prevailing market convention for determining a spread adjustment, or method for calculating or determining such spread adjustment, for the replacement of LIBOR with the applicable Unadjusted Benchmark Replacement for Dollar-denominated syndicated credit facilities at such time.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w:t>
      </w:r>
      <w:r>
        <w:rPr>
          <w:rFonts w:ascii="Arial" w:cs="Arial" w:eastAsia="Arial" w:hAnsi="Arial"/>
          <w:sz w:val="17"/>
          <w:szCs w:val="17"/>
          <w:i w:val="1"/>
          <w:iCs w:val="1"/>
          <w:color w:val="auto"/>
        </w:rPr>
        <w:t>Base Rate,</w:t>
      </w:r>
      <w:r>
        <w:rPr>
          <w:rFonts w:ascii="Arial" w:cs="Arial" w:eastAsia="Arial" w:hAnsi="Arial"/>
          <w:sz w:val="17"/>
          <w:szCs w:val="17"/>
          <w:color w:val="auto"/>
        </w:rPr>
        <w:t>” the definition of “</w:t>
      </w:r>
      <w:r>
        <w:rPr>
          <w:rFonts w:ascii="Arial" w:cs="Arial" w:eastAsia="Arial" w:hAnsi="Arial"/>
          <w:sz w:val="17"/>
          <w:szCs w:val="17"/>
          <w:i w:val="1"/>
          <w:iCs w:val="1"/>
          <w:color w:val="auto"/>
        </w:rPr>
        <w:t>Interest Period,</w:t>
      </w:r>
      <w:r>
        <w:rPr>
          <w:rFonts w:ascii="Arial" w:cs="Arial" w:eastAsia="Arial" w:hAnsi="Arial"/>
          <w:sz w:val="17"/>
          <w:szCs w:val="17"/>
          <w:color w:val="auto"/>
        </w:rPr>
        <w:t>”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 Replacement Date</w:t>
      </w:r>
      <w:r>
        <w:rPr>
          <w:rFonts w:ascii="Arial" w:cs="Arial" w:eastAsia="Arial" w:hAnsi="Arial"/>
          <w:sz w:val="17"/>
          <w:szCs w:val="17"/>
          <w:color w:val="auto"/>
        </w:rPr>
        <w:t xml:space="preserve">” means the earlier to occur of the following events with respect to LIBOR: (i) in the case of </w:t>
      </w:r>
      <w:r>
        <w:rPr>
          <w:rFonts w:ascii="Arial" w:cs="Arial" w:eastAsia="Arial" w:hAnsi="Arial"/>
          <w:sz w:val="17"/>
          <w:szCs w:val="17"/>
          <w:b w:val="1"/>
          <w:bCs w:val="1"/>
          <w:i w:val="1"/>
          <w:iCs w:val="1"/>
          <w:color w:val="auto"/>
        </w:rPr>
        <w:t>clause (a)</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(b)</w:t>
      </w:r>
      <w:r>
        <w:rPr>
          <w:rFonts w:ascii="Arial" w:cs="Arial" w:eastAsia="Arial" w:hAnsi="Arial"/>
          <w:sz w:val="17"/>
          <w:szCs w:val="17"/>
          <w:color w:val="auto"/>
        </w:rPr>
        <w:t xml:space="preserve"> of the definition of “</w:t>
      </w:r>
      <w:r>
        <w:rPr>
          <w:rFonts w:ascii="Arial" w:cs="Arial" w:eastAsia="Arial" w:hAnsi="Arial"/>
          <w:sz w:val="17"/>
          <w:szCs w:val="17"/>
          <w:i w:val="1"/>
          <w:iCs w:val="1"/>
          <w:color w:val="auto"/>
        </w:rPr>
        <w:t>Benchmark Transition Event,</w:t>
      </w:r>
      <w:r>
        <w:rPr>
          <w:rFonts w:ascii="Arial" w:cs="Arial" w:eastAsia="Arial" w:hAnsi="Arial"/>
          <w:sz w:val="17"/>
          <w:szCs w:val="17"/>
          <w:color w:val="auto"/>
        </w:rPr>
        <w:t xml:space="preserve">” the later of (x) the date of the public statement or publication of information referenced therein and (y) the date on which the administrator of LIBOR permanently or indefinitely ceases to provide LIBOR; or (ii) in the case of </w:t>
      </w:r>
      <w:r>
        <w:rPr>
          <w:rFonts w:ascii="Arial" w:cs="Arial" w:eastAsia="Arial" w:hAnsi="Arial"/>
          <w:sz w:val="17"/>
          <w:szCs w:val="17"/>
          <w:b w:val="1"/>
          <w:bCs w:val="1"/>
          <w:i w:val="1"/>
          <w:iCs w:val="1"/>
          <w:color w:val="auto"/>
        </w:rPr>
        <w:t>clause (c)</w:t>
      </w:r>
      <w:r>
        <w:rPr>
          <w:rFonts w:ascii="Arial" w:cs="Arial" w:eastAsia="Arial" w:hAnsi="Arial"/>
          <w:sz w:val="17"/>
          <w:szCs w:val="17"/>
          <w:color w:val="auto"/>
        </w:rPr>
        <w:t xml:space="preserve"> of the definition of “</w:t>
      </w:r>
      <w:r>
        <w:rPr>
          <w:rFonts w:ascii="Arial" w:cs="Arial" w:eastAsia="Arial" w:hAnsi="Arial"/>
          <w:sz w:val="17"/>
          <w:szCs w:val="17"/>
          <w:i w:val="1"/>
          <w:iCs w:val="1"/>
          <w:color w:val="auto"/>
        </w:rPr>
        <w:t>Benchmark Transition Event,</w:t>
      </w:r>
      <w:r>
        <w:rPr>
          <w:rFonts w:ascii="Arial" w:cs="Arial" w:eastAsia="Arial" w:hAnsi="Arial"/>
          <w:sz w:val="17"/>
          <w:szCs w:val="17"/>
          <w:color w:val="auto"/>
        </w:rPr>
        <w:t>” the date of the public statement or publication of information referenced therein.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Benchmark Transition Event</w:t>
      </w:r>
      <w:r>
        <w:rPr>
          <w:rFonts w:ascii="Arial" w:cs="Arial" w:eastAsia="Arial" w:hAnsi="Arial"/>
          <w:sz w:val="17"/>
          <w:szCs w:val="17"/>
          <w:color w:val="auto"/>
        </w:rPr>
        <w:t xml:space="preserve">” means the occurrence of one or more of the following events with respect to LIBOR: (a) public statement or publication of information by or on behalf of the administrator of LIBOR announcing that such administrator has ceased or will cease to provide LIBOR,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LIBOR; (b) 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LIBOR; or (c) a public statement or publication of information by the regulatory supervisor for the administrator of LIBOR announcing that LIBOR is no longer representative.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Majority Banks, as applicable, by notice to the Company, the Administrative Agent (in the case of such notice by the Majority Banks) and the Banks.</w:t>
      </w:r>
    </w:p>
    <w:p>
      <w:pPr>
        <w:spacing w:after="0" w:line="20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Benchmark Unavailability Period</w:t>
      </w:r>
      <w:r>
        <w:rPr>
          <w:rFonts w:ascii="Arial" w:cs="Arial" w:eastAsia="Arial" w:hAnsi="Arial"/>
          <w:sz w:val="16"/>
          <w:szCs w:val="16"/>
          <w:color w:val="auto"/>
        </w:rPr>
        <w:t xml:space="preserve">” means, if a Benchmark Transition Event and its related Benchmark Replacement Date have occurred with respect to LIBOR and solely to the extent that LIBOR has not been replaced with a Benchmark Replacement, the period (x) beginning at the time that such Benchmark Replacement Date has occurred if, at such time, no Benchmark Replacement has replaced LIBOR for all purposes hereunder in accordance with </w:t>
      </w:r>
      <w:r>
        <w:rPr>
          <w:rFonts w:ascii="Arial" w:cs="Arial" w:eastAsia="Arial" w:hAnsi="Arial"/>
          <w:sz w:val="16"/>
          <w:szCs w:val="16"/>
          <w:b w:val="1"/>
          <w:bCs w:val="1"/>
          <w:i w:val="1"/>
          <w:iCs w:val="1"/>
          <w:color w:val="auto"/>
        </w:rPr>
        <w:t>Section 3.3</w:t>
      </w:r>
      <w:r>
        <w:rPr>
          <w:rFonts w:ascii="Arial" w:cs="Arial" w:eastAsia="Arial" w:hAnsi="Arial"/>
          <w:sz w:val="16"/>
          <w:szCs w:val="16"/>
          <w:color w:val="auto"/>
        </w:rPr>
        <w:t xml:space="preserve"> and (y) ending at the time that a Benchmark Replacement has replaced LIBOR for all purposes hereunder pursuant to </w:t>
      </w:r>
      <w:r>
        <w:rPr>
          <w:rFonts w:ascii="Arial" w:cs="Arial" w:eastAsia="Arial" w:hAnsi="Arial"/>
          <w:sz w:val="16"/>
          <w:szCs w:val="16"/>
          <w:b w:val="1"/>
          <w:bCs w:val="1"/>
          <w:i w:val="1"/>
          <w:iCs w:val="1"/>
          <w:color w:val="auto"/>
        </w:rPr>
        <w:t>Section 3.3</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means 31 C.F.R. §1010.230.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Any of (a) an “</w:t>
      </w:r>
      <w:r>
        <w:rPr>
          <w:rFonts w:ascii="Arial" w:cs="Arial" w:eastAsia="Arial" w:hAnsi="Arial"/>
          <w:sz w:val="18"/>
          <w:szCs w:val="18"/>
          <w:i w:val="1"/>
          <w:iCs w:val="1"/>
          <w:color w:val="auto"/>
        </w:rPr>
        <w:t>employee benefit plan</w:t>
      </w:r>
      <w:r>
        <w:rPr>
          <w:rFonts w:ascii="Arial" w:cs="Arial" w:eastAsia="Arial" w:hAnsi="Arial"/>
          <w:sz w:val="18"/>
          <w:szCs w:val="18"/>
          <w:color w:val="auto"/>
        </w:rPr>
        <w:t xml:space="preserve">” (as defined in ERISA) that is subject to </w:t>
      </w:r>
      <w:r>
        <w:rPr>
          <w:rFonts w:ascii="Arial" w:cs="Arial" w:eastAsia="Arial" w:hAnsi="Arial"/>
          <w:sz w:val="18"/>
          <w:szCs w:val="18"/>
          <w:i w:val="1"/>
          <w:iCs w:val="1"/>
          <w:color w:val="auto"/>
        </w:rPr>
        <w:t>Title I</w:t>
      </w:r>
      <w:r>
        <w:rPr>
          <w:rFonts w:ascii="Arial" w:cs="Arial" w:eastAsia="Arial" w:hAnsi="Arial"/>
          <w:sz w:val="18"/>
          <w:szCs w:val="18"/>
          <w:color w:val="auto"/>
        </w:rPr>
        <w:t xml:space="preserve"> of ERISA, (b) a “</w:t>
      </w:r>
      <w:r>
        <w:rPr>
          <w:rFonts w:ascii="Arial" w:cs="Arial" w:eastAsia="Arial" w:hAnsi="Arial"/>
          <w:sz w:val="18"/>
          <w:szCs w:val="18"/>
          <w:i w:val="1"/>
          <w:iCs w:val="1"/>
          <w:color w:val="auto"/>
        </w:rPr>
        <w:t>plan</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 xml:space="preserve">Section 4975 </w:t>
      </w:r>
      <w:r>
        <w:rPr>
          <w:rFonts w:ascii="Arial" w:cs="Arial" w:eastAsia="Arial" w:hAnsi="Arial"/>
          <w:sz w:val="18"/>
          <w:szCs w:val="18"/>
          <w:color w:val="auto"/>
        </w:rPr>
        <w:t>of the Code or (c) any Person whose assets include (for purposes of ERISA</w:t>
      </w:r>
      <w:r>
        <w:rPr>
          <w:rFonts w:ascii="Arial" w:cs="Arial" w:eastAsia="Arial" w:hAnsi="Arial"/>
          <w:sz w:val="18"/>
          <w:szCs w:val="18"/>
          <w:i w:val="1"/>
          <w:iCs w:val="1"/>
          <w:color w:val="auto"/>
        </w:rPr>
        <w:t xml:space="preserve"> Section 3(42) </w:t>
      </w:r>
      <w:r>
        <w:rPr>
          <w:rFonts w:ascii="Arial" w:cs="Arial" w:eastAsia="Arial" w:hAnsi="Arial"/>
          <w:sz w:val="18"/>
          <w:szCs w:val="18"/>
          <w:color w:val="auto"/>
        </w:rPr>
        <w:t>or otherwise for purposes of</w:t>
      </w:r>
      <w:r>
        <w:rPr>
          <w:rFonts w:ascii="Arial" w:cs="Arial" w:eastAsia="Arial" w:hAnsi="Arial"/>
          <w:sz w:val="18"/>
          <w:szCs w:val="18"/>
          <w:i w:val="1"/>
          <w:iCs w:val="1"/>
          <w:color w:val="auto"/>
        </w:rPr>
        <w:t xml:space="preserve"> Title I </w:t>
      </w:r>
      <w:r>
        <w:rPr>
          <w:rFonts w:ascii="Arial" w:cs="Arial" w:eastAsia="Arial" w:hAnsi="Arial"/>
          <w:sz w:val="18"/>
          <w:szCs w:val="18"/>
          <w:color w:val="auto"/>
        </w:rPr>
        <w:t>of ERISA or</w:t>
      </w:r>
      <w:r>
        <w:rPr>
          <w:rFonts w:ascii="Arial" w:cs="Arial" w:eastAsia="Arial" w:hAnsi="Arial"/>
          <w:sz w:val="18"/>
          <w:szCs w:val="18"/>
          <w:i w:val="1"/>
          <w:iCs w:val="1"/>
          <w:color w:val="auto"/>
        </w:rPr>
        <w:t xml:space="preserve"> Section 4975 </w:t>
      </w:r>
      <w:r>
        <w:rPr>
          <w:rFonts w:ascii="Arial" w:cs="Arial" w:eastAsia="Arial" w:hAnsi="Arial"/>
          <w:sz w:val="18"/>
          <w:szCs w:val="18"/>
          <w:color w:val="auto"/>
        </w:rPr>
        <w:t>of the Code) the assets of any such “employee benefit plan” or “plan”.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Loans of the same Type, made, converted or continued on the same date and, in the case of Eurocurrency Loans, as to which a single Interest Period is in effect.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any day on which banking institutions in New York, New York are authorized by law to close, and when used in connection with a Eurocurrency Loan, if such day relates to any interest rate settings, any fundings, disbursements, settlements and payments in Dollars in respect of any such Eurocurrency Rate Loan, or any other dealings in Dollars to be carried out pursuant to this Agreement in respect of any such Eurocurrency Rate Loan, means any such day that is also a day on which dealings in Dollar deposits are conducted by and between banks in the London interbank Eurocurrency market.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AML Acts</w:t>
      </w:r>
      <w:r>
        <w:rPr>
          <w:rFonts w:ascii="Arial" w:cs="Arial" w:eastAsia="Arial" w:hAnsi="Arial"/>
          <w:sz w:val="18"/>
          <w:szCs w:val="18"/>
          <w:color w:val="auto"/>
        </w:rPr>
        <w:t>” means an applicable Canadian law regarding anti-money laundering, anti-terrorist financing, government sanction and “know your client” matters, including the Proceeds of Crime (Money Laundering) and Terrorist Financing Act (Canada).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Defined Benefit Pension Plan</w:t>
      </w:r>
      <w:r>
        <w:rPr>
          <w:rFonts w:ascii="Arial" w:cs="Arial" w:eastAsia="Arial" w:hAnsi="Arial"/>
          <w:sz w:val="18"/>
          <w:szCs w:val="18"/>
          <w:color w:val="auto"/>
        </w:rPr>
        <w:t>” means a Canadian Pension Plan that contains or has ever contained a “</w:t>
      </w:r>
      <w:r>
        <w:rPr>
          <w:rFonts w:ascii="Arial" w:cs="Arial" w:eastAsia="Arial" w:hAnsi="Arial"/>
          <w:sz w:val="18"/>
          <w:szCs w:val="18"/>
          <w:i w:val="1"/>
          <w:iCs w:val="1"/>
          <w:color w:val="auto"/>
        </w:rPr>
        <w:t>defined benefit provision</w:t>
      </w:r>
      <w:r>
        <w:rPr>
          <w:rFonts w:ascii="Arial" w:cs="Arial" w:eastAsia="Arial" w:hAnsi="Arial"/>
          <w:sz w:val="18"/>
          <w:szCs w:val="18"/>
          <w:color w:val="auto"/>
        </w:rPr>
        <w:t xml:space="preserve">” as such term is defined in </w:t>
      </w:r>
      <w:r>
        <w:rPr>
          <w:rFonts w:ascii="Arial" w:cs="Arial" w:eastAsia="Arial" w:hAnsi="Arial"/>
          <w:sz w:val="18"/>
          <w:szCs w:val="18"/>
          <w:i w:val="1"/>
          <w:iCs w:val="1"/>
          <w:color w:val="auto"/>
        </w:rPr>
        <w:t>Section 147.1(1)</w:t>
      </w:r>
      <w:r>
        <w:rPr>
          <w:rFonts w:ascii="Arial" w:cs="Arial" w:eastAsia="Arial" w:hAnsi="Arial"/>
          <w:sz w:val="18"/>
          <w:szCs w:val="18"/>
          <w:color w:val="auto"/>
        </w:rPr>
        <w:t xml:space="preserve"> of the Income Tax Act (Canada).</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Pension Plan</w:t>
      </w:r>
      <w:r>
        <w:rPr>
          <w:rFonts w:ascii="Arial" w:cs="Arial" w:eastAsia="Arial" w:hAnsi="Arial"/>
          <w:sz w:val="18"/>
          <w:szCs w:val="18"/>
          <w:color w:val="auto"/>
        </w:rPr>
        <w:t>” means a pension plan or plan that is subject to applicable pension benefits legislation in any jurisdiction of Canada and that is organized and administered to provide pensions, pension benefits or retirement benefits for employees and former employees of any Loan Party or any Subsidiary thereof.</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Canadian Sanctions List</w:t>
      </w:r>
      <w:r>
        <w:rPr>
          <w:rFonts w:ascii="Arial" w:cs="Arial" w:eastAsia="Arial" w:hAnsi="Arial"/>
          <w:sz w:val="17"/>
          <w:szCs w:val="17"/>
          <w:color w:val="auto"/>
        </w:rPr>
        <w:t xml:space="preserve">”. The list of names subject to the Regulations Establishing a List of Entities made under </w:t>
      </w:r>
      <w:r>
        <w:rPr>
          <w:rFonts w:ascii="Arial" w:cs="Arial" w:eastAsia="Arial" w:hAnsi="Arial"/>
          <w:sz w:val="17"/>
          <w:szCs w:val="17"/>
          <w:i w:val="1"/>
          <w:iCs w:val="1"/>
          <w:color w:val="auto"/>
        </w:rPr>
        <w:t>subsection 83.05(1)</w:t>
      </w:r>
      <w:r>
        <w:rPr>
          <w:rFonts w:ascii="Arial" w:cs="Arial" w:eastAsia="Arial" w:hAnsi="Arial"/>
          <w:sz w:val="17"/>
          <w:szCs w:val="17"/>
          <w:color w:val="auto"/>
        </w:rPr>
        <w:t xml:space="preserve"> of the Criminal Code (Canada), the Regulations Implementing the United Nations Resolutions on the Suppression of Terrorism and/or the United Nations Al-Qaida and Taliban Regulations as published by the Office of the Superintendent of Financial Institutions Canada.</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Capitalized Leases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 Each lease that has been or is required to be, in accordance with GAAP, classified and accounted for as a capital lease or a financing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CERCLA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6.15(a)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Certified</w:t>
      </w:r>
      <w:r>
        <w:rPr>
          <w:rFonts w:ascii="Arial" w:cs="Arial" w:eastAsia="Arial" w:hAnsi="Arial"/>
          <w:sz w:val="18"/>
          <w:szCs w:val="18"/>
          <w:color w:val="auto"/>
        </w:rPr>
        <w:t>” or “</w:t>
      </w:r>
      <w:r>
        <w:rPr>
          <w:rFonts w:ascii="Arial" w:cs="Arial" w:eastAsia="Arial" w:hAnsi="Arial"/>
          <w:sz w:val="18"/>
          <w:szCs w:val="18"/>
          <w:b w:val="1"/>
          <w:bCs w:val="1"/>
          <w:i w:val="1"/>
          <w:iCs w:val="1"/>
          <w:color w:val="auto"/>
        </w:rPr>
        <w:t>certified</w:t>
      </w:r>
      <w:r>
        <w:rPr>
          <w:rFonts w:ascii="Arial" w:cs="Arial" w:eastAsia="Arial" w:hAnsi="Arial"/>
          <w:sz w:val="18"/>
          <w:szCs w:val="18"/>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CFO</w:t>
      </w:r>
      <w:r>
        <w:rPr>
          <w:rFonts w:ascii="Arial" w:cs="Arial" w:eastAsia="Arial" w:hAnsi="Arial"/>
          <w:sz w:val="18"/>
          <w:szCs w:val="18"/>
          <w:color w:val="auto"/>
        </w:rPr>
        <w:t>” or “</w:t>
      </w:r>
      <w:r>
        <w:rPr>
          <w:rFonts w:ascii="Arial" w:cs="Arial" w:eastAsia="Arial" w:hAnsi="Arial"/>
          <w:sz w:val="18"/>
          <w:szCs w:val="18"/>
          <w:b w:val="1"/>
          <w:bCs w:val="1"/>
          <w:i w:val="1"/>
          <w:iCs w:val="1"/>
          <w:color w:val="auto"/>
        </w:rPr>
        <w:t>CAO</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7.4(b)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Law</w:t>
      </w:r>
      <w:r>
        <w:rPr>
          <w:rFonts w:ascii="Arial" w:cs="Arial" w:eastAsia="Arial" w:hAnsi="Arial"/>
          <w:sz w:val="17"/>
          <w:szCs w:val="17"/>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issued or implemented.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in effect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w:t>
      </w:r>
      <w:r>
        <w:rPr>
          <w:rFonts w:ascii="Arial" w:cs="Arial" w:eastAsia="Arial" w:hAnsi="Arial"/>
          <w:sz w:val="18"/>
          <w:szCs w:val="18"/>
          <w:color w:val="auto"/>
        </w:rPr>
        <w:t>” means with respect to each Bank, such Bank’s commitment to make Loans, determined by multiplying such Bank’s Commitment Percentage by the Total Commitment.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Commitment Percentage</w:t>
      </w:r>
      <w:r>
        <w:rPr>
          <w:rFonts w:ascii="Arial" w:cs="Arial" w:eastAsia="Arial" w:hAnsi="Arial"/>
          <w:sz w:val="16"/>
          <w:szCs w:val="16"/>
          <w:color w:val="auto"/>
        </w:rPr>
        <w:t xml:space="preserve">” means with respect to any Bank at any time, the percentage (carried out to the ninth decimal place) of the Total Commitment represented by such Bank’s Commitment at such time, as the same may be adjusted in accordance with </w:t>
      </w:r>
      <w:r>
        <w:rPr>
          <w:rFonts w:ascii="Arial" w:cs="Arial" w:eastAsia="Arial" w:hAnsi="Arial"/>
          <w:sz w:val="16"/>
          <w:szCs w:val="16"/>
          <w:b w:val="1"/>
          <w:bCs w:val="1"/>
          <w:i w:val="1"/>
          <w:iCs w:val="1"/>
          <w:color w:val="auto"/>
        </w:rPr>
        <w:t>Section 2.3</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Section 2.17</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Section 20</w:t>
      </w:r>
      <w:r>
        <w:rPr>
          <w:rFonts w:ascii="Arial" w:cs="Arial" w:eastAsia="Arial" w:hAnsi="Arial"/>
          <w:sz w:val="16"/>
          <w:szCs w:val="16"/>
          <w:color w:val="auto"/>
        </w:rPr>
        <w:t>. If the commitment of a Bank to make Loans has been terminated pursuant to</w:t>
      </w:r>
      <w:r>
        <w:rPr>
          <w:rFonts w:ascii="Arial" w:cs="Arial" w:eastAsia="Arial" w:hAnsi="Arial"/>
          <w:sz w:val="16"/>
          <w:szCs w:val="16"/>
          <w:b w:val="1"/>
          <w:bCs w:val="1"/>
          <w:i w:val="1"/>
          <w:iCs w:val="1"/>
          <w:color w:val="auto"/>
        </w:rPr>
        <w:t xml:space="preserve"> Section 12.2 </w:t>
      </w:r>
      <w:r>
        <w:rPr>
          <w:rFonts w:ascii="Arial" w:cs="Arial" w:eastAsia="Arial" w:hAnsi="Arial"/>
          <w:sz w:val="16"/>
          <w:szCs w:val="16"/>
          <w:color w:val="auto"/>
        </w:rPr>
        <w:t>or otherwise, then the Commitment Percentage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each Bank shall be determined based on the Commitment Percentage of such Bank most recently in effect, giving effect to any subsequent assignments and to any Bank’s status as a Defaulting Bank at the time of determination. The initial Commitment Percentage of each Bank is set forth opposite the name of such Bank on </w:t>
      </w:r>
      <w:r>
        <w:rPr>
          <w:rFonts w:ascii="Arial" w:cs="Arial" w:eastAsia="Arial" w:hAnsi="Arial"/>
          <w:sz w:val="16"/>
          <w:szCs w:val="16"/>
          <w:b w:val="1"/>
          <w:bCs w:val="1"/>
          <w:i w:val="1"/>
          <w:iCs w:val="1"/>
          <w:color w:val="auto"/>
        </w:rPr>
        <w:t>Schedule 1</w:t>
      </w:r>
      <w:r>
        <w:rPr>
          <w:rFonts w:ascii="Arial" w:cs="Arial" w:eastAsia="Arial" w:hAnsi="Arial"/>
          <w:sz w:val="16"/>
          <w:szCs w:val="16"/>
          <w:color w:val="auto"/>
        </w:rPr>
        <w:t xml:space="preserve"> hereto or in the Assignment and Assumption pursuant to which such Bank becomes a party hereto, as applicable.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Preamble.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7.4(c)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consolidated</w:t>
      </w:r>
      <w:r>
        <w:rPr>
          <w:rFonts w:ascii="Arial" w:cs="Arial" w:eastAsia="Arial" w:hAnsi="Arial"/>
          <w:sz w:val="18"/>
          <w:szCs w:val="18"/>
          <w:color w:val="auto"/>
        </w:rPr>
        <w:t>” means with reference to any term defined herein, shall mean that term as applied to the accounts of the Company, its Subsidiaries and all variable interest entities consolidated in accordance with GAAP.</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Earnings Before Interest and Taxes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EBIT</w:t>
      </w:r>
      <w:r>
        <w:rPr>
          <w:rFonts w:ascii="Arial" w:cs="Arial" w:eastAsia="Arial" w:hAnsi="Arial"/>
          <w:sz w:val="18"/>
          <w:szCs w:val="18"/>
          <w:color w:val="auto"/>
        </w:rPr>
        <w:t xml:space="preserve">” means for any period, the Consolidated Net Income (or Deficit) of the Company on a consolidated basis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and (6) EBIT of the businesses acquired by the Company or any of its Subsidiaries (through asset purchases or otherwise) (each an “</w:t>
      </w:r>
      <w:r>
        <w:rPr>
          <w:rFonts w:ascii="Arial" w:cs="Arial" w:eastAsia="Arial" w:hAnsi="Arial"/>
          <w:sz w:val="18"/>
          <w:szCs w:val="18"/>
          <w:b w:val="1"/>
          <w:bCs w:val="1"/>
          <w:i w:val="1"/>
          <w:iCs w:val="1"/>
          <w:color w:val="auto"/>
        </w:rPr>
        <w:t>Acquired Business</w:t>
      </w:r>
      <w:r>
        <w:rPr>
          <w:rFonts w:ascii="Arial" w:cs="Arial" w:eastAsia="Arial" w:hAnsi="Arial"/>
          <w:sz w:val="18"/>
          <w:szCs w:val="18"/>
          <w:color w:val="auto"/>
        </w:rPr>
        <w:t xml:space="preserve">”) or the Subsidiaries acquired or formed since the beginning of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statement identifying all such Acquired Businesses and the EBIT of such Acquired Businesses is delivered to the Banks with the Compliance Certificate for such period, all to the extent that each of </w:t>
      </w:r>
      <w:r>
        <w:rPr>
          <w:rFonts w:ascii="Arial" w:cs="Arial" w:eastAsia="Arial" w:hAnsi="Arial"/>
          <w:sz w:val="18"/>
          <w:szCs w:val="18"/>
          <w:b w:val="1"/>
          <w:bCs w:val="1"/>
          <w:i w:val="1"/>
          <w:iCs w:val="1"/>
          <w:color w:val="auto"/>
        </w:rPr>
        <w:t>items (1)</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(5)</w:t>
      </w:r>
      <w:r>
        <w:rPr>
          <w:rFonts w:ascii="Arial" w:cs="Arial" w:eastAsia="Arial" w:hAnsi="Arial"/>
          <w:sz w:val="18"/>
          <w:szCs w:val="18"/>
          <w:color w:val="auto"/>
        </w:rPr>
        <w:t xml:space="preserve"> was deducted in determining Consolidated Net Income (or Deficit) in the relevant period, </w:t>
      </w:r>
      <w:r>
        <w:rPr>
          <w:rFonts w:ascii="Arial" w:cs="Arial" w:eastAsia="Arial" w:hAnsi="Arial"/>
          <w:sz w:val="18"/>
          <w:szCs w:val="18"/>
          <w:i w:val="1"/>
          <w:iCs w:val="1"/>
          <w:color w:val="auto"/>
        </w:rPr>
        <w:t xml:space="preserve">minus </w:t>
      </w:r>
      <w:r>
        <w:rPr>
          <w:rFonts w:ascii="Arial" w:cs="Arial" w:eastAsia="Arial" w:hAnsi="Arial"/>
          <w:sz w:val="18"/>
          <w:szCs w:val="18"/>
          <w:color w:val="auto"/>
        </w:rPr>
        <w:t>non-cash extraordinary gains on the sale of assets outside the ordinary course of business to the extent included in Consolidated Net Income (or</w:t>
      </w:r>
      <w:r>
        <w:rPr>
          <w:rFonts w:ascii="Arial" w:cs="Arial" w:eastAsia="Arial" w:hAnsi="Arial"/>
          <w:sz w:val="18"/>
          <w:szCs w:val="18"/>
          <w:i w:val="1"/>
          <w:iCs w:val="1"/>
          <w:color w:val="auto"/>
        </w:rPr>
        <w:t xml:space="preserve"> </w:t>
      </w:r>
      <w:r>
        <w:rPr>
          <w:rFonts w:ascii="Arial" w:cs="Arial" w:eastAsia="Arial" w:hAnsi="Arial"/>
          <w:sz w:val="18"/>
          <w:szCs w:val="18"/>
          <w:color w:val="auto"/>
        </w:rPr>
        <w:t>Deficit).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Earnings Before Interest, Taxes, Depreciation and Amortization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xml:space="preserve">”. For any period, EBIT </w:t>
      </w:r>
      <w:r>
        <w:rPr>
          <w:rFonts w:ascii="Arial" w:cs="Arial" w:eastAsia="Arial" w:hAnsi="Arial"/>
          <w:sz w:val="18"/>
          <w:szCs w:val="18"/>
          <w:i w:val="1"/>
          <w:iCs w:val="1"/>
          <w:color w:val="auto"/>
        </w:rPr>
        <w:t>plus</w:t>
      </w:r>
      <w:r>
        <w:rPr>
          <w:rFonts w:ascii="Arial" w:cs="Arial" w:eastAsia="Arial" w:hAnsi="Arial"/>
          <w:sz w:val="18"/>
          <w:szCs w:val="18"/>
          <w:color w:val="auto"/>
        </w:rPr>
        <w:t xml:space="preserve"> (a) depreciation expense, and (b) amortization expense to the extent the same would be included in the calculation of Consolidated Net Income (or Deficit) for such period, determined in accordance with GAAP.</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Income (or Deficit)</w:t>
      </w:r>
      <w:r>
        <w:rPr>
          <w:rFonts w:ascii="Arial" w:cs="Arial" w:eastAsia="Arial" w:hAnsi="Arial"/>
          <w:sz w:val="18"/>
          <w:szCs w:val="18"/>
          <w:color w:val="auto"/>
        </w:rPr>
        <w:t>”. The consolidated net income (or deficit) of the Company on a consolidated basis, after deduction of all expenses, taxes, and other proper charges,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Consolidated Total Assets less the sum of:</w:t>
      </w:r>
    </w:p>
    <w:p>
      <w:pPr>
        <w:spacing w:after="0" w:line="225" w:lineRule="exact"/>
        <w:rPr>
          <w:sz w:val="20"/>
          <w:szCs w:val="20"/>
          <w:color w:val="auto"/>
        </w:rPr>
      </w:pPr>
    </w:p>
    <w:p>
      <w:pPr>
        <w:jc w:val="both"/>
        <w:ind w:left="660" w:firstLine="644"/>
        <w:spacing w:after="0" w:line="286" w:lineRule="auto"/>
        <w:tabs>
          <w:tab w:leader="none" w:pos="2039"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total book value of all assets of the Company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660" w:right="20" w:firstLine="644"/>
        <w:spacing w:after="0" w:line="277" w:lineRule="auto"/>
        <w:tabs>
          <w:tab w:leader="none" w:pos="20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Company on a consolidated basis resulting from a revaluation thereof subsequent to the Balance Sheet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Total Assets</w:t>
      </w:r>
      <w:r>
        <w:rPr>
          <w:rFonts w:ascii="Arial" w:cs="Arial" w:eastAsia="Arial" w:hAnsi="Arial"/>
          <w:sz w:val="18"/>
          <w:szCs w:val="18"/>
          <w:color w:val="auto"/>
        </w:rPr>
        <w:t>” means all assets of the Company determined on a consolidated basis in accordance with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Debtor Relief Laws</w:t>
      </w:r>
      <w:r>
        <w:rPr>
          <w:rFonts w:ascii="Arial" w:cs="Arial" w:eastAsia="Arial" w:hAnsi="Arial"/>
          <w:sz w:val="18"/>
          <w:szCs w:val="18"/>
          <w:color w:val="auto"/>
        </w:rPr>
        <w:t>” means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means, when used with respect to Obligations, an interest rate equal to (i)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Applicable Rate for Base Rate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2%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Defaulting Bank</w:t>
      </w:r>
      <w:r>
        <w:rPr>
          <w:rFonts w:ascii="Arial" w:cs="Arial" w:eastAsia="Arial" w:hAnsi="Arial"/>
          <w:sz w:val="16"/>
          <w:szCs w:val="16"/>
          <w:color w:val="auto"/>
        </w:rPr>
        <w:t xml:space="preserve">” means subject to </w:t>
      </w:r>
      <w:r>
        <w:rPr>
          <w:rFonts w:ascii="Arial" w:cs="Arial" w:eastAsia="Arial" w:hAnsi="Arial"/>
          <w:sz w:val="16"/>
          <w:szCs w:val="16"/>
          <w:b w:val="1"/>
          <w:bCs w:val="1"/>
          <w:i w:val="1"/>
          <w:iCs w:val="1"/>
          <w:color w:val="auto"/>
        </w:rPr>
        <w:t>Section 2.17</w:t>
      </w:r>
      <w:r>
        <w:rPr>
          <w:rFonts w:ascii="Arial" w:cs="Arial" w:eastAsia="Arial" w:hAnsi="Arial"/>
          <w:sz w:val="16"/>
          <w:szCs w:val="16"/>
          <w:color w:val="auto"/>
        </w:rPr>
        <w:t>, any Bank that (a) has failed to (i) perform all or any portion of its funding obligations hereunder, including in respect of Loans within three Business Days of the date required to be funded by it hereunder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to Administrative Agent or any other Bank any other amount required to be paid by it hereunder within three Business Days of the date when due,</w:t>
      </w:r>
    </w:p>
    <w:p>
      <w:pPr>
        <w:spacing w:after="0" w:line="32" w:lineRule="exact"/>
        <w:rPr>
          <w:rFonts w:ascii="Arial" w:cs="Arial" w:eastAsia="Arial" w:hAnsi="Arial"/>
          <w:sz w:val="16"/>
          <w:szCs w:val="16"/>
          <w:color w:val="auto"/>
        </w:rPr>
      </w:pPr>
    </w:p>
    <w:p>
      <w:pPr>
        <w:jc w:val="both"/>
        <w:ind w:firstLine="8"/>
        <w:spacing w:after="0" w:line="281" w:lineRule="auto"/>
        <w:tabs>
          <w:tab w:leader="none" w:pos="26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has notified the Company,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w:t>
      </w:r>
      <w:r>
        <w:rPr>
          <w:rFonts w:ascii="Arial" w:cs="Arial" w:eastAsia="Arial" w:hAnsi="Arial"/>
          <w:sz w:val="16"/>
          <w:szCs w:val="16"/>
          <w:b w:val="1"/>
          <w:bCs w:val="1"/>
          <w:i w:val="1"/>
          <w:iCs w:val="1"/>
          <w:color w:val="auto"/>
        </w:rPr>
        <w:t xml:space="preserve">clause (c) </w:t>
      </w:r>
      <w:r>
        <w:rPr>
          <w:rFonts w:ascii="Arial" w:cs="Arial" w:eastAsia="Arial" w:hAnsi="Arial"/>
          <w:sz w:val="16"/>
          <w:szCs w:val="16"/>
          <w:color w:val="auto"/>
        </w:rPr>
        <w:t>upon receipt of such written confirmation by the Administrative Agent), or (d) has, or has a direct or indirect parent company that has,</w:t>
      </w:r>
    </w:p>
    <w:p>
      <w:pPr>
        <w:spacing w:after="0" w:line="4" w:lineRule="exact"/>
        <w:rPr>
          <w:rFonts w:ascii="Arial" w:cs="Arial" w:eastAsia="Arial" w:hAnsi="Arial"/>
          <w:sz w:val="16"/>
          <w:szCs w:val="16"/>
          <w:color w:val="auto"/>
        </w:rPr>
      </w:pPr>
    </w:p>
    <w:p>
      <w:pPr>
        <w:jc w:val="both"/>
        <w:ind w:firstLine="8"/>
        <w:spacing w:after="0" w:line="286" w:lineRule="auto"/>
        <w:tabs>
          <w:tab w:leader="none" w:pos="23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w:t>
      </w:r>
      <w:r>
        <w:rPr>
          <w:rFonts w:ascii="Arial" w:cs="Arial" w:eastAsia="Arial" w:hAnsi="Arial"/>
          <w:sz w:val="16"/>
          <w:szCs w:val="16"/>
          <w:b w:val="1"/>
          <w:bCs w:val="1"/>
          <w:i w:val="1"/>
          <w:iCs w:val="1"/>
          <w:color w:val="auto"/>
        </w:rPr>
        <w:t>clauses (a)</w:t>
      </w:r>
      <w:r>
        <w:rPr>
          <w:rFonts w:ascii="Arial" w:cs="Arial" w:eastAsia="Arial" w:hAnsi="Arial"/>
          <w:sz w:val="16"/>
          <w:szCs w:val="16"/>
          <w:color w:val="auto"/>
        </w:rPr>
        <w:t xml:space="preserve"> through </w:t>
      </w:r>
      <w:r>
        <w:rPr>
          <w:rFonts w:ascii="Arial" w:cs="Arial" w:eastAsia="Arial" w:hAnsi="Arial"/>
          <w:sz w:val="16"/>
          <w:szCs w:val="16"/>
          <w:b w:val="1"/>
          <w:bCs w:val="1"/>
          <w:i w:val="1"/>
          <w:iCs w:val="1"/>
          <w:color w:val="auto"/>
        </w:rPr>
        <w:t>(d)</w:t>
      </w:r>
      <w:r>
        <w:rPr>
          <w:rFonts w:ascii="Arial" w:cs="Arial" w:eastAsia="Arial" w:hAnsi="Arial"/>
          <w:sz w:val="16"/>
          <w:szCs w:val="16"/>
          <w:color w:val="auto"/>
        </w:rPr>
        <w:t xml:space="preserve"> above, and of the effective date of such status, shall be conclusive and binding absent manifest error, and such Bank shall be deemed to be a Defaulting Bank (subject to </w:t>
      </w:r>
      <w:r>
        <w:rPr>
          <w:rFonts w:ascii="Arial" w:cs="Arial" w:eastAsia="Arial" w:hAnsi="Arial"/>
          <w:sz w:val="16"/>
          <w:szCs w:val="16"/>
          <w:b w:val="1"/>
          <w:bCs w:val="1"/>
          <w:i w:val="1"/>
          <w:iCs w:val="1"/>
          <w:color w:val="auto"/>
        </w:rPr>
        <w:t>Section 2.17</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Company and each Bank promptly following such determination.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Jurisdiction</w:t>
      </w:r>
      <w:r>
        <w:rPr>
          <w:rFonts w:ascii="Arial" w:cs="Arial" w:eastAsia="Arial" w:hAnsi="Arial"/>
          <w:sz w:val="18"/>
          <w:szCs w:val="18"/>
          <w:color w:val="auto"/>
        </w:rPr>
        <w:t>” means any country, region or territory to the extent that such country, region or territory itself is, or whose government is, the subject of any Sanction.</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Disclosure Documents</w:t>
      </w:r>
      <w:r>
        <w:rPr>
          <w:rFonts w:ascii="Arial" w:cs="Arial" w:eastAsia="Arial" w:hAnsi="Arial"/>
          <w:sz w:val="17"/>
          <w:szCs w:val="17"/>
          <w:color w:val="auto"/>
        </w:rPr>
        <w:t xml:space="preserve">” means the Company’s financial statements referred to in </w:t>
      </w:r>
      <w:r>
        <w:rPr>
          <w:rFonts w:ascii="Arial" w:cs="Arial" w:eastAsia="Arial" w:hAnsi="Arial"/>
          <w:sz w:val="17"/>
          <w:szCs w:val="17"/>
          <w:b w:val="1"/>
          <w:bCs w:val="1"/>
          <w:i w:val="1"/>
          <w:iCs w:val="1"/>
          <w:color w:val="auto"/>
        </w:rPr>
        <w:t>Section 6.4</w:t>
      </w:r>
      <w:r>
        <w:rPr>
          <w:rFonts w:ascii="Arial" w:cs="Arial" w:eastAsia="Arial" w:hAnsi="Arial"/>
          <w:sz w:val="17"/>
          <w:szCs w:val="17"/>
          <w:color w:val="auto"/>
        </w:rPr>
        <w:t xml:space="preserve"> and filings made by the Company or the Guarantor with the Securities and Exchange Commission that were publicly available prior to the Effective Date which were provided to the Banks.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Disposal</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Disposed</w:t>
      </w:r>
      <w:r>
        <w:rPr>
          <w:rFonts w:ascii="Arial" w:cs="Arial" w:eastAsia="Arial" w:hAnsi="Arial"/>
          <w:sz w:val="18"/>
          <w:szCs w:val="18"/>
          <w:color w:val="auto"/>
        </w:rPr>
        <w:t>” has the meaning set forth in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b w:val="1"/>
          <w:bCs w:val="1"/>
          <w:i w:val="1"/>
          <w:iCs w:val="1"/>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 Dollars</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Drawdown Date</w:t>
      </w:r>
      <w:r>
        <w:rPr>
          <w:rFonts w:ascii="Arial" w:cs="Arial" w:eastAsia="Arial" w:hAnsi="Arial"/>
          <w:sz w:val="18"/>
          <w:szCs w:val="18"/>
          <w:color w:val="auto"/>
        </w:rPr>
        <w:t>” means the date on which any Loan is made or is to be made.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Early Opt-in Election</w:t>
      </w:r>
      <w:r>
        <w:rPr>
          <w:rFonts w:ascii="Arial" w:cs="Arial" w:eastAsia="Arial" w:hAnsi="Arial"/>
          <w:sz w:val="17"/>
          <w:szCs w:val="17"/>
          <w:color w:val="auto"/>
        </w:rPr>
        <w:t xml:space="preserve">” means the occurrence of: (a)(i) a determination by the Administrative Agent or (ii) a notification by the Majority Banks to the Administrative Agent (with a copy to the Company) that the Majority Banks have determined that Dollar-denominated syndicated credit facilities being executed at such time, or that include language similar to that contained in </w:t>
      </w:r>
      <w:r>
        <w:rPr>
          <w:rFonts w:ascii="Arial" w:cs="Arial" w:eastAsia="Arial" w:hAnsi="Arial"/>
          <w:sz w:val="17"/>
          <w:szCs w:val="17"/>
          <w:b w:val="1"/>
          <w:bCs w:val="1"/>
          <w:i w:val="1"/>
          <w:iCs w:val="1"/>
          <w:color w:val="auto"/>
        </w:rPr>
        <w:t>Section 3.3</w:t>
      </w:r>
      <w:r>
        <w:rPr>
          <w:rFonts w:ascii="Arial" w:cs="Arial" w:eastAsia="Arial" w:hAnsi="Arial"/>
          <w:sz w:val="17"/>
          <w:szCs w:val="17"/>
          <w:color w:val="auto"/>
        </w:rPr>
        <w:t xml:space="preserve"> are being executed or amended, as applicable, to incorporate or adopt a new benchmark interest rate to replace LIBOR, and (b)(i) the election by the Administrative Agent or (ii) the election by the Majority Banks to declare that an Early Opt-in Election has occurred and the provision, as applicable, by the Administrative Agent of written notice of such election to the Company and the Banks or by the Majority Banks of written notice of such election to the Administrative Agent.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EBIT</w:t>
      </w:r>
      <w:r>
        <w:rPr>
          <w:rFonts w:ascii="Arial" w:cs="Arial" w:eastAsia="Arial" w:hAnsi="Arial"/>
          <w:sz w:val="18"/>
          <w:szCs w:val="18"/>
          <w:color w:val="auto"/>
        </w:rPr>
        <w:t>” has the meaning set forth in the definition of Consolidated Earnings Before Interest and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has the meaning set forth in the definition of Consolidated Earnings Before Interest, Taxes, Depreciation and Amortization.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b w:val="1"/>
          <w:bCs w:val="1"/>
          <w:i w:val="1"/>
          <w:iCs w:val="1"/>
          <w:color w:val="auto"/>
        </w:rPr>
        <w:t xml:space="preserve">clause (a) </w:t>
      </w:r>
      <w:r>
        <w:rPr>
          <w:rFonts w:ascii="Arial" w:cs="Arial" w:eastAsia="Arial" w:hAnsi="Arial"/>
          <w:sz w:val="18"/>
          <w:szCs w:val="18"/>
          <w:color w:val="auto"/>
        </w:rPr>
        <w:t>of this definition, or (c) any financial institution established in an EEA Member Country which is a Subsidiary of an institution described in</w:t>
      </w:r>
      <w:r>
        <w:rPr>
          <w:rFonts w:ascii="Arial" w:cs="Arial" w:eastAsia="Arial" w:hAnsi="Arial"/>
          <w:sz w:val="18"/>
          <w:szCs w:val="18"/>
          <w:b w:val="1"/>
          <w:bCs w:val="1"/>
          <w:i w:val="1"/>
          <w:iCs w:val="1"/>
          <w:color w:val="auto"/>
        </w:rPr>
        <w:t xml:space="preserve"> clauses (a)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(b) </w:t>
      </w:r>
      <w:r>
        <w:rPr>
          <w:rFonts w:ascii="Arial" w:cs="Arial" w:eastAsia="Arial" w:hAnsi="Arial"/>
          <w:sz w:val="18"/>
          <w:szCs w:val="18"/>
          <w:color w:val="auto"/>
        </w:rPr>
        <w:t>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means the date on which the conditions precedent set forth in </w:t>
      </w:r>
      <w:r>
        <w:rPr>
          <w:rFonts w:ascii="Arial" w:cs="Arial" w:eastAsia="Arial" w:hAnsi="Arial"/>
          <w:sz w:val="18"/>
          <w:szCs w:val="18"/>
          <w:b w:val="1"/>
          <w:bCs w:val="1"/>
          <w:i w:val="1"/>
          <w:iCs w:val="1"/>
          <w:color w:val="auto"/>
        </w:rPr>
        <w:t>Section 10.1</w:t>
      </w:r>
      <w:r>
        <w:rPr>
          <w:rFonts w:ascii="Arial" w:cs="Arial" w:eastAsia="Arial" w:hAnsi="Arial"/>
          <w:sz w:val="18"/>
          <w:szCs w:val="18"/>
          <w:color w:val="auto"/>
        </w:rPr>
        <w:t xml:space="preserve"> hereof are satisfied.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Elevated Leverage Ratio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9</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Benefit Plan</w:t>
      </w:r>
      <w:r>
        <w:rPr>
          <w:rFonts w:ascii="Arial" w:cs="Arial" w:eastAsia="Arial" w:hAnsi="Arial"/>
          <w:sz w:val="18"/>
          <w:szCs w:val="18"/>
          <w:color w:val="auto"/>
        </w:rPr>
        <w:t xml:space="preserve">” means any employee benefit plan within the meaning of </w:t>
      </w:r>
      <w:r>
        <w:rPr>
          <w:rFonts w:ascii="Arial" w:cs="Arial" w:eastAsia="Arial" w:hAnsi="Arial"/>
          <w:sz w:val="18"/>
          <w:szCs w:val="18"/>
          <w:i w:val="1"/>
          <w:iCs w:val="1"/>
          <w:color w:val="auto"/>
        </w:rPr>
        <w:t>Section 3(3)</w:t>
      </w:r>
      <w:r>
        <w:rPr>
          <w:rFonts w:ascii="Arial" w:cs="Arial" w:eastAsia="Arial" w:hAnsi="Arial"/>
          <w:sz w:val="18"/>
          <w:szCs w:val="18"/>
          <w:color w:val="auto"/>
        </w:rPr>
        <w:t xml:space="preserve"> of ERISA maintained or contributed to by the Company, any of its Subsidiaries, or any ERISA Affiliate, other than a Multiemployer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6.15(a)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EPA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6.15(b)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and in effect from time to time, and the rules and regulations promulgated thereunder.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xml:space="preserve">” means any Person which is treated as a single employer, member of a controlled group, or under common control with the Company or any of its Subsidiaries under </w:t>
      </w:r>
      <w:r>
        <w:rPr>
          <w:rFonts w:ascii="Arial" w:cs="Arial" w:eastAsia="Arial" w:hAnsi="Arial"/>
          <w:sz w:val="18"/>
          <w:szCs w:val="18"/>
          <w:i w:val="1"/>
          <w:iCs w:val="1"/>
          <w:color w:val="auto"/>
        </w:rPr>
        <w:t>Section 412</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414</w:t>
      </w:r>
      <w:r>
        <w:rPr>
          <w:rFonts w:ascii="Arial" w:cs="Arial" w:eastAsia="Arial" w:hAnsi="Arial"/>
          <w:sz w:val="18"/>
          <w:szCs w:val="18"/>
          <w:color w:val="auto"/>
        </w:rPr>
        <w:t xml:space="preserve"> or </w:t>
      </w:r>
      <w:r>
        <w:rPr>
          <w:rFonts w:ascii="Arial" w:cs="Arial" w:eastAsia="Arial" w:hAnsi="Arial"/>
          <w:sz w:val="18"/>
          <w:szCs w:val="18"/>
          <w:i w:val="1"/>
          <w:iCs w:val="1"/>
          <w:color w:val="auto"/>
        </w:rPr>
        <w:t>Section 430</w:t>
      </w:r>
      <w:r>
        <w:rPr>
          <w:rFonts w:ascii="Arial" w:cs="Arial" w:eastAsia="Arial" w:hAnsi="Arial"/>
          <w:sz w:val="18"/>
          <w:szCs w:val="18"/>
          <w:color w:val="auto"/>
        </w:rPr>
        <w:t xml:space="preserve"> of the Code.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Reportable Event</w:t>
      </w:r>
      <w:r>
        <w:rPr>
          <w:rFonts w:ascii="Arial" w:cs="Arial" w:eastAsia="Arial" w:hAnsi="Arial"/>
          <w:sz w:val="18"/>
          <w:szCs w:val="18"/>
          <w:color w:val="auto"/>
        </w:rPr>
        <w:t xml:space="preserve">” means a reportable event within the meaning of </w:t>
      </w:r>
      <w:r>
        <w:rPr>
          <w:rFonts w:ascii="Arial" w:cs="Arial" w:eastAsia="Arial" w:hAnsi="Arial"/>
          <w:sz w:val="18"/>
          <w:szCs w:val="18"/>
          <w:i w:val="1"/>
          <w:iCs w:val="1"/>
          <w:color w:val="auto"/>
        </w:rPr>
        <w:t>Section 4043</w:t>
      </w:r>
      <w:r>
        <w:rPr>
          <w:rFonts w:ascii="Arial" w:cs="Arial" w:eastAsia="Arial" w:hAnsi="Arial"/>
          <w:sz w:val="18"/>
          <w:szCs w:val="18"/>
          <w:color w:val="auto"/>
        </w:rPr>
        <w:t xml:space="preserve"> of ERISA and the regulations promulgated thereunder with respect to a Guaranteed Pension Plan irrespective of whether or not the requirement of notice has been waived.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Eurocurrency Rate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219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With respect to any Borrowing,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221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 any rate calculation with respect to a Base Rate Loan on any date,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LIBOR, at or about 11:00 a.m., London time determined two Business Days prior to such date for U.S. Dollar deposits with a term of one month commencing that day;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provided that if the Eurocurrency Rate shall be less than zero, such rate shall be deemed zero for purposes of this Agreement. The Administrative Agent does not warrant, nor accept responsibility, nor shall the Administrative Agent have any liability with respect to the administration, submission or any other matter related to the rates in the definition of “</w:t>
      </w:r>
      <w:r>
        <w:rPr>
          <w:rFonts w:ascii="Arial" w:cs="Arial" w:eastAsia="Arial" w:hAnsi="Arial"/>
          <w:sz w:val="17"/>
          <w:szCs w:val="17"/>
          <w:i w:val="1"/>
          <w:iCs w:val="1"/>
          <w:color w:val="auto"/>
        </w:rPr>
        <w:t>Eurocurrency Rate</w:t>
      </w:r>
      <w:r>
        <w:rPr>
          <w:rFonts w:ascii="Arial" w:cs="Arial" w:eastAsia="Arial" w:hAnsi="Arial"/>
          <w:sz w:val="17"/>
          <w:szCs w:val="17"/>
          <w:color w:val="auto"/>
        </w:rPr>
        <w:t>” or with respect to any comparable or successor rate thereto.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Eurocurrency Rate Loan</w:t>
      </w:r>
      <w:r>
        <w:rPr>
          <w:rFonts w:ascii="Arial" w:cs="Arial" w:eastAsia="Arial" w:hAnsi="Arial"/>
          <w:sz w:val="18"/>
          <w:szCs w:val="18"/>
          <w:color w:val="auto"/>
        </w:rPr>
        <w:t xml:space="preserve">” means a Loan that bears interest at a rate based on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of the definition of “</w:t>
      </w:r>
      <w:r>
        <w:rPr>
          <w:rFonts w:ascii="Arial" w:cs="Arial" w:eastAsia="Arial" w:hAnsi="Arial"/>
          <w:sz w:val="18"/>
          <w:szCs w:val="18"/>
          <w:i w:val="1"/>
          <w:iCs w:val="1"/>
          <w:color w:val="auto"/>
        </w:rPr>
        <w:t>Eurocurrency Rate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12.1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68" w:lineRule="auto"/>
        <w:tabs>
          <w:tab w:leader="none" w:pos="2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acquires such interest in the Loan or Commitment (other than pursuant to an assignment request by the Company under </w:t>
      </w:r>
      <w:r>
        <w:rPr>
          <w:rFonts w:ascii="Arial" w:cs="Arial" w:eastAsia="Arial" w:hAnsi="Arial"/>
          <w:sz w:val="17"/>
          <w:szCs w:val="17"/>
          <w:b w:val="1"/>
          <w:bCs w:val="1"/>
          <w:i w:val="1"/>
          <w:iCs w:val="1"/>
          <w:color w:val="auto"/>
        </w:rPr>
        <w:t>Section 2.18</w:t>
      </w:r>
      <w:r>
        <w:rPr>
          <w:rFonts w:ascii="Arial" w:cs="Arial" w:eastAsia="Arial" w:hAnsi="Arial"/>
          <w:sz w:val="17"/>
          <w:szCs w:val="17"/>
          <w:color w:val="auto"/>
        </w:rPr>
        <w:t xml:space="preserve">) or (ii) such Bank changes its Lending Office, except in each case to the extent that, pursuant to </w:t>
      </w:r>
      <w:r>
        <w:rPr>
          <w:rFonts w:ascii="Arial" w:cs="Arial" w:eastAsia="Arial" w:hAnsi="Arial"/>
          <w:sz w:val="17"/>
          <w:szCs w:val="17"/>
          <w:b w:val="1"/>
          <w:bCs w:val="1"/>
          <w:i w:val="1"/>
          <w:iCs w:val="1"/>
          <w:color w:val="auto"/>
        </w:rPr>
        <w:t xml:space="preserve">Section 3.1.1(b)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Section 3.1.3</w:t>
      </w:r>
      <w:r>
        <w:rPr>
          <w:rFonts w:ascii="Arial" w:cs="Arial" w:eastAsia="Arial" w:hAnsi="Arial"/>
          <w:sz w:val="17"/>
          <w:szCs w:val="17"/>
          <w:color w:val="auto"/>
        </w:rPr>
        <w:t>, amounts with respect to such Taxes were payable either to such Bank’s assignor immediately before such Bank became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party hereto or to such Bank immediately before it changed its Lending Office, (c) Taxes attributable to such Recipient’s failure to comply with </w:t>
      </w:r>
      <w:r>
        <w:rPr>
          <w:rFonts w:ascii="Arial" w:cs="Arial" w:eastAsia="Arial" w:hAnsi="Arial"/>
          <w:sz w:val="17"/>
          <w:szCs w:val="17"/>
          <w:b w:val="1"/>
          <w:bCs w:val="1"/>
          <w:i w:val="1"/>
          <w:iCs w:val="1"/>
          <w:color w:val="auto"/>
        </w:rPr>
        <w:t xml:space="preserve">Section 3.1.5 </w:t>
      </w:r>
      <w:r>
        <w:rPr>
          <w:rFonts w:ascii="Arial" w:cs="Arial" w:eastAsia="Arial" w:hAnsi="Arial"/>
          <w:sz w:val="17"/>
          <w:szCs w:val="17"/>
          <w:color w:val="auto"/>
        </w:rPr>
        <w:t>and (d) any U.S. federal withholding Taxes imposed pursuant to FATCA.</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Facility Fee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Sections 1471</w:t>
      </w:r>
      <w:r>
        <w:rPr>
          <w:rFonts w:ascii="Arial" w:cs="Arial" w:eastAsia="Arial" w:hAnsi="Arial"/>
          <w:sz w:val="18"/>
          <w:szCs w:val="18"/>
          <w:color w:val="auto"/>
        </w:rPr>
        <w:t xml:space="preserve"> through </w:t>
      </w:r>
      <w:r>
        <w:rPr>
          <w:rFonts w:ascii="Arial" w:cs="Arial" w:eastAsia="Arial" w:hAnsi="Arial"/>
          <w:sz w:val="18"/>
          <w:szCs w:val="18"/>
          <w:i w:val="1"/>
          <w:iCs w:val="1"/>
          <w:color w:val="auto"/>
        </w:rPr>
        <w:t>1474</w:t>
      </w:r>
      <w:r>
        <w:rPr>
          <w:rFonts w:ascii="Arial" w:cs="Arial" w:eastAsia="Arial" w:hAnsi="Arial"/>
          <w:sz w:val="18"/>
          <w:szCs w:val="18"/>
          <w:color w:val="auto"/>
        </w:rPr>
        <w:t xml:space="preserve"> of the Code, as of the date of this Agreement (or any amended or successor version that is substantively comparable and not materially more onerous to comply with), any current or future regulations or official interpretations thereof, any agreements entered into pursuant to </w:t>
      </w:r>
      <w:r>
        <w:rPr>
          <w:rFonts w:ascii="Arial" w:cs="Arial" w:eastAsia="Arial" w:hAnsi="Arial"/>
          <w:sz w:val="18"/>
          <w:szCs w:val="18"/>
          <w:i w:val="1"/>
          <w:iCs w:val="1"/>
          <w:color w:val="auto"/>
        </w:rPr>
        <w:t>Section 1471(b)(1)</w:t>
      </w:r>
      <w:r>
        <w:rPr>
          <w:rFonts w:ascii="Arial" w:cs="Arial" w:eastAsia="Arial" w:hAnsi="Arial"/>
          <w:sz w:val="18"/>
          <w:szCs w:val="18"/>
          <w:color w:val="auto"/>
        </w:rPr>
        <w:t xml:space="preserve">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means United States Foreign Corrupt Practices Act of 1977.</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Federal Funds Rate</w:t>
      </w:r>
      <w:r>
        <w:rPr>
          <w:rFonts w:ascii="Arial" w:cs="Arial" w:eastAsia="Arial" w:hAnsi="Arial"/>
          <w:sz w:val="16"/>
          <w:szCs w:val="16"/>
          <w:color w:val="auto"/>
        </w:rPr>
        <w:t xml:space="preserve">” means for any day,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Federal Funds Rate as so determined would be less than zero, such rate shall be deemed to be zero for purposes of this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Affiliate</w:t>
      </w:r>
      <w:r>
        <w:rPr>
          <w:rFonts w:ascii="Arial" w:cs="Arial" w:eastAsia="Arial" w:hAnsi="Arial"/>
          <w:sz w:val="18"/>
          <w:szCs w:val="18"/>
          <w:color w:val="auto"/>
        </w:rPr>
        <w:t xml:space="preserve">” means a subsidiary of the bank holding company controlling any Bank, which subsidiary is engaging in any of the activities permitted by </w:t>
      </w:r>
      <w:r>
        <w:rPr>
          <w:rFonts w:ascii="Arial" w:cs="Arial" w:eastAsia="Arial" w:hAnsi="Arial"/>
          <w:sz w:val="18"/>
          <w:szCs w:val="18"/>
          <w:i w:val="1"/>
          <w:iCs w:val="1"/>
          <w:color w:val="auto"/>
        </w:rPr>
        <w:t>Section 4(e)</w:t>
      </w:r>
      <w:r>
        <w:rPr>
          <w:rFonts w:ascii="Arial" w:cs="Arial" w:eastAsia="Arial" w:hAnsi="Arial"/>
          <w:sz w:val="18"/>
          <w:szCs w:val="18"/>
          <w:color w:val="auto"/>
        </w:rPr>
        <w:t xml:space="preserve"> of the Bank Holding Company Act of 1956 (12 U.S.C. </w:t>
      </w:r>
      <w:r>
        <w:rPr>
          <w:rFonts w:ascii="Arial" w:cs="Arial" w:eastAsia="Arial" w:hAnsi="Arial"/>
          <w:sz w:val="18"/>
          <w:szCs w:val="18"/>
          <w:i w:val="1"/>
          <w:iCs w:val="1"/>
          <w:color w:val="auto"/>
        </w:rPr>
        <w:t>Section 1843</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Bank</w:t>
      </w:r>
      <w:r>
        <w:rPr>
          <w:rFonts w:ascii="Arial" w:cs="Arial" w:eastAsia="Arial" w:hAnsi="Arial"/>
          <w:sz w:val="18"/>
          <w:szCs w:val="18"/>
          <w:color w:val="auto"/>
        </w:rPr>
        <w:t>” means, with respect to Company, a Bank that is not a U.S. Person.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Generally accepted accounting principles</w:t>
      </w:r>
      <w:r>
        <w:rPr>
          <w:rFonts w:ascii="Arial" w:cs="Arial" w:eastAsia="Arial" w:hAnsi="Arial"/>
          <w:sz w:val="16"/>
          <w:szCs w:val="16"/>
          <w:color w:val="auto"/>
        </w:rPr>
        <w:t>” or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w:t>
      </w:r>
      <w:r>
        <w:rPr>
          <w:rFonts w:ascii="Arial" w:cs="Arial" w:eastAsia="Arial" w:hAnsi="Arial"/>
          <w:sz w:val="16"/>
          <w:szCs w:val="16"/>
          <w:i w:val="1"/>
          <w:iCs w:val="1"/>
          <w:color w:val="auto"/>
        </w:rPr>
        <w:t>Accounting Change</w:t>
      </w:r>
      <w:r>
        <w:rPr>
          <w:rFonts w:ascii="Arial" w:cs="Arial" w:eastAsia="Arial" w:hAnsi="Arial"/>
          <w:sz w:val="16"/>
          <w:szCs w:val="16"/>
          <w:color w:val="auto"/>
        </w:rPr>
        <w:t>” (as defined below) occurs subsequent to the Effective Date, such change results in a material change in the method of calculation of financial covenants, standards or terms in this Agreement or any other Loan Document and any of the Company, the Administrative Agent or the Majority Banks shall so request, then (A) the Company, the Banks and the Administrative Agent agree to enter into negotiations in good faith in order to amend such provisions of this Agreement or such other Loan Document so as to reflect equitably such Accounting Changes with the desired result that the criteria for evaluating the Company’s financial condition shall be the same after such Accounting Changes as if such Accounting Changes had not been made (subject to the approval of the Majority Banks), and (B) until such time as such an amendment shall have been executed and delivered by the Company, the Administrative Agent and the Majority Banks, (i) the financial covenants, standards and terms in this Agreement and the other Loan Documents impacted by such material change shall continue to be calculated or construed as if such Accounting Changes had not occurred and (ii) the Company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6"/>
          <w:szCs w:val="16"/>
          <w:b w:val="1"/>
          <w:bCs w:val="1"/>
          <w:i w:val="1"/>
          <w:iCs w:val="1"/>
          <w:color w:val="auto"/>
        </w:rPr>
        <w:t>Accounting Changes</w:t>
      </w:r>
      <w:r>
        <w:rPr>
          <w:rFonts w:ascii="Arial" w:cs="Arial" w:eastAsia="Arial" w:hAnsi="Arial"/>
          <w:sz w:val="16"/>
          <w:szCs w:val="16"/>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28.1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Guaranteed Pension Plan</w:t>
      </w:r>
      <w:r>
        <w:rPr>
          <w:rFonts w:ascii="Arial" w:cs="Arial" w:eastAsia="Arial" w:hAnsi="Arial"/>
          <w:sz w:val="18"/>
          <w:szCs w:val="18"/>
          <w:color w:val="auto"/>
        </w:rPr>
        <w:t xml:space="preserve">” means any employee pension benefit plan within the meaning of </w:t>
      </w:r>
      <w:r>
        <w:rPr>
          <w:rFonts w:ascii="Arial" w:cs="Arial" w:eastAsia="Arial" w:hAnsi="Arial"/>
          <w:sz w:val="18"/>
          <w:szCs w:val="18"/>
          <w:i w:val="1"/>
          <w:iCs w:val="1"/>
          <w:color w:val="auto"/>
        </w:rPr>
        <w:t>Section 3(2)</w:t>
      </w:r>
      <w:r>
        <w:rPr>
          <w:rFonts w:ascii="Arial" w:cs="Arial" w:eastAsia="Arial" w:hAnsi="Arial"/>
          <w:sz w:val="18"/>
          <w:szCs w:val="18"/>
          <w:color w:val="auto"/>
        </w:rPr>
        <w:t xml:space="preserve"> of ERISA maintained or contributed to by the Company, its Subsidiaries or any ERISA Affiliate (or pursuant to which any such Person accrued an obligation to make contributions at any time during the preceding five plan years) the benefits of which are guaranteed on termination in full or in part by the PBGC pursuant to </w:t>
      </w:r>
      <w:r>
        <w:rPr>
          <w:rFonts w:ascii="Arial" w:cs="Arial" w:eastAsia="Arial" w:hAnsi="Arial"/>
          <w:sz w:val="18"/>
          <w:szCs w:val="18"/>
          <w:i w:val="1"/>
          <w:iCs w:val="1"/>
          <w:color w:val="auto"/>
        </w:rPr>
        <w:t>Title IV</w:t>
      </w:r>
      <w:r>
        <w:rPr>
          <w:rFonts w:ascii="Arial" w:cs="Arial" w:eastAsia="Arial" w:hAnsi="Arial"/>
          <w:sz w:val="18"/>
          <w:szCs w:val="18"/>
          <w:color w:val="auto"/>
        </w:rPr>
        <w:t xml:space="preserve"> of ERISA, other than a Multiemployer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Guaranty</w:t>
      </w:r>
      <w:r>
        <w:rPr>
          <w:rFonts w:ascii="Arial" w:cs="Arial" w:eastAsia="Arial" w:hAnsi="Arial"/>
          <w:sz w:val="16"/>
          <w:szCs w:val="16"/>
          <w:color w:val="auto"/>
        </w:rPr>
        <w:t>” means any obligation, contingent or otherwise, of a Person guaranteeing or having the economic effect of guaranteeing any Indebtedness or other obligation of any other Person (the “</w:t>
      </w:r>
      <w:r>
        <w:rPr>
          <w:rFonts w:ascii="Arial" w:cs="Arial" w:eastAsia="Arial" w:hAnsi="Arial"/>
          <w:sz w:val="16"/>
          <w:szCs w:val="16"/>
          <w:b w:val="1"/>
          <w:bCs w:val="1"/>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w:t>
      </w:r>
    </w:p>
    <w:p>
      <w:pPr>
        <w:spacing w:after="0" w:line="4" w:lineRule="exact"/>
        <w:rPr>
          <w:sz w:val="20"/>
          <w:szCs w:val="20"/>
          <w:color w:val="auto"/>
        </w:rPr>
      </w:pPr>
    </w:p>
    <w:p>
      <w:pPr>
        <w:ind w:firstLine="8"/>
        <w:spacing w:after="0" w:line="260" w:lineRule="auto"/>
        <w:tabs>
          <w:tab w:leader="none" w:pos="2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an account party in respect of any letter of credit or letter of guaranty issued to support such Indebtedness or obligation; provided that the term Guaranty shall not include endorsements for collection or deposit in the ordinary course of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Substances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6.15(b)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Impacted Loans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3.3.1(a)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90 days, or (ii) are being disputed in good faith and for which adequate reserves have been established in accordance with GAAP), (c) all obligations evidenced by notes, bonds, debentures or other similar debt instruments,</w:t>
      </w:r>
    </w:p>
    <w:p>
      <w:pPr>
        <w:spacing w:after="0" w:line="1" w:lineRule="exact"/>
        <w:rPr>
          <w:sz w:val="20"/>
          <w:szCs w:val="20"/>
          <w:color w:val="auto"/>
        </w:rPr>
      </w:pPr>
    </w:p>
    <w:p>
      <w:pPr>
        <w:jc w:val="both"/>
        <w:ind w:firstLine="8"/>
        <w:spacing w:after="0" w:line="267" w:lineRule="auto"/>
        <w:tabs>
          <w:tab w:leader="none" w:pos="2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w:t>
      </w:r>
      <w:r>
        <w:rPr>
          <w:rFonts w:ascii="Arial" w:cs="Arial" w:eastAsia="Arial" w:hAnsi="Arial"/>
          <w:sz w:val="17"/>
          <w:szCs w:val="17"/>
          <w:b w:val="1"/>
          <w:bCs w:val="1"/>
          <w:i w:val="1"/>
          <w:iCs w:val="1"/>
          <w:color w:val="auto"/>
        </w:rPr>
        <w:t>clauses (a)</w:t>
      </w:r>
      <w:r>
        <w:rPr>
          <w:rFonts w:ascii="Arial" w:cs="Arial" w:eastAsia="Arial" w:hAnsi="Arial"/>
          <w:sz w:val="17"/>
          <w:szCs w:val="17"/>
          <w:color w:val="auto"/>
        </w:rPr>
        <w:t xml:space="preserve"> through </w:t>
      </w:r>
      <w:r>
        <w:rPr>
          <w:rFonts w:ascii="Arial" w:cs="Arial" w:eastAsia="Arial" w:hAnsi="Arial"/>
          <w:sz w:val="17"/>
          <w:szCs w:val="17"/>
          <w:b w:val="1"/>
          <w:bCs w:val="1"/>
          <w:i w:val="1"/>
          <w:iCs w:val="1"/>
          <w:color w:val="auto"/>
        </w:rPr>
        <w:t>(f)</w:t>
      </w:r>
      <w:r>
        <w:rPr>
          <w:rFonts w:ascii="Arial" w:cs="Arial" w:eastAsia="Arial" w:hAnsi="Arial"/>
          <w:sz w:val="17"/>
          <w:szCs w:val="17"/>
          <w:color w:val="auto"/>
        </w:rPr>
        <w:t xml:space="preserve"> above, and (h) all Indebtedness of others referred to in </w:t>
      </w:r>
      <w:r>
        <w:rPr>
          <w:rFonts w:ascii="Arial" w:cs="Arial" w:eastAsia="Arial" w:hAnsi="Arial"/>
          <w:sz w:val="17"/>
          <w:szCs w:val="17"/>
          <w:b w:val="1"/>
          <w:bCs w:val="1"/>
          <w:i w:val="1"/>
          <w:iCs w:val="1"/>
          <w:color w:val="auto"/>
        </w:rPr>
        <w:t>clauses (a)</w:t>
      </w:r>
      <w:r>
        <w:rPr>
          <w:rFonts w:ascii="Arial" w:cs="Arial" w:eastAsia="Arial" w:hAnsi="Arial"/>
          <w:sz w:val="17"/>
          <w:szCs w:val="17"/>
          <w:color w:val="auto"/>
        </w:rPr>
        <w:t xml:space="preserve"> through </w:t>
      </w:r>
      <w:r>
        <w:rPr>
          <w:rFonts w:ascii="Arial" w:cs="Arial" w:eastAsia="Arial" w:hAnsi="Arial"/>
          <w:sz w:val="17"/>
          <w:szCs w:val="17"/>
          <w:b w:val="1"/>
          <w:bCs w:val="1"/>
          <w:i w:val="1"/>
          <w:iCs w:val="1"/>
          <w:color w:val="auto"/>
        </w:rPr>
        <w:t>(f)</w:t>
      </w:r>
      <w:r>
        <w:rPr>
          <w:rFonts w:ascii="Arial" w:cs="Arial" w:eastAsia="Arial" w:hAnsi="Arial"/>
          <w:sz w:val="17"/>
          <w:szCs w:val="17"/>
          <w:color w:val="auto"/>
        </w:rPr>
        <w:t xml:space="preserve"> above secured or supported by (or for which the holder of such Indebtedness has an existing right, contingent or otherwise, to be secured or supported by) any Lien on the property or assets of the Company or any Subsidiary, even though the owner of the property has not assumed or become liable, contractually or otherwise, for the payment of such Indebtedness; provided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Company or any Subsidiary (other than a Receivables Subsidiary) or if such sales only contain customary recourse exceptions not pertaining to credit risk.</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b w:val="1"/>
          <w:bCs w:val="1"/>
          <w:i w:val="1"/>
          <w:iCs w:val="1"/>
          <w:color w:val="auto"/>
        </w:rPr>
        <w:t>clause (a)</w:t>
      </w:r>
      <w:r>
        <w:rPr>
          <w:rFonts w:ascii="Arial" w:cs="Arial" w:eastAsia="Arial" w:hAnsi="Arial"/>
          <w:sz w:val="17"/>
          <w:szCs w:val="17"/>
          <w:color w:val="auto"/>
        </w:rPr>
        <w:t>, Other Taxes.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20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as to any Eurocurrency Rate Loan, the last day of each Interest Period applicable to such Loan and the Maturity Date (or if the Term-Out option has been exercised in accordance with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 the Term Loan Maturity Date); provided, however, that if any Interest Period for a Eurocurrency Rate Loan exceeds three months, the respective dates that fall every three months after the beginning of such Interest Period shall also be Interest Payment Dates; and</w:t>
      </w:r>
    </w:p>
    <w:p>
      <w:pPr>
        <w:spacing w:after="0" w:line="186" w:lineRule="exact"/>
        <w:rPr>
          <w:rFonts w:ascii="Arial" w:cs="Arial" w:eastAsia="Arial" w:hAnsi="Arial"/>
          <w:sz w:val="18"/>
          <w:szCs w:val="18"/>
          <w:color w:val="auto"/>
        </w:rPr>
      </w:pPr>
    </w:p>
    <w:p>
      <w:pPr>
        <w:ind w:left="660" w:firstLine="644"/>
        <w:spacing w:after="0" w:line="277" w:lineRule="auto"/>
        <w:tabs>
          <w:tab w:leader="none" w:pos="20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as to any Base Rate Loan, the first Business Day of each calendar quarter and the Maturity Date (or if the Term-Out option has been exercised in accordance with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 the Term Loan Maturity Date).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Period</w:t>
      </w:r>
      <w:r>
        <w:rPr>
          <w:rFonts w:ascii="Arial" w:cs="Arial" w:eastAsia="Arial" w:hAnsi="Arial"/>
          <w:sz w:val="16"/>
          <w:szCs w:val="16"/>
          <w:color w:val="auto"/>
        </w:rPr>
        <w:t xml:space="preserve">” means with respect to each Eurocurrency Rate Loan (a) initially, the period commencing on the Drawdown Date of such Loan and ending on the last day of one of the periods set forth below, as selected by the Company in accordance with this Agreement for any Eurocurrency Loan, one week or one, two, three, or six months (in each case subject to availability) and (b) thereafter, each period commencing on the last day of the next preceding Interest Period applicable to such Loan and ending on the last day of one of the periods set forth above, as selected by the Company in accordance with this Agreement or if such period has no numerically corresponding day, on the last Business Day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Interest Period which would otherwise end on a day which is not a Business Day shall be deemed to end on the next succeeding Business Day;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any Interest Period for any Eurocurrency Rate Loan, if such next succeeding Business Day falls in the next succeeding calendar month, such Interest Period shall be deemed to end on the next preceding Business Day;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Interest Period shall extend beyond the Maturity Date (or if the Term-Out option has been exercised in accordance with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the Term Loan Maturity Date).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Balance Sheet Date</w:t>
      </w:r>
      <w:r>
        <w:rPr>
          <w:rFonts w:ascii="Arial" w:cs="Arial" w:eastAsia="Arial" w:hAnsi="Arial"/>
          <w:sz w:val="18"/>
          <w:szCs w:val="18"/>
          <w:color w:val="auto"/>
        </w:rPr>
        <w:t>” means March 31,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 means Mizuho Bank, Barclays Bank PLC, BofA Securities, Inc., JPMorgan Chase Bank, N.A. and The Bank of Nova Scotia, as Lead Arrangers and Joint Bookrunners in connection with the credit facility provided herein.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Lending Office</w:t>
      </w:r>
      <w:r>
        <w:rPr>
          <w:rFonts w:ascii="Arial" w:cs="Arial" w:eastAsia="Arial" w:hAnsi="Arial"/>
          <w:sz w:val="18"/>
          <w:szCs w:val="18"/>
          <w:color w:val="auto"/>
        </w:rPr>
        <w:t>” means as to any Bank, the office or offices of such Bank described as such in such Bank’s Administrative Questionnaire, or such other office or offices as a Bank may from time to time notify the Company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Leverage Ratio</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LIBOR</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Eurocurrency Rate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means this Agreement, each Note and any documents, instruments or agreements executed in connection with any of the foregoing, each as amended, modified, supplemented, or replaced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Notice</w:t>
      </w:r>
      <w:r>
        <w:rPr>
          <w:rFonts w:ascii="Arial" w:cs="Arial" w:eastAsia="Arial" w:hAnsi="Arial"/>
          <w:sz w:val="18"/>
          <w:szCs w:val="18"/>
          <w:color w:val="auto"/>
        </w:rPr>
        <w:t xml:space="preserve">” means a notice of (a) a Borrowing, (b) a conversion of Loans from one Type to the other, or (c) a continuation of Eurocurrency Rate Loans, pursuant to </w:t>
      </w:r>
      <w:r>
        <w:rPr>
          <w:rFonts w:ascii="Arial" w:cs="Arial" w:eastAsia="Arial" w:hAnsi="Arial"/>
          <w:sz w:val="18"/>
          <w:szCs w:val="18"/>
          <w:b w:val="1"/>
          <w:bCs w:val="1"/>
          <w:i w:val="1"/>
          <w:iCs w:val="1"/>
          <w:color w:val="auto"/>
        </w:rPr>
        <w:t>Section 2.4.1</w:t>
      </w:r>
      <w:r>
        <w:rPr>
          <w:rFonts w:ascii="Arial" w:cs="Arial" w:eastAsia="Arial" w:hAnsi="Arial"/>
          <w:sz w:val="18"/>
          <w:szCs w:val="18"/>
          <w:color w:val="auto"/>
        </w:rPr>
        <w:t xml:space="preserve">, which shall be substantially in the form of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Parties</w:t>
      </w:r>
      <w:r>
        <w:rPr>
          <w:rFonts w:ascii="Arial" w:cs="Arial" w:eastAsia="Arial" w:hAnsi="Arial"/>
          <w:sz w:val="18"/>
          <w:szCs w:val="18"/>
          <w:color w:val="auto"/>
        </w:rPr>
        <w:t>” means collectively, the Company and the Guarantor.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Loans</w:t>
      </w:r>
      <w:r>
        <w:rPr>
          <w:rFonts w:ascii="Arial" w:cs="Arial" w:eastAsia="Arial" w:hAnsi="Arial"/>
          <w:sz w:val="18"/>
          <w:szCs w:val="18"/>
          <w:color w:val="auto"/>
        </w:rPr>
        <w:t xml:space="preserve">” means a Borrowing hereunder consisting of one or more loans made by the Banks to the Company under the procedures described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Majority Banks</w:t>
      </w:r>
      <w:r>
        <w:rPr>
          <w:rFonts w:ascii="Arial" w:cs="Arial" w:eastAsia="Arial" w:hAnsi="Arial"/>
          <w:sz w:val="16"/>
          <w:szCs w:val="16"/>
          <w:color w:val="auto"/>
        </w:rPr>
        <w:t xml:space="preserve">” means at any date, Banks the aggregate amount of whose Commitments is greater than 50% of the Total Commitment; provided that in the event that the Total Commitment has been terminated, the Majority Banks shall be Banks holding greater than 50% of the aggregate outstanding principal amount of the Obligations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Commitment of, and the portion of the outstanding principal amount of the Obligations held or deemed held by, any Defaulting Bank shall be excluded for purposes of making a determination of Majority Banks.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means a material adverse effect on (a) the business, assets, operations, or financial condition of the Company and its Subsidiaries taken as a whole, (b) the ability of the Company or the Guarantor to perform any of its obligations under any Loan Document to which it is a party, or (c) the rights of, or remedies or benefits available to, the Administrative Agent or any Bank under any Loan Document.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means July 27, 2021.</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Mizuho Bank</w:t>
      </w:r>
      <w:r>
        <w:rPr>
          <w:rFonts w:ascii="Arial" w:cs="Arial" w:eastAsia="Arial" w:hAnsi="Arial"/>
          <w:sz w:val="18"/>
          <w:szCs w:val="18"/>
          <w:color w:val="auto"/>
        </w:rPr>
        <w:t>” means Mizuho Bank,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xml:space="preserve">” means any multiemployer plan within the meaning of </w:t>
      </w:r>
      <w:r>
        <w:rPr>
          <w:rFonts w:ascii="Arial" w:cs="Arial" w:eastAsia="Arial" w:hAnsi="Arial"/>
          <w:sz w:val="18"/>
          <w:szCs w:val="18"/>
          <w:i w:val="1"/>
          <w:iCs w:val="1"/>
          <w:color w:val="auto"/>
        </w:rPr>
        <w:t>Section 3(37)</w:t>
      </w:r>
      <w:r>
        <w:rPr>
          <w:rFonts w:ascii="Arial" w:cs="Arial" w:eastAsia="Arial" w:hAnsi="Arial"/>
          <w:sz w:val="18"/>
          <w:szCs w:val="18"/>
          <w:color w:val="auto"/>
        </w:rPr>
        <w:t xml:space="preserve"> of ERISA maintained or contributed to by the Company, any of its Subsidiaries, or any ERISA Affiliate (or pursuant to which any such Person accrued an obligation to make contributions at any time during the preceding five plan years).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Non-Consenting Bank</w:t>
      </w:r>
      <w:r>
        <w:rPr>
          <w:rFonts w:ascii="Arial" w:cs="Arial" w:eastAsia="Arial" w:hAnsi="Arial"/>
          <w:sz w:val="18"/>
          <w:szCs w:val="18"/>
          <w:color w:val="auto"/>
        </w:rPr>
        <w:t xml:space="preserve">” means any Bank that does not approve any consent, waiver or amendment that (i) requires the approval of all Banks or all affected Banks in accordance with the terms of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and (ii) has been approved by the Majority Banks.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Non-Defaulting Bank</w:t>
      </w:r>
      <w:r>
        <w:rPr>
          <w:rFonts w:ascii="Arial" w:cs="Arial" w:eastAsia="Arial" w:hAnsi="Arial"/>
          <w:sz w:val="18"/>
          <w:szCs w:val="18"/>
          <w:color w:val="auto"/>
        </w:rPr>
        <w:t>” means at any time, each Bank that is not a Defaulting Bank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means any promissory note issued according to </w:t>
      </w:r>
      <w:r>
        <w:rPr>
          <w:rFonts w:ascii="Arial" w:cs="Arial" w:eastAsia="Arial" w:hAnsi="Arial"/>
          <w:sz w:val="18"/>
          <w:szCs w:val="18"/>
          <w:b w:val="1"/>
          <w:bCs w:val="1"/>
          <w:i w:val="1"/>
          <w:iCs w:val="1"/>
          <w:color w:val="auto"/>
        </w:rPr>
        <w:t>Section 2.11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Obligations</w:t>
      </w:r>
      <w:r>
        <w:rPr>
          <w:rFonts w:ascii="Arial" w:cs="Arial" w:eastAsia="Arial" w:hAnsi="Arial"/>
          <w:sz w:val="16"/>
          <w:szCs w:val="16"/>
          <w:color w:val="auto"/>
        </w:rPr>
        <w:t>” means all indebtedness, obligations and liabilities of the Company to any of the Banks and the Administrative Agent arising or incurred under this Agreement or any of the other Loan Documents or in respect of any of the Loans made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b w:val="1"/>
          <w:bCs w:val="1"/>
          <w:i w:val="1"/>
          <w:iCs w:val="1"/>
          <w:color w:val="auto"/>
        </w:rPr>
        <w:t>Section 3.6</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 Amount</w:t>
      </w:r>
      <w:r>
        <w:rPr>
          <w:rFonts w:ascii="Arial" w:cs="Arial" w:eastAsia="Arial" w:hAnsi="Arial"/>
          <w:sz w:val="18"/>
          <w:szCs w:val="18"/>
          <w:color w:val="auto"/>
        </w:rPr>
        <w:t>” means the aggregate outstanding principal amount of Loans on any date after giving effect to any borrowings and prepayments or repayments of such Loans occurring on such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Overnight Rate</w:t>
      </w:r>
      <w:r>
        <w:rPr>
          <w:rFonts w:ascii="Arial" w:cs="Arial" w:eastAsia="Arial" w:hAnsi="Arial"/>
          <w:sz w:val="18"/>
          <w:szCs w:val="18"/>
          <w:color w:val="auto"/>
        </w:rPr>
        <w:t>” means for any day, the greater of (i) the Federal Funds Rate and (ii) an overnight rate determined by the Administrative Agent in accordance with banking industry rules on interbank compensation.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xml:space="preserve">” means the Pension Benefit Guaranty Corporation created by </w:t>
      </w:r>
      <w:r>
        <w:rPr>
          <w:rFonts w:ascii="Arial" w:cs="Arial" w:eastAsia="Arial" w:hAnsi="Arial"/>
          <w:sz w:val="18"/>
          <w:szCs w:val="18"/>
          <w:i w:val="1"/>
          <w:iCs w:val="1"/>
          <w:color w:val="auto"/>
        </w:rPr>
        <w:t>Section 4002</w:t>
      </w:r>
      <w:r>
        <w:rPr>
          <w:rFonts w:ascii="Arial" w:cs="Arial" w:eastAsia="Arial" w:hAnsi="Arial"/>
          <w:sz w:val="18"/>
          <w:szCs w:val="18"/>
          <w:color w:val="auto"/>
        </w:rPr>
        <w:t xml:space="preserve"> of ERISA and any successor entity or entities having similar responsibilities.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 any of the following Liens:</w:t>
      </w:r>
    </w:p>
    <w:p>
      <w:pPr>
        <w:spacing w:after="0" w:line="225" w:lineRule="exact"/>
        <w:rPr>
          <w:sz w:val="20"/>
          <w:szCs w:val="20"/>
          <w:color w:val="auto"/>
        </w:rPr>
      </w:pPr>
    </w:p>
    <w:p>
      <w:pPr>
        <w:ind w:left="1300" w:hanging="656"/>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Liens for taxes not yet due or that are being contested in compliance with </w:t>
      </w:r>
      <w:r>
        <w:rPr>
          <w:rFonts w:ascii="Arial" w:cs="Arial" w:eastAsia="Arial" w:hAnsi="Arial"/>
          <w:sz w:val="18"/>
          <w:szCs w:val="18"/>
          <w:b w:val="1"/>
          <w:bCs w:val="1"/>
          <w:i w:val="1"/>
          <w:iCs w:val="1"/>
          <w:color w:val="auto"/>
        </w:rPr>
        <w:t>Section 7.8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83" w:lineRule="exact"/>
        <w:rPr>
          <w:rFonts w:ascii="Arial" w:cs="Arial" w:eastAsia="Arial" w:hAnsi="Arial"/>
          <w:sz w:val="18"/>
          <w:szCs w:val="18"/>
          <w:color w:val="auto"/>
        </w:rPr>
      </w:pPr>
    </w:p>
    <w:p>
      <w:pPr>
        <w:ind w:firstLine="644"/>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5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449" w:val="left"/>
        </w:tabs>
        <w:numPr>
          <w:ilvl w:val="0"/>
          <w:numId w:val="14"/>
        </w:numPr>
        <w:rPr>
          <w:rFonts w:ascii="Arial" w:cs="Arial" w:eastAsia="Arial" w:hAnsi="Arial"/>
          <w:sz w:val="17"/>
          <w:szCs w:val="17"/>
          <w:color w:val="auto"/>
        </w:rPr>
      </w:pPr>
      <w:r>
        <w:rPr>
          <w:rFonts w:ascii="Arial" w:cs="Arial" w:eastAsia="Arial" w:hAnsi="Arial"/>
          <w:sz w:val="17"/>
          <w:szCs w:val="17"/>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Company or any of its Subsidiaries;</w:t>
      </w:r>
    </w:p>
    <w:p>
      <w:pPr>
        <w:spacing w:after="0" w:line="165" w:lineRule="exact"/>
        <w:rPr>
          <w:rFonts w:ascii="Arial" w:cs="Arial" w:eastAsia="Arial" w:hAnsi="Arial"/>
          <w:sz w:val="17"/>
          <w:szCs w:val="17"/>
          <w:color w:val="auto"/>
        </w:rPr>
      </w:pPr>
    </w:p>
    <w:p>
      <w:pPr>
        <w:jc w:val="both"/>
        <w:ind w:firstLine="644"/>
        <w:spacing w:after="0" w:line="296" w:lineRule="auto"/>
        <w:tabs>
          <w:tab w:leader="none" w:pos="151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Liens on </w:t>
      </w:r>
      <w:r>
        <w:rPr>
          <w:rFonts w:ascii="Arial" w:cs="Arial" w:eastAsia="Arial" w:hAnsi="Arial"/>
          <w:sz w:val="16"/>
          <w:szCs w:val="16"/>
          <w:b w:val="1"/>
          <w:bCs w:val="1"/>
          <w:i w:val="1"/>
          <w:iCs w:val="1"/>
          <w:color w:val="auto"/>
        </w:rPr>
        <w:t>Schedule 1.1</w:t>
      </w:r>
      <w:r>
        <w:rPr>
          <w:rFonts w:ascii="Arial" w:cs="Arial" w:eastAsia="Arial" w:hAnsi="Arial"/>
          <w:sz w:val="16"/>
          <w:szCs w:val="16"/>
          <w:color w:val="auto"/>
        </w:rPr>
        <w:t xml:space="preserve"> hereto securing the obligations listed on such Schedule and any replacement Lien securing any renewal, extension or refunding of such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aggregate principal amount of obligations secured by any renewal, extension or refunding Lien permitted by this </w:t>
      </w:r>
      <w:r>
        <w:rPr>
          <w:rFonts w:ascii="Arial" w:cs="Arial" w:eastAsia="Arial" w:hAnsi="Arial"/>
          <w:sz w:val="16"/>
          <w:szCs w:val="16"/>
          <w:b w:val="1"/>
          <w:bCs w:val="1"/>
          <w:i w:val="1"/>
          <w:iCs w:val="1"/>
          <w:color w:val="auto"/>
        </w:rPr>
        <w:t>clause (f)</w:t>
      </w:r>
      <w:r>
        <w:rPr>
          <w:rFonts w:ascii="Arial" w:cs="Arial" w:eastAsia="Arial" w:hAnsi="Arial"/>
          <w:sz w:val="16"/>
          <w:szCs w:val="16"/>
          <w:color w:val="auto"/>
        </w:rPr>
        <w:t xml:space="preserve"> shall not exceed the aggregate outstanding principal amount of the obligations secured by the Lien being replaced at the time of such renewal, extension or refunding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transaction costs, including premiums and fees, related thereto), and (ii) each replacement Lien shall be limited to substantially the same property that secured the Lien so replaced;</w:t>
      </w:r>
    </w:p>
    <w:p>
      <w:pPr>
        <w:spacing w:after="0" w:line="161" w:lineRule="exact"/>
        <w:rPr>
          <w:rFonts w:ascii="Arial" w:cs="Arial" w:eastAsia="Arial" w:hAnsi="Arial"/>
          <w:sz w:val="16"/>
          <w:szCs w:val="16"/>
          <w:color w:val="auto"/>
        </w:rPr>
      </w:pPr>
    </w:p>
    <w:p>
      <w:pPr>
        <w:jc w:val="both"/>
        <w:ind w:firstLine="644"/>
        <w:spacing w:after="0" w:line="286" w:lineRule="auto"/>
        <w:tabs>
          <w:tab w:leader="none" w:pos="1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65" w:lineRule="exact"/>
        <w:rPr>
          <w:rFonts w:ascii="Arial" w:cs="Arial" w:eastAsia="Arial" w:hAnsi="Arial"/>
          <w:sz w:val="17"/>
          <w:szCs w:val="17"/>
          <w:color w:val="auto"/>
        </w:rPr>
      </w:pPr>
    </w:p>
    <w:p>
      <w:pPr>
        <w:jc w:val="both"/>
        <w:ind w:firstLine="644"/>
        <w:spacing w:after="0" w:line="263" w:lineRule="auto"/>
        <w:tabs>
          <w:tab w:leader="none" w:pos="1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the Company or any Subsidiary, or to use such property in a manner that does not materially impair the use of such property for the purposes for which it is held by the Company or such Subsidiary;</w:t>
      </w:r>
    </w:p>
    <w:p>
      <w:pPr>
        <w:spacing w:after="0" w:line="183" w:lineRule="exact"/>
        <w:rPr>
          <w:rFonts w:ascii="Arial" w:cs="Arial" w:eastAsia="Arial" w:hAnsi="Arial"/>
          <w:sz w:val="18"/>
          <w:szCs w:val="18"/>
          <w:color w:val="auto"/>
        </w:rPr>
      </w:pPr>
    </w:p>
    <w:p>
      <w:pPr>
        <w:ind w:firstLine="644"/>
        <w:spacing w:after="0" w:line="277" w:lineRule="auto"/>
        <w:tabs>
          <w:tab w:leader="none" w:pos="14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Company or any of its Subsidiaries to any municipality, governmental, statutory or public authority with respect to any franchise, grant, license or permit;</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4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third party has any rights with respect to such Liens or any assets subject thereto;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ind w:left="660" w:right="20" w:firstLine="644"/>
        <w:spacing w:after="0" w:line="277" w:lineRule="auto"/>
        <w:tabs>
          <w:tab w:leader="none" w:pos="20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sale lease-back transaction entered into by the Company or any Subsidiary conveying only the assets so leased back to the extent the related Indebtedness is permitted under </w:t>
      </w:r>
      <w:r>
        <w:rPr>
          <w:rFonts w:ascii="Arial" w:cs="Arial" w:eastAsia="Arial" w:hAnsi="Arial"/>
          <w:sz w:val="18"/>
          <w:szCs w:val="18"/>
          <w:b w:val="1"/>
          <w:bCs w:val="1"/>
          <w:i w:val="1"/>
          <w:iCs w:val="1"/>
          <w:color w:val="auto"/>
        </w:rPr>
        <w:t>Section 8.1</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20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Company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94" w:lineRule="exact"/>
        <w:rPr>
          <w:rFonts w:ascii="Arial" w:cs="Arial" w:eastAsia="Arial" w:hAnsi="Arial"/>
          <w:sz w:val="18"/>
          <w:szCs w:val="18"/>
          <w:color w:val="auto"/>
        </w:rPr>
      </w:pPr>
    </w:p>
    <w:p>
      <w:pPr>
        <w:jc w:val="both"/>
        <w:ind w:left="660" w:firstLine="644"/>
        <w:spacing w:after="0" w:line="279" w:lineRule="auto"/>
        <w:tabs>
          <w:tab w:leader="none" w:pos="2141"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Liens securing other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all liabilities, including any Indebtedness, of the Company and its Subsidiaries secured by all Liens permitted in </w:t>
      </w:r>
      <w:r>
        <w:rPr>
          <w:rFonts w:ascii="Arial" w:cs="Arial" w:eastAsia="Arial" w:hAnsi="Arial"/>
          <w:sz w:val="17"/>
          <w:szCs w:val="17"/>
          <w:b w:val="1"/>
          <w:bCs w:val="1"/>
          <w:i w:val="1"/>
          <w:iCs w:val="1"/>
          <w:color w:val="auto"/>
        </w:rPr>
        <w:t>subsections (k)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(m)</w:t>
      </w:r>
      <w:r>
        <w:rPr>
          <w:rFonts w:ascii="Arial" w:cs="Arial" w:eastAsia="Arial" w:hAnsi="Arial"/>
          <w:sz w:val="17"/>
          <w:szCs w:val="17"/>
          <w:color w:val="auto"/>
        </w:rPr>
        <w:t xml:space="preserve">, when added (without duplication) to the aggregate outstanding amount of Indebtedness of the Subsidiaries of the Company permitted under </w:t>
      </w:r>
      <w:r>
        <w:rPr>
          <w:rFonts w:ascii="Arial" w:cs="Arial" w:eastAsia="Arial" w:hAnsi="Arial"/>
          <w:sz w:val="17"/>
          <w:szCs w:val="17"/>
          <w:b w:val="1"/>
          <w:bCs w:val="1"/>
          <w:i w:val="1"/>
          <w:iCs w:val="1"/>
          <w:color w:val="auto"/>
        </w:rPr>
        <w:t>Section 8.1(b)</w:t>
      </w:r>
      <w:r>
        <w:rPr>
          <w:rFonts w:ascii="Arial" w:cs="Arial" w:eastAsia="Arial" w:hAnsi="Arial"/>
          <w:sz w:val="17"/>
          <w:szCs w:val="17"/>
          <w:color w:val="auto"/>
        </w:rPr>
        <w:t xml:space="preserve"> and Indebtedness with respect to Permitted Receivables Transactions, shall not exceed 15% of Consolidated Tangible Assets at any time.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Receivables Transaction</w:t>
      </w:r>
      <w:r>
        <w:rPr>
          <w:rFonts w:ascii="Arial" w:cs="Arial" w:eastAsia="Arial" w:hAnsi="Arial"/>
          <w:sz w:val="18"/>
          <w:szCs w:val="18"/>
          <w:color w:val="auto"/>
        </w:rPr>
        <w:t>” means any sale or sales of, and/or securitization of, any accounts receivable of the Company and/or any of its Subsidiaries (the “</w:t>
      </w:r>
      <w:r>
        <w:rPr>
          <w:rFonts w:ascii="Arial" w:cs="Arial" w:eastAsia="Arial" w:hAnsi="Arial"/>
          <w:sz w:val="18"/>
          <w:szCs w:val="18"/>
          <w:b w:val="1"/>
          <w:bCs w:val="1"/>
          <w:i w:val="1"/>
          <w:iCs w:val="1"/>
          <w:color w:val="auto"/>
        </w:rPr>
        <w:t>Receivables</w:t>
      </w:r>
      <w:r>
        <w:rPr>
          <w:rFonts w:ascii="Arial" w:cs="Arial" w:eastAsia="Arial" w:hAnsi="Arial"/>
          <w:sz w:val="18"/>
          <w:szCs w:val="18"/>
          <w:color w:val="auto"/>
        </w:rPr>
        <w:t>”) pursuant to which (a) the Company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limited liability company, trust, unincorporated association, business, or other legal entity, and any government or any governmental agency or political subdivision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means any employee benefit plan within the meaning of </w:t>
      </w:r>
      <w:r>
        <w:rPr>
          <w:rFonts w:ascii="Arial" w:cs="Arial" w:eastAsia="Arial" w:hAnsi="Arial"/>
          <w:sz w:val="18"/>
          <w:szCs w:val="18"/>
          <w:i w:val="1"/>
          <w:iCs w:val="1"/>
          <w:color w:val="auto"/>
        </w:rPr>
        <w:t>Section 3(3)</w:t>
      </w:r>
      <w:r>
        <w:rPr>
          <w:rFonts w:ascii="Arial" w:cs="Arial" w:eastAsia="Arial" w:hAnsi="Arial"/>
          <w:sz w:val="18"/>
          <w:szCs w:val="18"/>
          <w:color w:val="auto"/>
        </w:rPr>
        <w:t xml:space="preserve"> of ERISA (including a pension plan), maintained for employees of the Company or any ERISA Affiliate or any such Plan to which the Company or any ERISA Affiliate is required to contribute on behalf of any of its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Pricing Table</w:t>
      </w:r>
      <w:r>
        <w:rPr>
          <w:rFonts w:ascii="Arial" w:cs="Arial" w:eastAsia="Arial" w:hAnsi="Arial"/>
          <w:sz w:val="18"/>
          <w:szCs w:val="18"/>
          <w:color w:val="auto"/>
        </w:rPr>
        <w:t>”</w:t>
      </w:r>
    </w:p>
    <w:p>
      <w:pPr>
        <w:spacing w:after="0" w:line="219" w:lineRule="exact"/>
        <w:rPr>
          <w:sz w:val="20"/>
          <w:szCs w:val="20"/>
          <w:color w:val="auto"/>
        </w:rPr>
      </w:pPr>
    </w:p>
    <w:tbl>
      <w:tblPr>
        <w:tblLayout w:type="fixed"/>
        <w:tblInd w:w="690" w:type="dxa"/>
        <w:tblCellMar>
          <w:top w:w="0" w:type="dxa"/>
          <w:left w:w="0" w:type="dxa"/>
          <w:bottom w:w="0" w:type="dxa"/>
          <w:right w:w="0" w:type="dxa"/>
        </w:tblCellMar>
      </w:tblPr>
      <w:tr>
        <w:trPr>
          <w:trHeight w:val="211"/>
        </w:trPr>
        <w:tc>
          <w:tcPr>
            <w:tcW w:w="1020" w:type="dxa"/>
            <w:vAlign w:val="bottom"/>
            <w:tcBorders>
              <w:top w:val="single" w:sz="8" w:color="auto"/>
              <w:left w:val="single" w:sz="8" w:color="auto"/>
              <w:right w:val="single" w:sz="8" w:color="auto"/>
            </w:tcBorders>
            <w:shd w:val="clear" w:color="auto" w:fill="CCCCCC"/>
          </w:tcPr>
          <w:p>
            <w:pPr>
              <w:spacing w:after="0"/>
              <w:rPr>
                <w:sz w:val="18"/>
                <w:szCs w:val="18"/>
                <w:color w:val="auto"/>
              </w:rPr>
            </w:pPr>
          </w:p>
        </w:tc>
        <w:tc>
          <w:tcPr>
            <w:tcW w:w="500" w:type="dxa"/>
            <w:vAlign w:val="bottom"/>
            <w:tcBorders>
              <w:top w:val="single" w:sz="8" w:color="auto"/>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spacing w:after="0"/>
              <w:rPr>
                <w:sz w:val="18"/>
                <w:szCs w:val="18"/>
                <w:color w:val="auto"/>
              </w:rPr>
            </w:pPr>
          </w:p>
        </w:tc>
        <w:tc>
          <w:tcPr>
            <w:tcW w:w="1180" w:type="dxa"/>
            <w:vAlign w:val="bottom"/>
            <w:tcBorders>
              <w:top w:val="single" w:sz="8" w:color="auto"/>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1280" w:type="dxa"/>
            <w:vAlign w:val="bottom"/>
            <w:tcBorders>
              <w:top w:val="single" w:sz="8" w:color="auto"/>
              <w:right w:val="single" w:sz="8" w:color="auto"/>
            </w:tcBorders>
            <w:shd w:val="clear" w:color="auto" w:fill="CCCCCC"/>
          </w:tcPr>
          <w:p>
            <w:pPr>
              <w:spacing w:after="0"/>
              <w:rPr>
                <w:sz w:val="18"/>
                <w:szCs w:val="18"/>
                <w:color w:val="auto"/>
              </w:rPr>
            </w:pPr>
          </w:p>
        </w:tc>
        <w:tc>
          <w:tcPr>
            <w:tcW w:w="178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Applicable</w:t>
            </w:r>
          </w:p>
        </w:tc>
        <w:tc>
          <w:tcPr>
            <w:tcW w:w="196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87"/>
              </w:rPr>
              <w:t>Applicable Base</w:t>
            </w:r>
          </w:p>
        </w:tc>
        <w:tc>
          <w:tcPr>
            <w:tcW w:w="188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0"/>
              </w:rPr>
              <w:t>Applicable</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Level</w:t>
            </w:r>
          </w:p>
        </w:tc>
        <w:tc>
          <w:tcPr>
            <w:tcW w:w="500" w:type="dxa"/>
            <w:vAlign w:val="bottom"/>
            <w:shd w:val="clear" w:color="auto" w:fill="CCCCCC"/>
          </w:tcPr>
          <w:p>
            <w:pPr>
              <w:spacing w:after="0"/>
              <w:rPr>
                <w:sz w:val="9"/>
                <w:szCs w:val="9"/>
                <w:color w:val="auto"/>
              </w:rPr>
            </w:pPr>
          </w:p>
        </w:tc>
        <w:tc>
          <w:tcPr>
            <w:tcW w:w="2760" w:type="dxa"/>
            <w:vAlign w:val="bottom"/>
            <w:tcBorders>
              <w:right w:val="single" w:sz="8" w:color="auto"/>
            </w:tcBorders>
            <w:gridSpan w:val="4"/>
            <w:vMerge w:val="restart"/>
            <w:shd w:val="clear" w:color="auto" w:fill="CCCCCC"/>
          </w:tcPr>
          <w:p>
            <w:pPr>
              <w:ind w:left="120"/>
              <w:spacing w:after="0"/>
              <w:rPr>
                <w:sz w:val="20"/>
                <w:szCs w:val="20"/>
                <w:color w:val="auto"/>
              </w:rPr>
            </w:pPr>
            <w:r>
              <w:rPr>
                <w:rFonts w:ascii="Arial" w:cs="Arial" w:eastAsia="Arial" w:hAnsi="Arial"/>
                <w:sz w:val="18"/>
                <w:szCs w:val="18"/>
                <w:b w:val="1"/>
                <w:bCs w:val="1"/>
                <w:color w:val="auto"/>
              </w:rPr>
              <w:t>Senior Public Debt Rating</w:t>
            </w:r>
          </w:p>
        </w:tc>
        <w:tc>
          <w:tcPr>
            <w:tcW w:w="17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Facility Fee</w:t>
            </w:r>
          </w:p>
        </w:tc>
        <w:tc>
          <w:tcPr>
            <w:tcW w:w="1960" w:type="dxa"/>
            <w:vAlign w:val="bottom"/>
            <w:tcBorders>
              <w:right w:val="single" w:sz="8" w:color="auto"/>
            </w:tcBorders>
            <w:vMerge w:val="continue"/>
            <w:shd w:val="clear" w:color="auto" w:fill="CCCCCC"/>
          </w:tcPr>
          <w:p>
            <w:pPr>
              <w:spacing w:after="0"/>
              <w:rPr>
                <w:sz w:val="9"/>
                <w:szCs w:val="9"/>
                <w:color w:val="auto"/>
              </w:rPr>
            </w:pPr>
          </w:p>
        </w:tc>
        <w:tc>
          <w:tcPr>
            <w:tcW w:w="18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Eurocurrency</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vMerge w:val="continue"/>
            <w:shd w:val="clear" w:color="auto" w:fill="CCCCCC"/>
          </w:tcPr>
          <w:p>
            <w:pPr>
              <w:spacing w:after="0"/>
              <w:rPr>
                <w:sz w:val="9"/>
                <w:szCs w:val="9"/>
                <w:color w:val="auto"/>
              </w:rPr>
            </w:pPr>
          </w:p>
        </w:tc>
        <w:tc>
          <w:tcPr>
            <w:tcW w:w="500" w:type="dxa"/>
            <w:vAlign w:val="bottom"/>
            <w:shd w:val="clear" w:color="auto" w:fill="CCCCCC"/>
          </w:tcPr>
          <w:p>
            <w:pPr>
              <w:spacing w:after="0"/>
              <w:rPr>
                <w:sz w:val="9"/>
                <w:szCs w:val="9"/>
                <w:color w:val="auto"/>
              </w:rPr>
            </w:pPr>
          </w:p>
        </w:tc>
        <w:tc>
          <w:tcPr>
            <w:tcW w:w="2760" w:type="dxa"/>
            <w:vAlign w:val="bottom"/>
            <w:tcBorders>
              <w:right w:val="single" w:sz="8" w:color="auto"/>
            </w:tcBorders>
            <w:gridSpan w:val="4"/>
            <w:vMerge w:val="continue"/>
            <w:shd w:val="clear" w:color="auto" w:fill="CCCCCC"/>
          </w:tcPr>
          <w:p>
            <w:pPr>
              <w:spacing w:after="0"/>
              <w:rPr>
                <w:sz w:val="9"/>
                <w:szCs w:val="9"/>
                <w:color w:val="auto"/>
              </w:rPr>
            </w:pPr>
          </w:p>
        </w:tc>
        <w:tc>
          <w:tcPr>
            <w:tcW w:w="1780" w:type="dxa"/>
            <w:vAlign w:val="bottom"/>
            <w:tcBorders>
              <w:right w:val="single" w:sz="8" w:color="auto"/>
            </w:tcBorders>
            <w:vMerge w:val="continue"/>
            <w:shd w:val="clear" w:color="auto" w:fill="CCCCCC"/>
          </w:tcPr>
          <w:p>
            <w:pPr>
              <w:spacing w:after="0"/>
              <w:rPr>
                <w:sz w:val="9"/>
                <w:szCs w:val="9"/>
                <w:color w:val="auto"/>
              </w:rPr>
            </w:pP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w:t>
            </w:r>
          </w:p>
        </w:tc>
        <w:tc>
          <w:tcPr>
            <w:tcW w:w="1880" w:type="dxa"/>
            <w:vAlign w:val="bottom"/>
            <w:tcBorders>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shd w:val="clear" w:color="auto" w:fill="CCCCCC"/>
          </w:tcPr>
          <w:p>
            <w:pPr>
              <w:spacing w:after="0"/>
              <w:rPr>
                <w:sz w:val="10"/>
                <w:szCs w:val="10"/>
                <w:color w:val="auto"/>
              </w:rPr>
            </w:pPr>
          </w:p>
        </w:tc>
        <w:tc>
          <w:tcPr>
            <w:tcW w:w="500" w:type="dxa"/>
            <w:vAlign w:val="bottom"/>
            <w:shd w:val="clear" w:color="auto" w:fill="CCCCCC"/>
          </w:tcPr>
          <w:p>
            <w:pPr>
              <w:spacing w:after="0"/>
              <w:rPr>
                <w:sz w:val="10"/>
                <w:szCs w:val="10"/>
                <w:color w:val="auto"/>
              </w:rPr>
            </w:pPr>
          </w:p>
        </w:tc>
        <w:tc>
          <w:tcPr>
            <w:tcW w:w="160" w:type="dxa"/>
            <w:vAlign w:val="bottom"/>
            <w:shd w:val="clear" w:color="auto" w:fill="CCCCCC"/>
          </w:tcPr>
          <w:p>
            <w:pPr>
              <w:spacing w:after="0"/>
              <w:rPr>
                <w:sz w:val="10"/>
                <w:szCs w:val="10"/>
                <w:color w:val="auto"/>
              </w:rPr>
            </w:pPr>
          </w:p>
        </w:tc>
        <w:tc>
          <w:tcPr>
            <w:tcW w:w="1180" w:type="dxa"/>
            <w:vAlign w:val="bottom"/>
            <w:shd w:val="clear" w:color="auto" w:fill="CCCCCC"/>
          </w:tcPr>
          <w:p>
            <w:pPr>
              <w:spacing w:after="0"/>
              <w:rPr>
                <w:sz w:val="10"/>
                <w:szCs w:val="10"/>
                <w:color w:val="auto"/>
              </w:rPr>
            </w:pPr>
          </w:p>
        </w:tc>
        <w:tc>
          <w:tcPr>
            <w:tcW w:w="140" w:type="dxa"/>
            <w:vAlign w:val="bottom"/>
            <w:shd w:val="clear" w:color="auto" w:fill="CCCCCC"/>
          </w:tcPr>
          <w:p>
            <w:pPr>
              <w:spacing w:after="0"/>
              <w:rPr>
                <w:sz w:val="10"/>
                <w:szCs w:val="10"/>
                <w:color w:val="auto"/>
              </w:rPr>
            </w:pPr>
          </w:p>
        </w:tc>
        <w:tc>
          <w:tcPr>
            <w:tcW w:w="1280" w:type="dxa"/>
            <w:vAlign w:val="bottom"/>
            <w:tcBorders>
              <w:right w:val="single" w:sz="8" w:color="auto"/>
            </w:tcBorders>
            <w:shd w:val="clear" w:color="auto" w:fill="CCCCCC"/>
          </w:tcPr>
          <w:p>
            <w:pPr>
              <w:spacing w:after="0"/>
              <w:rPr>
                <w:sz w:val="10"/>
                <w:szCs w:val="10"/>
                <w:color w:val="auto"/>
              </w:rPr>
            </w:pPr>
          </w:p>
        </w:tc>
        <w:tc>
          <w:tcPr>
            <w:tcW w:w="17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w:t>
            </w:r>
          </w:p>
        </w:tc>
        <w:tc>
          <w:tcPr>
            <w:tcW w:w="1960" w:type="dxa"/>
            <w:vAlign w:val="bottom"/>
            <w:tcBorders>
              <w:right w:val="single" w:sz="8" w:color="auto"/>
            </w:tcBorders>
            <w:vMerge w:val="continue"/>
            <w:shd w:val="clear" w:color="auto" w:fill="CCCCCC"/>
          </w:tcPr>
          <w:p>
            <w:pPr>
              <w:spacing w:after="0"/>
              <w:rPr>
                <w:sz w:val="10"/>
                <w:szCs w:val="10"/>
                <w:color w:val="auto"/>
              </w:rPr>
            </w:pPr>
          </w:p>
        </w:tc>
        <w:tc>
          <w:tcPr>
            <w:tcW w:w="18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500" w:type="dxa"/>
            <w:vAlign w:val="bottom"/>
            <w:tcBorders>
              <w:bottom w:val="single" w:sz="8" w:color="auto"/>
            </w:tcBorders>
            <w:shd w:val="clear" w:color="auto" w:fill="CCCCCC"/>
          </w:tcPr>
          <w:p>
            <w:pPr>
              <w:spacing w:after="0"/>
              <w:rPr>
                <w:sz w:val="9"/>
                <w:szCs w:val="9"/>
                <w:color w:val="auto"/>
              </w:rPr>
            </w:pPr>
          </w:p>
        </w:tc>
        <w:tc>
          <w:tcPr>
            <w:tcW w:w="160" w:type="dxa"/>
            <w:vAlign w:val="bottom"/>
            <w:tcBorders>
              <w:bottom w:val="single" w:sz="8" w:color="auto"/>
            </w:tcBorders>
            <w:shd w:val="clear" w:color="auto" w:fill="CCCCCC"/>
          </w:tcPr>
          <w:p>
            <w:pPr>
              <w:spacing w:after="0"/>
              <w:rPr>
                <w:sz w:val="9"/>
                <w:szCs w:val="9"/>
                <w:color w:val="auto"/>
              </w:rPr>
            </w:pPr>
          </w:p>
        </w:tc>
        <w:tc>
          <w:tcPr>
            <w:tcW w:w="1180" w:type="dxa"/>
            <w:vAlign w:val="bottom"/>
            <w:tcBorders>
              <w:bottom w:val="single" w:sz="8" w:color="auto"/>
            </w:tcBorders>
            <w:shd w:val="clear" w:color="auto" w:fill="CCCCCC"/>
          </w:tcPr>
          <w:p>
            <w:pPr>
              <w:spacing w:after="0"/>
              <w:rPr>
                <w:sz w:val="9"/>
                <w:szCs w:val="9"/>
                <w:color w:val="auto"/>
              </w:rPr>
            </w:pPr>
          </w:p>
        </w:tc>
        <w:tc>
          <w:tcPr>
            <w:tcW w:w="140" w:type="dxa"/>
            <w:vAlign w:val="bottom"/>
            <w:tcBorders>
              <w:bottom w:val="single" w:sz="8" w:color="auto"/>
            </w:tcBorders>
            <w:shd w:val="clear" w:color="auto" w:fill="CCCCCC"/>
          </w:tcPr>
          <w:p>
            <w:pPr>
              <w:spacing w:after="0"/>
              <w:rPr>
                <w:sz w:val="9"/>
                <w:szCs w:val="9"/>
                <w:color w:val="auto"/>
              </w:rPr>
            </w:pPr>
          </w:p>
        </w:tc>
        <w:tc>
          <w:tcPr>
            <w:tcW w:w="1280" w:type="dxa"/>
            <w:vAlign w:val="bottom"/>
            <w:tcBorders>
              <w:bottom w:val="single" w:sz="8" w:color="auto"/>
              <w:right w:val="single" w:sz="8" w:color="auto"/>
            </w:tcBorders>
            <w:shd w:val="clear" w:color="auto" w:fill="CCCCCC"/>
          </w:tcPr>
          <w:p>
            <w:pPr>
              <w:spacing w:after="0"/>
              <w:rPr>
                <w:sz w:val="9"/>
                <w:szCs w:val="9"/>
                <w:color w:val="auto"/>
              </w:rPr>
            </w:pPr>
          </w:p>
        </w:tc>
        <w:tc>
          <w:tcPr>
            <w:tcW w:w="178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shd w:val="clear" w:color="auto" w:fill="CCCCCC"/>
          </w:tcPr>
          <w:p>
            <w:pPr>
              <w:spacing w:after="0"/>
              <w:rPr>
                <w:sz w:val="9"/>
                <w:szCs w:val="9"/>
                <w:color w:val="auto"/>
              </w:rPr>
            </w:pPr>
          </w:p>
        </w:tc>
        <w:tc>
          <w:tcPr>
            <w:tcW w:w="188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w:t>
            </w:r>
          </w:p>
        </w:tc>
        <w:tc>
          <w:tcPr>
            <w:tcW w:w="3260" w:type="dxa"/>
            <w:vAlign w:val="bottom"/>
            <w:tcBorders>
              <w:right w:val="single" w:sz="8" w:color="auto"/>
            </w:tcBorders>
            <w:gridSpan w:val="5"/>
          </w:tcPr>
          <w:p>
            <w:pPr>
              <w:spacing w:after="0" w:line="195" w:lineRule="exact"/>
              <w:rPr>
                <w:sz w:val="20"/>
                <w:szCs w:val="20"/>
                <w:color w:val="auto"/>
              </w:rPr>
            </w:pPr>
            <w:r>
              <w:rPr>
                <w:rFonts w:ascii="Arial" w:cs="Arial" w:eastAsia="Arial" w:hAnsi="Arial"/>
                <w:sz w:val="18"/>
                <w:szCs w:val="18"/>
                <w:color w:val="auto"/>
                <w:w w:val="98"/>
              </w:rPr>
              <w:t>Greater than or equal to A by Standard &amp;</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0.125% per annum</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0.000% per annum</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1.000% per annum</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gridSpan w:val="5"/>
            <w:vMerge w:val="restart"/>
          </w:tcPr>
          <w:p>
            <w:pPr>
              <w:spacing w:after="0" w:line="190" w:lineRule="exact"/>
              <w:rPr>
                <w:sz w:val="20"/>
                <w:szCs w:val="20"/>
                <w:color w:val="auto"/>
              </w:rPr>
            </w:pPr>
            <w:r>
              <w:rPr>
                <w:rFonts w:ascii="Arial" w:cs="Arial" w:eastAsia="Arial" w:hAnsi="Arial"/>
                <w:sz w:val="18"/>
                <w:szCs w:val="18"/>
                <w:color w:val="auto"/>
              </w:rPr>
              <w:t>Poor’s or A2 by Moody’s</w:t>
            </w:r>
          </w:p>
        </w:tc>
        <w:tc>
          <w:tcPr>
            <w:tcW w:w="17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20" w:type="dxa"/>
            <w:vAlign w:val="bottom"/>
            <w:tcBorders>
              <w:left w:val="single" w:sz="8" w:color="auto"/>
              <w:right w:val="single" w:sz="8" w:color="auto"/>
            </w:tcBorders>
          </w:tcPr>
          <w:p>
            <w:pPr>
              <w:spacing w:after="0"/>
              <w:rPr>
                <w:sz w:val="5"/>
                <w:szCs w:val="5"/>
                <w:color w:val="auto"/>
              </w:rPr>
            </w:pPr>
          </w:p>
        </w:tc>
        <w:tc>
          <w:tcPr>
            <w:tcW w:w="3260" w:type="dxa"/>
            <w:vAlign w:val="bottom"/>
            <w:tcBorders>
              <w:right w:val="single" w:sz="8" w:color="auto"/>
            </w:tcBorders>
            <w:gridSpan w:val="5"/>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2</w:t>
            </w:r>
          </w:p>
        </w:tc>
        <w:tc>
          <w:tcPr>
            <w:tcW w:w="3260" w:type="dxa"/>
            <w:vAlign w:val="bottom"/>
            <w:tcBorders>
              <w:right w:val="single" w:sz="8" w:color="auto"/>
            </w:tcBorders>
            <w:gridSpan w:val="5"/>
          </w:tcPr>
          <w:p>
            <w:pPr>
              <w:spacing w:after="0" w:line="169" w:lineRule="exact"/>
              <w:rPr>
                <w:sz w:val="20"/>
                <w:szCs w:val="20"/>
                <w:color w:val="auto"/>
              </w:rPr>
            </w:pPr>
            <w:r>
              <w:rPr>
                <w:rFonts w:ascii="Arial" w:cs="Arial" w:eastAsia="Arial" w:hAnsi="Arial"/>
                <w:sz w:val="18"/>
                <w:szCs w:val="18"/>
                <w:color w:val="auto"/>
                <w:w w:val="95"/>
              </w:rPr>
              <w:t>A- by Standard &amp; Poor’s or A3 by Moody’s</w:t>
            </w:r>
          </w:p>
        </w:tc>
        <w:tc>
          <w:tcPr>
            <w:tcW w:w="17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0.150% per annum</w:t>
            </w:r>
          </w:p>
        </w:tc>
        <w:tc>
          <w:tcPr>
            <w:tcW w:w="19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0.225% per annum</w:t>
            </w:r>
          </w:p>
        </w:tc>
        <w:tc>
          <w:tcPr>
            <w:tcW w:w="18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1.225% per annum</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w:t>
            </w:r>
          </w:p>
        </w:tc>
        <w:tc>
          <w:tcPr>
            <w:tcW w:w="3260" w:type="dxa"/>
            <w:vAlign w:val="bottom"/>
            <w:tcBorders>
              <w:right w:val="single" w:sz="8" w:color="auto"/>
            </w:tcBorders>
            <w:gridSpan w:val="5"/>
          </w:tcPr>
          <w:p>
            <w:pPr>
              <w:spacing w:after="0" w:line="195" w:lineRule="exact"/>
              <w:rPr>
                <w:sz w:val="20"/>
                <w:szCs w:val="20"/>
                <w:color w:val="auto"/>
              </w:rPr>
            </w:pPr>
            <w:r>
              <w:rPr>
                <w:rFonts w:ascii="Arial" w:cs="Arial" w:eastAsia="Arial" w:hAnsi="Arial"/>
                <w:sz w:val="18"/>
                <w:szCs w:val="18"/>
                <w:color w:val="auto"/>
                <w:w w:val="95"/>
              </w:rPr>
              <w:t>Less than or equal to BBB+ by Standard &amp;</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0.200% per annum</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0.300% per annum</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1.300% per annum</w:t>
            </w: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continue"/>
          </w:tcPr>
          <w:p>
            <w:pPr>
              <w:spacing w:after="0"/>
              <w:rPr>
                <w:sz w:val="10"/>
                <w:szCs w:val="10"/>
                <w:color w:val="auto"/>
              </w:rPr>
            </w:pPr>
          </w:p>
        </w:tc>
        <w:tc>
          <w:tcPr>
            <w:tcW w:w="3260" w:type="dxa"/>
            <w:vAlign w:val="bottom"/>
            <w:tcBorders>
              <w:right w:val="single" w:sz="8" w:color="auto"/>
            </w:tcBorders>
            <w:gridSpan w:val="5"/>
            <w:vMerge w:val="restart"/>
          </w:tcPr>
          <w:p>
            <w:pPr>
              <w:spacing w:after="0" w:line="190" w:lineRule="exact"/>
              <w:rPr>
                <w:sz w:val="20"/>
                <w:szCs w:val="20"/>
                <w:color w:val="auto"/>
              </w:rPr>
            </w:pPr>
            <w:r>
              <w:rPr>
                <w:rFonts w:ascii="Arial" w:cs="Arial" w:eastAsia="Arial" w:hAnsi="Arial"/>
                <w:sz w:val="18"/>
                <w:szCs w:val="18"/>
                <w:color w:val="auto"/>
              </w:rPr>
              <w:t>Poor’s or Baa1 by Moody’s</w:t>
            </w:r>
          </w:p>
        </w:tc>
        <w:tc>
          <w:tcPr>
            <w:tcW w:w="17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20" w:type="dxa"/>
            <w:vAlign w:val="bottom"/>
            <w:tcBorders>
              <w:left w:val="single" w:sz="8" w:color="auto"/>
              <w:right w:val="single" w:sz="8" w:color="auto"/>
            </w:tcBorders>
          </w:tcPr>
          <w:p>
            <w:pPr>
              <w:spacing w:after="0"/>
              <w:rPr>
                <w:sz w:val="5"/>
                <w:szCs w:val="5"/>
                <w:color w:val="auto"/>
              </w:rPr>
            </w:pPr>
          </w:p>
        </w:tc>
        <w:tc>
          <w:tcPr>
            <w:tcW w:w="3260" w:type="dxa"/>
            <w:vAlign w:val="bottom"/>
            <w:tcBorders>
              <w:right w:val="single" w:sz="8" w:color="auto"/>
            </w:tcBorders>
            <w:gridSpan w:val="5"/>
            <w:vMerge w:val="continue"/>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70" w:lineRule="auto"/>
        <w:rPr>
          <w:sz w:val="20"/>
          <w:szCs w:val="20"/>
          <w:color w:val="auto"/>
        </w:rPr>
      </w:pPr>
      <w:r>
        <w:rPr>
          <w:rFonts w:ascii="Arial" w:cs="Arial" w:eastAsia="Arial" w:hAnsi="Arial"/>
          <w:sz w:val="17"/>
          <w:szCs w:val="17"/>
          <w:color w:val="auto"/>
        </w:rPr>
        <w:t xml:space="preserve">The applicable rates charged for any day shall be determined by the higher Senior Public Debt Rating in effect as of that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higher Senior Public Debt Rating is more than one level higher than the lower Senior Public Debt Rating, the applicable rate shall be set at one level below the higher Senior Public Debt Rating. If the Company does not have any Senior Public Debt Rating, Pricing Level 3 shall apply. For purposes of each of the rates set forth in the table above such rates shall be the applicable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as of the day of receipt by the Administrative Agent from the Company of evidence satisfactory to the Administrative Agent of the then-applicable Senior Public Debt Rating. Initially, the Pricing Level as of the Effective Date shall be Pricing Level 2. Thereafter, each change in the Pricing Level resulting from a publicly announced change in the Senior Public Debt Rating shall be effective during the period commencing on the date of delivery by the Company to the Administrative Agent of notice thereof pursuant to </w:t>
      </w:r>
      <w:r>
        <w:rPr>
          <w:rFonts w:ascii="Arial" w:cs="Arial" w:eastAsia="Arial" w:hAnsi="Arial"/>
          <w:sz w:val="17"/>
          <w:szCs w:val="17"/>
          <w:b w:val="1"/>
          <w:bCs w:val="1"/>
          <w:i w:val="1"/>
          <w:iCs w:val="1"/>
          <w:color w:val="auto"/>
        </w:rPr>
        <w:t xml:space="preserve">Section 7.4 </w:t>
      </w:r>
      <w:r>
        <w:rPr>
          <w:rFonts w:ascii="Arial" w:cs="Arial" w:eastAsia="Arial" w:hAnsi="Arial"/>
          <w:sz w:val="17"/>
          <w:szCs w:val="17"/>
          <w:color w:val="auto"/>
        </w:rPr>
        <w:t>(or, if earlier, on the date that the Administrative Agent becomes aware of such public announcement) and ending on the date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preceding the effective date of the next such change.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RCRA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6.15(a)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Real Property</w:t>
      </w:r>
      <w:r>
        <w:rPr>
          <w:rFonts w:ascii="Arial" w:cs="Arial" w:eastAsia="Arial" w:hAnsi="Arial"/>
          <w:sz w:val="17"/>
          <w:szCs w:val="17"/>
          <w:color w:val="auto"/>
        </w:rPr>
        <w:t>” means all real property heretofore, now, or hereafter owned, operated, or leased by the Company or any of its Subsidiaries.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Receivables Subsidiary</w:t>
      </w:r>
      <w:r>
        <w:rPr>
          <w:rFonts w:ascii="Arial" w:cs="Arial" w:eastAsia="Arial" w:hAnsi="Arial"/>
          <w:sz w:val="18"/>
          <w:szCs w:val="18"/>
          <w:color w:val="auto"/>
        </w:rPr>
        <w:t>” means any special purpose, bankruptcy-remote Subsidiary of the Company that purchases, on a revolving basis, receivables generated by the Company or any of its Subsidiaries pursuant to a Permitted Receivables Transaction.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means the Administrative Agent, any Bank, or any other recipient of any payment to be made by or on account of any obligation of any Loan Party hereunder.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shall have the meaning specified in CERCLA and the term “</w:t>
      </w:r>
      <w:r>
        <w:rPr>
          <w:rFonts w:ascii="Arial" w:cs="Arial" w:eastAsia="Arial" w:hAnsi="Arial"/>
          <w:sz w:val="18"/>
          <w:szCs w:val="18"/>
          <w:b w:val="1"/>
          <w:bCs w:val="1"/>
          <w:i w:val="1"/>
          <w:iCs w:val="1"/>
          <w:color w:val="auto"/>
        </w:rPr>
        <w:t>Disposal</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Disposed</w:t>
      </w:r>
      <w:r>
        <w:rPr>
          <w:rFonts w:ascii="Arial" w:cs="Arial" w:eastAsia="Arial" w:hAnsi="Arial"/>
          <w:sz w:val="18"/>
          <w:szCs w:val="18"/>
          <w:color w:val="auto"/>
        </w:rPr>
        <w:t xml:space="preserve">”) shall have the meaning specified in the RCRA and regulations promulgated thereunder;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Disposal</w:t>
      </w:r>
      <w:r>
        <w:rPr>
          <w:rFonts w:ascii="Arial" w:cs="Arial" w:eastAsia="Arial" w:hAnsi="Arial"/>
          <w:sz w:val="18"/>
          <w:szCs w:val="18"/>
          <w:color w:val="auto"/>
        </w:rPr>
        <w:t>” which is broader than specified in either CERCLA, or RCRA, such broader meaning shall apply to the Company’s or any of its Subsidiaries’ activities in that state, province, territory or political subdivision.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Relevant Governmental Body</w:t>
      </w:r>
      <w:r>
        <w:rPr>
          <w:rFonts w:ascii="Arial" w:cs="Arial" w:eastAsia="Arial" w:hAnsi="Arial"/>
          <w:sz w:val="18"/>
          <w:szCs w:val="18"/>
          <w:color w:val="auto"/>
        </w:rPr>
        <w:t>”. The Federal Reserve Board and/or the Federal Reserve Bank of New York, or a committee officially endorsed or convened by the Federal Reserve Board and/or the Federal Reserve Bank of New York or any successor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Bank</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Exposure</w:t>
      </w:r>
      <w:r>
        <w:rPr>
          <w:rFonts w:ascii="Arial" w:cs="Arial" w:eastAsia="Arial" w:hAnsi="Arial"/>
          <w:sz w:val="18"/>
          <w:szCs w:val="18"/>
          <w:color w:val="auto"/>
        </w:rPr>
        <w:t>” means as to any Bank at any time, the aggregate Outstanding Amount at such time of its Loans.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means any economic or trade sanctions administered or enforced by the United States Government (including without limitation, OFAC and the U.S. Department of State), the Canadian Government, the United Nations Security Council, the European Union, Her Majesty’s Treasury (“</w:t>
      </w:r>
      <w:r>
        <w:rPr>
          <w:rFonts w:ascii="Arial" w:cs="Arial" w:eastAsia="Arial" w:hAnsi="Arial"/>
          <w:sz w:val="18"/>
          <w:szCs w:val="18"/>
          <w:b w:val="1"/>
          <w:bCs w:val="1"/>
          <w:i w:val="1"/>
          <w:iCs w:val="1"/>
          <w:color w:val="auto"/>
        </w:rPr>
        <w:t>HMT</w:t>
      </w:r>
      <w:r>
        <w:rPr>
          <w:rFonts w:ascii="Arial" w:cs="Arial" w:eastAsia="Arial" w:hAnsi="Arial"/>
          <w:sz w:val="18"/>
          <w:szCs w:val="18"/>
          <w:color w:val="auto"/>
        </w:rPr>
        <w:t>”) or other relevant sanctions authority.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Public Debt Rating</w:t>
      </w:r>
      <w:r>
        <w:rPr>
          <w:rFonts w:ascii="Arial" w:cs="Arial" w:eastAsia="Arial" w:hAnsi="Arial"/>
          <w:sz w:val="18"/>
          <w:szCs w:val="18"/>
          <w:color w:val="auto"/>
        </w:rPr>
        <w:t>” means the ratings of the Company’s public unsecured long-term senior debt, without third party credit enhancement, issued by Moody’s or Standard &amp; Poor’s.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at any time, a Subsidiary that at such time meets the definition of “</w:t>
      </w:r>
      <w:r>
        <w:rPr>
          <w:rFonts w:ascii="Arial" w:cs="Arial" w:eastAsia="Arial" w:hAnsi="Arial"/>
          <w:sz w:val="18"/>
          <w:szCs w:val="18"/>
          <w:i w:val="1"/>
          <w:iCs w:val="1"/>
          <w:color w:val="auto"/>
        </w:rPr>
        <w:t>significant subsidiary</w:t>
      </w:r>
      <w:r>
        <w:rPr>
          <w:rFonts w:ascii="Arial" w:cs="Arial" w:eastAsia="Arial" w:hAnsi="Arial"/>
          <w:sz w:val="18"/>
          <w:szCs w:val="18"/>
          <w:color w:val="auto"/>
        </w:rPr>
        <w:t>” contained in Regulation S-X of the Securities and Exchange Commission as in effect on the date hereof, but as if each reference in said definition to the figure “10 percent” were a reference to the figure “3 percent”. References in this Agreement to a “Significant Subsidiary” refer to a Significant Subsidiary of the Company, unless the context in which such term is used clearly requires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 &amp; Poor’s</w:t>
      </w:r>
      <w:r>
        <w:rPr>
          <w:rFonts w:ascii="Arial" w:cs="Arial" w:eastAsia="Arial" w:hAnsi="Arial"/>
          <w:sz w:val="18"/>
          <w:szCs w:val="18"/>
          <w:color w:val="auto"/>
        </w:rPr>
        <w:t>” is Standard &amp; Poor’s Financial Services LLC, a subsidiary of S&amp;P Global Inc., and any successor thereto.</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Company.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Contracts</w:t>
      </w:r>
      <w:r>
        <w:rPr>
          <w:rFonts w:ascii="Arial" w:cs="Arial" w:eastAsia="Arial" w:hAnsi="Arial"/>
          <w:sz w:val="18"/>
          <w:szCs w:val="18"/>
          <w:color w:val="auto"/>
        </w:rPr>
        <w:t>” means all obligations in respect of interest rate, currency or commodity exchange, forward, swap, or futures contracts or similar transactions or arrangements entered into to protect or hedge the Company and its Subsidiaries against interest rate, exchange rate or commodity price risks or exposure, or to lower or diversify their funding costs.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 Maturity Date</w:t>
      </w:r>
      <w:r>
        <w:rPr>
          <w:rFonts w:ascii="Arial" w:cs="Arial" w:eastAsia="Arial" w:hAnsi="Arial"/>
          <w:sz w:val="18"/>
          <w:szCs w:val="18"/>
          <w:color w:val="auto"/>
        </w:rPr>
        <w:t xml:space="preserve">” means, following the Company’s election of the Term-Out option in accordance with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 the date that is one year after the Maturity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 SOFR</w:t>
      </w:r>
      <w:r>
        <w:rPr>
          <w:rFonts w:ascii="Arial" w:cs="Arial" w:eastAsia="Arial" w:hAnsi="Arial"/>
          <w:sz w:val="16"/>
          <w:szCs w:val="16"/>
          <w:color w:val="auto"/>
        </w:rPr>
        <w:t>” means the forward-looking term rate based on SOFR that has been selected or recommended by the Relevant Governmental Body.</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Term-Out</w:t>
      </w:r>
      <w:r>
        <w:rPr>
          <w:rFonts w:ascii="Arial" w:cs="Arial" w:eastAsia="Arial" w:hAnsi="Arial"/>
          <w:sz w:val="18"/>
          <w:szCs w:val="18"/>
          <w:color w:val="auto"/>
        </w:rPr>
        <w:t xml:space="preserve">” means the conversion of Loans into Term Loans, as provided in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Term-Out Effective Date</w:t>
      </w:r>
      <w:r>
        <w:rPr>
          <w:rFonts w:ascii="Arial" w:cs="Arial" w:eastAsia="Arial" w:hAnsi="Arial"/>
          <w:sz w:val="18"/>
          <w:szCs w:val="18"/>
          <w:color w:val="auto"/>
        </w:rPr>
        <w:t xml:space="preserve">” means the proposed effective date of the Term-Out, as identified in the Term-Out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date shall not be any later than the Maturity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Term-Out Notice</w:t>
      </w:r>
      <w:r>
        <w:rPr>
          <w:rFonts w:ascii="Arial" w:cs="Arial" w:eastAsia="Arial" w:hAnsi="Arial"/>
          <w:sz w:val="18"/>
          <w:szCs w:val="18"/>
          <w:color w:val="auto"/>
        </w:rPr>
        <w:t xml:space="preserve">” means a written request by the Company to elect the Term-Out option in accordance with </w:t>
      </w:r>
      <w:r>
        <w:rPr>
          <w:rFonts w:ascii="Arial" w:cs="Arial" w:eastAsia="Arial" w:hAnsi="Arial"/>
          <w:sz w:val="18"/>
          <w:szCs w:val="18"/>
          <w:b w:val="1"/>
          <w:bCs w:val="1"/>
          <w:i w:val="1"/>
          <w:iCs w:val="1"/>
          <w:color w:val="auto"/>
        </w:rPr>
        <w:t>Section 2.15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Terminated Plans</w:t>
      </w:r>
      <w:r>
        <w:rPr>
          <w:rFonts w:ascii="Arial" w:cs="Arial" w:eastAsia="Arial" w:hAnsi="Arial"/>
          <w:sz w:val="16"/>
          <w:szCs w:val="16"/>
          <w:color w:val="auto"/>
        </w:rPr>
        <w:t>” means The Waste Management, Inc. Pension Plan and The Waste Management of Alameda County, Inc. Retirement Plan.</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Commitment</w:t>
      </w:r>
      <w:r>
        <w:rPr>
          <w:rFonts w:ascii="Arial" w:cs="Arial" w:eastAsia="Arial" w:hAnsi="Arial"/>
          <w:sz w:val="18"/>
          <w:szCs w:val="18"/>
          <w:color w:val="auto"/>
        </w:rPr>
        <w:t xml:space="preserve">” means the Commitments of all the Banks. Initially $3,000,000,000, as such amount may be reduced in accordance with the terms hereof, or, if such Total Commitment has been terminated pursuant to </w:t>
      </w:r>
      <w:r>
        <w:rPr>
          <w:rFonts w:ascii="Arial" w:cs="Arial" w:eastAsia="Arial" w:hAnsi="Arial"/>
          <w:sz w:val="18"/>
          <w:szCs w:val="18"/>
          <w:b w:val="1"/>
          <w:bCs w:val="1"/>
          <w:i w:val="1"/>
          <w:iCs w:val="1"/>
          <w:color w:val="auto"/>
        </w:rPr>
        <w:t>Section 2.3.1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Section 12.2</w:t>
      </w:r>
      <w:r>
        <w:rPr>
          <w:rFonts w:ascii="Arial" w:cs="Arial" w:eastAsia="Arial" w:hAnsi="Arial"/>
          <w:sz w:val="18"/>
          <w:szCs w:val="18"/>
          <w:color w:val="auto"/>
        </w:rPr>
        <w:t xml:space="preserve"> hereof, zero.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Debt</w:t>
      </w:r>
      <w:r>
        <w:rPr>
          <w:rFonts w:ascii="Arial" w:cs="Arial" w:eastAsia="Arial" w:hAnsi="Arial"/>
          <w:sz w:val="18"/>
          <w:szCs w:val="18"/>
          <w:color w:val="auto"/>
        </w:rPr>
        <w:t xml:space="preserve">” means the sum, without duplication, of all (a) Indebtedness of the Company and its Subsidiaries on a consolidated basis under </w:t>
      </w:r>
      <w:r>
        <w:rPr>
          <w:rFonts w:ascii="Arial" w:cs="Arial" w:eastAsia="Arial" w:hAnsi="Arial"/>
          <w:sz w:val="18"/>
          <w:szCs w:val="18"/>
          <w:b w:val="1"/>
          <w:bCs w:val="1"/>
          <w:i w:val="1"/>
          <w:iCs w:val="1"/>
          <w:color w:val="auto"/>
        </w:rPr>
        <w:t xml:space="preserve">subsections (a) </w:t>
      </w:r>
      <w:r>
        <w:rPr>
          <w:rFonts w:ascii="Arial" w:cs="Arial" w:eastAsia="Arial" w:hAnsi="Arial"/>
          <w:sz w:val="18"/>
          <w:szCs w:val="18"/>
          <w:color w:val="auto"/>
        </w:rPr>
        <w:t>through</w:t>
      </w:r>
      <w:r>
        <w:rPr>
          <w:rFonts w:ascii="Arial" w:cs="Arial" w:eastAsia="Arial" w:hAnsi="Arial"/>
          <w:sz w:val="18"/>
          <w:szCs w:val="18"/>
          <w:b w:val="1"/>
          <w:bCs w:val="1"/>
          <w:i w:val="1"/>
          <w:iCs w:val="1"/>
          <w:color w:val="auto"/>
        </w:rPr>
        <w:t xml:space="preserve"> (h) </w:t>
      </w:r>
      <w:r>
        <w:rPr>
          <w:rFonts w:ascii="Arial" w:cs="Arial" w:eastAsia="Arial" w:hAnsi="Arial"/>
          <w:sz w:val="18"/>
          <w:szCs w:val="18"/>
          <w:color w:val="auto"/>
        </w:rPr>
        <w:t>of the definition of “</w:t>
      </w:r>
      <w:r>
        <w:rPr>
          <w:rFonts w:ascii="Arial" w:cs="Arial" w:eastAsia="Arial" w:hAnsi="Arial"/>
          <w:sz w:val="18"/>
          <w:szCs w:val="18"/>
          <w:i w:val="1"/>
          <w:iCs w:val="1"/>
          <w:color w:val="auto"/>
        </w:rPr>
        <w:t>Indebtedness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Indebtedness with respect to Permitted Receivables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shall not be included in such calculation),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(b) non-contingent reimbursement obligations of the Company and its Subsidiaries with respect to drawings under any letters of credit.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Type</w:t>
      </w:r>
      <w:r>
        <w:rPr>
          <w:rFonts w:ascii="Arial" w:cs="Arial" w:eastAsia="Arial" w:hAnsi="Arial"/>
          <w:sz w:val="18"/>
          <w:szCs w:val="18"/>
          <w:color w:val="auto"/>
        </w:rPr>
        <w:t>” means when used in reference to any Loan, refers to whether the rate of interest on such Loan is determined by reference to the Eurocurrency Rate or the Base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any Person that is a “</w:t>
      </w:r>
      <w:r>
        <w:rPr>
          <w:rFonts w:ascii="Arial" w:cs="Arial" w:eastAsia="Arial" w:hAnsi="Arial"/>
          <w:sz w:val="18"/>
          <w:szCs w:val="18"/>
          <w:i w:val="1"/>
          <w:iCs w:val="1"/>
          <w:color w:val="auto"/>
        </w:rPr>
        <w:t>United States Person</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7701(a)(30)</w:t>
      </w:r>
      <w:r>
        <w:rPr>
          <w:rFonts w:ascii="Arial" w:cs="Arial" w:eastAsia="Arial" w:hAnsi="Arial"/>
          <w:sz w:val="18"/>
          <w:szCs w:val="18"/>
          <w:color w:val="auto"/>
        </w:rPr>
        <w:t xml:space="preserve">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i w:val="1"/>
          <w:iCs w:val="1"/>
          <w:color w:val="auto"/>
        </w:rPr>
        <w:t>Section 3.1.5(b)(ii)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USA PATRIOT Act</w:t>
      </w:r>
      <w:r>
        <w:rPr>
          <w:rFonts w:ascii="Arial" w:cs="Arial" w:eastAsia="Arial" w:hAnsi="Arial"/>
          <w:sz w:val="18"/>
          <w:szCs w:val="18"/>
          <w:color w:val="auto"/>
        </w:rPr>
        <w:t>” means the USA PATRIOT Act (</w:t>
      </w:r>
      <w:r>
        <w:rPr>
          <w:rFonts w:ascii="Arial" w:cs="Arial" w:eastAsia="Arial" w:hAnsi="Arial"/>
          <w:sz w:val="18"/>
          <w:szCs w:val="18"/>
          <w:i w:val="1"/>
          <w:iCs w:val="1"/>
          <w:color w:val="auto"/>
        </w:rPr>
        <w:t>Title III</w:t>
      </w:r>
      <w:r>
        <w:rPr>
          <w:rFonts w:ascii="Arial" w:cs="Arial" w:eastAsia="Arial" w:hAnsi="Arial"/>
          <w:sz w:val="18"/>
          <w:szCs w:val="18"/>
          <w:color w:val="auto"/>
        </w:rPr>
        <w:t xml:space="preserve"> of Pub. L. 107-56 (signed into law October 26, 2001)).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spacing w:after="0"/>
        <w:tabs>
          <w:tab w:leader="none" w:pos="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Rules of Interpretation</w:t>
      </w:r>
      <w:r>
        <w:rPr>
          <w:rFonts w:ascii="Arial" w:cs="Arial" w:eastAsia="Arial" w:hAnsi="Arial"/>
          <w:sz w:val="16"/>
          <w:szCs w:val="16"/>
          <w:color w:val="auto"/>
        </w:rPr>
        <w:t>.</w:t>
      </w:r>
    </w:p>
    <w:p>
      <w:pPr>
        <w:spacing w:after="0" w:line="229" w:lineRule="exact"/>
        <w:rPr>
          <w:sz w:val="20"/>
          <w:szCs w:val="20"/>
          <w:color w:val="auto"/>
        </w:rPr>
      </w:pPr>
    </w:p>
    <w:p>
      <w:pPr>
        <w:ind w:left="660" w:right="20" w:firstLine="644"/>
        <w:spacing w:after="0" w:line="342" w:lineRule="auto"/>
        <w:tabs>
          <w:tab w:leader="none" w:pos="20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225" w:lineRule="exact"/>
        <w:rPr>
          <w:rFonts w:ascii="Arial" w:cs="Arial" w:eastAsia="Arial" w:hAnsi="Arial"/>
          <w:sz w:val="18"/>
          <w:szCs w:val="18"/>
          <w:color w:val="auto"/>
        </w:rPr>
      </w:pPr>
    </w:p>
    <w:p>
      <w:pPr>
        <w:ind w:left="660" w:firstLine="644"/>
        <w:spacing w:after="0" w:line="277" w:lineRule="auto"/>
        <w:tabs>
          <w:tab w:leader="none" w:pos="2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words “include”, “includes” and “including” are not limiting.</w:t>
      </w:r>
    </w:p>
    <w:p>
      <w:pPr>
        <w:spacing w:after="0" w:line="225" w:lineRule="exact"/>
        <w:rPr>
          <w:rFonts w:ascii="Arial" w:cs="Arial" w:eastAsia="Arial" w:hAnsi="Arial"/>
          <w:sz w:val="18"/>
          <w:szCs w:val="18"/>
          <w:color w:val="auto"/>
        </w:rPr>
      </w:pPr>
    </w:p>
    <w:p>
      <w:pPr>
        <w:ind w:left="660" w:firstLine="644"/>
        <w:spacing w:after="0" w:line="277" w:lineRule="auto"/>
        <w:tabs>
          <w:tab w:leader="none" w:pos="1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 to a particular “</w:t>
      </w:r>
      <w:r>
        <w:rPr>
          <w:rFonts w:ascii="Arial" w:cs="Arial" w:eastAsia="Arial" w:hAnsi="Arial"/>
          <w:sz w:val="18"/>
          <w:szCs w:val="18"/>
          <w:i w:val="1"/>
          <w:iCs w:val="1"/>
          <w:color w:val="auto"/>
        </w:rPr>
        <w:t>§</w:t>
      </w:r>
      <w:r>
        <w:rPr>
          <w:rFonts w:ascii="Arial" w:cs="Arial" w:eastAsia="Arial" w:hAnsi="Arial"/>
          <w:sz w:val="18"/>
          <w:szCs w:val="18"/>
          <w:color w:val="auto"/>
        </w:rPr>
        <w:t>” refers to that section of this Agreement unless otherwise indicated.</w:t>
      </w:r>
    </w:p>
    <w:p>
      <w:pPr>
        <w:spacing w:after="0" w:line="225" w:lineRule="exact"/>
        <w:rPr>
          <w:rFonts w:ascii="Arial" w:cs="Arial" w:eastAsia="Arial" w:hAnsi="Arial"/>
          <w:sz w:val="18"/>
          <w:szCs w:val="18"/>
          <w:color w:val="auto"/>
        </w:rPr>
      </w:pPr>
    </w:p>
    <w:p>
      <w:pPr>
        <w:ind w:left="660" w:firstLine="644"/>
        <w:spacing w:after="0" w:line="277" w:lineRule="auto"/>
        <w:tabs>
          <w:tab w:leader="none" w:pos="20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i w:val="1"/>
          <w:iCs w:val="1"/>
          <w:color w:val="auto"/>
        </w:rPr>
        <w:t>herein</w:t>
      </w:r>
      <w:r>
        <w:rPr>
          <w:rFonts w:ascii="Arial" w:cs="Arial" w:eastAsia="Arial" w:hAnsi="Arial"/>
          <w:sz w:val="18"/>
          <w:szCs w:val="18"/>
          <w:color w:val="auto"/>
        </w:rPr>
        <w:t>”, “</w:t>
      </w:r>
      <w:r>
        <w:rPr>
          <w:rFonts w:ascii="Arial" w:cs="Arial" w:eastAsia="Arial" w:hAnsi="Arial"/>
          <w:sz w:val="18"/>
          <w:szCs w:val="18"/>
          <w:i w:val="1"/>
          <w:iCs w:val="1"/>
          <w:color w:val="auto"/>
        </w:rPr>
        <w:t>hereof</w:t>
      </w:r>
      <w:r>
        <w:rPr>
          <w:rFonts w:ascii="Arial" w:cs="Arial" w:eastAsia="Arial" w:hAnsi="Arial"/>
          <w:sz w:val="18"/>
          <w:szCs w:val="18"/>
          <w:color w:val="auto"/>
        </w:rPr>
        <w:t>”, “</w:t>
      </w:r>
      <w:r>
        <w:rPr>
          <w:rFonts w:ascii="Arial" w:cs="Arial" w:eastAsia="Arial" w:hAnsi="Arial"/>
          <w:sz w:val="18"/>
          <w:szCs w:val="18"/>
          <w:i w:val="1"/>
          <w:iCs w:val="1"/>
          <w:color w:val="auto"/>
        </w:rPr>
        <w:t>hereunder</w:t>
      </w:r>
      <w:r>
        <w:rPr>
          <w:rFonts w:ascii="Arial" w:cs="Arial" w:eastAsia="Arial" w:hAnsi="Arial"/>
          <w:sz w:val="18"/>
          <w:szCs w:val="18"/>
          <w:color w:val="auto"/>
        </w:rPr>
        <w:t>” and words of like import shall refer to this Agreement as a whole and not to any particular section or subdivision of this Agreement.</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9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Classification of Loans and Borrowings</w:t>
      </w:r>
      <w:r>
        <w:rPr>
          <w:rFonts w:ascii="Arial" w:cs="Arial" w:eastAsia="Arial" w:hAnsi="Arial"/>
          <w:sz w:val="18"/>
          <w:szCs w:val="18"/>
          <w:color w:val="auto"/>
        </w:rPr>
        <w:t>. For purposes of this Agreement, Loans may be classified and referred to by Type (e.g., a “</w:t>
      </w:r>
      <w:r>
        <w:rPr>
          <w:rFonts w:ascii="Arial" w:cs="Arial" w:eastAsia="Arial" w:hAnsi="Arial"/>
          <w:sz w:val="18"/>
          <w:szCs w:val="18"/>
          <w:b w:val="1"/>
          <w:bCs w:val="1"/>
          <w:i w:val="1"/>
          <w:iCs w:val="1"/>
          <w:color w:val="auto"/>
        </w:rPr>
        <w:t>Eurocurrency Loan</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 LOAN FACILITIES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Loans</w:t>
      </w:r>
    </w:p>
    <w:p>
      <w:pPr>
        <w:spacing w:after="0" w:line="229" w:lineRule="exact"/>
        <w:rPr>
          <w:sz w:val="20"/>
          <w:szCs w:val="20"/>
          <w:color w:val="auto"/>
        </w:rPr>
      </w:pPr>
    </w:p>
    <w:p>
      <w:pPr>
        <w:jc w:val="both"/>
        <w:ind w:firstLine="8"/>
        <w:spacing w:after="0" w:line="273" w:lineRule="auto"/>
        <w:tabs>
          <w:tab w:leader="none" w:pos="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each Bank severally agrees to make loans (each such loan, a “</w:t>
      </w:r>
      <w:r>
        <w:rPr>
          <w:rFonts w:ascii="Arial" w:cs="Arial" w:eastAsia="Arial" w:hAnsi="Arial"/>
          <w:sz w:val="17"/>
          <w:szCs w:val="17"/>
          <w:b w:val="1"/>
          <w:bCs w:val="1"/>
          <w:i w:val="1"/>
          <w:iCs w:val="1"/>
          <w:color w:val="auto"/>
        </w:rPr>
        <w:t>Loan</w:t>
      </w:r>
      <w:r>
        <w:rPr>
          <w:rFonts w:ascii="Arial" w:cs="Arial" w:eastAsia="Arial" w:hAnsi="Arial"/>
          <w:sz w:val="17"/>
          <w:szCs w:val="17"/>
          <w:color w:val="auto"/>
        </w:rPr>
        <w:t xml:space="preserve">”) to the Company in Dollars from time to time, on any Business Day during the Availability Period, in an aggregate amount not to exceed at any time outstanding the amount of such Bank’s Commitment;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after giving effect to any Borrowing, (i) the Outstanding Amount shall not exceed the Total Commitments and (ii) the Revolving Credit Exposure of any Bank shall not exceed such Bank’s Commitment. Within the limits of each Bank’s Commitment, and subject to the other terms and conditions hereof, the Company may borrow under this </w:t>
      </w:r>
      <w:r>
        <w:rPr>
          <w:rFonts w:ascii="Arial" w:cs="Arial" w:eastAsia="Arial" w:hAnsi="Arial"/>
          <w:sz w:val="17"/>
          <w:szCs w:val="17"/>
          <w:b w:val="1"/>
          <w:bCs w:val="1"/>
          <w:i w:val="1"/>
          <w:iCs w:val="1"/>
          <w:color w:val="auto"/>
        </w:rPr>
        <w:t>Section 2.1</w:t>
      </w:r>
      <w:r>
        <w:rPr>
          <w:rFonts w:ascii="Arial" w:cs="Arial" w:eastAsia="Arial" w:hAnsi="Arial"/>
          <w:sz w:val="17"/>
          <w:szCs w:val="17"/>
          <w:color w:val="auto"/>
        </w:rPr>
        <w:t xml:space="preserve">, prepay under </w:t>
      </w:r>
      <w:r>
        <w:rPr>
          <w:rFonts w:ascii="Arial" w:cs="Arial" w:eastAsia="Arial" w:hAnsi="Arial"/>
          <w:sz w:val="17"/>
          <w:szCs w:val="17"/>
          <w:b w:val="1"/>
          <w:bCs w:val="1"/>
          <w:i w:val="1"/>
          <w:iCs w:val="1"/>
          <w:color w:val="auto"/>
        </w:rPr>
        <w:t>Section 2.7</w:t>
      </w:r>
      <w:r>
        <w:rPr>
          <w:rFonts w:ascii="Arial" w:cs="Arial" w:eastAsia="Arial" w:hAnsi="Arial"/>
          <w:sz w:val="17"/>
          <w:szCs w:val="17"/>
          <w:color w:val="auto"/>
        </w:rPr>
        <w:t xml:space="preserve">, and re-borrow under this </w:t>
      </w:r>
      <w:r>
        <w:rPr>
          <w:rFonts w:ascii="Arial" w:cs="Arial" w:eastAsia="Arial" w:hAnsi="Arial"/>
          <w:sz w:val="17"/>
          <w:szCs w:val="17"/>
          <w:b w:val="1"/>
          <w:bCs w:val="1"/>
          <w:i w:val="1"/>
          <w:iCs w:val="1"/>
          <w:color w:val="auto"/>
        </w:rPr>
        <w:t>Section 2.1</w:t>
      </w:r>
      <w:r>
        <w:rPr>
          <w:rFonts w:ascii="Arial" w:cs="Arial" w:eastAsia="Arial" w:hAnsi="Arial"/>
          <w:sz w:val="17"/>
          <w:szCs w:val="17"/>
          <w:color w:val="auto"/>
        </w:rPr>
        <w:t>. Loans may be Base Rate Loans or Eurocurrency Rate Loans, as further provided herein.</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herein:</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color w:val="auto"/>
        </w:rPr>
        <w:t>Facility Fee</w:t>
      </w:r>
      <w:r>
        <w:rPr>
          <w:rFonts w:ascii="Arial" w:cs="Arial" w:eastAsia="Arial" w:hAnsi="Arial"/>
          <w:sz w:val="17"/>
          <w:szCs w:val="17"/>
          <w:color w:val="auto"/>
        </w:rPr>
        <w:t>. The Company shall pay to the Administrative Agent for the account of each Bank in accordance with its Commitment Percentage, a facility fee (the “</w:t>
      </w:r>
      <w:r>
        <w:rPr>
          <w:rFonts w:ascii="Arial" w:cs="Arial" w:eastAsia="Arial" w:hAnsi="Arial"/>
          <w:sz w:val="17"/>
          <w:szCs w:val="17"/>
          <w:b w:val="1"/>
          <w:bCs w:val="1"/>
          <w:i w:val="1"/>
          <w:iCs w:val="1"/>
          <w:color w:val="auto"/>
        </w:rPr>
        <w:t>Facility Fee</w:t>
      </w:r>
      <w:r>
        <w:rPr>
          <w:rFonts w:ascii="Arial" w:cs="Arial" w:eastAsia="Arial" w:hAnsi="Arial"/>
          <w:sz w:val="17"/>
          <w:szCs w:val="17"/>
          <w:color w:val="auto"/>
        </w:rPr>
        <w:t xml:space="preserve">”) in Dollars equal to the Applicable Rate times the actual daily amount of the Total Commitments (or, if the Total Commitments have terminated, on the Outstanding Amount of all Loans), regardless of usage, subject to adjustment as provided in </w:t>
      </w:r>
      <w:r>
        <w:rPr>
          <w:rFonts w:ascii="Arial" w:cs="Arial" w:eastAsia="Arial" w:hAnsi="Arial"/>
          <w:sz w:val="17"/>
          <w:szCs w:val="17"/>
          <w:b w:val="1"/>
          <w:bCs w:val="1"/>
          <w:i w:val="1"/>
          <w:iCs w:val="1"/>
          <w:color w:val="auto"/>
        </w:rPr>
        <w:t>Section 2.17</w:t>
      </w:r>
      <w:r>
        <w:rPr>
          <w:rFonts w:ascii="Arial" w:cs="Arial" w:eastAsia="Arial" w:hAnsi="Arial"/>
          <w:sz w:val="17"/>
          <w:szCs w:val="17"/>
          <w:color w:val="auto"/>
        </w:rPr>
        <w:t>. The Facility Fee shall accrue at all times during the Availability Period (and thereafter so long as any Loans remain outstanding), including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any time during which one or more of the conditions in </w:t>
      </w:r>
      <w:r>
        <w:rPr>
          <w:rFonts w:ascii="Arial" w:cs="Arial" w:eastAsia="Arial" w:hAnsi="Arial"/>
          <w:sz w:val="17"/>
          <w:szCs w:val="17"/>
          <w:b w:val="1"/>
          <w:bCs w:val="1"/>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10</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11</w:t>
      </w:r>
      <w:r>
        <w:rPr>
          <w:rFonts w:ascii="Arial" w:cs="Arial" w:eastAsia="Arial" w:hAnsi="Arial"/>
          <w:sz w:val="17"/>
          <w:szCs w:val="17"/>
          <w:color w:val="auto"/>
        </w:rPr>
        <w:t xml:space="preserve"> is not met, and shall be due and payable quarterly in arrears on the first Business Day of each calendar quarter for the immediately preceding calendar quarter commencing with the first such date to occur after the Effective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Other Fees</w:t>
      </w:r>
      <w:r>
        <w:rPr>
          <w:rFonts w:ascii="Arial" w:cs="Arial" w:eastAsia="Arial" w:hAnsi="Arial"/>
          <w:sz w:val="18"/>
          <w:szCs w:val="18"/>
          <w:color w:val="auto"/>
        </w:rPr>
        <w:t>. The Company shall pay to (a) the Lead Arrangers and the Administrative Agent for their own respective accounts, in Dollars, fees in the amounts and at the times specified in the fee letters between the Company and the Lead Arrangers and (b) the Banks,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Reduction of Total Commitment</w:t>
      </w:r>
      <w:r>
        <w:rPr>
          <w:rFonts w:ascii="Arial" w:cs="Arial" w:eastAsia="Arial" w:hAnsi="Arial"/>
          <w:sz w:val="16"/>
          <w:szCs w:val="16"/>
          <w:color w:val="auto"/>
        </w:rPr>
        <w:t>.</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2.3.1 The Company shall have the right at any time and from time to time upon three Business Days’ prior written notice to the Administrative Agent to reduce by $25,000,000 or a greater amount, or terminate entirely, the Total Commitment, whereupon each Bank’s Commitment shall be reduced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such Bank’s Commitment Percentage of the amount specified in such notice or, as the case may be, terminated;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no time may the Total Commitment be reduced to an amount less than all Loans then outstanding.</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No reduction or termination of the Total Commitment once made may be revoked; the portion of the Total Commitment reduced or terminated may not be reinstated; and amounts in respect of such reduced or terminated portion may not be re-borrowed;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notice of termination of the Total Commitment may state that such notice is conditioned upon the effectiveness of other credit facilities or any incurrence or issuance of debt or equity or the occurrence of any other transaction, in which case such notice may be revoked by the Company (by notice to the Administrative Agent on or prior to the specified effective date) if such condition is not satisfied.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77" w:lineRule="auto"/>
        <w:rPr>
          <w:sz w:val="20"/>
          <w:szCs w:val="20"/>
          <w:color w:val="auto"/>
        </w:rPr>
      </w:pPr>
      <w:r>
        <w:rPr>
          <w:rFonts w:ascii="Arial" w:cs="Arial" w:eastAsia="Arial" w:hAnsi="Arial"/>
          <w:sz w:val="18"/>
          <w:szCs w:val="18"/>
          <w:color w:val="auto"/>
        </w:rPr>
        <w:t xml:space="preserve">2.3.3 The Administrative Agent will notify the Banks promptly after receiving any notice delivered by the Company pursuant to this </w:t>
      </w:r>
      <w:r>
        <w:rPr>
          <w:rFonts w:ascii="Arial" w:cs="Arial" w:eastAsia="Arial" w:hAnsi="Arial"/>
          <w:sz w:val="18"/>
          <w:szCs w:val="18"/>
          <w:b w:val="1"/>
          <w:bCs w:val="1"/>
          <w:i w:val="1"/>
          <w:iCs w:val="1"/>
          <w:color w:val="auto"/>
        </w:rPr>
        <w:t xml:space="preserve">Section 2.3 </w:t>
      </w:r>
      <w:r>
        <w:rPr>
          <w:rFonts w:ascii="Arial" w:cs="Arial" w:eastAsia="Arial" w:hAnsi="Arial"/>
          <w:sz w:val="18"/>
          <w:szCs w:val="18"/>
          <w:color w:val="auto"/>
        </w:rPr>
        <w:t>and will distribute to each Bank a revised</w:t>
      </w:r>
      <w:r>
        <w:rPr>
          <w:rFonts w:ascii="Arial" w:cs="Arial" w:eastAsia="Arial" w:hAnsi="Arial"/>
          <w:sz w:val="18"/>
          <w:szCs w:val="18"/>
          <w:b w:val="1"/>
          <w:bCs w:val="1"/>
          <w:i w:val="1"/>
          <w:iCs w:val="1"/>
          <w:color w:val="auto"/>
        </w:rPr>
        <w:t xml:space="preserve"> Schedule 1 </w:t>
      </w:r>
      <w:r>
        <w:rPr>
          <w:rFonts w:ascii="Arial" w:cs="Arial" w:eastAsia="Arial" w:hAnsi="Arial"/>
          <w:sz w:val="18"/>
          <w:szCs w:val="18"/>
          <w:color w:val="auto"/>
        </w:rPr>
        <w:t>to this Agreement.</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Borrowings, Conversions and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2.4.1 Each Borrowing, each conversion of Loans from one Type to the other, and each continuation of Eurocurrency Rate Loans shall be made upon the Company’s irrevocable notice to the Administrative Agent, which may be given by (A) telephone or (B) a Loan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telephonic notice must be confirmed immediately by delivery to the Administrative Agent of a Loan Notice. Each such Loan Notice must be received by the Administrative Agent not later than (x) 11:00 a.m. three Business Days prior to the requested date of any Borrowing of, conversion to or continuation of Eurocurrency Rate Loans or of any conversion of Eurocurrency Rate Loans to Base Rate Loans and (y) 1:00 p.m. on the requested date of any Borrowing of Base Rate Loans. Each Borrowing of, conversion to or continuation of Eurocurrency Rate Loans shall be in a principal amount of $10,000,000 or a whole multiple of $1,000,000 in excess thereof. Each Borrowing of or conversion to Base Rate Loans shall be in a principal amount of $5,000,000 or a whole multiple of $500,000 in excess thereof. Each Loan Notice shall specify (i) whether the Company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Company fails to specify a Type of Loan in a Loan Notice or if the Company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Eurocurrency Rate Loans. If the Company requests a Borrowing of, conversion to, or continuation of Eurocurrency Rate Loans in any such Loan Notice, but fails to specify an Interest Period, it will be deemed to have specified an Interest Period of one month.</w:t>
      </w:r>
    </w:p>
    <w:p>
      <w:pPr>
        <w:spacing w:after="0" w:line="18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2.4.2 Following receipt of a Loan Notice, the Administrative Agent shall promptly notify each Bank of the amount of its Commitment Percentage of the applicable Loans, and if no timely notice of a conversion or continuation is provided by the Company, the Administrative Agent shall notify each Bank of the details of any automatic conversion to Base Rate as described in the preceding subsection. In the case of a Borrowing, each Bank shall make the amount of its Loan available to the Administrative Agent in immediately available funds at the Administrative Agent’s Office not later than 3:00 p.m. on the Business Day specified in the applicable Loan Notice. Upon satisfaction of the applicable conditions set forth in </w:t>
      </w:r>
      <w:r>
        <w:rPr>
          <w:rFonts w:ascii="Arial" w:cs="Arial" w:eastAsia="Arial" w:hAnsi="Arial"/>
          <w:sz w:val="16"/>
          <w:szCs w:val="16"/>
          <w:b w:val="1"/>
          <w:bCs w:val="1"/>
          <w:i w:val="1"/>
          <w:iCs w:val="1"/>
          <w:color w:val="auto"/>
        </w:rPr>
        <w:t>Section 11</w:t>
      </w:r>
      <w:r>
        <w:rPr>
          <w:rFonts w:ascii="Arial" w:cs="Arial" w:eastAsia="Arial" w:hAnsi="Arial"/>
          <w:sz w:val="16"/>
          <w:szCs w:val="16"/>
          <w:color w:val="auto"/>
        </w:rPr>
        <w:t xml:space="preserve"> (and, if such Borrowing is the initial Borrowing, </w:t>
      </w:r>
      <w:r>
        <w:rPr>
          <w:rFonts w:ascii="Arial" w:cs="Arial" w:eastAsia="Arial" w:hAnsi="Arial"/>
          <w:sz w:val="16"/>
          <w:szCs w:val="16"/>
          <w:b w:val="1"/>
          <w:bCs w:val="1"/>
          <w:i w:val="1"/>
          <w:iCs w:val="1"/>
          <w:color w:val="auto"/>
        </w:rPr>
        <w:t>Section 10</w:t>
      </w:r>
      <w:r>
        <w:rPr>
          <w:rFonts w:ascii="Arial" w:cs="Arial" w:eastAsia="Arial" w:hAnsi="Arial"/>
          <w:sz w:val="16"/>
          <w:szCs w:val="16"/>
          <w:color w:val="auto"/>
        </w:rPr>
        <w:t>), the Administrative Agent shall make all funds so received available to the Company in like funds as received by the Administrative Agent either by (i) crediting the account of the Company on the books of Mizuho Bank with the amount of such funds or</w:t>
      </w:r>
    </w:p>
    <w:p>
      <w:pPr>
        <w:spacing w:after="0" w:line="2" w:lineRule="exact"/>
        <w:rPr>
          <w:sz w:val="20"/>
          <w:szCs w:val="20"/>
          <w:color w:val="auto"/>
        </w:rPr>
      </w:pPr>
    </w:p>
    <w:p>
      <w:pPr>
        <w:ind w:firstLine="8"/>
        <w:spacing w:after="0" w:line="260" w:lineRule="auto"/>
        <w:tabs>
          <w:tab w:leader="none" w:pos="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wire transfer of such funds, in each case in accordance with instructions provided to (and reasonably acceptable to) the Administrative Agent by the Company.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2.4.3 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without the consent of the Administrative Agent.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right="20" w:firstLine="1296"/>
        <w:spacing w:after="0" w:line="277" w:lineRule="auto"/>
        <w:rPr>
          <w:sz w:val="20"/>
          <w:szCs w:val="20"/>
          <w:color w:val="auto"/>
        </w:rPr>
      </w:pPr>
      <w:r>
        <w:rPr>
          <w:rFonts w:ascii="Arial" w:cs="Arial" w:eastAsia="Arial" w:hAnsi="Arial"/>
          <w:sz w:val="18"/>
          <w:szCs w:val="18"/>
          <w:color w:val="auto"/>
        </w:rPr>
        <w:t>2.4.4 The Administrative Agent shall promptly notify the Company and the Banks of the interest rate applicable to any Interest Period for Eurocurrency Rate Loans upon determination of such interest rate.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2.4.5 After giving effect to all Borrowings, all conversions of Loans from one Type to the other, and all continuations of Loans as the same Type, there shall not be more than ten Interest Periods in effect with respect to Loans.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2.4.6 Notwithstanding anything to the contrary in this Agreement, any Bank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Bank.</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Prepayments</w:t>
      </w:r>
      <w:r>
        <w:rPr>
          <w:rFonts w:ascii="Arial" w:cs="Arial" w:eastAsia="Arial" w:hAnsi="Arial"/>
          <w:sz w:val="16"/>
          <w:szCs w:val="16"/>
          <w:color w:val="auto"/>
        </w:rPr>
        <w:t xml:space="preserve">. The Company may, upon notice to the Administrative Agent, at any time or from time to time voluntarily prepay Loans in whole or in part without premium or penalty;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notice must be in a form reasonably acceptable to the Administrative Agent and be received by the Administrative Agent not later than (x) 11:00 a.m. (A) three Business Days prior to any date of prepayment of Eurocurrency Rate Loans and (y) 1:00 pm on the date of prepayment of Base Rate Loans; and (ii) any prepayment of Eurocurrency Rate Loans shall be in a principal amount of $5,000,000 or a whole multiple of $1,000,000 in excess thereof and (iii) any prepayment of Base Rate Loans shall be in a principal amount of $5,000,000 or a whole multiple of $500,000 in excess thereof, in each case,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Bank of its receipt of each such notice, and of the amount of such Bank’s Commitment Percentage of such prepayment. If such notice is given by the Company, the Company shall make such prepayment and the payment amount specified in such notice shall be due and payable on the date specified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prepayment of all or any part of the outstanding Loans may state that such notice is conditioned upon the effectiveness of other credit facilities or any incurrence or issuance of debt or equity or the occurrence of any other transaction, in which case such notice may be revoked, subject to </w:t>
      </w:r>
      <w:r>
        <w:rPr>
          <w:rFonts w:ascii="Arial" w:cs="Arial" w:eastAsia="Arial" w:hAnsi="Arial"/>
          <w:sz w:val="16"/>
          <w:szCs w:val="16"/>
          <w:b w:val="1"/>
          <w:bCs w:val="1"/>
          <w:i w:val="1"/>
          <w:iCs w:val="1"/>
          <w:color w:val="auto"/>
        </w:rPr>
        <w:t>Section 3.5</w:t>
      </w:r>
      <w:r>
        <w:rPr>
          <w:rFonts w:ascii="Arial" w:cs="Arial" w:eastAsia="Arial" w:hAnsi="Arial"/>
          <w:sz w:val="16"/>
          <w:szCs w:val="16"/>
          <w:color w:val="auto"/>
        </w:rPr>
        <w:t xml:space="preserve">, by the Company (by notice to the Administrative Agent on or prior to the specified effective date) if such condition is not satisfied. Any prepayment of a Eurocurrency Rate Loan shall be accompanied by all accrued interest on the amount prepaid, together with any additional amounts required pursuant to </w:t>
      </w:r>
      <w:r>
        <w:rPr>
          <w:rFonts w:ascii="Arial" w:cs="Arial" w:eastAsia="Arial" w:hAnsi="Arial"/>
          <w:sz w:val="16"/>
          <w:szCs w:val="16"/>
          <w:b w:val="1"/>
          <w:bCs w:val="1"/>
          <w:i w:val="1"/>
          <w:iCs w:val="1"/>
          <w:color w:val="auto"/>
        </w:rPr>
        <w:t>Section 3.5</w:t>
      </w:r>
      <w:r>
        <w:rPr>
          <w:rFonts w:ascii="Arial" w:cs="Arial" w:eastAsia="Arial" w:hAnsi="Arial"/>
          <w:sz w:val="16"/>
          <w:szCs w:val="16"/>
          <w:color w:val="auto"/>
        </w:rPr>
        <w:t xml:space="preserve">. Subject to </w:t>
      </w:r>
      <w:r>
        <w:rPr>
          <w:rFonts w:ascii="Arial" w:cs="Arial" w:eastAsia="Arial" w:hAnsi="Arial"/>
          <w:sz w:val="16"/>
          <w:szCs w:val="16"/>
          <w:b w:val="1"/>
          <w:bCs w:val="1"/>
          <w:i w:val="1"/>
          <w:iCs w:val="1"/>
          <w:color w:val="auto"/>
        </w:rPr>
        <w:t>Section 2.17</w:t>
      </w:r>
      <w:r>
        <w:rPr>
          <w:rFonts w:ascii="Arial" w:cs="Arial" w:eastAsia="Arial" w:hAnsi="Arial"/>
          <w:sz w:val="16"/>
          <w:szCs w:val="16"/>
          <w:color w:val="auto"/>
        </w:rPr>
        <w:t>, each such prepayment shall be applied to the Loans of the Banks in accordance with their respective Commitment Percentages.</w:t>
      </w:r>
    </w:p>
    <w:p>
      <w:pPr>
        <w:spacing w:after="0" w:line="16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color w:val="auto"/>
        </w:rPr>
        <w:t>Repayment of Loans</w:t>
      </w:r>
      <w:r>
        <w:rPr>
          <w:rFonts w:ascii="Arial" w:cs="Arial" w:eastAsia="Arial" w:hAnsi="Arial"/>
          <w:sz w:val="16"/>
          <w:szCs w:val="16"/>
          <w:color w:val="auto"/>
        </w:rPr>
        <w:t xml:space="preserve">. Unless the Term-Out option has been exercised in accordance with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the Company shall repay to the Banks on the Maturity Date the aggregate principal amount of Loans outstanding on such date, together with accrued interest thereon. Any Term Loan shall mature, and the principal amount thereof shall be due and payable, together with accrued interest thereon, on the Term Loan Maturity Date.</w:t>
      </w:r>
    </w:p>
    <w:p>
      <w:pPr>
        <w:spacing w:after="0" w:line="14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2.9.1 Subject to the provisions of </w:t>
      </w:r>
      <w:r>
        <w:rPr>
          <w:rFonts w:ascii="Arial" w:cs="Arial" w:eastAsia="Arial" w:hAnsi="Arial"/>
          <w:sz w:val="18"/>
          <w:szCs w:val="18"/>
          <w:b w:val="1"/>
          <w:bCs w:val="1"/>
          <w:i w:val="1"/>
          <w:iCs w:val="1"/>
          <w:color w:val="auto"/>
        </w:rPr>
        <w:t>subsection 2.9.2(b)</w:t>
      </w:r>
      <w:r>
        <w:rPr>
          <w:rFonts w:ascii="Arial" w:cs="Arial" w:eastAsia="Arial" w:hAnsi="Arial"/>
          <w:sz w:val="18"/>
          <w:szCs w:val="18"/>
          <w:color w:val="auto"/>
        </w:rPr>
        <w:t xml:space="preserve"> below, (i) each Eurocurrency Rate Loan shall bear interest on the outstanding principal amount thereof for each Interest Period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Eurocurrency Rate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for Eurocurrency Rate Loans and (ii) each Base Rate Loan shall bear interest on the outstanding principal amount thereof from the applicable borrowing date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 for Base Rate Loans.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296"/>
        <w:spacing w:after="0" w:line="259" w:lineRule="auto"/>
        <w:rPr>
          <w:sz w:val="20"/>
          <w:szCs w:val="20"/>
          <w:color w:val="auto"/>
        </w:rPr>
      </w:pPr>
      <w:r>
        <w:rPr>
          <w:rFonts w:ascii="Arial" w:cs="Arial" w:eastAsia="Arial" w:hAnsi="Arial"/>
          <w:sz w:val="18"/>
          <w:szCs w:val="18"/>
          <w:color w:val="auto"/>
        </w:rPr>
        <w:t xml:space="preserve">2.9.2 (a) If any amount of principal and interest of any Loan is not paid when due (without regard to any applicable grace periods) or any other amounts due hereunder or under any of the other Loan Documents are not paid when due, whether at stated maturity, by acceleration or otherwise, such amount shall thereafter bear interest at a fluctuating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at all times equal to the Default Rate to the fullest extent permitted by applicable laws.</w:t>
      </w:r>
    </w:p>
    <w:p>
      <w:pPr>
        <w:spacing w:after="0" w:line="187" w:lineRule="exact"/>
        <w:rPr>
          <w:sz w:val="20"/>
          <w:szCs w:val="20"/>
          <w:color w:val="auto"/>
        </w:rPr>
      </w:pPr>
    </w:p>
    <w:p>
      <w:pPr>
        <w:jc w:val="both"/>
        <w:ind w:left="660" w:firstLine="644"/>
        <w:spacing w:after="0" w:line="259" w:lineRule="auto"/>
        <w:tabs>
          <w:tab w:leader="none" w:pos="21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any amount (other than principal of any Loan) payable by the Company under any Loan Document is not paid when due (without regard to any applicable grace periods), whether at stated maturity, by acceleration or otherwise, then upon the request of the Majority Banks, such amount shall thereafter bear interest at a fluctuating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at all times equal to the Default Rate to the fullest extent permitted by applicable laws.</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2.9.3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Computation of Interest and Fees</w:t>
      </w:r>
      <w:r>
        <w:rPr>
          <w:rFonts w:ascii="Arial" w:cs="Arial" w:eastAsia="Arial" w:hAnsi="Arial"/>
          <w:sz w:val="17"/>
          <w:szCs w:val="17"/>
          <w:color w:val="auto"/>
        </w:rPr>
        <w:t xml:space="preserve">. 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b w:val="1"/>
          <w:bCs w:val="1"/>
          <w:i w:val="1"/>
          <w:iCs w:val="1"/>
          <w:color w:val="auto"/>
        </w:rPr>
        <w:t>Section 2.12.1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Evidence of Debt</w:t>
      </w:r>
      <w:r>
        <w:rPr>
          <w:rFonts w:ascii="Arial" w:cs="Arial" w:eastAsia="Arial" w:hAnsi="Arial"/>
          <w:sz w:val="17"/>
          <w:szCs w:val="17"/>
          <w:color w:val="auto"/>
        </w:rPr>
        <w:t xml:space="preserve">. The Borrowings made by each Bank shall be evidenced by one or more accounts or records maintained by such Bank in the ordinary course of business. The Administrative Agent shall maintain the Register in accordance with </w:t>
      </w:r>
      <w:r>
        <w:rPr>
          <w:rFonts w:ascii="Arial" w:cs="Arial" w:eastAsia="Arial" w:hAnsi="Arial"/>
          <w:sz w:val="17"/>
          <w:szCs w:val="17"/>
          <w:b w:val="1"/>
          <w:bCs w:val="1"/>
          <w:i w:val="1"/>
          <w:iCs w:val="1"/>
          <w:color w:val="auto"/>
        </w:rPr>
        <w:t>Section 20</w:t>
      </w:r>
      <w:r>
        <w:rPr>
          <w:rFonts w:ascii="Arial" w:cs="Arial" w:eastAsia="Arial" w:hAnsi="Arial"/>
          <w:sz w:val="17"/>
          <w:szCs w:val="17"/>
          <w:color w:val="auto"/>
        </w:rPr>
        <w:t>. The accounts or records maintained by each Bank shall be conclusive absent manifest error of the amount of the Borrowings made by the Banks to the Company and the interest and payments thereon. Any failure to so record or any error in doing so shall not, however, limit or otherwise affect the obligation of the Company hereunder to pay any amount owing with respect to the Obligations. In the event of any conflict between the accounts and records maintained by any Bank and the Register, the Register shall control in the absence of manifest error. Upon the request of any Bank to the Company made through the Administrative Agent, the Company shall execute and deliver to such Bank (through the Administrative Agent) a Note, which shall evidence such Bank’s Loans to the Company in addition to such accounts or records. Each Bank may attach schedules to a Note and endorse thereon the date, Type (if applicable), amount, currency and maturity of its Loans and payments with respect thereto.</w:t>
      </w:r>
    </w:p>
    <w:p>
      <w:pPr>
        <w:spacing w:after="0" w:line="39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660"/>
        <w:spacing w:after="0"/>
        <w:tabs>
          <w:tab w:leader="none" w:pos="13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2.12.1 </w:t>
      </w:r>
      <w:r>
        <w:rPr>
          <w:rFonts w:ascii="Arial" w:cs="Arial" w:eastAsia="Arial" w:hAnsi="Arial"/>
          <w:sz w:val="16"/>
          <w:szCs w:val="16"/>
          <w:b w:val="1"/>
          <w:bCs w:val="1"/>
          <w:color w:val="auto"/>
        </w:rPr>
        <w:t>General</w:t>
      </w:r>
      <w:r>
        <w:rPr>
          <w:rFonts w:ascii="Arial" w:cs="Arial" w:eastAsia="Arial" w:hAnsi="Arial"/>
          <w:sz w:val="16"/>
          <w:szCs w:val="16"/>
          <w:color w:val="auto"/>
        </w:rPr>
        <w:t>. All payments to be made by the Company shall be made free and clear of and without condition or deduction for any counterclaim, defense, recoupment or setoff. Except as otherwise expressly provided herein, all payments by the Company hereunder shall be made to the Administrative Agent, for the account of the respective Banks to which such payment is owed, at the applicable Administrative Agent’s Office in immediately available funds not later than 2:00 p.m. on the date specified herein. The Administrative Agent will promptly distribute to each Bank its Commitment Percentage (or other applicable share as provided herein) of such payment in like funds as received by wire transfer to such Bank’s Lending Office. All payments received by the Administrative Agent after 2:00 p.m. shall be deemed received on the next succeeding Business Day and any applicable interest or fee shall continue to accrue. If any payment to be made by the Company shall come due on a day other than a Business Day, payment shall be made on the next following Business Day, and such extension of time shall be reflected in computing interest or fees, as the case may be.</w:t>
      </w:r>
    </w:p>
    <w:p>
      <w:pPr>
        <w:spacing w:after="0" w:line="15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2.12.2 (a) </w:t>
      </w:r>
      <w:r>
        <w:rPr>
          <w:rFonts w:ascii="Arial" w:cs="Arial" w:eastAsia="Arial" w:hAnsi="Arial"/>
          <w:sz w:val="16"/>
          <w:szCs w:val="16"/>
          <w:b w:val="1"/>
          <w:bCs w:val="1"/>
          <w:color w:val="auto"/>
        </w:rPr>
        <w:t>Funding by Banks; Presumption by Administrative Agent</w:t>
      </w:r>
      <w:r>
        <w:rPr>
          <w:rFonts w:ascii="Arial" w:cs="Arial" w:eastAsia="Arial" w:hAnsi="Arial"/>
          <w:sz w:val="16"/>
          <w:szCs w:val="16"/>
          <w:color w:val="auto"/>
        </w:rPr>
        <w:t xml:space="preserve">. Unless the Administrative Agent shall have received notice from a Bank prior to the proposed date of any Borrowing of Eurocurrency Rate Loans (or, in the case of any Borrowing of Base Rate Loans, prior to 2:00 p.m. on the date of such Borrowing) that such Bank will not make available to the Administrative Agent such Bank’s share of such Borrowing, the Administrative Agent may assume that such Bank has made such share available on such date in accordance with </w:t>
      </w:r>
      <w:r>
        <w:rPr>
          <w:rFonts w:ascii="Arial" w:cs="Arial" w:eastAsia="Arial" w:hAnsi="Arial"/>
          <w:sz w:val="16"/>
          <w:szCs w:val="16"/>
          <w:b w:val="1"/>
          <w:bCs w:val="1"/>
          <w:i w:val="1"/>
          <w:iCs w:val="1"/>
          <w:color w:val="auto"/>
        </w:rPr>
        <w:t>Section 2.4</w:t>
      </w:r>
      <w:r>
        <w:rPr>
          <w:rFonts w:ascii="Arial" w:cs="Arial" w:eastAsia="Arial" w:hAnsi="Arial"/>
          <w:sz w:val="16"/>
          <w:szCs w:val="16"/>
          <w:color w:val="auto"/>
        </w:rPr>
        <w:t xml:space="preserve"> (or, in the case of a Borrowing of Base Rate Loans, that such Bank has made such share available in accordance with and at the time required by </w:t>
      </w:r>
      <w:r>
        <w:rPr>
          <w:rFonts w:ascii="Arial" w:cs="Arial" w:eastAsia="Arial" w:hAnsi="Arial"/>
          <w:sz w:val="16"/>
          <w:szCs w:val="16"/>
          <w:b w:val="1"/>
          <w:bCs w:val="1"/>
          <w:i w:val="1"/>
          <w:iCs w:val="1"/>
          <w:color w:val="auto"/>
        </w:rPr>
        <w:t>Section 2.4</w:t>
      </w:r>
      <w:r>
        <w:rPr>
          <w:rFonts w:ascii="Arial" w:cs="Arial" w:eastAsia="Arial" w:hAnsi="Arial"/>
          <w:sz w:val="16"/>
          <w:szCs w:val="16"/>
          <w:color w:val="auto"/>
        </w:rPr>
        <w:t>) and may, in reliance upon such assumption, make available to the Company a corresponding amount. In such event, if a Bank has not in fact made its share of the applicable Borrowing available to the Administrative Agent, then the applicable Bank and the Company severally agree to pay to the Administrative Agent forthwith on demand such corresponding amount in immediately available funds with interest thereon, for each day from and including the date such amount is made available to the Company to but excluding the date of payment to the Administrative Agent, at (A) in the case of a payment to be made by such Bank, the Overnight Rate, plus any administrative, processing or similar fees customarily charged by the Administrative Agent in connection with the foregoing, and (B) in the case of a payment to be made by the Company, the interest rate applicable to Base Rate Loans. If the Company and such Bank shall pay such interest to the Administrative Agent for the same or an overlapping period, the Administrative Agent shall promptly remit to the Company the amount of such interest paid by the Company for such period. If such Bank pays its share of the applicable Borrowing to the Administrative Agent, then the amount so paid shall constitute such Bank’s Loan included in such Borrowing. Any payment by the Company shall be without prejudice to any claim the Company may have against a Bank that shall have failed to make such payment to the Administrative Agent.</w:t>
      </w:r>
    </w:p>
    <w:p>
      <w:pPr>
        <w:spacing w:after="0" w:line="167" w:lineRule="exact"/>
        <w:rPr>
          <w:sz w:val="20"/>
          <w:szCs w:val="20"/>
          <w:color w:val="auto"/>
        </w:rPr>
      </w:pPr>
    </w:p>
    <w:p>
      <w:pPr>
        <w:jc w:val="both"/>
        <w:ind w:left="660" w:firstLine="644"/>
        <w:spacing w:after="0" w:line="273" w:lineRule="auto"/>
        <w:tabs>
          <w:tab w:leader="none" w:pos="1968"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Payments by Company; Presumptions by Administrative Agent</w:t>
      </w:r>
      <w:r>
        <w:rPr>
          <w:rFonts w:ascii="Arial" w:cs="Arial" w:eastAsia="Arial" w:hAnsi="Arial"/>
          <w:sz w:val="17"/>
          <w:szCs w:val="17"/>
          <w:color w:val="auto"/>
        </w:rPr>
        <w:t>. Unless the Administrative Agent shall have received notice</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 prior to the date on which any payment is due to the Administrative Agent for the account of the Banks hereunder that the Company will not make such payment, the Administrative Agent may assume that the Company has made such payment on such date in accordance herewith and may, in reliance upon such assumption, distribute to the Banks, as the case may be, the amount due. In such event, if the Company has not in fact made such payment, then each of the Banks severally agree to repay to the Administrative Agent forthwith on demand the amount so distributed to such Bank, in immediately available funds with interest thereon, for each day from and including the date such amount is distributed to it to but excluding the date of payment to the Administrative Agent, at the Overnight Rate.</w:t>
      </w: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 xml:space="preserve">A notice of the Administrative Agent to any Bank or the Company with respect to any amount owing under this </w:t>
      </w:r>
      <w:r>
        <w:rPr>
          <w:rFonts w:ascii="Arial" w:cs="Arial" w:eastAsia="Arial" w:hAnsi="Arial"/>
          <w:sz w:val="18"/>
          <w:szCs w:val="18"/>
          <w:b w:val="1"/>
          <w:bCs w:val="1"/>
          <w:i w:val="1"/>
          <w:iCs w:val="1"/>
          <w:color w:val="auto"/>
        </w:rPr>
        <w:t>Section 2.12.2</w:t>
      </w:r>
      <w:r>
        <w:rPr>
          <w:rFonts w:ascii="Arial" w:cs="Arial" w:eastAsia="Arial" w:hAnsi="Arial"/>
          <w:sz w:val="18"/>
          <w:szCs w:val="18"/>
          <w:color w:val="auto"/>
        </w:rPr>
        <w:t xml:space="preserve"> shall be conclusive, absent manifest error.</w:t>
      </w:r>
    </w:p>
    <w:p>
      <w:pPr>
        <w:spacing w:after="0" w:line="16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2.12.3 </w:t>
      </w:r>
      <w:r>
        <w:rPr>
          <w:rFonts w:ascii="Arial" w:cs="Arial" w:eastAsia="Arial" w:hAnsi="Arial"/>
          <w:sz w:val="16"/>
          <w:szCs w:val="16"/>
          <w:b w:val="1"/>
          <w:bCs w:val="1"/>
          <w:color w:val="auto"/>
        </w:rPr>
        <w:t>Failure to Satisfy Conditions Precedent</w:t>
      </w:r>
      <w:r>
        <w:rPr>
          <w:rFonts w:ascii="Arial" w:cs="Arial" w:eastAsia="Arial" w:hAnsi="Arial"/>
          <w:sz w:val="16"/>
          <w:szCs w:val="16"/>
          <w:color w:val="auto"/>
        </w:rPr>
        <w:t xml:space="preserve">. If any Bank makes available to the Administrative Agent funds for any Loan to be made by such Bank to the Company as provided in the foregoing provisions of this </w:t>
      </w:r>
      <w:r>
        <w:rPr>
          <w:rFonts w:ascii="Arial" w:cs="Arial" w:eastAsia="Arial" w:hAnsi="Arial"/>
          <w:sz w:val="16"/>
          <w:szCs w:val="16"/>
          <w:b w:val="1"/>
          <w:bCs w:val="1"/>
          <w:i w:val="1"/>
          <w:iCs w:val="1"/>
          <w:color w:val="auto"/>
        </w:rPr>
        <w:t>Section 2</w:t>
      </w:r>
      <w:r>
        <w:rPr>
          <w:rFonts w:ascii="Arial" w:cs="Arial" w:eastAsia="Arial" w:hAnsi="Arial"/>
          <w:sz w:val="16"/>
          <w:szCs w:val="16"/>
          <w:color w:val="auto"/>
        </w:rPr>
        <w:t xml:space="preserve">, and such funds are not made available to the Company by the Administrative Agent because the conditions to the applicable Borrowing set forth in </w:t>
      </w:r>
      <w:r>
        <w:rPr>
          <w:rFonts w:ascii="Arial" w:cs="Arial" w:eastAsia="Arial" w:hAnsi="Arial"/>
          <w:sz w:val="16"/>
          <w:szCs w:val="16"/>
          <w:b w:val="1"/>
          <w:bCs w:val="1"/>
          <w:i w:val="1"/>
          <w:iCs w:val="1"/>
          <w:color w:val="auto"/>
        </w:rPr>
        <w:t>Sections 10</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11</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Bank) to such Bank, without interest.</w:t>
      </w:r>
    </w:p>
    <w:p>
      <w:pPr>
        <w:spacing w:after="0" w:line="15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2.12.4 </w:t>
      </w:r>
      <w:r>
        <w:rPr>
          <w:rFonts w:ascii="Arial" w:cs="Arial" w:eastAsia="Arial" w:hAnsi="Arial"/>
          <w:sz w:val="18"/>
          <w:szCs w:val="18"/>
          <w:b w:val="1"/>
          <w:bCs w:val="1"/>
          <w:color w:val="auto"/>
        </w:rPr>
        <w:t>Obligations of Banks Several</w:t>
      </w:r>
      <w:r>
        <w:rPr>
          <w:rFonts w:ascii="Arial" w:cs="Arial" w:eastAsia="Arial" w:hAnsi="Arial"/>
          <w:sz w:val="18"/>
          <w:szCs w:val="18"/>
          <w:color w:val="auto"/>
        </w:rPr>
        <w:t xml:space="preserve">. The obligations of the Banks hereunder to make Loans and to make payments pursuant to </w:t>
      </w:r>
      <w:r>
        <w:rPr>
          <w:rFonts w:ascii="Arial" w:cs="Arial" w:eastAsia="Arial" w:hAnsi="Arial"/>
          <w:sz w:val="18"/>
          <w:szCs w:val="18"/>
          <w:b w:val="1"/>
          <w:bCs w:val="1"/>
          <w:i w:val="1"/>
          <w:iCs w:val="1"/>
          <w:color w:val="auto"/>
        </w:rPr>
        <w:t xml:space="preserve">Section 15.5 </w:t>
      </w:r>
      <w:r>
        <w:rPr>
          <w:rFonts w:ascii="Arial" w:cs="Arial" w:eastAsia="Arial" w:hAnsi="Arial"/>
          <w:sz w:val="18"/>
          <w:szCs w:val="18"/>
          <w:color w:val="auto"/>
        </w:rPr>
        <w:t>are several and not joint. The failure of any Bank to make any Loan or to make any payment under</w:t>
      </w:r>
      <w:r>
        <w:rPr>
          <w:rFonts w:ascii="Arial" w:cs="Arial" w:eastAsia="Arial" w:hAnsi="Arial"/>
          <w:sz w:val="18"/>
          <w:szCs w:val="18"/>
          <w:b w:val="1"/>
          <w:bCs w:val="1"/>
          <w:i w:val="1"/>
          <w:iCs w:val="1"/>
          <w:color w:val="auto"/>
        </w:rPr>
        <w:t xml:space="preserve"> Section 15.5 </w:t>
      </w:r>
      <w:r>
        <w:rPr>
          <w:rFonts w:ascii="Arial" w:cs="Arial" w:eastAsia="Arial" w:hAnsi="Arial"/>
          <w:sz w:val="18"/>
          <w:szCs w:val="18"/>
          <w:color w:val="auto"/>
        </w:rPr>
        <w:t>on any date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hereunder shall not relieve any other Bank of its corresponding obligation to do so on such date, and no Bank shall be responsible for the failure of any other Bank to so make its Loan or to make its payment under </w:t>
      </w:r>
      <w:r>
        <w:rPr>
          <w:rFonts w:ascii="Arial" w:cs="Arial" w:eastAsia="Arial" w:hAnsi="Arial"/>
          <w:sz w:val="18"/>
          <w:szCs w:val="18"/>
          <w:b w:val="1"/>
          <w:bCs w:val="1"/>
          <w:i w:val="1"/>
          <w:iCs w:val="1"/>
          <w:color w:val="auto"/>
        </w:rPr>
        <w:t>Section 15.5</w:t>
      </w:r>
      <w:r>
        <w:rPr>
          <w:rFonts w:ascii="Arial" w:cs="Arial" w:eastAsia="Arial" w:hAnsi="Arial"/>
          <w:sz w:val="18"/>
          <w:szCs w:val="18"/>
          <w:color w:val="auto"/>
        </w:rPr>
        <w:t>.</w:t>
      </w:r>
    </w:p>
    <w:p>
      <w:pPr>
        <w:spacing w:after="0" w:line="180"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color w:val="auto"/>
        </w:rPr>
        <w:t xml:space="preserve">2.12.5 </w:t>
      </w:r>
      <w:r>
        <w:rPr>
          <w:rFonts w:ascii="Arial" w:cs="Arial" w:eastAsia="Arial" w:hAnsi="Arial"/>
          <w:sz w:val="16"/>
          <w:szCs w:val="16"/>
          <w:b w:val="1"/>
          <w:bCs w:val="1"/>
          <w:color w:val="auto"/>
        </w:rPr>
        <w:t>Funding Source</w:t>
      </w:r>
      <w:r>
        <w:rPr>
          <w:rFonts w:ascii="Arial" w:cs="Arial" w:eastAsia="Arial" w:hAnsi="Arial"/>
          <w:sz w:val="16"/>
          <w:szCs w:val="16"/>
          <w:color w:val="auto"/>
        </w:rPr>
        <w:t>. Nothing herein shall be deemed to obligate any Bank to obtain the funds for any Loan in any particular place or manner or to constitute a representation by any Bank that it has obtained or will obtain the funds for any Loan in any particular place or manner.</w:t>
      </w:r>
    </w:p>
    <w:p>
      <w:pPr>
        <w:spacing w:after="0" w:line="1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color w:val="auto"/>
        </w:rPr>
        <w:t>Sharing of Payments by Banks</w:t>
      </w:r>
      <w:r>
        <w:rPr>
          <w:rFonts w:ascii="Arial" w:cs="Arial" w:eastAsia="Arial" w:hAnsi="Arial"/>
          <w:sz w:val="17"/>
          <w:szCs w:val="17"/>
          <w:color w:val="auto"/>
        </w:rPr>
        <w:t xml:space="preserve">. If any Bank shall, by exercising any right of setoff or counterclaim or otherwise, obtain payment in respect of any principal of or interest on any of the Loans made by it, held by it resulting in such Bank’s receiving payment of a proportion of the aggregate amount of such Loans and accrued interest thereon greater than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thereof as provided herein, then the Bank receiving such greater proportion shall (a) notify the Administrative Agent of such fact, and (b) purchase (for cash at face value) participations in the Loans of the other Banks, or make such other adjustments as shall be equitable, so that the benefit of all such payments shall be shared by the Banks ratably in accordance with the aggregate amount of principal of and accrued interest on their respective Loans and other amounts owing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77" w:lineRule="exact"/>
        <w:rPr>
          <w:sz w:val="20"/>
          <w:szCs w:val="20"/>
          <w:color w:val="auto"/>
        </w:rPr>
      </w:pPr>
    </w:p>
    <w:p>
      <w:pPr>
        <w:ind w:left="660" w:firstLine="644"/>
        <w:spacing w:after="0" w:line="277" w:lineRule="auto"/>
        <w:tabs>
          <w:tab w:leader="none" w:pos="2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0" w:lineRule="exact"/>
        <w:rPr>
          <w:rFonts w:ascii="Arial" w:cs="Arial" w:eastAsia="Arial" w:hAnsi="Arial"/>
          <w:sz w:val="18"/>
          <w:szCs w:val="18"/>
          <w:color w:val="auto"/>
        </w:rPr>
      </w:pPr>
    </w:p>
    <w:p>
      <w:pPr>
        <w:jc w:val="both"/>
        <w:ind w:left="660" w:firstLine="644"/>
        <w:spacing w:after="0" w:line="301" w:lineRule="auto"/>
        <w:tabs>
          <w:tab w:leader="none" w:pos="19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shall not be construed to apply to (x) any payment made by or on behalf of the Company pursuant to and in accordance with the express terms of this Agreement (including the application of funds arising from the existence of a Defaulting Bank) or (y) any payment obtained by a Bank as consideration for the assignment of or sale of a participation in any of its Loans to any assignee or participant, other than an assignment to the Company or any Subsidiary thereof (as to which the provisions of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shall apply).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Bank acquiring a 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spacing w:after="0"/>
        <w:tabs>
          <w:tab w:leader="none" w:pos="13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color w:val="auto"/>
        </w:rPr>
        <w:t>Term-Out Option</w:t>
      </w:r>
      <w:r>
        <w:rPr>
          <w:rFonts w:ascii="Arial" w:cs="Arial" w:eastAsia="Arial" w:hAnsi="Arial"/>
          <w:sz w:val="16"/>
          <w:szCs w:val="16"/>
          <w:color w:val="auto"/>
        </w:rPr>
        <w:t>.</w:t>
      </w:r>
    </w:p>
    <w:p>
      <w:pPr>
        <w:spacing w:after="0" w:line="22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2.15.1 Provided no Default or Event of Default has occurred and is continuing, the Company may, by irrevocable written notice to the Administrative Agent (who shall promptly notify each of the Banks) not less than fifteen days prior to the Maturity Date, elect to have the entire principal amount of the Loans outstanding on the Maturity Date converted into non-revolving term loans (the “</w:t>
      </w:r>
      <w:r>
        <w:rPr>
          <w:rFonts w:ascii="Arial" w:cs="Arial" w:eastAsia="Arial" w:hAnsi="Arial"/>
          <w:sz w:val="16"/>
          <w:szCs w:val="16"/>
          <w:b w:val="1"/>
          <w:bCs w:val="1"/>
          <w:i w:val="1"/>
          <w:iCs w:val="1"/>
          <w:color w:val="auto"/>
        </w:rPr>
        <w:t>Term Loans</w:t>
      </w:r>
      <w:r>
        <w:rPr>
          <w:rFonts w:ascii="Arial" w:cs="Arial" w:eastAsia="Arial" w:hAnsi="Arial"/>
          <w:sz w:val="16"/>
          <w:szCs w:val="16"/>
          <w:color w:val="auto"/>
        </w:rPr>
        <w:t xml:space="preserve">”), which Term Loans shall be due and payable on the Term Loan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exercise the Term-Out only once during the term of this Agreement.</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2.15.1 Upon the effectiveness of the Term-Out, the Commitments shall be permanently terminated. All Loans converted into Term Loans pursuant to this </w:t>
      </w:r>
      <w:r>
        <w:rPr>
          <w:rFonts w:ascii="Arial" w:cs="Arial" w:eastAsia="Arial" w:hAnsi="Arial"/>
          <w:sz w:val="16"/>
          <w:szCs w:val="16"/>
          <w:b w:val="1"/>
          <w:bCs w:val="1"/>
          <w:i w:val="1"/>
          <w:iCs w:val="1"/>
          <w:color w:val="auto"/>
        </w:rPr>
        <w:t>Section 2.15</w:t>
      </w:r>
      <w:r>
        <w:rPr>
          <w:rFonts w:ascii="Arial" w:cs="Arial" w:eastAsia="Arial" w:hAnsi="Arial"/>
          <w:sz w:val="16"/>
          <w:szCs w:val="16"/>
          <w:color w:val="auto"/>
        </w:rPr>
        <w:t xml:space="preserve"> shall continue to constitute Loans except that the Company may not reborrow after all or any portion of such Loan have been repaid. As a condition precedent to the Term-Out, the Company shall deliver to the Administrative Agent a Term-Out Notice signed by an authorized officer of the Company, identifying the Term-Out Effective Date and confirming that immediately before and after giving effect to the Term-Out: (i) each of the representations and warranties of the Company and the Guarantor (as applicable) contained in this Agreement or in any document or instrument delivered pursuant to or in connection with this Agreement, other than the representation and warranty in </w:t>
      </w:r>
      <w:r>
        <w:rPr>
          <w:rFonts w:ascii="Arial" w:cs="Arial" w:eastAsia="Arial" w:hAnsi="Arial"/>
          <w:sz w:val="16"/>
          <w:szCs w:val="16"/>
          <w:b w:val="1"/>
          <w:bCs w:val="1"/>
          <w:i w:val="1"/>
          <w:iCs w:val="1"/>
          <w:color w:val="auto"/>
        </w:rPr>
        <w:t>Section 6.5</w:t>
      </w:r>
      <w:r>
        <w:rPr>
          <w:rFonts w:ascii="Arial" w:cs="Arial" w:eastAsia="Arial" w:hAnsi="Arial"/>
          <w:sz w:val="16"/>
          <w:szCs w:val="16"/>
          <w:color w:val="auto"/>
        </w:rPr>
        <w:t xml:space="preserve"> hereof, is true as of the Term-Out Effective Date, with the same effect as if made at and as of the Term-Out Effective Date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 and (ii) no Default or Event of Default has occurred and is continuing or would result from the Term-Out. The Company agrees to pay to the Administrative Agent for the account of each Bank whose Loans are being converted to Term Loans a one-time Term-Out fee equal to 0.75% of the outstanding principal amount of such Bank’s Loans so converted, which shall be due and payable on the Term-Out Effective Date. The Company hereby agrees to pay any and all costs (if any) incurred by the Administrative Agent in connection with the exercise of the Term-Out.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b w:val="1"/>
          <w:bCs w:val="1"/>
          <w:color w:val="auto"/>
        </w:rPr>
        <w:t>Defaulting Banks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b w:val="1"/>
          <w:bCs w:val="1"/>
          <w:color w:val="auto"/>
        </w:rPr>
        <w:t>Adjustments</w:t>
      </w:r>
      <w:r>
        <w:rPr>
          <w:rFonts w:ascii="Arial" w:cs="Arial" w:eastAsia="Arial" w:hAnsi="Arial"/>
          <w:sz w:val="18"/>
          <w:szCs w:val="18"/>
          <w:color w:val="auto"/>
        </w:rPr>
        <w:t>. Notwithstanding anything to the contrary contained in this Agreement, if any Bank becomes a Defaulting Bank, then, until such time as that Bank is no longer a Defaulting Bank, to the extent permitted by applicable law:</w:t>
      </w:r>
    </w:p>
    <w:p>
      <w:pPr>
        <w:spacing w:after="0" w:line="162" w:lineRule="exact"/>
        <w:rPr>
          <w:sz w:val="20"/>
          <w:szCs w:val="20"/>
          <w:color w:val="auto"/>
        </w:rPr>
      </w:pPr>
    </w:p>
    <w:p>
      <w:pPr>
        <w:ind w:left="660" w:firstLine="644"/>
        <w:spacing w:after="0" w:line="282" w:lineRule="auto"/>
        <w:tabs>
          <w:tab w:leader="none" w:pos="206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Waivers and Amendments</w:t>
      </w:r>
      <w:r>
        <w:rPr>
          <w:rFonts w:ascii="Arial" w:cs="Arial" w:eastAsia="Arial" w:hAnsi="Arial"/>
          <w:sz w:val="18"/>
          <w:szCs w:val="18"/>
          <w:color w:val="auto"/>
        </w:rPr>
        <w:t>. Such Defaulting Bank’s right to approve or disapprove any amendment, waiver or consent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Agreement shall be restricted as set forth in the definition of “</w:t>
      </w:r>
      <w:r>
        <w:rPr>
          <w:rFonts w:ascii="Arial" w:cs="Arial" w:eastAsia="Arial" w:hAnsi="Arial"/>
          <w:sz w:val="18"/>
          <w:szCs w:val="18"/>
          <w:i w:val="1"/>
          <w:iCs w:val="1"/>
          <w:color w:val="auto"/>
        </w:rPr>
        <w:t>Majority Banks</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660" w:firstLine="644"/>
        <w:spacing w:after="0" w:line="285" w:lineRule="auto"/>
        <w:tabs>
          <w:tab w:leader="none" w:pos="1968"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Defaulting Bank Waterfall</w:t>
      </w:r>
      <w:r>
        <w:rPr>
          <w:rFonts w:ascii="Arial" w:cs="Arial" w:eastAsia="Arial" w:hAnsi="Arial"/>
          <w:sz w:val="16"/>
          <w:szCs w:val="16"/>
          <w:color w:val="auto"/>
        </w:rPr>
        <w:t>. Any payment of principal, interest, fees or other amounts received by the Administrative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account of such Defaulting Bank (whether voluntary or mandatory, at maturity, pursuant to </w:t>
      </w:r>
      <w:r>
        <w:rPr>
          <w:rFonts w:ascii="Arial" w:cs="Arial" w:eastAsia="Arial" w:hAnsi="Arial"/>
          <w:sz w:val="16"/>
          <w:szCs w:val="16"/>
          <w:b w:val="1"/>
          <w:bCs w:val="1"/>
          <w:i w:val="1"/>
          <w:iCs w:val="1"/>
          <w:color w:val="auto"/>
        </w:rPr>
        <w:t>Section 12</w:t>
      </w:r>
      <w:r>
        <w:rPr>
          <w:rFonts w:ascii="Arial" w:cs="Arial" w:eastAsia="Arial" w:hAnsi="Arial"/>
          <w:sz w:val="16"/>
          <w:szCs w:val="16"/>
          <w:color w:val="auto"/>
        </w:rPr>
        <w:t xml:space="preserve"> or otherwise) or received by the Administrative Agent from a Defaulting Bank pursuant to </w:t>
      </w:r>
      <w:r>
        <w:rPr>
          <w:rFonts w:ascii="Arial" w:cs="Arial" w:eastAsia="Arial" w:hAnsi="Arial"/>
          <w:sz w:val="16"/>
          <w:szCs w:val="16"/>
          <w:b w:val="1"/>
          <w:bCs w:val="1"/>
          <w:i w:val="1"/>
          <w:iCs w:val="1"/>
          <w:color w:val="auto"/>
        </w:rPr>
        <w:t>Section 13</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Bank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as the Company may request (so long as no Default or Event of Default exists), to the funding of any Loan in respect of which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Bank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and the Company, to be held in a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satisfy such Defaulting Bank’s potential future funding obligations with respect to Loans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Bank as a result of such Defaulting Bank’s breach of its obligations under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so long as no Default or Event of Default exists, to the payment of any amounts owing to the Company as a result of any judgment of a court of competent jurisdiction obtained by the Company against such Defaulting Bank as a result of such Defaulting Bank’s breach of its obligations under this Agreement;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such Defaulting Bank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in respect of which such Defaulting Bank has not fully funded its appropriate share, and (y) such Loans were made at a time when the conditions set forth in </w:t>
      </w:r>
      <w:r>
        <w:rPr>
          <w:rFonts w:ascii="Arial" w:cs="Arial" w:eastAsia="Arial" w:hAnsi="Arial"/>
          <w:sz w:val="16"/>
          <w:szCs w:val="16"/>
          <w:b w:val="1"/>
          <w:bCs w:val="1"/>
          <w:i w:val="1"/>
          <w:iCs w:val="1"/>
          <w:color w:val="auto"/>
        </w:rPr>
        <w:t>Section 11</w:t>
      </w:r>
      <w:r>
        <w:rPr>
          <w:rFonts w:ascii="Arial" w:cs="Arial" w:eastAsia="Arial" w:hAnsi="Arial"/>
          <w:sz w:val="16"/>
          <w:szCs w:val="16"/>
          <w:color w:val="auto"/>
        </w:rPr>
        <w:t xml:space="preserve"> were satisfied or waived, such payment shall be applied solely to pay the Loans of all Non-Defaulting Banks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such Defaulting Bank until such time as all Loans are held by the Banks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Commitments hereunder. Any payments, prepayments or other amounts paid or payable to a Defaulting Bank that are applied (or held) to pay amounts owed by a Defaulting Bank shall be deemed paid to and redirected by such Defaulting Bank, and each Bank irrevocably consents hereto.</w:t>
      </w:r>
    </w:p>
    <w:p>
      <w:pPr>
        <w:spacing w:after="0" w:line="171" w:lineRule="exact"/>
        <w:rPr>
          <w:rFonts w:ascii="Arial" w:cs="Arial" w:eastAsia="Arial" w:hAnsi="Arial"/>
          <w:sz w:val="16"/>
          <w:szCs w:val="16"/>
          <w:color w:val="auto"/>
        </w:rPr>
      </w:pPr>
    </w:p>
    <w:p>
      <w:pPr>
        <w:ind w:left="660" w:firstLine="644"/>
        <w:spacing w:after="0" w:line="282" w:lineRule="auto"/>
        <w:tabs>
          <w:tab w:leader="none" w:pos="202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Certain Fees</w:t>
      </w:r>
      <w:r>
        <w:rPr>
          <w:rFonts w:ascii="Arial" w:cs="Arial" w:eastAsia="Arial" w:hAnsi="Arial"/>
          <w:sz w:val="18"/>
          <w:szCs w:val="18"/>
          <w:color w:val="auto"/>
        </w:rPr>
        <w:t>. Each Defaulting Bank shall be entitled to receive fees payable under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Section 2.2.1</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period during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that Bank is a Defaulting Bank only to extent allocable to the Outstanding Amount of the Loans funded by it.</w:t>
      </w:r>
    </w:p>
    <w:p>
      <w:pPr>
        <w:spacing w:after="0" w:line="16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2.17.2 </w:t>
      </w:r>
      <w:r>
        <w:rPr>
          <w:rFonts w:ascii="Arial" w:cs="Arial" w:eastAsia="Arial" w:hAnsi="Arial"/>
          <w:sz w:val="17"/>
          <w:szCs w:val="17"/>
          <w:b w:val="1"/>
          <w:bCs w:val="1"/>
          <w:color w:val="auto"/>
        </w:rPr>
        <w:t>Defaulting Bank Cure</w:t>
      </w:r>
      <w:r>
        <w:rPr>
          <w:rFonts w:ascii="Arial" w:cs="Arial" w:eastAsia="Arial" w:hAnsi="Arial"/>
          <w:sz w:val="17"/>
          <w:szCs w:val="17"/>
          <w:color w:val="auto"/>
        </w:rPr>
        <w:t xml:space="preserve">. If the Company and the Administrative Agent agree in writing that a Bank is no longer a Defaulting Bank, the Administrative Agent will so notify the parties hereto, whereupon as of the effective date specified in such notice and subject to any conditions set forth therein, that Bank will, to the extent applicable, purchase at par that portion of outstanding Loans of the other Banks or take such other actions as the Administrative Agent may determine to be necessary to cause the Loans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Banks in accordance with their Commitment Percentages (whereupon such Bank will cease to be a Defaulting Bank); provided that no adjustments will be made retroactively with respect to fees accrued or payments made by or on behalf of the Company while that Bank was a Defaulting Bank; and provided, further,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color w:val="auto"/>
        </w:rPr>
        <w:t>Replacement of Banks; Termination of Commitments</w:t>
      </w:r>
      <w:r>
        <w:rPr>
          <w:rFonts w:ascii="Arial" w:cs="Arial" w:eastAsia="Arial" w:hAnsi="Arial"/>
          <w:sz w:val="16"/>
          <w:szCs w:val="16"/>
          <w:color w:val="auto"/>
        </w:rPr>
        <w:t>. If any Bank (an “</w:t>
      </w:r>
      <w:r>
        <w:rPr>
          <w:rFonts w:ascii="Arial" w:cs="Arial" w:eastAsia="Arial" w:hAnsi="Arial"/>
          <w:sz w:val="16"/>
          <w:szCs w:val="16"/>
          <w:b w:val="1"/>
          <w:bCs w:val="1"/>
          <w:i w:val="1"/>
          <w:iCs w:val="1"/>
          <w:color w:val="auto"/>
        </w:rPr>
        <w:t>Affected Bank</w:t>
      </w:r>
      <w:r>
        <w:rPr>
          <w:rFonts w:ascii="Arial" w:cs="Arial" w:eastAsia="Arial" w:hAnsi="Arial"/>
          <w:sz w:val="16"/>
          <w:szCs w:val="16"/>
          <w:color w:val="auto"/>
        </w:rPr>
        <w:t xml:space="preserve">”) (i) makes demand upon the Company for (or if the Company is otherwise required to pay) amounts pursuant to </w:t>
      </w:r>
      <w:r>
        <w:rPr>
          <w:rFonts w:ascii="Arial" w:cs="Arial" w:eastAsia="Arial" w:hAnsi="Arial"/>
          <w:sz w:val="16"/>
          <w:szCs w:val="16"/>
          <w:b w:val="1"/>
          <w:bCs w:val="1"/>
          <w:i w:val="1"/>
          <w:iCs w:val="1"/>
          <w:color w:val="auto"/>
        </w:rPr>
        <w:t>Sections 3.4.1</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3.4.2</w:t>
      </w:r>
      <w:r>
        <w:rPr>
          <w:rFonts w:ascii="Arial" w:cs="Arial" w:eastAsia="Arial" w:hAnsi="Arial"/>
          <w:sz w:val="16"/>
          <w:szCs w:val="16"/>
          <w:color w:val="auto"/>
        </w:rPr>
        <w:t xml:space="preserve">, (ii) is unable to make or maintain Eurocurrency Loans as a result of a condition described in </w:t>
      </w:r>
      <w:r>
        <w:rPr>
          <w:rFonts w:ascii="Arial" w:cs="Arial" w:eastAsia="Arial" w:hAnsi="Arial"/>
          <w:sz w:val="16"/>
          <w:szCs w:val="16"/>
          <w:b w:val="1"/>
          <w:bCs w:val="1"/>
          <w:i w:val="1"/>
          <w:iCs w:val="1"/>
          <w:color w:val="auto"/>
        </w:rPr>
        <w:t>Sections 3.2</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3.3</w:t>
      </w:r>
      <w:r>
        <w:rPr>
          <w:rFonts w:ascii="Arial" w:cs="Arial" w:eastAsia="Arial" w:hAnsi="Arial"/>
          <w:sz w:val="16"/>
          <w:szCs w:val="16"/>
          <w:color w:val="auto"/>
        </w:rPr>
        <w:t xml:space="preserve">, (iii) is a Defaulting Bank, or (iv) is a Non-Consenting Bank (as defined below), the Company may, within 90 days of receipt of such demand, notice (or the occurrence of such other event causing the Company to be required to pay such compensation or causing </w:t>
      </w:r>
      <w:r>
        <w:rPr>
          <w:rFonts w:ascii="Arial" w:cs="Arial" w:eastAsia="Arial" w:hAnsi="Arial"/>
          <w:sz w:val="16"/>
          <w:szCs w:val="16"/>
          <w:b w:val="1"/>
          <w:bCs w:val="1"/>
          <w:i w:val="1"/>
          <w:iCs w:val="1"/>
          <w:color w:val="auto"/>
        </w:rPr>
        <w:t xml:space="preserve">Sections 3.2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3.3 </w:t>
      </w:r>
      <w:r>
        <w:rPr>
          <w:rFonts w:ascii="Arial" w:cs="Arial" w:eastAsia="Arial" w:hAnsi="Arial"/>
          <w:sz w:val="16"/>
          <w:szCs w:val="16"/>
          <w:color w:val="auto"/>
        </w:rPr>
        <w:t>to be applicable), default or approval of such amendment, waiver or consent by the Majority Banks, as the case may be, by notice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Replacement Notice</w:t>
      </w:r>
      <w:r>
        <w:rPr>
          <w:rFonts w:ascii="Arial" w:cs="Arial" w:eastAsia="Arial" w:hAnsi="Arial"/>
          <w:sz w:val="16"/>
          <w:szCs w:val="16"/>
          <w:color w:val="auto"/>
        </w:rPr>
        <w:t>”) in writing to the Administrative Agent and such Affected Bank (A) request the Affected Bank to cooperate with the Company in obtaining a replacement bank satisfactory to the Administrative Agent and the Company (the “</w:t>
      </w:r>
      <w:r>
        <w:rPr>
          <w:rFonts w:ascii="Arial" w:cs="Arial" w:eastAsia="Arial" w:hAnsi="Arial"/>
          <w:sz w:val="16"/>
          <w:szCs w:val="16"/>
          <w:b w:val="1"/>
          <w:bCs w:val="1"/>
          <w:i w:val="1"/>
          <w:iCs w:val="1"/>
          <w:color w:val="auto"/>
        </w:rPr>
        <w:t>Replacement Bank</w:t>
      </w:r>
      <w:r>
        <w:rPr>
          <w:rFonts w:ascii="Arial" w:cs="Arial" w:eastAsia="Arial" w:hAnsi="Arial"/>
          <w:sz w:val="16"/>
          <w:szCs w:val="16"/>
          <w:color w:val="auto"/>
        </w:rPr>
        <w:t xml:space="preserve">”) as provided herein, but none of such Banks shall be under an obligation to find a Replacement Bank; (B) request the non-Affected Banks to acquire and assume all of the Affected Bank’s Loans and Commitment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then the Company may, upon notice to such Affected Bank and the Administrative Agent, require such Affected Bank to assign and delegate, without recourse (in accordance with and subject to the restrictions contained in, and consents required by, </w:t>
      </w:r>
      <w:r>
        <w:rPr>
          <w:rFonts w:ascii="Arial" w:cs="Arial" w:eastAsia="Arial" w:hAnsi="Arial"/>
          <w:sz w:val="16"/>
          <w:szCs w:val="16"/>
          <w:b w:val="1"/>
          <w:bCs w:val="1"/>
          <w:i w:val="1"/>
          <w:iCs w:val="1"/>
          <w:color w:val="auto"/>
        </w:rPr>
        <w:t>Section 20</w:t>
      </w:r>
      <w:r>
        <w:rPr>
          <w:rFonts w:ascii="Arial" w:cs="Arial" w:eastAsia="Arial" w:hAnsi="Arial"/>
          <w:sz w:val="16"/>
          <w:szCs w:val="16"/>
          <w:color w:val="auto"/>
        </w:rPr>
        <w:t xml:space="preserve">),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960" w:hanging="656"/>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Company shall have paid to the Administrative Agent the assignment fee specified in </w:t>
      </w:r>
      <w:r>
        <w:rPr>
          <w:rFonts w:ascii="Arial" w:cs="Arial" w:eastAsia="Arial" w:hAnsi="Arial"/>
          <w:sz w:val="16"/>
          <w:szCs w:val="16"/>
          <w:b w:val="1"/>
          <w:bCs w:val="1"/>
          <w:i w:val="1"/>
          <w:iCs w:val="1"/>
          <w:color w:val="auto"/>
        </w:rPr>
        <w:t>Section 20</w:t>
      </w:r>
      <w:r>
        <w:rPr>
          <w:rFonts w:ascii="Arial" w:cs="Arial" w:eastAsia="Arial" w:hAnsi="Arial"/>
          <w:sz w:val="16"/>
          <w:szCs w:val="16"/>
          <w:color w:val="auto"/>
        </w:rPr>
        <w:t xml:space="preserve"> (to the extent not waived);</w:t>
      </w:r>
    </w:p>
    <w:p>
      <w:pPr>
        <w:spacing w:after="0" w:line="248" w:lineRule="exact"/>
        <w:rPr>
          <w:rFonts w:ascii="Arial" w:cs="Arial" w:eastAsia="Arial" w:hAnsi="Arial"/>
          <w:sz w:val="16"/>
          <w:szCs w:val="16"/>
          <w:color w:val="auto"/>
        </w:rPr>
      </w:pPr>
    </w:p>
    <w:p>
      <w:pPr>
        <w:jc w:val="both"/>
        <w:ind w:left="660" w:firstLine="644"/>
        <w:spacing w:after="0" w:line="275" w:lineRule="auto"/>
        <w:tabs>
          <w:tab w:leader="none" w:pos="20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subject to the provisions in </w:t>
      </w:r>
      <w:r>
        <w:rPr>
          <w:rFonts w:ascii="Arial" w:cs="Arial" w:eastAsia="Arial" w:hAnsi="Arial"/>
          <w:sz w:val="17"/>
          <w:szCs w:val="17"/>
          <w:b w:val="1"/>
          <w:bCs w:val="1"/>
          <w:i w:val="1"/>
          <w:iCs w:val="1"/>
          <w:color w:val="auto"/>
        </w:rPr>
        <w:t>Section 2.17</w:t>
      </w:r>
      <w:r>
        <w:rPr>
          <w:rFonts w:ascii="Arial" w:cs="Arial" w:eastAsia="Arial" w:hAnsi="Arial"/>
          <w:sz w:val="17"/>
          <w:szCs w:val="17"/>
          <w:color w:val="auto"/>
        </w:rPr>
        <w:t xml:space="preserve"> with respect to any Defaulting Bank in the case of reallocation of payments to such Defaulting Bank for amounts described in </w:t>
      </w:r>
      <w:r>
        <w:rPr>
          <w:rFonts w:ascii="Arial" w:cs="Arial" w:eastAsia="Arial" w:hAnsi="Arial"/>
          <w:sz w:val="17"/>
          <w:szCs w:val="17"/>
          <w:b w:val="1"/>
          <w:bCs w:val="1"/>
          <w:i w:val="1"/>
          <w:iCs w:val="1"/>
          <w:color w:val="auto"/>
        </w:rPr>
        <w:t>clauses first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fourth</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fifth</w:t>
      </w:r>
      <w:r>
        <w:rPr>
          <w:rFonts w:ascii="Arial" w:cs="Arial" w:eastAsia="Arial" w:hAnsi="Arial"/>
          <w:sz w:val="17"/>
          <w:szCs w:val="17"/>
          <w:color w:val="auto"/>
        </w:rPr>
        <w:t xml:space="preserve"> of such </w:t>
      </w:r>
      <w:r>
        <w:rPr>
          <w:rFonts w:ascii="Arial" w:cs="Arial" w:eastAsia="Arial" w:hAnsi="Arial"/>
          <w:sz w:val="17"/>
          <w:szCs w:val="17"/>
          <w:b w:val="1"/>
          <w:bCs w:val="1"/>
          <w:i w:val="1"/>
          <w:iCs w:val="1"/>
          <w:color w:val="auto"/>
        </w:rPr>
        <w:t>Section 2.17</w:t>
      </w:r>
      <w:r>
        <w:rPr>
          <w:rFonts w:ascii="Arial" w:cs="Arial" w:eastAsia="Arial" w:hAnsi="Arial"/>
          <w:sz w:val="17"/>
          <w:szCs w:val="17"/>
          <w:color w:val="auto"/>
        </w:rPr>
        <w:t xml:space="preserve">, such Affected Bank shall have received payment of an amount equal to 100% of the outstanding principal of its Loans, accrued interest thereon, accrued fees and all other amounts payable to it hereunder and under the other Loan Documents (including any amounts under </w:t>
      </w:r>
      <w:r>
        <w:rPr>
          <w:rFonts w:ascii="Arial" w:cs="Arial" w:eastAsia="Arial" w:hAnsi="Arial"/>
          <w:sz w:val="17"/>
          <w:szCs w:val="17"/>
          <w:b w:val="1"/>
          <w:bCs w:val="1"/>
          <w:i w:val="1"/>
          <w:iCs w:val="1"/>
          <w:color w:val="auto"/>
        </w:rPr>
        <w:t>Sections 3.4.1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3.4.2</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3.5</w:t>
      </w:r>
      <w:r>
        <w:rPr>
          <w:rFonts w:ascii="Arial" w:cs="Arial" w:eastAsia="Arial" w:hAnsi="Arial"/>
          <w:sz w:val="17"/>
          <w:szCs w:val="17"/>
          <w:color w:val="auto"/>
        </w:rPr>
        <w:t>) from the assignee (to the extent of such outstanding principal and accrued interest and fees) or the Company (in the case of all other amounts);</w:t>
      </w:r>
    </w:p>
    <w:p>
      <w:pPr>
        <w:spacing w:after="0" w:line="176" w:lineRule="exact"/>
        <w:rPr>
          <w:rFonts w:ascii="Arial" w:cs="Arial" w:eastAsia="Arial" w:hAnsi="Arial"/>
          <w:sz w:val="17"/>
          <w:szCs w:val="17"/>
          <w:color w:val="auto"/>
        </w:rPr>
      </w:pPr>
    </w:p>
    <w:p>
      <w:pPr>
        <w:ind w:left="660" w:firstLine="644"/>
        <w:spacing w:after="0" w:line="277" w:lineRule="auto"/>
        <w:tabs>
          <w:tab w:leader="none" w:pos="20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b w:val="1"/>
          <w:bCs w:val="1"/>
          <w:i w:val="1"/>
          <w:iCs w:val="1"/>
          <w:color w:val="auto"/>
        </w:rPr>
        <w:t>Sections 3.4.1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3.4.2</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 shall not be required to make any such assignment or delegation if, prior thereto, as a result of a waiver by such Bank or otherwise, the circumstances entitling the Company to require such assignment and delegation cease to apply. Upon the effective date of such assignment, such Replacement Bank shall become a “Bank” for all purposes under this Agreement and the other Loan Documents.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If the Company elects to terminate the Commitments of a Bank in accordance with </w:t>
      </w:r>
      <w:r>
        <w:rPr>
          <w:rFonts w:ascii="Arial" w:cs="Arial" w:eastAsia="Arial" w:hAnsi="Arial"/>
          <w:sz w:val="17"/>
          <w:szCs w:val="17"/>
          <w:b w:val="1"/>
          <w:bCs w:val="1"/>
          <w:i w:val="1"/>
          <w:iCs w:val="1"/>
          <w:color w:val="auto"/>
        </w:rPr>
        <w:t>clause (d)</w:t>
      </w:r>
      <w:r>
        <w:rPr>
          <w:rFonts w:ascii="Arial" w:cs="Arial" w:eastAsia="Arial" w:hAnsi="Arial"/>
          <w:sz w:val="17"/>
          <w:szCs w:val="17"/>
          <w:color w:val="auto"/>
        </w:rPr>
        <w:t xml:space="preserve"> above, all of the Commitments of such Bank shall be terminated immediately (with the Total Commitment reduced in a like amount on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the later of (i) the date of the receipt by the Administrative Agent and such Bank of the Company’s written notice of such election and (ii) the date that the Company has repaid all outstanding principal of its Loans of such Bank, together with accrued interest thereon, accrued fees and all other amounts payable to it hereunder and under the other Loan Documents (including any amounts under </w:t>
      </w:r>
      <w:r>
        <w:rPr>
          <w:rFonts w:ascii="Arial" w:cs="Arial" w:eastAsia="Arial" w:hAnsi="Arial"/>
          <w:sz w:val="17"/>
          <w:szCs w:val="17"/>
          <w:b w:val="1"/>
          <w:bCs w:val="1"/>
          <w:i w:val="1"/>
          <w:iCs w:val="1"/>
          <w:color w:val="auto"/>
        </w:rPr>
        <w:t>Sections 3.4</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3.5</w:t>
      </w:r>
      <w:r>
        <w:rPr>
          <w:rFonts w:ascii="Arial" w:cs="Arial" w:eastAsia="Arial" w:hAnsi="Arial"/>
          <w:sz w:val="17"/>
          <w:szCs w:val="17"/>
          <w:color w:val="auto"/>
        </w:rPr>
        <w:t>) (which payments and credit support may be held and applied to the Loans, interest, fees and other obligations of such Bank on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payments made to the other Banks, notwithstanding the provisions of </w:t>
      </w:r>
      <w:r>
        <w:rPr>
          <w:rFonts w:ascii="Arial" w:cs="Arial" w:eastAsia="Arial" w:hAnsi="Arial"/>
          <w:sz w:val="17"/>
          <w:szCs w:val="17"/>
          <w:b w:val="1"/>
          <w:bCs w:val="1"/>
          <w:i w:val="1"/>
          <w:iCs w:val="1"/>
          <w:color w:val="auto"/>
        </w:rPr>
        <w:t>Section 29</w:t>
      </w:r>
      <w:r>
        <w:rPr>
          <w:rFonts w:ascii="Arial" w:cs="Arial" w:eastAsia="Arial" w:hAnsi="Arial"/>
          <w:sz w:val="17"/>
          <w:szCs w:val="17"/>
          <w:color w:val="auto"/>
        </w:rPr>
        <w:t xml:space="preserve"> to the contrary);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not terminate the Commitments of a Bank pursuant to this </w:t>
      </w:r>
      <w:r>
        <w:rPr>
          <w:rFonts w:ascii="Arial" w:cs="Arial" w:eastAsia="Arial" w:hAnsi="Arial"/>
          <w:sz w:val="17"/>
          <w:szCs w:val="17"/>
          <w:b w:val="1"/>
          <w:bCs w:val="1"/>
          <w:i w:val="1"/>
          <w:iCs w:val="1"/>
          <w:color w:val="auto"/>
        </w:rPr>
        <w:t>paragraph</w:t>
      </w:r>
      <w:r>
        <w:rPr>
          <w:rFonts w:ascii="Arial" w:cs="Arial" w:eastAsia="Arial" w:hAnsi="Arial"/>
          <w:sz w:val="17"/>
          <w:szCs w:val="17"/>
          <w:color w:val="auto"/>
        </w:rPr>
        <w:t xml:space="preserve"> if, after giving effect to such termination and the repayment of Loans of such Bank required hereby, the outstanding principal amount of the Loans prior to or concurrently with such termination which would exceed the Total Commitment.</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 a “</w:t>
      </w:r>
      <w:r>
        <w:rPr>
          <w:rFonts w:ascii="Arial" w:cs="Arial" w:eastAsia="Arial" w:hAnsi="Arial"/>
          <w:sz w:val="18"/>
          <w:szCs w:val="18"/>
          <w:b w:val="1"/>
          <w:bCs w:val="1"/>
          <w:i w:val="1"/>
          <w:iCs w:val="1"/>
          <w:color w:val="auto"/>
        </w:rPr>
        <w:t>Non-Consenting Bank</w:t>
      </w:r>
      <w:r>
        <w:rPr>
          <w:rFonts w:ascii="Arial" w:cs="Arial" w:eastAsia="Arial" w:hAnsi="Arial"/>
          <w:sz w:val="18"/>
          <w:szCs w:val="18"/>
          <w:color w:val="auto"/>
        </w:rPr>
        <w:t xml:space="preserve">” means a Bank that fails to approve an amendment, waiver or consent requested by the Company pursuant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that has received the written approval of not less than the Majority Banks but also requires the approval of such Bank.</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TAXES, YIELD PROTECTION AND ILLEGALITY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3"/>
          <w:szCs w:val="13"/>
          <w:b w:val="1"/>
          <w:bCs w:val="1"/>
          <w:color w:val="auto"/>
        </w:rPr>
        <w:t>Taxes</w:t>
      </w:r>
      <w:r>
        <w:rPr>
          <w:rFonts w:ascii="Arial" w:cs="Arial" w:eastAsia="Arial" w:hAnsi="Arial"/>
          <w:sz w:val="13"/>
          <w:szCs w:val="13"/>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Payments Free of Taxes; Obligation to Withhold; Payments on Account of Taxes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57" w:lineRule="auto"/>
        <w:tabs>
          <w:tab w:leader="none" w:pos="2028"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below.</w:t>
      </w:r>
    </w:p>
    <w:p>
      <w:pPr>
        <w:spacing w:after="0" w:line="187" w:lineRule="exact"/>
        <w:rPr>
          <w:rFonts w:ascii="Arial" w:cs="Arial" w:eastAsia="Arial" w:hAnsi="Arial"/>
          <w:sz w:val="18"/>
          <w:szCs w:val="18"/>
          <w:color w:val="auto"/>
        </w:rPr>
      </w:pPr>
    </w:p>
    <w:p>
      <w:pPr>
        <w:jc w:val="both"/>
        <w:ind w:left="660" w:firstLine="644"/>
        <w:spacing w:after="0" w:line="271" w:lineRule="auto"/>
        <w:tabs>
          <w:tab w:leader="none" w:pos="2059" w:val="left"/>
        </w:tabs>
        <w:numPr>
          <w:ilvl w:val="2"/>
          <w:numId w:val="26"/>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reasonably determined by the Administrative Agent to be required based upon the information and documentation it has received pursuant to </w:t>
      </w:r>
      <w:r>
        <w:rPr>
          <w:rFonts w:ascii="Arial" w:cs="Arial" w:eastAsia="Arial" w:hAnsi="Arial"/>
          <w:sz w:val="17"/>
          <w:szCs w:val="17"/>
          <w:b w:val="1"/>
          <w:bCs w:val="1"/>
          <w:i w:val="1"/>
          <w:iCs w:val="1"/>
          <w:color w:val="auto"/>
        </w:rPr>
        <w:t>Section 3.1.5</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b w:val="1"/>
          <w:bCs w:val="1"/>
          <w:i w:val="1"/>
          <w:iCs w:val="1"/>
          <w:color w:val="auto"/>
        </w:rPr>
        <w:t>Section 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jc w:val="both"/>
        <w:ind w:left="660" w:firstLine="644"/>
        <w:spacing w:after="0" w:line="287" w:lineRule="auto"/>
        <w:tabs>
          <w:tab w:leader="none" w:pos="2114"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b w:val="1"/>
          <w:bCs w:val="1"/>
          <w:i w:val="1"/>
          <w:iCs w:val="1"/>
          <w:color w:val="auto"/>
        </w:rPr>
        <w:t>Section 3.1.5</w:t>
      </w:r>
      <w:r>
        <w:rPr>
          <w:rFonts w:ascii="Arial" w:cs="Arial" w:eastAsia="Arial" w:hAnsi="Arial"/>
          <w:sz w:val="16"/>
          <w:szCs w:val="16"/>
          <w:color w:val="auto"/>
        </w:rPr>
        <w:t xml:space="preserve"> below,</w:t>
      </w:r>
    </w:p>
    <w:p>
      <w:pPr>
        <w:spacing w:after="0" w:line="2" w:lineRule="exact"/>
        <w:rPr>
          <w:rFonts w:ascii="Arial" w:cs="Arial" w:eastAsia="Arial" w:hAnsi="Arial"/>
          <w:sz w:val="16"/>
          <w:szCs w:val="16"/>
          <w:color w:val="auto"/>
        </w:rPr>
      </w:pPr>
    </w:p>
    <w:p>
      <w:pPr>
        <w:jc w:val="both"/>
        <w:ind w:left="660" w:hanging="4"/>
        <w:spacing w:after="0" w:line="271" w:lineRule="auto"/>
        <w:tabs>
          <w:tab w:leader="none" w:pos="947"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b w:val="1"/>
          <w:bCs w:val="1"/>
          <w:i w:val="1"/>
          <w:iCs w:val="1"/>
          <w:color w:val="auto"/>
        </w:rPr>
        <w:t>Section 3.1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4"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Payment of Other Taxes by the Loan Parties</w:t>
      </w:r>
      <w:r>
        <w:rPr>
          <w:rFonts w:ascii="Arial" w:cs="Arial" w:eastAsia="Arial" w:hAnsi="Arial"/>
          <w:sz w:val="18"/>
          <w:szCs w:val="18"/>
          <w:color w:val="auto"/>
        </w:rPr>
        <w:t xml:space="preserve">. Without limiting the provisions of </w:t>
      </w:r>
      <w:r>
        <w:rPr>
          <w:rFonts w:ascii="Arial" w:cs="Arial" w:eastAsia="Arial" w:hAnsi="Arial"/>
          <w:sz w:val="18"/>
          <w:szCs w:val="18"/>
          <w:b w:val="1"/>
          <w:bCs w:val="1"/>
          <w:i w:val="1"/>
          <w:iCs w:val="1"/>
          <w:color w:val="auto"/>
        </w:rPr>
        <w:t>subsection 3.1.1(a)</w:t>
      </w:r>
      <w:r>
        <w:rPr>
          <w:rFonts w:ascii="Arial" w:cs="Arial" w:eastAsia="Arial" w:hAnsi="Arial"/>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tabs>
          <w:tab w:leader="none" w:pos="6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Tax Indemnifications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69" w:lineRule="auto"/>
        <w:tabs>
          <w:tab w:leader="none" w:pos="21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(except as otherwise provided below)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7"/>
          <w:szCs w:val="17"/>
          <w:b w:val="1"/>
          <w:bCs w:val="1"/>
          <w:i w:val="1"/>
          <w:iCs w:val="1"/>
          <w:color w:val="auto"/>
        </w:rPr>
        <w:t>Section 3.1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Bank (with a copy to the Administrative Agent), or by the Administrative Agent on its own behalf or on behalf of a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for any reason fails to pay indefeasibly to the Administrative Agent as required pursuant to </w:t>
      </w:r>
      <w:r>
        <w:rPr>
          <w:rFonts w:ascii="Arial" w:cs="Arial" w:eastAsia="Arial" w:hAnsi="Arial"/>
          <w:sz w:val="17"/>
          <w:szCs w:val="17"/>
          <w:b w:val="1"/>
          <w:bCs w:val="1"/>
          <w:i w:val="1"/>
          <w:iCs w:val="1"/>
          <w:color w:val="auto"/>
        </w:rPr>
        <w:t>Section 3.1.3(b)</w:t>
      </w:r>
      <w:r>
        <w:rPr>
          <w:rFonts w:ascii="Arial" w:cs="Arial" w:eastAsia="Arial" w:hAnsi="Arial"/>
          <w:sz w:val="17"/>
          <w:szCs w:val="17"/>
          <w:color w:val="auto"/>
        </w:rPr>
        <w:t xml:space="preserve"> below.</w:t>
      </w:r>
    </w:p>
    <w:p>
      <w:pPr>
        <w:spacing w:after="0" w:line="185" w:lineRule="exact"/>
        <w:rPr>
          <w:rFonts w:ascii="Arial" w:cs="Arial" w:eastAsia="Arial" w:hAnsi="Arial"/>
          <w:sz w:val="17"/>
          <w:szCs w:val="17"/>
          <w:color w:val="auto"/>
        </w:rPr>
      </w:pPr>
    </w:p>
    <w:p>
      <w:pPr>
        <w:jc w:val="both"/>
        <w:ind w:left="660" w:firstLine="644"/>
        <w:spacing w:after="0" w:line="269" w:lineRule="auto"/>
        <w:tabs>
          <w:tab w:leader="none" w:pos="201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Bank shall, and does hereby, severally indemnify, and shall make payment in respect thereof within 10 days after demand therefor, (x) the Administrative Agent against any Indemnified Taxes attributable to such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Bank’s failure to comply with the provisions of </w:t>
      </w:r>
      <w:r>
        <w:rPr>
          <w:rFonts w:ascii="Arial" w:cs="Arial" w:eastAsia="Arial" w:hAnsi="Arial"/>
          <w:sz w:val="17"/>
          <w:szCs w:val="17"/>
          <w:b w:val="1"/>
          <w:bCs w:val="1"/>
          <w:i w:val="1"/>
          <w:iCs w:val="1"/>
          <w:color w:val="auto"/>
        </w:rPr>
        <w:t xml:space="preserve">Section 20 </w:t>
      </w:r>
      <w:r>
        <w:rPr>
          <w:rFonts w:ascii="Arial" w:cs="Arial" w:eastAsia="Arial" w:hAnsi="Arial"/>
          <w:sz w:val="17"/>
          <w:szCs w:val="17"/>
          <w:color w:val="auto"/>
        </w:rPr>
        <w:t>relating to the maintenance of a Participant Register and (z) the Administrative Agent and the Loan Party, as applicable, against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Excluded Taxes attributable to such Bank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this Agreement or any other Loan Document against any amount due to the Administrative Agent under this </w:t>
      </w:r>
      <w:r>
        <w:rPr>
          <w:rFonts w:ascii="Arial" w:cs="Arial" w:eastAsia="Arial" w:hAnsi="Arial"/>
          <w:sz w:val="17"/>
          <w:szCs w:val="17"/>
          <w:b w:val="1"/>
          <w:bCs w:val="1"/>
          <w:i w:val="1"/>
          <w:iCs w:val="1"/>
          <w:color w:val="auto"/>
        </w:rPr>
        <w:t>clause (b)</w:t>
      </w:r>
      <w:r>
        <w:rPr>
          <w:rFonts w:ascii="Arial" w:cs="Arial" w:eastAsia="Arial" w:hAnsi="Arial"/>
          <w:sz w:val="17"/>
          <w:szCs w:val="17"/>
          <w:color w:val="auto"/>
        </w:rPr>
        <w:t>.</w:t>
      </w:r>
    </w:p>
    <w:p>
      <w:pPr>
        <w:spacing w:after="0" w:line="17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Evidence of Payments</w:t>
      </w:r>
      <w:r>
        <w:rPr>
          <w:rFonts w:ascii="Arial" w:cs="Arial" w:eastAsia="Arial" w:hAnsi="Arial"/>
          <w:sz w:val="18"/>
          <w:szCs w:val="18"/>
          <w:color w:val="auto"/>
        </w:rPr>
        <w:t xml:space="preserve">. As soon as practicable after any payment of Taxes by any Loan Party to a Governmental Authority as provided in this </w:t>
      </w:r>
      <w:r>
        <w:rPr>
          <w:rFonts w:ascii="Arial" w:cs="Arial" w:eastAsia="Arial" w:hAnsi="Arial"/>
          <w:sz w:val="18"/>
          <w:szCs w:val="18"/>
          <w:b w:val="1"/>
          <w:bCs w:val="1"/>
          <w:i w:val="1"/>
          <w:iCs w:val="1"/>
          <w:color w:val="auto"/>
        </w:rPr>
        <w:t>Section 3.1</w:t>
      </w:r>
      <w:r>
        <w:rPr>
          <w:rFonts w:ascii="Arial" w:cs="Arial" w:eastAsia="Arial" w:hAnsi="Arial"/>
          <w:sz w:val="18"/>
          <w:szCs w:val="18"/>
          <w:color w:val="auto"/>
        </w:rPr>
        <w:t>, the Company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b w:val="1"/>
          <w:bCs w:val="1"/>
          <w:color w:val="auto"/>
        </w:rPr>
        <w:t>Status of Banks; Tax Documentation</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68" w:lineRule="auto"/>
        <w:tabs>
          <w:tab w:leader="none" w:pos="198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Bank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Bank,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7"/>
          <w:szCs w:val="17"/>
          <w:b w:val="1"/>
          <w:bCs w:val="1"/>
          <w:i w:val="1"/>
          <w:iCs w:val="1"/>
          <w:color w:val="auto"/>
        </w:rPr>
        <w:t>Section 3.1.5(b)(i)</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(b)(ii)</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(b)(iii)</w:t>
      </w:r>
      <w:r>
        <w:rPr>
          <w:rFonts w:ascii="Arial" w:cs="Arial" w:eastAsia="Arial" w:hAnsi="Arial"/>
          <w:sz w:val="17"/>
          <w:szCs w:val="17"/>
          <w:color w:val="auto"/>
        </w:rPr>
        <w:t>, below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840" w:hanging="656"/>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Company is a U.S. Person,</w:t>
      </w:r>
    </w:p>
    <w:p>
      <w:pPr>
        <w:spacing w:after="0" w:line="225" w:lineRule="exact"/>
        <w:rPr>
          <w:rFonts w:ascii="Arial" w:cs="Arial" w:eastAsia="Arial" w:hAnsi="Arial"/>
          <w:sz w:val="18"/>
          <w:szCs w:val="18"/>
          <w:color w:val="auto"/>
        </w:rPr>
      </w:pPr>
    </w:p>
    <w:p>
      <w:pPr>
        <w:jc w:val="both"/>
        <w:ind w:left="180" w:firstLine="652"/>
        <w:spacing w:after="0" w:line="259" w:lineRule="auto"/>
        <w:tabs>
          <w:tab w:leader="none" w:pos="15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Bank that is a U.S. Person shall deliver to the Company and the Administrative Agent on or prior to the date on which such Bank becomes a Bank under this Agreement (and from time to time thereafter upon the reasonable request of the Company or the Administrative Agent), executed copies of IRS Form W-9 certifying that such Bank is exempt from U.S. federal backup withholding tax;</w:t>
      </w:r>
    </w:p>
    <w:p>
      <w:pPr>
        <w:spacing w:after="0" w:line="186" w:lineRule="exact"/>
        <w:rPr>
          <w:rFonts w:ascii="Arial" w:cs="Arial" w:eastAsia="Arial" w:hAnsi="Arial"/>
          <w:sz w:val="18"/>
          <w:szCs w:val="18"/>
          <w:color w:val="auto"/>
        </w:rPr>
      </w:pPr>
    </w:p>
    <w:p>
      <w:pPr>
        <w:jc w:val="both"/>
        <w:ind w:left="180" w:firstLine="652"/>
        <w:spacing w:after="0" w:line="259" w:lineRule="auto"/>
        <w:tabs>
          <w:tab w:leader="none" w:pos="164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whichever of the following is applicable:</w:t>
      </w:r>
    </w:p>
    <w:p>
      <w:pPr>
        <w:spacing w:after="0" w:line="186" w:lineRule="exact"/>
        <w:rPr>
          <w:rFonts w:ascii="Arial" w:cs="Arial" w:eastAsia="Arial" w:hAnsi="Arial"/>
          <w:sz w:val="18"/>
          <w:szCs w:val="18"/>
          <w:color w:val="auto"/>
        </w:rPr>
      </w:pPr>
    </w:p>
    <w:p>
      <w:pPr>
        <w:jc w:val="both"/>
        <w:ind w:left="840" w:firstLine="640"/>
        <w:spacing w:after="0" w:line="255" w:lineRule="auto"/>
        <w:tabs>
          <w:tab w:leader="none" w:pos="2256" w:val="left"/>
        </w:tabs>
        <w:numPr>
          <w:ilvl w:val="2"/>
          <w:numId w:val="29"/>
        </w:numPr>
        <w:rPr>
          <w:rFonts w:ascii="Arial" w:cs="Arial" w:eastAsia="Arial" w:hAnsi="Arial"/>
          <w:sz w:val="18"/>
          <w:szCs w:val="18"/>
          <w:color w:val="auto"/>
        </w:rPr>
      </w:pPr>
      <w:r>
        <w:rPr>
          <w:rFonts w:ascii="Arial" w:cs="Arial" w:eastAsia="Arial" w:hAnsi="Arial"/>
          <w:sz w:val="18"/>
          <w:szCs w:val="18"/>
          <w:color w:val="auto"/>
        </w:rPr>
        <w:t>in the case of a Foreign Bank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92" w:lineRule="exact"/>
        <w:rPr>
          <w:rFonts w:ascii="Arial" w:cs="Arial" w:eastAsia="Arial" w:hAnsi="Arial"/>
          <w:sz w:val="18"/>
          <w:szCs w:val="18"/>
          <w:color w:val="auto"/>
        </w:rPr>
      </w:pPr>
    </w:p>
    <w:p>
      <w:pPr>
        <w:ind w:left="2160" w:hanging="680"/>
        <w:spacing w:after="0"/>
        <w:tabs>
          <w:tab w:leader="none" w:pos="21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jc w:val="both"/>
        <w:ind w:left="840" w:firstLine="640"/>
        <w:spacing w:after="0" w:line="296" w:lineRule="auto"/>
        <w:tabs>
          <w:tab w:leader="none" w:pos="2583"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in the case of a Foreign Bank claiming the benefits of the exemption for portfolio interest under </w:t>
      </w:r>
      <w:r>
        <w:rPr>
          <w:rFonts w:ascii="Arial" w:cs="Arial" w:eastAsia="Arial" w:hAnsi="Arial"/>
          <w:sz w:val="16"/>
          <w:szCs w:val="16"/>
          <w:i w:val="1"/>
          <w:iCs w:val="1"/>
          <w:color w:val="auto"/>
        </w:rPr>
        <w:t xml:space="preserve">Section 881(c) </w:t>
      </w:r>
      <w:r>
        <w:rPr>
          <w:rFonts w:ascii="Arial" w:cs="Arial" w:eastAsia="Arial" w:hAnsi="Arial"/>
          <w:sz w:val="16"/>
          <w:szCs w:val="16"/>
          <w:color w:val="auto"/>
        </w:rPr>
        <w:t>of the Code, (x) a certificate substantially in the form 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Exhibit G</w:t>
      </w:r>
      <w:r>
        <w:rPr>
          <w:rFonts w:ascii="Arial" w:cs="Arial" w:eastAsia="Arial" w:hAnsi="Arial"/>
          <w:sz w:val="16"/>
          <w:szCs w:val="16"/>
          <w:color w:val="auto"/>
        </w:rPr>
        <w:t>-1 to the effect that such Foreign Bank is not 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bank</w:t>
      </w:r>
      <w:r>
        <w:rPr>
          <w:rFonts w:ascii="Arial" w:cs="Arial" w:eastAsia="Arial" w:hAnsi="Arial"/>
          <w:sz w:val="16"/>
          <w:szCs w:val="16"/>
          <w:color w:val="auto"/>
        </w:rPr>
        <w:t xml:space="preserve">” within the meaning of </w:t>
      </w:r>
      <w:r>
        <w:rPr>
          <w:rFonts w:ascii="Arial" w:cs="Arial" w:eastAsia="Arial" w:hAnsi="Arial"/>
          <w:sz w:val="16"/>
          <w:szCs w:val="16"/>
          <w:i w:val="1"/>
          <w:iCs w:val="1"/>
          <w:color w:val="auto"/>
        </w:rPr>
        <w:t>Section 881(c)(3)(A)</w:t>
      </w:r>
      <w:r>
        <w:rPr>
          <w:rFonts w:ascii="Arial" w:cs="Arial" w:eastAsia="Arial" w:hAnsi="Arial"/>
          <w:sz w:val="16"/>
          <w:szCs w:val="16"/>
          <w:color w:val="auto"/>
        </w:rPr>
        <w:t xml:space="preserve"> of the Code, a “</w:t>
      </w:r>
      <w:r>
        <w:rPr>
          <w:rFonts w:ascii="Arial" w:cs="Arial" w:eastAsia="Arial" w:hAnsi="Arial"/>
          <w:sz w:val="16"/>
          <w:szCs w:val="16"/>
          <w:i w:val="1"/>
          <w:iCs w:val="1"/>
          <w:color w:val="auto"/>
        </w:rPr>
        <w:t>10 percent shareholder</w:t>
      </w:r>
      <w:r>
        <w:rPr>
          <w:rFonts w:ascii="Arial" w:cs="Arial" w:eastAsia="Arial" w:hAnsi="Arial"/>
          <w:sz w:val="16"/>
          <w:szCs w:val="16"/>
          <w:color w:val="auto"/>
        </w:rPr>
        <w:t xml:space="preserve">” of the Company within the meaning of </w:t>
      </w:r>
      <w:r>
        <w:rPr>
          <w:rFonts w:ascii="Arial" w:cs="Arial" w:eastAsia="Arial" w:hAnsi="Arial"/>
          <w:sz w:val="16"/>
          <w:szCs w:val="16"/>
          <w:i w:val="1"/>
          <w:iCs w:val="1"/>
          <w:color w:val="auto"/>
        </w:rPr>
        <w:t>Section 881(c)(3)(B)</w:t>
      </w:r>
      <w:r>
        <w:rPr>
          <w:rFonts w:ascii="Arial" w:cs="Arial" w:eastAsia="Arial" w:hAnsi="Arial"/>
          <w:sz w:val="16"/>
          <w:szCs w:val="16"/>
          <w:color w:val="auto"/>
        </w:rPr>
        <w:t xml:space="preserve"> of the Code, or a “</w:t>
      </w:r>
      <w:r>
        <w:rPr>
          <w:rFonts w:ascii="Arial" w:cs="Arial" w:eastAsia="Arial" w:hAnsi="Arial"/>
          <w:sz w:val="16"/>
          <w:szCs w:val="16"/>
          <w:i w:val="1"/>
          <w:iCs w:val="1"/>
          <w:color w:val="auto"/>
        </w:rPr>
        <w:t>controlled foreign corporation</w:t>
      </w:r>
      <w:r>
        <w:rPr>
          <w:rFonts w:ascii="Arial" w:cs="Arial" w:eastAsia="Arial" w:hAnsi="Arial"/>
          <w:sz w:val="16"/>
          <w:szCs w:val="16"/>
          <w:color w:val="auto"/>
        </w:rPr>
        <w:t xml:space="preserve">” described in </w:t>
      </w:r>
      <w:r>
        <w:rPr>
          <w:rFonts w:ascii="Arial" w:cs="Arial" w:eastAsia="Arial" w:hAnsi="Arial"/>
          <w:sz w:val="16"/>
          <w:szCs w:val="16"/>
          <w:i w:val="1"/>
          <w:iCs w:val="1"/>
          <w:color w:val="auto"/>
        </w:rPr>
        <w:t>Section 881(c)(3)(C)</w:t>
      </w:r>
      <w:r>
        <w:rPr>
          <w:rFonts w:ascii="Arial" w:cs="Arial" w:eastAsia="Arial" w:hAnsi="Arial"/>
          <w:sz w:val="16"/>
          <w:szCs w:val="16"/>
          <w:color w:val="auto"/>
        </w:rPr>
        <w:t xml:space="preserve"> of the Code (a “</w:t>
      </w:r>
      <w:r>
        <w:rPr>
          <w:rFonts w:ascii="Arial" w:cs="Arial" w:eastAsia="Arial" w:hAnsi="Arial"/>
          <w:sz w:val="16"/>
          <w:szCs w:val="16"/>
          <w:b w:val="1"/>
          <w:bCs w:val="1"/>
          <w:i w:val="1"/>
          <w:iCs w:val="1"/>
          <w:color w:val="auto"/>
        </w:rPr>
        <w:t>U.S. Tax Compliance Certificate</w:t>
      </w:r>
      <w:r>
        <w:rPr>
          <w:rFonts w:ascii="Arial" w:cs="Arial" w:eastAsia="Arial" w:hAnsi="Arial"/>
          <w:sz w:val="16"/>
          <w:szCs w:val="16"/>
          <w:color w:val="auto"/>
        </w:rPr>
        <w:t>”) and (y) executed copies of IRS Form W-8BENE (or W-8BEN, as applicable); or</w:t>
      </w:r>
    </w:p>
    <w:p>
      <w:pPr>
        <w:spacing w:after="0" w:line="161" w:lineRule="exact"/>
        <w:rPr>
          <w:rFonts w:ascii="Arial" w:cs="Arial" w:eastAsia="Arial" w:hAnsi="Arial"/>
          <w:sz w:val="16"/>
          <w:szCs w:val="16"/>
          <w:color w:val="auto"/>
        </w:rPr>
      </w:pPr>
    </w:p>
    <w:p>
      <w:pPr>
        <w:jc w:val="both"/>
        <w:ind w:left="840" w:firstLine="640"/>
        <w:spacing w:after="0" w:line="273" w:lineRule="auto"/>
        <w:tabs>
          <w:tab w:leader="none" w:pos="2171"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to the extent a Foreign Bank is not the beneficial owner, executed copies of IRS Form W-8IMY, accompanied by IRS Form W-8ECI, IRS Form W-8BENE (or W-8BEN, as applicable), a U.S. Tax Compliance Certificate substantially in the form of </w:t>
      </w:r>
      <w:r>
        <w:rPr>
          <w:rFonts w:ascii="Arial" w:cs="Arial" w:eastAsia="Arial" w:hAnsi="Arial"/>
          <w:sz w:val="17"/>
          <w:szCs w:val="17"/>
          <w:b w:val="1"/>
          <w:bCs w:val="1"/>
          <w:i w:val="1"/>
          <w:iCs w:val="1"/>
          <w:color w:val="auto"/>
        </w:rPr>
        <w:t>Exhibit G</w:t>
      </w:r>
      <w:r>
        <w:rPr>
          <w:rFonts w:ascii="Arial" w:cs="Arial" w:eastAsia="Arial" w:hAnsi="Arial"/>
          <w:sz w:val="17"/>
          <w:szCs w:val="17"/>
          <w:color w:val="auto"/>
        </w:rPr>
        <w:t xml:space="preserve">-2 or </w:t>
      </w:r>
      <w:r>
        <w:rPr>
          <w:rFonts w:ascii="Arial" w:cs="Arial" w:eastAsia="Arial" w:hAnsi="Arial"/>
          <w:sz w:val="17"/>
          <w:szCs w:val="17"/>
          <w:b w:val="1"/>
          <w:bCs w:val="1"/>
          <w:i w:val="1"/>
          <w:iCs w:val="1"/>
          <w:color w:val="auto"/>
        </w:rPr>
        <w:t>Exhibit G</w:t>
      </w:r>
      <w:r>
        <w:rPr>
          <w:rFonts w:ascii="Arial" w:cs="Arial" w:eastAsia="Arial" w:hAnsi="Arial"/>
          <w:sz w:val="17"/>
          <w:szCs w:val="17"/>
          <w:color w:val="auto"/>
        </w:rPr>
        <w:t xml:space="preserve">-3, IRS Form W-9, and/or other certification documents from each beneficial owner, as applicable; provided that if the Foreign Bank is a partnership and one or more direct or indirect partners of such Foreign Bank are claiming the portfolio interest exemption, such Foreign Bank may provide a U.S. Tax Compliance Certificate substantially in the form of </w:t>
      </w:r>
      <w:r>
        <w:rPr>
          <w:rFonts w:ascii="Arial" w:cs="Arial" w:eastAsia="Arial" w:hAnsi="Arial"/>
          <w:sz w:val="17"/>
          <w:szCs w:val="17"/>
          <w:b w:val="1"/>
          <w:bCs w:val="1"/>
          <w:i w:val="1"/>
          <w:iCs w:val="1"/>
          <w:color w:val="auto"/>
        </w:rPr>
        <w:t>Exhibit G</w:t>
      </w:r>
      <w:r>
        <w:rPr>
          <w:rFonts w:ascii="Arial" w:cs="Arial" w:eastAsia="Arial" w:hAnsi="Arial"/>
          <w:sz w:val="17"/>
          <w:szCs w:val="17"/>
          <w:color w:val="auto"/>
        </w:rPr>
        <w:t>-4 on behalf of each such direct and indirect partner;</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1" w:name="page42"/>
    <w:bookmarkEnd w:id="41"/>
    <w:p>
      <w:pPr>
        <w:jc w:val="both"/>
        <w:ind w:left="1300" w:firstLine="652"/>
        <w:spacing w:after="0" w:line="293" w:lineRule="auto"/>
        <w:tabs>
          <w:tab w:leader="none" w:pos="275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Foreign Bank shall, to the extent it is legally entitled to do so, deliver to the Company and the Administrative Agent (in such number of copies as shall be requested by the recipient) on or prior to the date on which such Foreign Bank becomes a Bank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64" w:lineRule="exact"/>
        <w:rPr>
          <w:rFonts w:ascii="Arial" w:cs="Arial" w:eastAsia="Arial" w:hAnsi="Arial"/>
          <w:sz w:val="16"/>
          <w:szCs w:val="16"/>
          <w:color w:val="auto"/>
        </w:rPr>
      </w:pPr>
    </w:p>
    <w:p>
      <w:pPr>
        <w:jc w:val="both"/>
        <w:ind w:left="1300" w:firstLine="652"/>
        <w:spacing w:after="0" w:line="270" w:lineRule="auto"/>
        <w:tabs>
          <w:tab w:leader="none" w:pos="265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if a payment made to a Bank under any Loan Document would be subject to U.S. federal withholding Tax imposed by FATCA if such Bank were to fail to comply with the applicable reporting requirements of FATCA (including those contained in </w:t>
      </w:r>
      <w:r>
        <w:rPr>
          <w:rFonts w:ascii="Arial" w:cs="Arial" w:eastAsia="Arial" w:hAnsi="Arial"/>
          <w:sz w:val="17"/>
          <w:szCs w:val="17"/>
          <w:i w:val="1"/>
          <w:iCs w:val="1"/>
          <w:color w:val="auto"/>
        </w:rPr>
        <w:t xml:space="preserve">Section 1471(b) </w:t>
      </w:r>
      <w:r>
        <w:rPr>
          <w:rFonts w:ascii="Arial" w:cs="Arial" w:eastAsia="Arial" w:hAnsi="Arial"/>
          <w:sz w:val="17"/>
          <w:szCs w:val="17"/>
          <w:color w:val="auto"/>
        </w:rPr>
        <w:t>or</w:t>
      </w:r>
      <w:r>
        <w:rPr>
          <w:rFonts w:ascii="Arial" w:cs="Arial" w:eastAsia="Arial" w:hAnsi="Arial"/>
          <w:sz w:val="17"/>
          <w:szCs w:val="17"/>
          <w:i w:val="1"/>
          <w:iCs w:val="1"/>
          <w:color w:val="auto"/>
        </w:rPr>
        <w:t xml:space="preserve"> 1472(b) </w:t>
      </w:r>
      <w:r>
        <w:rPr>
          <w:rFonts w:ascii="Arial" w:cs="Arial" w:eastAsia="Arial" w:hAnsi="Arial"/>
          <w:sz w:val="17"/>
          <w:szCs w:val="17"/>
          <w:color w:val="auto"/>
        </w:rPr>
        <w:t>of the Code, as applicable), such Bank shall deliver to the Company and the Administrative Agent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times prescribed by law and at such time or times reasonably requested by the Company or the Administrative Agent such documentation prescribed by applicable law (including as prescribed by </w:t>
      </w:r>
      <w:r>
        <w:rPr>
          <w:rFonts w:ascii="Arial" w:cs="Arial" w:eastAsia="Arial" w:hAnsi="Arial"/>
          <w:sz w:val="17"/>
          <w:szCs w:val="17"/>
          <w:i w:val="1"/>
          <w:iCs w:val="1"/>
          <w:color w:val="auto"/>
        </w:rPr>
        <w:t>Section 1471(b)(3)(C)(i)</w:t>
      </w:r>
      <w:r>
        <w:rPr>
          <w:rFonts w:ascii="Arial" w:cs="Arial" w:eastAsia="Arial" w:hAnsi="Arial"/>
          <w:sz w:val="17"/>
          <w:szCs w:val="17"/>
          <w:color w:val="auto"/>
        </w:rPr>
        <w:t xml:space="preserve">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Arial" w:cs="Arial" w:eastAsia="Arial" w:hAnsi="Arial"/>
          <w:sz w:val="17"/>
          <w:szCs w:val="17"/>
          <w:b w:val="1"/>
          <w:bCs w:val="1"/>
          <w:i w:val="1"/>
          <w:iCs w:val="1"/>
          <w:color w:val="auto"/>
        </w:rPr>
        <w:t>clause (iv)</w:t>
      </w:r>
      <w:r>
        <w:rPr>
          <w:rFonts w:ascii="Arial" w:cs="Arial" w:eastAsia="Arial" w:hAnsi="Arial"/>
          <w:sz w:val="17"/>
          <w:szCs w:val="17"/>
          <w:color w:val="auto"/>
        </w:rPr>
        <w:t>, “</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shall include any amendments made to FATCA after the date of this Agreement.</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2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Each Bank agrees that if any form or certification it previously delivered pursuant to this </w:t>
      </w:r>
      <w:r>
        <w:rPr>
          <w:rFonts w:ascii="Arial" w:cs="Arial" w:eastAsia="Arial" w:hAnsi="Arial"/>
          <w:sz w:val="18"/>
          <w:szCs w:val="18"/>
          <w:b w:val="1"/>
          <w:bCs w:val="1"/>
          <w:i w:val="1"/>
          <w:iCs w:val="1"/>
          <w:color w:val="auto"/>
        </w:rPr>
        <w:t>Section 3.1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b w:val="1"/>
          <w:bCs w:val="1"/>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Bank, or have any obligation to pay to any Bank, any refund of Taxes withheld or deducted from funds paid for the account of such Bank. If any Recipient determines that it has received a refund of any Taxes as to which it has been indemnified by any Loan Party or with respect to which any Loan Party has paid additional amounts pursuant to this </w:t>
      </w:r>
      <w:r>
        <w:rPr>
          <w:rFonts w:ascii="Arial" w:cs="Arial" w:eastAsia="Arial" w:hAnsi="Arial"/>
          <w:sz w:val="16"/>
          <w:szCs w:val="16"/>
          <w:b w:val="1"/>
          <w:bCs w:val="1"/>
          <w:i w:val="1"/>
          <w:iCs w:val="1"/>
          <w:color w:val="auto"/>
        </w:rPr>
        <w:t>Section 3.1</w:t>
      </w:r>
      <w:r>
        <w:rPr>
          <w:rFonts w:ascii="Arial" w:cs="Arial" w:eastAsia="Arial" w:hAnsi="Arial"/>
          <w:sz w:val="16"/>
          <w:szCs w:val="16"/>
          <w:color w:val="auto"/>
        </w:rPr>
        <w:t xml:space="preserve">, it shall pay to such Loan Party an amount equal to such refund (but only to the extent of indemnity payments made, or additional amounts paid, by a Loan Party under this </w:t>
      </w:r>
      <w:r>
        <w:rPr>
          <w:rFonts w:ascii="Arial" w:cs="Arial" w:eastAsia="Arial" w:hAnsi="Arial"/>
          <w:sz w:val="16"/>
          <w:szCs w:val="16"/>
          <w:b w:val="1"/>
          <w:bCs w:val="1"/>
          <w:i w:val="1"/>
          <w:iCs w:val="1"/>
          <w:color w:val="auto"/>
        </w:rPr>
        <w:t>Section 3.1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Arial" w:cs="Arial" w:eastAsia="Arial" w:hAnsi="Arial"/>
          <w:sz w:val="16"/>
          <w:szCs w:val="16"/>
          <w:b w:val="1"/>
          <w:bCs w:val="1"/>
          <w:i w:val="1"/>
          <w:iCs w:val="1"/>
          <w:color w:val="auto"/>
        </w:rPr>
        <w:t>subsection</w:t>
      </w:r>
      <w:r>
        <w:rPr>
          <w:rFonts w:ascii="Arial" w:cs="Arial" w:eastAsia="Arial" w:hAnsi="Arial"/>
          <w:sz w:val="16"/>
          <w:szCs w:val="16"/>
          <w:color w:val="auto"/>
        </w:rPr>
        <w:t>, in no event will the applicable Recipient be required to pay any amount to such Loan Party pursuant to this</w:t>
      </w:r>
      <w:r>
        <w:rPr>
          <w:rFonts w:ascii="Arial" w:cs="Arial" w:eastAsia="Arial" w:hAnsi="Arial"/>
          <w:sz w:val="16"/>
          <w:szCs w:val="16"/>
          <w:b w:val="1"/>
          <w:bCs w:val="1"/>
          <w:i w:val="1"/>
          <w:iCs w:val="1"/>
          <w:color w:val="auto"/>
        </w:rPr>
        <w:t xml:space="preserve"> subsection </w:t>
      </w:r>
      <w:r>
        <w:rPr>
          <w:rFonts w:ascii="Arial" w:cs="Arial" w:eastAsia="Arial" w:hAnsi="Arial"/>
          <w:sz w:val="16"/>
          <w:szCs w:val="16"/>
          <w:color w:val="auto"/>
        </w:rPr>
        <w:t>the payment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b w:val="1"/>
          <w:bCs w:val="1"/>
          <w:i w:val="1"/>
          <w:iCs w:val="1"/>
          <w:color w:val="auto"/>
        </w:rPr>
        <w:t>subsection</w:t>
      </w:r>
      <w:r>
        <w:rPr>
          <w:rFonts w:ascii="Arial" w:cs="Arial" w:eastAsia="Arial" w:hAnsi="Arial"/>
          <w:sz w:val="16"/>
          <w:szCs w:val="16"/>
          <w:color w:val="auto"/>
        </w:rPr>
        <w:t xml:space="preserve"> shall not be construed to require any Recipient to make available its tax returns (or any other information relating to its taxes that it deems confidential) to any Loan Party or any other Person.</w:t>
      </w:r>
    </w:p>
    <w:p>
      <w:pPr>
        <w:spacing w:after="0" w:line="3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296"/>
        <w:spacing w:after="0" w:line="266"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b w:val="1"/>
          <w:bCs w:val="1"/>
          <w:i w:val="1"/>
          <w:iCs w:val="1"/>
          <w:color w:val="auto"/>
        </w:rPr>
        <w:t>Section 3.1</w:t>
      </w:r>
      <w:r>
        <w:rPr>
          <w:rFonts w:ascii="Arial" w:cs="Arial" w:eastAsia="Arial" w:hAnsi="Arial"/>
          <w:sz w:val="18"/>
          <w:szCs w:val="18"/>
          <w:color w:val="auto"/>
        </w:rPr>
        <w:t xml:space="preserve"> shall survive the resignation or replacement of the Administrative Agent or any assignment of rights by, or the replacement of, a Bank, the termination of the Commitments and the repayment, satisfaction or discharge of all other Obligations.</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Illegality</w:t>
      </w:r>
      <w:r>
        <w:rPr>
          <w:rFonts w:ascii="Arial" w:cs="Arial" w:eastAsia="Arial" w:hAnsi="Arial"/>
          <w:sz w:val="16"/>
          <w:szCs w:val="16"/>
          <w:color w:val="auto"/>
        </w:rPr>
        <w:t>. If any Bank determines that any law has made it unlawful, or that any Governmental Authority has asserted that it is unlawful, for any Bank or its applicable Lending Office to perform any of its obligations hereunder or make, maintain or fund or charge interest with respect to any Borrowing or to determine or charge interest rates based upon the Eurocurrency Rate, or any Governmental Authority has imposed material restrictions on the authority of such Bank to purchase or sell, or to take deposits of, Dollars in the applicable interbank market, then, on notice thereof by such Bank to the Company through the Administrative Agent, (i) any obligation of such Bank to issue, make, maintain, fund or charge interest with respect to any such Borrowing or to make or continue Eurocurrency Rate Loans or to convert Base Rate Loans to Eurocurrency Rate Loans shall be suspended, and (ii) if such notice asserts the illegality of such Bank making or maintaining Base Rate Loans the interest rate on which is determined by reference to the Eurocurrency Rate component of the Base Rate, the interest rate on which Base Rate Loans of such Bank shall, if necessary to avoid such illegality, be determined by the Administrative Agent without reference to the Eurocurrency Rate component of the Base Rate, in each case until such Bank notifies the Administrative Agent and the Company that the circumstances giving rise to such determination no longer exist. Upon receipt of such notice, (x) the Company shall, upon demand from such Bank (with a copy to the Administrative Agent), prepay or convert all Eurocurrency Rate Loans of such Bank to Base Rate Loans (the interest rate on which Base Rate Loans of such Bank shall, if necessary to avoid such illegality, be determined by the Administrative Agent without reference to the Eurocurrency Rate component of the Base Rate), either on the last day of the Interest Period therefor, if such Bank may lawfully continue to maintain such Eurocurrency Rate Loans to such day, or immediately, if such Bank may not lawfully continue to maintain such Eurocurrency Rate Loans and (y) if such notice asserts the illegality of such Bank determining or charging interest rates based upon the Eurocurrency Rate, the Administrative Agent shall during the period of such suspension compute the Base Rate applicable to such Bank without reference to the Eurocurrency Rate component thereof until the Administrative Agent is advised in writing by such Bank that it is no longer illegal for such Bank to determine or charge interest rates based upon the Eurocurrency Rate. Upon any such prepayment or conversion, the Company shall also pay accrued interest on the amount so prepaid or converted.</w:t>
      </w:r>
    </w:p>
    <w:p>
      <w:pPr>
        <w:spacing w:after="0" w:line="17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Inability to Determine Rates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b w:val="1"/>
          <w:bCs w:val="1"/>
          <w:color w:val="auto"/>
        </w:rPr>
        <w:t>Generally</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6" w:lineRule="auto"/>
        <w:tabs>
          <w:tab w:leader="none" w:pos="1983"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If for any reason in connection with any request for a Eurocurrency Rate Loan or a conversion to or continuation thereof, (i) the Administrative Agent determines that (A) Dollar deposits are not being offered to banks in the applicable interbank market for the applicable amount and Interest Period of such Eurocurrency Rate Loan, or (B)(x) adequate and reasonable means do not exist for determining the Eurocurrency Rate for any requested Interest Period with respect to a proposed Eurocurrency Rate Loan or in connection with an existing or proposed Base Rate Loan and (y) the circumstances described in </w:t>
      </w:r>
      <w:r>
        <w:rPr>
          <w:rFonts w:ascii="Arial" w:cs="Arial" w:eastAsia="Arial" w:hAnsi="Arial"/>
          <w:sz w:val="16"/>
          <w:szCs w:val="16"/>
          <w:b w:val="1"/>
          <w:bCs w:val="1"/>
          <w:i w:val="1"/>
          <w:iCs w:val="1"/>
          <w:color w:val="auto"/>
        </w:rPr>
        <w:t>Section 3.3.2</w:t>
      </w:r>
      <w:r>
        <w:rPr>
          <w:rFonts w:ascii="Arial" w:cs="Arial" w:eastAsia="Arial" w:hAnsi="Arial"/>
          <w:sz w:val="16"/>
          <w:szCs w:val="16"/>
          <w:color w:val="auto"/>
        </w:rPr>
        <w:t xml:space="preserve"> do not apply (in each case with respect to this </w:t>
      </w:r>
      <w:r>
        <w:rPr>
          <w:rFonts w:ascii="Arial" w:cs="Arial" w:eastAsia="Arial" w:hAnsi="Arial"/>
          <w:sz w:val="16"/>
          <w:szCs w:val="16"/>
          <w:b w:val="1"/>
          <w:bCs w:val="1"/>
          <w:i w:val="1"/>
          <w:iCs w:val="1"/>
          <w:color w:val="auto"/>
        </w:rPr>
        <w:t>clause (i)</w:t>
      </w:r>
      <w:r>
        <w:rPr>
          <w:rFonts w:ascii="Arial" w:cs="Arial" w:eastAsia="Arial" w:hAnsi="Arial"/>
          <w:sz w:val="16"/>
          <w:szCs w:val="16"/>
          <w:color w:val="auto"/>
        </w:rPr>
        <w:t>, “</w:t>
      </w:r>
      <w:r>
        <w:rPr>
          <w:rFonts w:ascii="Arial" w:cs="Arial" w:eastAsia="Arial" w:hAnsi="Arial"/>
          <w:sz w:val="16"/>
          <w:szCs w:val="16"/>
          <w:b w:val="1"/>
          <w:bCs w:val="1"/>
          <w:i w:val="1"/>
          <w:iCs w:val="1"/>
          <w:color w:val="auto"/>
        </w:rPr>
        <w:t>Impacted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or (ii) the Administrative Agent or the Majority Banks determine that for any reason the Eurocurrency Rate for any requested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with respect to a proposed Eurocurrency Rate Loan does not adequately and fairly reflect the cost to such Banks of funding such Eurocurrency Rate Loan, the Administrative Agent will promptly so notify the Company and each Bank. Thereafter, (x) the obligation of the Banks to make or maintain Eurocurrency Rate Loans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Majority Banks described in </w:t>
      </w:r>
      <w:r>
        <w:rPr>
          <w:rFonts w:ascii="Arial" w:cs="Arial" w:eastAsia="Arial" w:hAnsi="Arial"/>
          <w:sz w:val="16"/>
          <w:szCs w:val="16"/>
          <w:b w:val="1"/>
          <w:bCs w:val="1"/>
          <w:i w:val="1"/>
          <w:iCs w:val="1"/>
          <w:color w:val="auto"/>
        </w:rPr>
        <w:t>clause (ii)</w:t>
      </w:r>
      <w:r>
        <w:rPr>
          <w:rFonts w:ascii="Arial" w:cs="Arial" w:eastAsia="Arial" w:hAnsi="Arial"/>
          <w:sz w:val="16"/>
          <w:szCs w:val="16"/>
          <w:color w:val="auto"/>
        </w:rPr>
        <w:t xml:space="preserve"> above, until the Administrative Agent upon the instruction of the Majority Banks) revokes such notice. Upon receipt of such notice, the Company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jc w:val="both"/>
        <w:ind w:firstLine="644"/>
        <w:spacing w:after="0" w:line="269" w:lineRule="auto"/>
        <w:tabs>
          <w:tab w:leader="none" w:pos="1537"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b w:val="1"/>
          <w:bCs w:val="1"/>
          <w:i w:val="1"/>
          <w:iCs w:val="1"/>
          <w:color w:val="auto"/>
        </w:rPr>
        <w:t>clause (a)(i)</w:t>
      </w:r>
      <w:r>
        <w:rPr>
          <w:rFonts w:ascii="Arial" w:cs="Arial" w:eastAsia="Arial" w:hAnsi="Arial"/>
          <w:sz w:val="17"/>
          <w:szCs w:val="17"/>
          <w:color w:val="auto"/>
        </w:rPr>
        <w:t xml:space="preserve"> of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the Administrative Agent, acting in a commercially reasonable manner and in consultation with the Company and the Majority Banks,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7"/>
          <w:szCs w:val="17"/>
          <w:b w:val="1"/>
          <w:bCs w:val="1"/>
          <w:i w:val="1"/>
          <w:iCs w:val="1"/>
          <w:color w:val="auto"/>
        </w:rPr>
        <w:t>clause (a)(i)</w:t>
      </w:r>
      <w:r>
        <w:rPr>
          <w:rFonts w:ascii="Arial" w:cs="Arial" w:eastAsia="Arial" w:hAnsi="Arial"/>
          <w:sz w:val="17"/>
          <w:szCs w:val="17"/>
          <w:color w:val="auto"/>
        </w:rPr>
        <w:t xml:space="preserve"> of the first sentence of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(2) the Administrative Agent or the Majority Banks notify the Administrative Agent and the Company that such alternative interest rate does not adequately and fairly reflect the cost to such Banks of funding the Impacted Loans, or (3) any Bank determines that any law has made it unlawful, or that any Governmental Authority has asserted that it is unlawful, for such Bank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Bank to do any of the foregoing and provides the Administrative Agent and the Company written notice thereof.</w:t>
      </w:r>
    </w:p>
    <w:p>
      <w:pPr>
        <w:spacing w:after="0" w:line="18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b w:val="1"/>
          <w:bCs w:val="1"/>
          <w:color w:val="auto"/>
        </w:rPr>
        <w:t>Effect of Benchmark Transition Event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4" w:lineRule="auto"/>
        <w:tabs>
          <w:tab w:leader="none" w:pos="159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Benchmark Replacement</w:t>
      </w:r>
      <w:r>
        <w:rPr>
          <w:rFonts w:ascii="Arial" w:cs="Arial" w:eastAsia="Arial" w:hAnsi="Arial"/>
          <w:sz w:val="18"/>
          <w:szCs w:val="18"/>
          <w:color w:val="auto"/>
        </w:rPr>
        <w:t>. Notwithstanding anything to the contrary herein or in any other Loan Document,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occurrence of a Benchmark Transition Event or an Early Opt-in Election, as applicable, the Administrative Agent and the Company may amend this Agreement to replace LIBOR with a Benchmark Replacement. Any such amendment with respect to a Benchmark Transition Event will become effective at 5:00 p.m. on the fifth Business Day after the Administrative Agent has posted such proposed amendment to all Banks and the Company so long as the Administrative Agent has not received, by such time, written notice of objection to such amendment from Banks comprising the Majority Banks. Any such amendment with respect to an Early Opt-in Election will become effective on the date that Banks comprising the Majority Banks have delivered to the Administrative Agent written notice that such Majority Banks accept such amendment. No replacement of LIBOR with a Benchmark Replacement pursuant to this </w:t>
      </w:r>
      <w:r>
        <w:rPr>
          <w:rFonts w:ascii="Arial" w:cs="Arial" w:eastAsia="Arial" w:hAnsi="Arial"/>
          <w:sz w:val="18"/>
          <w:szCs w:val="18"/>
          <w:b w:val="1"/>
          <w:bCs w:val="1"/>
          <w:i w:val="1"/>
          <w:iCs w:val="1"/>
          <w:color w:val="auto"/>
        </w:rPr>
        <w:t>Section 3.3</w:t>
      </w:r>
      <w:r>
        <w:rPr>
          <w:rFonts w:ascii="Arial" w:cs="Arial" w:eastAsia="Arial" w:hAnsi="Arial"/>
          <w:sz w:val="18"/>
          <w:szCs w:val="18"/>
          <w:color w:val="auto"/>
        </w:rPr>
        <w:t xml:space="preserve"> will occur prior to the applicable Benchmark Transition Start Date.</w:t>
      </w:r>
    </w:p>
    <w:p>
      <w:pPr>
        <w:spacing w:after="0" w:line="188" w:lineRule="exact"/>
        <w:rPr>
          <w:rFonts w:ascii="Arial" w:cs="Arial" w:eastAsia="Arial" w:hAnsi="Arial"/>
          <w:sz w:val="18"/>
          <w:szCs w:val="18"/>
          <w:color w:val="auto"/>
        </w:rPr>
      </w:pPr>
    </w:p>
    <w:p>
      <w:pPr>
        <w:jc w:val="both"/>
        <w:ind w:firstLine="644"/>
        <w:spacing w:after="0" w:line="258" w:lineRule="auto"/>
        <w:tabs>
          <w:tab w:leader="none" w:pos="141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Benchmark Replacement Conforming Changes</w:t>
      </w:r>
      <w:r>
        <w:rPr>
          <w:rFonts w:ascii="Arial" w:cs="Arial" w:eastAsia="Arial" w:hAnsi="Arial"/>
          <w:sz w:val="18"/>
          <w:szCs w:val="18"/>
          <w:color w:val="auto"/>
        </w:rPr>
        <w:t>. In connection with the implementation of a Benchmark Replacement,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will have the right (subject to obtaining the Company's consent, which consent shall not be unreasonably withheld)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4" w:name="page45"/>
    <w:bookmarkEnd w:id="44"/>
    <w:p>
      <w:pPr>
        <w:jc w:val="both"/>
        <w:ind w:left="660" w:firstLine="644"/>
        <w:spacing w:after="0" w:line="291" w:lineRule="auto"/>
        <w:tabs>
          <w:tab w:leader="none" w:pos="2011"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Notices; Standards for Decisions and Determinations</w:t>
      </w:r>
      <w:r>
        <w:rPr>
          <w:rFonts w:ascii="Arial" w:cs="Arial" w:eastAsia="Arial" w:hAnsi="Arial"/>
          <w:sz w:val="16"/>
          <w:szCs w:val="16"/>
          <w:color w:val="auto"/>
        </w:rPr>
        <w:t>. The Administrative Agent will promptly notify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Banks pursuant to this </w:t>
      </w:r>
      <w:r>
        <w:rPr>
          <w:rFonts w:ascii="Arial" w:cs="Arial" w:eastAsia="Arial" w:hAnsi="Arial"/>
          <w:sz w:val="16"/>
          <w:szCs w:val="16"/>
          <w:b w:val="1"/>
          <w:bCs w:val="1"/>
          <w:i w:val="1"/>
          <w:iCs w:val="1"/>
          <w:color w:val="auto"/>
        </w:rPr>
        <w:t>Section 3.3</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w:t>
      </w:r>
      <w:r>
        <w:rPr>
          <w:rFonts w:ascii="Arial" w:cs="Arial" w:eastAsia="Arial" w:hAnsi="Arial"/>
          <w:sz w:val="16"/>
          <w:szCs w:val="16"/>
          <w:b w:val="1"/>
          <w:bCs w:val="1"/>
          <w:i w:val="1"/>
          <w:iCs w:val="1"/>
          <w:color w:val="auto"/>
        </w:rPr>
        <w:t>Section 3.3</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60" w:firstLine="644"/>
        <w:spacing w:after="0" w:line="277" w:lineRule="auto"/>
        <w:tabs>
          <w:tab w:leader="none" w:pos="2386"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Benchmark Unavailability Period</w:t>
      </w:r>
      <w:r>
        <w:rPr>
          <w:rFonts w:ascii="Arial" w:cs="Arial" w:eastAsia="Arial" w:hAnsi="Arial"/>
          <w:sz w:val="17"/>
          <w:szCs w:val="17"/>
          <w:color w:val="auto"/>
        </w:rPr>
        <w:t>. Upon the Company’s receipt of notice of the commencement of a Benchmark</w:t>
      </w:r>
      <w:r>
        <w:rPr>
          <w:rFonts w:ascii="Arial" w:cs="Arial" w:eastAsia="Arial" w:hAnsi="Arial"/>
          <w:sz w:val="17"/>
          <w:szCs w:val="17"/>
          <w:b w:val="1"/>
          <w:bCs w:val="1"/>
          <w:color w:val="auto"/>
        </w:rPr>
        <w:t xml:space="preserve"> </w:t>
      </w:r>
      <w:r>
        <w:rPr>
          <w:rFonts w:ascii="Arial" w:cs="Arial" w:eastAsia="Arial" w:hAnsi="Arial"/>
          <w:sz w:val="17"/>
          <w:szCs w:val="17"/>
          <w:color w:val="auto"/>
        </w:rPr>
        <w:t>Unavailability Period, the Company may revoke any request for a Borrowing of, conversion to or continuation of Eurocurrency Rate Loans to be made, converted or continued during any Benchmark Unavailability Period and, failing that, the Company will be deemed to have converted any such request into a request for a Borrowing of or conversion to Base Rate Loans. During any Benchmark Unavailability Period, the component of Base Rate based upon LIBOR will not be used in any determination of Base Rate.</w:t>
      </w:r>
    </w:p>
    <w:p>
      <w:pPr>
        <w:spacing w:after="0" w:line="16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b w:val="1"/>
          <w:bCs w:val="1"/>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b w:val="1"/>
          <w:bCs w:val="1"/>
          <w:color w:val="auto"/>
        </w:rPr>
        <w:t>Increased Costs Generally</w:t>
      </w:r>
      <w:r>
        <w:rPr>
          <w:rFonts w:ascii="Arial" w:cs="Arial" w:eastAsia="Arial" w:hAnsi="Arial"/>
          <w:sz w:val="16"/>
          <w:szCs w:val="16"/>
          <w:color w:val="auto"/>
        </w:rPr>
        <w:t>. If any Change in Law shall:</w:t>
      </w:r>
    </w:p>
    <w:p>
      <w:pPr>
        <w:spacing w:after="0" w:line="229" w:lineRule="exact"/>
        <w:rPr>
          <w:sz w:val="20"/>
          <w:szCs w:val="20"/>
          <w:color w:val="auto"/>
        </w:rPr>
      </w:pPr>
    </w:p>
    <w:p>
      <w:pPr>
        <w:ind w:left="660" w:right="20" w:firstLine="644"/>
        <w:spacing w:after="0" w:line="277" w:lineRule="auto"/>
        <w:tabs>
          <w:tab w:leader="none" w:pos="21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Bank;</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0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b w:val="1"/>
          <w:bCs w:val="1"/>
          <w:i w:val="1"/>
          <w:iCs w:val="1"/>
          <w:color w:val="auto"/>
        </w:rPr>
        <w:t>clauses (b)</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1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on any Bank or any applicable interbank market any other condition, cost or expense affecting this Agreement or Eurocurrency Rate Loans made by such Bank;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Bank of making, converting to, continuing or maintaining any Loan (or of maintaining its obligation to make any such Loan), or to reduce the amount of any sum received or receivable by such Bank hereunder (whether of principal, interest or any other amount) then, upon request of such Bank, the Company will pay to such Bank such additional amount or amounts as will compensate such Bank for such additional costs incurred or reduction suffered.</w:t>
      </w:r>
    </w:p>
    <w:p>
      <w:pPr>
        <w:spacing w:after="0" w:line="18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3.4.2 </w:t>
      </w:r>
      <w:r>
        <w:rPr>
          <w:rFonts w:ascii="Arial" w:cs="Arial" w:eastAsia="Arial" w:hAnsi="Arial"/>
          <w:sz w:val="16"/>
          <w:szCs w:val="16"/>
          <w:b w:val="1"/>
          <w:bCs w:val="1"/>
          <w:color w:val="auto"/>
        </w:rPr>
        <w:t>Capital Requirements</w:t>
      </w:r>
      <w:r>
        <w:rPr>
          <w:rFonts w:ascii="Arial" w:cs="Arial" w:eastAsia="Arial" w:hAnsi="Arial"/>
          <w:sz w:val="16"/>
          <w:szCs w:val="16"/>
          <w:color w:val="auto"/>
        </w:rPr>
        <w:t>. If any Bank determines that any Change in Law affecting such Bank or any Lending Office of such Bank or such Bank’s holding company, if any, regarding capital or liquidity requirements has or would have the effect of reducing the rate of return on such Bank’s capital or on the capital of such Bank’s holding company, if any, as a consequence of this Agreement, the Commitments of such Bank or the Loans made by such Bank, to a level below that which such Bank or such Bank’s holding company could have achieved but for such Change in Law (taking into consideration such Bank’s policies and the policies of such Bank’s holding company with respect to capital adequacy), then from time to time the Company will pay to such Bank, such additional amount or amounts as will compensate such Bank or such Bank’s holding company for any such reduction suffered.</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89" w:lineRule="auto"/>
        <w:rPr>
          <w:sz w:val="20"/>
          <w:szCs w:val="20"/>
          <w:color w:val="auto"/>
        </w:rPr>
      </w:pPr>
      <w:r>
        <w:rPr>
          <w:rFonts w:ascii="Arial" w:cs="Arial" w:eastAsia="Arial" w:hAnsi="Arial"/>
          <w:sz w:val="17"/>
          <w:szCs w:val="17"/>
          <w:color w:val="auto"/>
        </w:rPr>
        <w:t xml:space="preserve">3.4.3 </w:t>
      </w:r>
      <w:r>
        <w:rPr>
          <w:rFonts w:ascii="Arial" w:cs="Arial" w:eastAsia="Arial" w:hAnsi="Arial"/>
          <w:sz w:val="17"/>
          <w:szCs w:val="17"/>
          <w:b w:val="1"/>
          <w:bCs w:val="1"/>
          <w:color w:val="auto"/>
        </w:rPr>
        <w:t>Certificates for Reimbursement</w:t>
      </w:r>
      <w:r>
        <w:rPr>
          <w:rFonts w:ascii="Arial" w:cs="Arial" w:eastAsia="Arial" w:hAnsi="Arial"/>
          <w:sz w:val="17"/>
          <w:szCs w:val="17"/>
          <w:color w:val="auto"/>
        </w:rPr>
        <w:t xml:space="preserve">. A certificate of a Bank setting forth the amount or amounts necessary to compensate such Bank or its holding company, as the case may be, as specified in </w:t>
      </w:r>
      <w:r>
        <w:rPr>
          <w:rFonts w:ascii="Arial" w:cs="Arial" w:eastAsia="Arial" w:hAnsi="Arial"/>
          <w:sz w:val="17"/>
          <w:szCs w:val="17"/>
          <w:b w:val="1"/>
          <w:bCs w:val="1"/>
          <w:i w:val="1"/>
          <w:iCs w:val="1"/>
          <w:color w:val="auto"/>
        </w:rPr>
        <w:t>Sections 3.4.1</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3.4.2</w:t>
      </w:r>
      <w:r>
        <w:rPr>
          <w:rFonts w:ascii="Arial" w:cs="Arial" w:eastAsia="Arial" w:hAnsi="Arial"/>
          <w:sz w:val="17"/>
          <w:szCs w:val="17"/>
          <w:color w:val="auto"/>
        </w:rPr>
        <w:t xml:space="preserve"> and delivered to the Company shall be conclusive absent manifest error. The Company shall pay such Bank the amount shown as due on any such certificate within 10 days after receipt thereof.</w:t>
      </w:r>
    </w:p>
    <w:p>
      <w:pPr>
        <w:spacing w:after="0" w:line="15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color w:val="auto"/>
        </w:rPr>
        <w:t xml:space="preserve">3.4.4 </w:t>
      </w:r>
      <w:r>
        <w:rPr>
          <w:rFonts w:ascii="Arial" w:cs="Arial" w:eastAsia="Arial" w:hAnsi="Arial"/>
          <w:sz w:val="17"/>
          <w:szCs w:val="17"/>
          <w:b w:val="1"/>
          <w:bCs w:val="1"/>
          <w:color w:val="auto"/>
        </w:rPr>
        <w:t>Delay in Requests</w:t>
      </w:r>
      <w:r>
        <w:rPr>
          <w:rFonts w:ascii="Arial" w:cs="Arial" w:eastAsia="Arial" w:hAnsi="Arial"/>
          <w:sz w:val="17"/>
          <w:szCs w:val="17"/>
          <w:color w:val="auto"/>
        </w:rPr>
        <w:t xml:space="preserve">. Failure or delay on the part of any Bank to demand compensation pursuant to the foregoing provisions of this </w:t>
      </w:r>
      <w:r>
        <w:rPr>
          <w:rFonts w:ascii="Arial" w:cs="Arial" w:eastAsia="Arial" w:hAnsi="Arial"/>
          <w:sz w:val="17"/>
          <w:szCs w:val="17"/>
          <w:b w:val="1"/>
          <w:bCs w:val="1"/>
          <w:i w:val="1"/>
          <w:iCs w:val="1"/>
          <w:color w:val="auto"/>
        </w:rPr>
        <w:t>Section 3.4</w:t>
      </w:r>
      <w:r>
        <w:rPr>
          <w:rFonts w:ascii="Arial" w:cs="Arial" w:eastAsia="Arial" w:hAnsi="Arial"/>
          <w:sz w:val="17"/>
          <w:szCs w:val="17"/>
          <w:color w:val="auto"/>
        </w:rPr>
        <w:t xml:space="preserve"> shall not constitute a waiver of such Bank’s right to demand such compensation,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compensate a Bank pursuant to the foregoing provisions of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for any increased costs incurred or reductions suffered more than six months prior to the date that such Bank notifies the Company of the Change in Law giving rise to such increased costs or reductions and of such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Compensation for Losses</w:t>
      </w:r>
      <w:r>
        <w:rPr>
          <w:rFonts w:ascii="Arial" w:cs="Arial" w:eastAsia="Arial" w:hAnsi="Arial"/>
          <w:sz w:val="18"/>
          <w:szCs w:val="18"/>
          <w:color w:val="auto"/>
        </w:rPr>
        <w:t>. Upon demand of any Bank (with a copy to the Administrative Agent) from time to time, the Company shall promptly compensate such Bank for and hold such Bank harmless from any loss, cost or expense incurred by it as a result of:</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3.5.1 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3.5.2 any failure by the Company (for a reason other than the failure of such Bank to make a Loan) to prepay, borrow, continue or convert any Loan other than a Base Rate Loan on the date or in the amount notified by the Company;</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[Reserved]; or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3.5.4 any assignment of a Eurocurrency Rate Loan on a day other than the last day of the Interest Period therefor as a result of a request by the Company pursuant to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any customary administrative fees charged by such Bank in connection with the foregoing.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purposes of calculating amounts payable by the Company to the Banks under this </w:t>
      </w:r>
      <w:r>
        <w:rPr>
          <w:rFonts w:ascii="Arial" w:cs="Arial" w:eastAsia="Arial" w:hAnsi="Arial"/>
          <w:sz w:val="18"/>
          <w:szCs w:val="18"/>
          <w:b w:val="1"/>
          <w:bCs w:val="1"/>
          <w:i w:val="1"/>
          <w:iCs w:val="1"/>
          <w:color w:val="auto"/>
        </w:rPr>
        <w:t>Section 3.5</w:t>
      </w:r>
      <w:r>
        <w:rPr>
          <w:rFonts w:ascii="Arial" w:cs="Arial" w:eastAsia="Arial" w:hAnsi="Arial"/>
          <w:sz w:val="18"/>
          <w:szCs w:val="18"/>
          <w:color w:val="auto"/>
        </w:rPr>
        <w:t>, each Bank shall be deemed to have funded each Eurocurrency Rate Loan made by it at the Eurocurrency Rate used in determining the Eurocurrency Rate for such Loan by a matching deposit or other borrowing in the applicable interbank market for a comparable amount and for a comparable period, whether or not such Eurocurrency Rate Loan was in fact so funded.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tabs>
          <w:tab w:leader="none" w:pos="13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Mitigation Obligations; Replacement of Banks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3.6.1 </w:t>
      </w:r>
      <w:r>
        <w:rPr>
          <w:rFonts w:ascii="Arial" w:cs="Arial" w:eastAsia="Arial" w:hAnsi="Arial"/>
          <w:sz w:val="16"/>
          <w:szCs w:val="16"/>
          <w:b w:val="1"/>
          <w:bCs w:val="1"/>
          <w:color w:val="auto"/>
        </w:rPr>
        <w:t>Designation of a Different Lending Office</w:t>
      </w:r>
      <w:r>
        <w:rPr>
          <w:rFonts w:ascii="Arial" w:cs="Arial" w:eastAsia="Arial" w:hAnsi="Arial"/>
          <w:sz w:val="16"/>
          <w:szCs w:val="16"/>
          <w:color w:val="auto"/>
        </w:rPr>
        <w:t xml:space="preserve">. Each Bank may make any Borrowing to the Company through any Lending Office, provided that the exercise of this option shall not affect the obligation of the Company to repay the Borrowing in accordance with the terms of this Agreement. If any Bank requests compensation under </w:t>
      </w:r>
      <w:r>
        <w:rPr>
          <w:rFonts w:ascii="Arial" w:cs="Arial" w:eastAsia="Arial" w:hAnsi="Arial"/>
          <w:sz w:val="16"/>
          <w:szCs w:val="16"/>
          <w:b w:val="1"/>
          <w:bCs w:val="1"/>
          <w:i w:val="1"/>
          <w:iCs w:val="1"/>
          <w:color w:val="auto"/>
        </w:rPr>
        <w:t>Section 3.4</w:t>
      </w:r>
      <w:r>
        <w:rPr>
          <w:rFonts w:ascii="Arial" w:cs="Arial" w:eastAsia="Arial" w:hAnsi="Arial"/>
          <w:sz w:val="16"/>
          <w:szCs w:val="16"/>
          <w:color w:val="auto"/>
        </w:rPr>
        <w:t xml:space="preserve">, or requires the Company to pay any Indemnified Taxes or additional amounts to any Bank or any Governmental Authority for the account of any Bank pursuant to </w:t>
      </w:r>
      <w:r>
        <w:rPr>
          <w:rFonts w:ascii="Arial" w:cs="Arial" w:eastAsia="Arial" w:hAnsi="Arial"/>
          <w:sz w:val="16"/>
          <w:szCs w:val="16"/>
          <w:b w:val="1"/>
          <w:bCs w:val="1"/>
          <w:i w:val="1"/>
          <w:iCs w:val="1"/>
          <w:color w:val="auto"/>
        </w:rPr>
        <w:t>Section 3.1</w:t>
      </w:r>
      <w:r>
        <w:rPr>
          <w:rFonts w:ascii="Arial" w:cs="Arial" w:eastAsia="Arial" w:hAnsi="Arial"/>
          <w:sz w:val="16"/>
          <w:szCs w:val="16"/>
          <w:color w:val="auto"/>
        </w:rPr>
        <w:t xml:space="preserve">, or if any Bank gives a notice pursuant to </w:t>
      </w:r>
      <w:r>
        <w:rPr>
          <w:rFonts w:ascii="Arial" w:cs="Arial" w:eastAsia="Arial" w:hAnsi="Arial"/>
          <w:sz w:val="16"/>
          <w:szCs w:val="16"/>
          <w:b w:val="1"/>
          <w:bCs w:val="1"/>
          <w:i w:val="1"/>
          <w:iCs w:val="1"/>
          <w:color w:val="auto"/>
        </w:rPr>
        <w:t>Section 3.2</w:t>
      </w:r>
      <w:r>
        <w:rPr>
          <w:rFonts w:ascii="Arial" w:cs="Arial" w:eastAsia="Arial" w:hAnsi="Arial"/>
          <w:sz w:val="16"/>
          <w:szCs w:val="16"/>
          <w:color w:val="auto"/>
        </w:rPr>
        <w:t>, then at the request of the Company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w:t>
      </w:r>
    </w:p>
    <w:p>
      <w:pPr>
        <w:spacing w:after="0" w:line="3" w:lineRule="exact"/>
        <w:rPr>
          <w:sz w:val="20"/>
          <w:szCs w:val="20"/>
          <w:color w:val="auto"/>
        </w:rPr>
      </w:pPr>
    </w:p>
    <w:p>
      <w:pPr>
        <w:jc w:val="both"/>
        <w:ind w:firstLine="8"/>
        <w:spacing w:after="0" w:line="253" w:lineRule="auto"/>
        <w:tabs>
          <w:tab w:leader="none" w:pos="2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b w:val="1"/>
          <w:bCs w:val="1"/>
          <w:i w:val="1"/>
          <w:iCs w:val="1"/>
          <w:color w:val="auto"/>
        </w:rPr>
        <w:t>Sections 3.1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3.4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as applicable, and (ii) in each case,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b w:val="1"/>
          <w:bCs w:val="1"/>
          <w:color w:val="auto"/>
        </w:rPr>
        <w:t>Replacement of Banks</w:t>
      </w:r>
      <w:r>
        <w:rPr>
          <w:rFonts w:ascii="Arial" w:cs="Arial" w:eastAsia="Arial" w:hAnsi="Arial"/>
          <w:sz w:val="18"/>
          <w:szCs w:val="18"/>
          <w:color w:val="auto"/>
        </w:rPr>
        <w:t xml:space="preserve">. If any Bank requests compensation under </w:t>
      </w:r>
      <w:r>
        <w:rPr>
          <w:rFonts w:ascii="Arial" w:cs="Arial" w:eastAsia="Arial" w:hAnsi="Arial"/>
          <w:sz w:val="18"/>
          <w:szCs w:val="18"/>
          <w:b w:val="1"/>
          <w:bCs w:val="1"/>
          <w:i w:val="1"/>
          <w:iCs w:val="1"/>
          <w:color w:val="auto"/>
        </w:rPr>
        <w:t>Section 3.4</w:t>
      </w:r>
      <w:r>
        <w:rPr>
          <w:rFonts w:ascii="Arial" w:cs="Arial" w:eastAsia="Arial" w:hAnsi="Arial"/>
          <w:sz w:val="18"/>
          <w:szCs w:val="18"/>
          <w:color w:val="auto"/>
        </w:rPr>
        <w:t xml:space="preserve">, or if the Company is required to pay any Indemnified Taxes or additional amounts to any Bank or any Governmental Authority for the account of any Bank pursuant to </w:t>
      </w:r>
      <w:r>
        <w:rPr>
          <w:rFonts w:ascii="Arial" w:cs="Arial" w:eastAsia="Arial" w:hAnsi="Arial"/>
          <w:sz w:val="18"/>
          <w:szCs w:val="18"/>
          <w:b w:val="1"/>
          <w:bCs w:val="1"/>
          <w:i w:val="1"/>
          <w:iCs w:val="1"/>
          <w:color w:val="auto"/>
        </w:rPr>
        <w:t>Section 3.1</w:t>
      </w:r>
      <w:r>
        <w:rPr>
          <w:rFonts w:ascii="Arial" w:cs="Arial" w:eastAsia="Arial" w:hAnsi="Arial"/>
          <w:sz w:val="18"/>
          <w:szCs w:val="18"/>
          <w:color w:val="auto"/>
        </w:rPr>
        <w:t xml:space="preserve"> and, in each case, such Bank has declined or is unable to designate a different lending office in accordance with </w:t>
      </w:r>
      <w:r>
        <w:rPr>
          <w:rFonts w:ascii="Arial" w:cs="Arial" w:eastAsia="Arial" w:hAnsi="Arial"/>
          <w:sz w:val="18"/>
          <w:szCs w:val="18"/>
          <w:b w:val="1"/>
          <w:bCs w:val="1"/>
          <w:i w:val="1"/>
          <w:iCs w:val="1"/>
          <w:color w:val="auto"/>
        </w:rPr>
        <w:t>Section 3.6.1</w:t>
      </w:r>
      <w:r>
        <w:rPr>
          <w:rFonts w:ascii="Arial" w:cs="Arial" w:eastAsia="Arial" w:hAnsi="Arial"/>
          <w:sz w:val="18"/>
          <w:szCs w:val="18"/>
          <w:color w:val="auto"/>
        </w:rPr>
        <w:t xml:space="preserve">, the Company may replace such Bank in accordance with </w:t>
      </w:r>
      <w:r>
        <w:rPr>
          <w:rFonts w:ascii="Arial" w:cs="Arial" w:eastAsia="Arial" w:hAnsi="Arial"/>
          <w:sz w:val="18"/>
          <w:szCs w:val="18"/>
          <w:b w:val="1"/>
          <w:bCs w:val="1"/>
          <w:i w:val="1"/>
          <w:iCs w:val="1"/>
          <w:color w:val="auto"/>
        </w:rPr>
        <w:t>Section 2.18</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Survival</w:t>
      </w:r>
      <w:r>
        <w:rPr>
          <w:rFonts w:ascii="Arial" w:cs="Arial" w:eastAsia="Arial" w:hAnsi="Arial"/>
          <w:sz w:val="18"/>
          <w:szCs w:val="18"/>
          <w:color w:val="auto"/>
        </w:rPr>
        <w:t xml:space="preserve">. All obligations of the Loan Parties under this </w:t>
      </w:r>
      <w:r>
        <w:rPr>
          <w:rFonts w:ascii="Arial" w:cs="Arial" w:eastAsia="Arial" w:hAnsi="Arial"/>
          <w:sz w:val="18"/>
          <w:szCs w:val="18"/>
          <w:b w:val="1"/>
          <w:bCs w:val="1"/>
          <w:i w:val="1"/>
          <w:iCs w:val="1"/>
          <w:color w:val="auto"/>
        </w:rPr>
        <w:t>Section 3</w:t>
      </w:r>
      <w:r>
        <w:rPr>
          <w:rFonts w:ascii="Arial" w:cs="Arial" w:eastAsia="Arial" w:hAnsi="Arial"/>
          <w:sz w:val="18"/>
          <w:szCs w:val="18"/>
          <w:color w:val="auto"/>
        </w:rPr>
        <w:t xml:space="preserve"> shall survive termination of the Total Commitments, repayment of all other Obligations hereunder, and resignation of the Administrative Agent.</w:t>
      </w:r>
    </w:p>
    <w:p>
      <w:pPr>
        <w:spacing w:after="0" w:line="162"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The Company (and the Guarantor, where applicable) represents and warrants to the Banks that:</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6.1</w:t>
      </w:r>
      <w:r>
        <w:rPr>
          <w:rFonts w:ascii="Arial" w:cs="Arial" w:eastAsia="Arial" w:hAnsi="Arial"/>
          <w:sz w:val="16"/>
          <w:szCs w:val="16"/>
          <w:b w:val="1"/>
          <w:bCs w:val="1"/>
          <w:color w:val="auto"/>
        </w:rPr>
        <w:t>Corporate Authority</w:t>
      </w:r>
      <w:r>
        <w:rPr>
          <w:rFonts w:ascii="Arial" w:cs="Arial" w:eastAsia="Arial" w:hAnsi="Arial"/>
          <w:sz w:val="16"/>
          <w:szCs w:val="16"/>
          <w:color w:val="auto"/>
        </w:rPr>
        <w:t>.</w:t>
      </w:r>
    </w:p>
    <w:p>
      <w:pPr>
        <w:spacing w:after="0" w:line="225" w:lineRule="exact"/>
        <w:rPr>
          <w:rFonts w:ascii="Arial" w:cs="Arial" w:eastAsia="Arial" w:hAnsi="Arial"/>
          <w:sz w:val="16"/>
          <w:szCs w:val="16"/>
          <w:color w:val="auto"/>
        </w:rPr>
      </w:pPr>
    </w:p>
    <w:p>
      <w:pPr>
        <w:jc w:val="both"/>
        <w:ind w:left="660" w:firstLine="644"/>
        <w:spacing w:after="0" w:line="277" w:lineRule="auto"/>
        <w:tabs>
          <w:tab w:leader="none" w:pos="2065"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Incorporation; Good Standing</w:t>
      </w:r>
      <w:r>
        <w:rPr>
          <w:rFonts w:ascii="Arial" w:cs="Arial" w:eastAsia="Arial" w:hAnsi="Arial"/>
          <w:sz w:val="17"/>
          <w:szCs w:val="17"/>
          <w:color w:val="auto"/>
        </w:rPr>
        <w:t>. The Company and each Significant Subsidiary (i) is duly organized, validly existing and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167" w:lineRule="exact"/>
        <w:rPr>
          <w:rFonts w:ascii="Arial" w:cs="Arial" w:eastAsia="Arial" w:hAnsi="Arial"/>
          <w:sz w:val="17"/>
          <w:szCs w:val="17"/>
          <w:color w:val="auto"/>
        </w:rPr>
      </w:pPr>
    </w:p>
    <w:p>
      <w:pPr>
        <w:jc w:val="both"/>
        <w:ind w:left="660" w:firstLine="644"/>
        <w:spacing w:after="0" w:line="291" w:lineRule="auto"/>
        <w:tabs>
          <w:tab w:leader="none" w:pos="2008"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Authorization</w:t>
      </w:r>
      <w:r>
        <w:rPr>
          <w:rFonts w:ascii="Arial" w:cs="Arial" w:eastAsia="Arial" w:hAnsi="Arial"/>
          <w:sz w:val="16"/>
          <w:szCs w:val="16"/>
          <w:color w:val="auto"/>
        </w:rPr>
        <w:t>. The execution, delivery and performance of its Loan Documents and the transactions contemplated hereby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(i) are within the corporate authority of the Company and the Guarantor, (ii) have been duly authorized by all necessary corporate proceedings on the part of the Company and the Guarantor, (iii) do not conflict with or result in any breach or contravention of any provision of law, statute, rule or regulation to which the Company or the Guarantor or any of their Subsidiaries is subject, (iv) do not contravene any judgment, order, writ, injunction, license or permit applicable to the Company, the Guarantor or any of their Subsidiaries so as to have a Material Adverse Effect, and (v) do not conflict with any provision of the corporate charter or bylaws of the Company, the Guarantor or any Significant Subsidiary or any agreement or other instrument binding upon the Company, the Guarantor or any Significant Subsidiaries, except for those conflicts with any such agreement or instrument which could not reasonably be expected to have a Material Adverse Effect.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660" w:firstLine="644"/>
        <w:spacing w:after="0" w:line="281" w:lineRule="auto"/>
        <w:tabs>
          <w:tab w:leader="none" w:pos="1971"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Enforceability</w:t>
      </w:r>
      <w:r>
        <w:rPr>
          <w:rFonts w:ascii="Arial" w:cs="Arial" w:eastAsia="Arial" w:hAnsi="Arial"/>
          <w:sz w:val="17"/>
          <w:szCs w:val="17"/>
          <w:color w:val="auto"/>
        </w:rPr>
        <w:t>. The execution, delivery and performance of the Loan Documents by the Company and the Guarantor will result</w:t>
      </w:r>
      <w:r>
        <w:rPr>
          <w:rFonts w:ascii="Arial" w:cs="Arial" w:eastAsia="Arial" w:hAnsi="Arial"/>
          <w:sz w:val="17"/>
          <w:szCs w:val="17"/>
          <w:b w:val="1"/>
          <w:bCs w:val="1"/>
          <w:color w:val="auto"/>
        </w:rPr>
        <w:t xml:space="preserve"> </w:t>
      </w:r>
      <w:r>
        <w:rPr>
          <w:rFonts w:ascii="Arial" w:cs="Arial" w:eastAsia="Arial" w:hAnsi="Arial"/>
          <w:sz w:val="17"/>
          <w:szCs w:val="17"/>
          <w:color w:val="auto"/>
        </w:rPr>
        <w:t>in valid and legally binding obligations of the Company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16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Governmental and Other Approvals</w:t>
      </w:r>
      <w:r>
        <w:rPr>
          <w:rFonts w:ascii="Arial" w:cs="Arial" w:eastAsia="Arial" w:hAnsi="Arial"/>
          <w:sz w:val="17"/>
          <w:szCs w:val="17"/>
          <w:color w:val="auto"/>
        </w:rPr>
        <w:t xml:space="preserve">. The execution, delivery and performance of the Loan Documents by the Company and the Guarantor and the consummation by the Company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Company’s performance of the covenants contained in </w:t>
      </w:r>
      <w:r>
        <w:rPr>
          <w:rFonts w:ascii="Arial" w:cs="Arial" w:eastAsia="Arial" w:hAnsi="Arial"/>
          <w:sz w:val="17"/>
          <w:szCs w:val="17"/>
          <w:b w:val="1"/>
          <w:bCs w:val="1"/>
          <w:i w:val="1"/>
          <w:iCs w:val="1"/>
          <w:color w:val="auto"/>
        </w:rPr>
        <w:t>Sections 7</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8</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9</w:t>
      </w:r>
      <w:r>
        <w:rPr>
          <w:rFonts w:ascii="Arial" w:cs="Arial" w:eastAsia="Arial" w:hAnsi="Arial"/>
          <w:sz w:val="17"/>
          <w:szCs w:val="17"/>
          <w:color w:val="auto"/>
        </w:rPr>
        <w:t xml:space="preserve"> hereof.</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Title to Properties; Leases</w:t>
      </w:r>
      <w:r>
        <w:rPr>
          <w:rFonts w:ascii="Arial" w:cs="Arial" w:eastAsia="Arial" w:hAnsi="Arial"/>
          <w:sz w:val="18"/>
          <w:szCs w:val="18"/>
          <w:color w:val="auto"/>
        </w:rPr>
        <w:t>. The Company and its Subsidiaries own all of the assets reflected in the consolidated balance sheet as at the 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Financial Statements; Solvency</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88" w:lineRule="auto"/>
        <w:tabs>
          <w:tab w:leader="none" w:pos="2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Company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Company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Company and its Subsidiaries involving material amounts, known to the officers of the Company or the Guarantor, which have not been disclosed in said balance sheets and the related notes thereto or otherwise in writing to the Banks.</w:t>
      </w:r>
    </w:p>
    <w:p>
      <w:pPr>
        <w:spacing w:after="0" w:line="168" w:lineRule="exact"/>
        <w:rPr>
          <w:rFonts w:ascii="Arial" w:cs="Arial" w:eastAsia="Arial" w:hAnsi="Arial"/>
          <w:sz w:val="16"/>
          <w:szCs w:val="16"/>
          <w:color w:val="auto"/>
        </w:rPr>
      </w:pPr>
    </w:p>
    <w:p>
      <w:pPr>
        <w:jc w:val="both"/>
        <w:ind w:left="660" w:firstLine="644"/>
        <w:spacing w:after="0" w:line="259" w:lineRule="auto"/>
        <w:tabs>
          <w:tab w:leader="none" w:pos="19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on a consolidated basis (both before and after giving effect to the transactions contemplated by this Agreement)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No Material Changes, Etc</w:t>
      </w:r>
      <w:r>
        <w:rPr>
          <w:rFonts w:ascii="Arial" w:cs="Arial" w:eastAsia="Arial" w:hAnsi="Arial"/>
          <w:sz w:val="18"/>
          <w:szCs w:val="18"/>
          <w:color w:val="auto"/>
        </w:rPr>
        <w:t xml:space="preserve">. Since the Balance Sheet Date, there have been no material adverse changes in the consolidated financial condition, business, assets or liabilities (contingent or otherwise) of the Company and its Subsidiaries, taken as a whole, other than changes in the ordinary course of business which have not had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effects of the COVID-19 pandemic, as described in Part II,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of the Company’s Form 10-Q for the fiscal quarter ended March 31, 2020, shall be disregarded for purposes of determining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Adverse Effect under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of such definition.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Franchises, Patents, Copyrights, Etc</w:t>
      </w:r>
      <w:r>
        <w:rPr>
          <w:rFonts w:ascii="Arial" w:cs="Arial" w:eastAsia="Arial" w:hAnsi="Arial"/>
          <w:sz w:val="18"/>
          <w:szCs w:val="18"/>
          <w:color w:val="auto"/>
        </w:rPr>
        <w:t>. The Company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b w:val="1"/>
          <w:bCs w:val="1"/>
          <w:i w:val="1"/>
          <w:iCs w:val="1"/>
          <w:color w:val="auto"/>
        </w:rPr>
        <w:t>Schedule 6.7</w:t>
      </w:r>
      <w:r>
        <w:rPr>
          <w:rFonts w:ascii="Arial" w:cs="Arial" w:eastAsia="Arial" w:hAnsi="Arial"/>
          <w:sz w:val="16"/>
          <w:szCs w:val="16"/>
          <w:color w:val="auto"/>
        </w:rPr>
        <w:t xml:space="preserve"> or in the Disclosure Documents, there are no actions, suits, proceedings or investigations of any kind pending or, to the knowledge of the Company, threatened against the Company or any of its Subsidiaries before any court, tribunal or administrative agency or board which, either in any case or in the aggregate, could reasonably be expected to have a Material Adverse Effect.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No Materially Adverse Contracts, Etc</w:t>
      </w:r>
      <w:r>
        <w:rPr>
          <w:rFonts w:ascii="Arial" w:cs="Arial" w:eastAsia="Arial" w:hAnsi="Arial"/>
          <w:sz w:val="18"/>
          <w:szCs w:val="18"/>
          <w:color w:val="auto"/>
        </w:rPr>
        <w:t>. Neither Company nor any of its Subsidiaries is subject to any charter, corporate or other legal restriction, or any judgment, decree, order, rule or regulation which in the judgment of the Company’s or such Subsidiary’s officers has or could reasonably be expected in the future to have a Material Adverse Effect. Neither Company nor any of its Subsidiaries is a party to any contract or agreement which in the judgment of the Company’s or its Subsidiary’s officers has or could reasonably be expected to have any Material Adverse Effect, except as otherwise reflected in adequate reserves as required by GAAP.</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color w:val="auto"/>
        </w:rPr>
        <w:t>Compliance with Other Instruments, Laws, Etc</w:t>
      </w:r>
      <w:r>
        <w:rPr>
          <w:rFonts w:ascii="Arial" w:cs="Arial" w:eastAsia="Arial" w:hAnsi="Arial"/>
          <w:sz w:val="18"/>
          <w:szCs w:val="18"/>
          <w:color w:val="auto"/>
        </w:rPr>
        <w:t>. Neither Company nor any of its Subsidiaries is (a) violating any provision of 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b w:val="1"/>
          <w:bCs w:val="1"/>
          <w:color w:val="auto"/>
        </w:rPr>
        <w:t>Tax Status</w:t>
      </w:r>
      <w:r>
        <w:rPr>
          <w:rFonts w:ascii="Arial" w:cs="Arial" w:eastAsia="Arial" w:hAnsi="Arial"/>
          <w:sz w:val="17"/>
          <w:szCs w:val="17"/>
          <w:color w:val="auto"/>
        </w:rPr>
        <w:t>. The Company and its Subsidiaries have filed all federal, state, provincial and territorial income and all other tax returns, reports and declarations (or obtained extensions with respect thereto) required by applicable law to be filed by them (unless and only to the extent that the Company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Company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Company or any of its Subsidiaries, nor do the officers of the Company or any Subsidiary know of any basis for any such claim.</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b w:val="1"/>
          <w:bCs w:val="1"/>
          <w:color w:val="auto"/>
        </w:rPr>
        <w:t>No Event of Default</w:t>
      </w:r>
      <w:r>
        <w:rPr>
          <w:rFonts w:ascii="Arial" w:cs="Arial" w:eastAsia="Arial" w:hAnsi="Arial"/>
          <w:sz w:val="16"/>
          <w:szCs w:val="16"/>
          <w:color w:val="auto"/>
        </w:rPr>
        <w:t>. No Default or Event of Default has occurred hereunder and is continuing.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b w:val="1"/>
          <w:bCs w:val="1"/>
          <w:color w:val="auto"/>
        </w:rPr>
        <w:t>Investment Company Act</w:t>
      </w:r>
      <w:r>
        <w:rPr>
          <w:rFonts w:ascii="Arial" w:cs="Arial" w:eastAsia="Arial" w:hAnsi="Arial"/>
          <w:sz w:val="17"/>
          <w:szCs w:val="17"/>
          <w:color w:val="auto"/>
        </w:rPr>
        <w:t>. Neither Company nor any of its Subsidiaries is a “</w:t>
      </w:r>
      <w:r>
        <w:rPr>
          <w:rFonts w:ascii="Arial" w:cs="Arial" w:eastAsia="Arial" w:hAnsi="Arial"/>
          <w:sz w:val="17"/>
          <w:szCs w:val="17"/>
          <w:i w:val="1"/>
          <w:iCs w:val="1"/>
          <w:color w:val="auto"/>
        </w:rPr>
        <w:t>registered investment company</w:t>
      </w:r>
      <w:r>
        <w:rPr>
          <w:rFonts w:ascii="Arial" w:cs="Arial" w:eastAsia="Arial" w:hAnsi="Arial"/>
          <w:sz w:val="17"/>
          <w:szCs w:val="17"/>
          <w:color w:val="auto"/>
        </w:rPr>
        <w:t>”, or an “</w:t>
      </w:r>
      <w:r>
        <w:rPr>
          <w:rFonts w:ascii="Arial" w:cs="Arial" w:eastAsia="Arial" w:hAnsi="Arial"/>
          <w:sz w:val="17"/>
          <w:szCs w:val="17"/>
          <w:i w:val="1"/>
          <w:iCs w:val="1"/>
          <w:color w:val="auto"/>
        </w:rPr>
        <w:t>affiliated</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 or a “</w:t>
      </w:r>
      <w:r>
        <w:rPr>
          <w:rFonts w:ascii="Arial" w:cs="Arial" w:eastAsia="Arial" w:hAnsi="Arial"/>
          <w:sz w:val="17"/>
          <w:szCs w:val="17"/>
          <w:i w:val="1"/>
          <w:iCs w:val="1"/>
          <w:color w:val="auto"/>
        </w:rPr>
        <w:t>principal underwriter</w:t>
      </w:r>
      <w:r>
        <w:rPr>
          <w:rFonts w:ascii="Arial" w:cs="Arial" w:eastAsia="Arial" w:hAnsi="Arial"/>
          <w:sz w:val="17"/>
          <w:szCs w:val="17"/>
          <w:color w:val="auto"/>
        </w:rPr>
        <w:t>” of a “</w:t>
      </w:r>
      <w:r>
        <w:rPr>
          <w:rFonts w:ascii="Arial" w:cs="Arial" w:eastAsia="Arial" w:hAnsi="Arial"/>
          <w:sz w:val="17"/>
          <w:szCs w:val="17"/>
          <w:i w:val="1"/>
          <w:iCs w:val="1"/>
          <w:color w:val="auto"/>
        </w:rPr>
        <w:t>registered investment company</w:t>
      </w:r>
      <w:r>
        <w:rPr>
          <w:rFonts w:ascii="Arial" w:cs="Arial" w:eastAsia="Arial" w:hAnsi="Arial"/>
          <w:sz w:val="17"/>
          <w:szCs w:val="17"/>
          <w:color w:val="auto"/>
        </w:rPr>
        <w:t>”, as such terms are defined in the Investment Company Act of 1940.</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81"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color w:val="auto"/>
        </w:rPr>
        <w:t>Absence of Financing Statements, Etc</w:t>
      </w:r>
      <w:r>
        <w:rPr>
          <w:rFonts w:ascii="Arial" w:cs="Arial" w:eastAsia="Arial" w:hAnsi="Arial"/>
          <w:sz w:val="17"/>
          <w:szCs w:val="17"/>
          <w:color w:val="auto"/>
        </w:rPr>
        <w:t xml:space="preserve">. Except as permitted by </w:t>
      </w:r>
      <w:r>
        <w:rPr>
          <w:rFonts w:ascii="Arial" w:cs="Arial" w:eastAsia="Arial" w:hAnsi="Arial"/>
          <w:sz w:val="17"/>
          <w:szCs w:val="17"/>
          <w:b w:val="1"/>
          <w:bCs w:val="1"/>
          <w:i w:val="1"/>
          <w:iCs w:val="1"/>
          <w:color w:val="auto"/>
        </w:rPr>
        <w:t>Section 8.1</w:t>
      </w:r>
      <w:r>
        <w:rPr>
          <w:rFonts w:ascii="Arial" w:cs="Arial" w:eastAsia="Arial" w:hAnsi="Arial"/>
          <w:sz w:val="17"/>
          <w:szCs w:val="17"/>
          <w:color w:val="auto"/>
        </w:rPr>
        <w:t xml:space="preserve"> of this Agreement, there is no Indebtedness senior to the Obligations, and except for Permitted Liens, there are no Liens, or any effective financing statement, security agreement, hypothec, chattel mortgage, real estate mortgage, debenture or other document filed or recorded with any filing records, registry, or other public office, which purports to cover, affect or give notice of any present or possible future Lien on any assets or property of the Company or any of its Subsidiaries or right thereunder.</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b w:val="1"/>
          <w:bCs w:val="1"/>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6.14.1 </w:t>
      </w:r>
      <w:r>
        <w:rPr>
          <w:rFonts w:ascii="Arial" w:cs="Arial" w:eastAsia="Arial" w:hAnsi="Arial"/>
          <w:sz w:val="16"/>
          <w:szCs w:val="16"/>
          <w:b w:val="1"/>
          <w:bCs w:val="1"/>
          <w:color w:val="auto"/>
        </w:rPr>
        <w:t>In General</w:t>
      </w:r>
      <w:r>
        <w:rPr>
          <w:rFonts w:ascii="Arial" w:cs="Arial" w:eastAsia="Arial" w:hAnsi="Arial"/>
          <w:sz w:val="16"/>
          <w:szCs w:val="16"/>
          <w:color w:val="auto"/>
        </w:rPr>
        <w:t xml:space="preserve">. Except as could not reasonably be expected to have a Material Adverse Effect, each Employee Benefit Plan and 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the Company will furnish to the Administrative Agent the most recently completed annual report, Form 5500, with all required attachments, and actuarial statement required to be submitted under </w:t>
      </w:r>
      <w:r>
        <w:rPr>
          <w:rFonts w:ascii="Arial" w:cs="Arial" w:eastAsia="Arial" w:hAnsi="Arial"/>
          <w:sz w:val="16"/>
          <w:szCs w:val="16"/>
          <w:i w:val="1"/>
          <w:iCs w:val="1"/>
          <w:color w:val="auto"/>
        </w:rPr>
        <w:t>Section 103(d)</w:t>
      </w:r>
      <w:r>
        <w:rPr>
          <w:rFonts w:ascii="Arial" w:cs="Arial" w:eastAsia="Arial" w:hAnsi="Arial"/>
          <w:sz w:val="16"/>
          <w:szCs w:val="16"/>
          <w:color w:val="auto"/>
        </w:rPr>
        <w:t xml:space="preserve"> of ERISA, with respect to each Guaranteed Pension Plan. Except as could not reasonably be expected to have a Material Adverse Effect, (i) each Canadian Pension Plan has received a confirmation of registration from the Canada Revenue Agency and, to the best knowledge of the Company, nothing has occurred which would prevent, or cause the loss of, such registration and (ii) each Loan Party and each Subsidiary has made all required contributions to each Canadian Pension Plan. The aggregate solvency deficiency for the Canadian Defined Benefit Pension Plans of the Company and each Subsidiary in existence on the Effective Date is not, and has not resulted and could not reasonably be expected to have a Material Adverse Effect.</w:t>
      </w:r>
    </w:p>
    <w:p>
      <w:pPr>
        <w:spacing w:after="0" w:line="16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6.14.2 </w:t>
      </w:r>
      <w:r>
        <w:rPr>
          <w:rFonts w:ascii="Arial" w:cs="Arial" w:eastAsia="Arial" w:hAnsi="Arial"/>
          <w:sz w:val="18"/>
          <w:szCs w:val="18"/>
          <w:b w:val="1"/>
          <w:bCs w:val="1"/>
          <w:color w:val="auto"/>
        </w:rPr>
        <w:t>Terminability of Welfare Plans</w:t>
      </w:r>
      <w:r>
        <w:rPr>
          <w:rFonts w:ascii="Arial" w:cs="Arial" w:eastAsia="Arial" w:hAnsi="Arial"/>
          <w:sz w:val="18"/>
          <w:szCs w:val="18"/>
          <w:color w:val="auto"/>
        </w:rPr>
        <w:t xml:space="preserve">. Except as could not reasonably be expected to have a Material Adverse Effect, (i) under each Employee Benefit Plan which is an employee welfare benefit plan within the meaning of </w:t>
      </w:r>
      <w:r>
        <w:rPr>
          <w:rFonts w:ascii="Arial" w:cs="Arial" w:eastAsia="Arial" w:hAnsi="Arial"/>
          <w:sz w:val="18"/>
          <w:szCs w:val="18"/>
          <w:i w:val="1"/>
          <w:iCs w:val="1"/>
          <w:color w:val="auto"/>
        </w:rPr>
        <w:t>Section 3(1)</w:t>
      </w:r>
      <w:r>
        <w:rPr>
          <w:rFonts w:ascii="Arial" w:cs="Arial" w:eastAsia="Arial" w:hAnsi="Arial"/>
          <w:sz w:val="18"/>
          <w:szCs w:val="18"/>
          <w:color w:val="auto"/>
        </w:rPr>
        <w:t xml:space="preserve"> or </w:t>
      </w:r>
      <w:r>
        <w:rPr>
          <w:rFonts w:ascii="Arial" w:cs="Arial" w:eastAsia="Arial" w:hAnsi="Arial"/>
          <w:sz w:val="18"/>
          <w:szCs w:val="18"/>
          <w:i w:val="1"/>
          <w:iCs w:val="1"/>
          <w:color w:val="auto"/>
        </w:rPr>
        <w:t>Section 3(2)(B)</w:t>
      </w:r>
      <w:r>
        <w:rPr>
          <w:rFonts w:ascii="Arial" w:cs="Arial" w:eastAsia="Arial" w:hAnsi="Arial"/>
          <w:sz w:val="18"/>
          <w:szCs w:val="18"/>
          <w:color w:val="auto"/>
        </w:rPr>
        <w:t xml:space="preserve"> of ERISA, no benefits are due unless the event giving rise to the benefit entitlement occurs prior to plan termination (except as required by </w:t>
      </w:r>
      <w:r>
        <w:rPr>
          <w:rFonts w:ascii="Arial" w:cs="Arial" w:eastAsia="Arial" w:hAnsi="Arial"/>
          <w:sz w:val="18"/>
          <w:szCs w:val="18"/>
          <w:i w:val="1"/>
          <w:iCs w:val="1"/>
          <w:color w:val="auto"/>
        </w:rPr>
        <w:t>Title 1</w:t>
      </w:r>
      <w:r>
        <w:rPr>
          <w:rFonts w:ascii="Arial" w:cs="Arial" w:eastAsia="Arial" w:hAnsi="Arial"/>
          <w:sz w:val="18"/>
          <w:szCs w:val="18"/>
          <w:color w:val="auto"/>
        </w:rPr>
        <w:t xml:space="preserve">, </w:t>
      </w:r>
      <w:r>
        <w:rPr>
          <w:rFonts w:ascii="Arial" w:cs="Arial" w:eastAsia="Arial" w:hAnsi="Arial"/>
          <w:sz w:val="18"/>
          <w:szCs w:val="18"/>
          <w:i w:val="1"/>
          <w:iCs w:val="1"/>
          <w:color w:val="auto"/>
        </w:rPr>
        <w:t>Part 6</w:t>
      </w:r>
      <w:r>
        <w:rPr>
          <w:rFonts w:ascii="Arial" w:cs="Arial" w:eastAsia="Arial" w:hAnsi="Arial"/>
          <w:sz w:val="18"/>
          <w:szCs w:val="18"/>
          <w:color w:val="auto"/>
        </w:rPr>
        <w:t xml:space="preserve"> of ERISA), and (ii) the Company or an ERISA Affiliate, as appropriate, may terminate each such employee welfare benefit plan at any time (or at any time subsequent to the expiration of any applicable bargaining agreement) in the discretion of the Company or such ERISA Affiliate without liability to the Company or any Subsidiary.</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6.14.3 </w:t>
      </w:r>
      <w:r>
        <w:rPr>
          <w:rFonts w:ascii="Arial" w:cs="Arial" w:eastAsia="Arial" w:hAnsi="Arial"/>
          <w:sz w:val="17"/>
          <w:szCs w:val="17"/>
          <w:b w:val="1"/>
          <w:bCs w:val="1"/>
          <w:color w:val="auto"/>
        </w:rPr>
        <w:t>Guaranteed Pension Plans</w:t>
      </w:r>
      <w:r>
        <w:rPr>
          <w:rFonts w:ascii="Arial" w:cs="Arial" w:eastAsia="Arial" w:hAnsi="Arial"/>
          <w:sz w:val="17"/>
          <w:szCs w:val="17"/>
          <w:color w:val="auto"/>
        </w:rPr>
        <w:t xml:space="preserve">. Except as could not reasonably be expected to have a Material Adverse Effect: (a) each contribution required to be made to a Guaranteed Pension Plan, whether required to be made to avoid a violation of the minimum funding standards under </w:t>
      </w:r>
      <w:r>
        <w:rPr>
          <w:rFonts w:ascii="Arial" w:cs="Arial" w:eastAsia="Arial" w:hAnsi="Arial"/>
          <w:sz w:val="17"/>
          <w:szCs w:val="17"/>
          <w:i w:val="1"/>
          <w:iCs w:val="1"/>
          <w:color w:val="auto"/>
        </w:rPr>
        <w:t xml:space="preserve">Sections 412 </w:t>
      </w:r>
      <w:r>
        <w:rPr>
          <w:rFonts w:ascii="Arial" w:cs="Arial" w:eastAsia="Arial" w:hAnsi="Arial"/>
          <w:sz w:val="17"/>
          <w:szCs w:val="17"/>
          <w:color w:val="auto"/>
        </w:rPr>
        <w:t>and</w:t>
      </w:r>
      <w:r>
        <w:rPr>
          <w:rFonts w:ascii="Arial" w:cs="Arial" w:eastAsia="Arial" w:hAnsi="Arial"/>
          <w:sz w:val="17"/>
          <w:szCs w:val="17"/>
          <w:i w:val="1"/>
          <w:iCs w:val="1"/>
          <w:color w:val="auto"/>
        </w:rPr>
        <w:t xml:space="preserve"> 430 </w:t>
      </w:r>
      <w:r>
        <w:rPr>
          <w:rFonts w:ascii="Arial" w:cs="Arial" w:eastAsia="Arial" w:hAnsi="Arial"/>
          <w:sz w:val="17"/>
          <w:szCs w:val="17"/>
          <w:color w:val="auto"/>
        </w:rPr>
        <w:t>of the Code, the notice or lien provisions of</w:t>
      </w:r>
      <w:r>
        <w:rPr>
          <w:rFonts w:ascii="Arial" w:cs="Arial" w:eastAsia="Arial" w:hAnsi="Arial"/>
          <w:sz w:val="17"/>
          <w:szCs w:val="17"/>
          <w:i w:val="1"/>
          <w:iCs w:val="1"/>
          <w:color w:val="auto"/>
        </w:rPr>
        <w:t xml:space="preserve"> Section 303(k) </w:t>
      </w:r>
      <w:r>
        <w:rPr>
          <w:rFonts w:ascii="Arial" w:cs="Arial" w:eastAsia="Arial" w:hAnsi="Arial"/>
          <w:sz w:val="17"/>
          <w:szCs w:val="17"/>
          <w:color w:val="auto"/>
        </w:rPr>
        <w:t>or</w:t>
      </w:r>
      <w:r>
        <w:rPr>
          <w:rFonts w:ascii="Arial" w:cs="Arial" w:eastAsia="Arial" w:hAnsi="Arial"/>
          <w:sz w:val="17"/>
          <w:szCs w:val="17"/>
          <w:i w:val="1"/>
          <w:iCs w:val="1"/>
          <w:color w:val="auto"/>
        </w:rPr>
        <w:t xml:space="preserve"> Section 4068 </w:t>
      </w:r>
      <w:r>
        <w:rPr>
          <w:rFonts w:ascii="Arial" w:cs="Arial" w:eastAsia="Arial" w:hAnsi="Arial"/>
          <w:sz w:val="17"/>
          <w:szCs w:val="17"/>
          <w:color w:val="auto"/>
        </w:rPr>
        <w:t>of ERISA, or otherwise, has been timely made; (b)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waiver of the minimum funding standards under </w:t>
      </w:r>
      <w:r>
        <w:rPr>
          <w:rFonts w:ascii="Arial" w:cs="Arial" w:eastAsia="Arial" w:hAnsi="Arial"/>
          <w:sz w:val="17"/>
          <w:szCs w:val="17"/>
          <w:i w:val="1"/>
          <w:iCs w:val="1"/>
          <w:color w:val="auto"/>
        </w:rPr>
        <w:t>Sections 412</w:t>
      </w:r>
      <w:r>
        <w:rPr>
          <w:rFonts w:ascii="Arial" w:cs="Arial" w:eastAsia="Arial" w:hAnsi="Arial"/>
          <w:sz w:val="17"/>
          <w:szCs w:val="17"/>
          <w:color w:val="auto"/>
        </w:rPr>
        <w:t xml:space="preserve"> and </w:t>
      </w:r>
      <w:r>
        <w:rPr>
          <w:rFonts w:ascii="Arial" w:cs="Arial" w:eastAsia="Arial" w:hAnsi="Arial"/>
          <w:sz w:val="17"/>
          <w:szCs w:val="17"/>
          <w:i w:val="1"/>
          <w:iCs w:val="1"/>
          <w:color w:val="auto"/>
        </w:rPr>
        <w:t>430</w:t>
      </w:r>
      <w:r>
        <w:rPr>
          <w:rFonts w:ascii="Arial" w:cs="Arial" w:eastAsia="Arial" w:hAnsi="Arial"/>
          <w:sz w:val="17"/>
          <w:szCs w:val="17"/>
          <w:color w:val="auto"/>
        </w:rPr>
        <w:t xml:space="preserve"> of the Code or extension of amortization periods has been received with respect to any Guaranteed Pension Plan; (c) no liability to the PBGC (other than required insurance premiums, all of which have been paid) has been incurred by the Company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w:t>
      </w:r>
      <w:r>
        <w:rPr>
          <w:rFonts w:ascii="Arial" w:cs="Arial" w:eastAsia="Arial" w:hAnsi="Arial"/>
          <w:sz w:val="17"/>
          <w:szCs w:val="17"/>
          <w:i w:val="1"/>
          <w:iCs w:val="1"/>
          <w:color w:val="auto"/>
        </w:rPr>
        <w:t>Section 302</w:t>
      </w:r>
      <w:r>
        <w:rPr>
          <w:rFonts w:ascii="Arial" w:cs="Arial" w:eastAsia="Arial" w:hAnsi="Arial"/>
          <w:sz w:val="17"/>
          <w:szCs w:val="17"/>
          <w:color w:val="auto"/>
        </w:rPr>
        <w:t xml:space="preserve">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66" w:lineRule="auto"/>
        <w:rPr>
          <w:sz w:val="20"/>
          <w:szCs w:val="20"/>
          <w:color w:val="auto"/>
        </w:rPr>
      </w:pPr>
      <w:r>
        <w:rPr>
          <w:rFonts w:ascii="Arial" w:cs="Arial" w:eastAsia="Arial" w:hAnsi="Arial"/>
          <w:sz w:val="18"/>
          <w:szCs w:val="18"/>
          <w:color w:val="auto"/>
        </w:rPr>
        <w:t xml:space="preserve">6.14.4 </w:t>
      </w:r>
      <w:r>
        <w:rPr>
          <w:rFonts w:ascii="Arial" w:cs="Arial" w:eastAsia="Arial" w:hAnsi="Arial"/>
          <w:sz w:val="18"/>
          <w:szCs w:val="18"/>
          <w:b w:val="1"/>
          <w:bCs w:val="1"/>
          <w:color w:val="auto"/>
        </w:rPr>
        <w:t>Plan Assets</w:t>
      </w:r>
      <w:r>
        <w:rPr>
          <w:rFonts w:ascii="Arial" w:cs="Arial" w:eastAsia="Arial" w:hAnsi="Arial"/>
          <w:sz w:val="18"/>
          <w:szCs w:val="18"/>
          <w:color w:val="auto"/>
        </w:rPr>
        <w:t>. The Company represents and warrants as of the Effective Date that the Company is not and will not be using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(within the meaning of 29 CFR §2510.3-101, as modified by</w:t>
      </w:r>
      <w:r>
        <w:rPr>
          <w:rFonts w:ascii="Arial" w:cs="Arial" w:eastAsia="Arial" w:hAnsi="Arial"/>
          <w:sz w:val="18"/>
          <w:szCs w:val="18"/>
          <w:i w:val="1"/>
          <w:iCs w:val="1"/>
          <w:color w:val="auto"/>
        </w:rPr>
        <w:t xml:space="preserve"> Section 3(42) </w:t>
      </w:r>
      <w:r>
        <w:rPr>
          <w:rFonts w:ascii="Arial" w:cs="Arial" w:eastAsia="Arial" w:hAnsi="Arial"/>
          <w:sz w:val="18"/>
          <w:szCs w:val="18"/>
          <w:color w:val="auto"/>
        </w:rPr>
        <w:t>of ERISA) of one or more Benefit Plans in connection with the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 Letters of Credit or the Commitments.</w:t>
      </w:r>
    </w:p>
    <w:p>
      <w:pPr>
        <w:spacing w:after="0" w:line="17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6.14.5 </w:t>
      </w:r>
      <w:r>
        <w:rPr>
          <w:rFonts w:ascii="Arial" w:cs="Arial" w:eastAsia="Arial" w:hAnsi="Arial"/>
          <w:sz w:val="17"/>
          <w:szCs w:val="17"/>
          <w:b w:val="1"/>
          <w:bCs w:val="1"/>
          <w:color w:val="auto"/>
        </w:rPr>
        <w:t>Multiemployer Plans</w:t>
      </w:r>
      <w:r>
        <w:rPr>
          <w:rFonts w:ascii="Arial" w:cs="Arial" w:eastAsia="Arial" w:hAnsi="Arial"/>
          <w:sz w:val="17"/>
          <w:szCs w:val="17"/>
          <w:color w:val="auto"/>
        </w:rPr>
        <w:t xml:space="preserve">. Except for liabilities that have been discharged prior to the Effective Date or as to which accruals have been made in accordance with GAAP prior to the Effective Date as reflected in the Disclosure Documents or as could not reasonably be expected to have a Material Adverse Effect, neither Company nor any ERISA Affiliate has incurred any liability (including secondary liability) to any Multiemployer Plan as a result of a complete or partial withdrawal from such Multiemployer Plan under </w:t>
      </w:r>
      <w:r>
        <w:rPr>
          <w:rFonts w:ascii="Arial" w:cs="Arial" w:eastAsia="Arial" w:hAnsi="Arial"/>
          <w:sz w:val="17"/>
          <w:szCs w:val="17"/>
          <w:i w:val="1"/>
          <w:iCs w:val="1"/>
          <w:color w:val="auto"/>
        </w:rPr>
        <w:t>Section 4201</w:t>
      </w:r>
      <w:r>
        <w:rPr>
          <w:rFonts w:ascii="Arial" w:cs="Arial" w:eastAsia="Arial" w:hAnsi="Arial"/>
          <w:sz w:val="17"/>
          <w:szCs w:val="17"/>
          <w:color w:val="auto"/>
        </w:rPr>
        <w:t xml:space="preserve"> of ERISA or as a result of a sale of assets described in </w:t>
      </w:r>
      <w:r>
        <w:rPr>
          <w:rFonts w:ascii="Arial" w:cs="Arial" w:eastAsia="Arial" w:hAnsi="Arial"/>
          <w:sz w:val="17"/>
          <w:szCs w:val="17"/>
          <w:i w:val="1"/>
          <w:iCs w:val="1"/>
          <w:color w:val="auto"/>
        </w:rPr>
        <w:t xml:space="preserve">Section 4204 </w:t>
      </w:r>
      <w:r>
        <w:rPr>
          <w:rFonts w:ascii="Arial" w:cs="Arial" w:eastAsia="Arial" w:hAnsi="Arial"/>
          <w:sz w:val="17"/>
          <w:szCs w:val="17"/>
          <w:color w:val="auto"/>
        </w:rPr>
        <w:t>of ERISA. Neither Company nor any ERISA Affiliate has been notified that any Multiemployer Plan is insolvent under and within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meaning of </w:t>
      </w:r>
      <w:r>
        <w:rPr>
          <w:rFonts w:ascii="Arial" w:cs="Arial" w:eastAsia="Arial" w:hAnsi="Arial"/>
          <w:sz w:val="17"/>
          <w:szCs w:val="17"/>
          <w:i w:val="1"/>
          <w:iCs w:val="1"/>
          <w:color w:val="auto"/>
        </w:rPr>
        <w:t>Section 4245</w:t>
      </w:r>
      <w:r>
        <w:rPr>
          <w:rFonts w:ascii="Arial" w:cs="Arial" w:eastAsia="Arial" w:hAnsi="Arial"/>
          <w:sz w:val="17"/>
          <w:szCs w:val="17"/>
          <w:color w:val="auto"/>
        </w:rPr>
        <w:t xml:space="preserve"> of ERISA or that any Multiemployer Plan intends to terminate or has been terminated under </w:t>
      </w:r>
      <w:r>
        <w:rPr>
          <w:rFonts w:ascii="Arial" w:cs="Arial" w:eastAsia="Arial" w:hAnsi="Arial"/>
          <w:sz w:val="17"/>
          <w:szCs w:val="17"/>
          <w:i w:val="1"/>
          <w:iCs w:val="1"/>
          <w:color w:val="auto"/>
        </w:rPr>
        <w:t>Section 4041A</w:t>
      </w:r>
      <w:r>
        <w:rPr>
          <w:rFonts w:ascii="Arial" w:cs="Arial" w:eastAsia="Arial" w:hAnsi="Arial"/>
          <w:sz w:val="17"/>
          <w:szCs w:val="17"/>
          <w:color w:val="auto"/>
        </w:rPr>
        <w:t xml:space="preserve"> of ERISA, except as could not reasonably be expected to have a Material Adverse Effect.</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b w:val="1"/>
          <w:bCs w:val="1"/>
          <w:color w:val="auto"/>
        </w:rPr>
        <w:t>Environmental Compliance</w:t>
      </w:r>
      <w:r>
        <w:rPr>
          <w:rFonts w:ascii="Arial" w:cs="Arial" w:eastAsia="Arial" w:hAnsi="Arial"/>
          <w:sz w:val="17"/>
          <w:szCs w:val="17"/>
          <w:color w:val="auto"/>
        </w:rPr>
        <w:t xml:space="preserve">. The Company and its Subsidiaries have taken all steps that they have deemed reasonably necessary to investigate the past and present condition and usage of the Real Property and the operations conducted by the Company and its Subsidiaries and, based upon such diligent investigation, have determined that, except as set forth on </w:t>
      </w:r>
      <w:r>
        <w:rPr>
          <w:rFonts w:ascii="Arial" w:cs="Arial" w:eastAsia="Arial" w:hAnsi="Arial"/>
          <w:sz w:val="17"/>
          <w:szCs w:val="17"/>
          <w:b w:val="1"/>
          <w:bCs w:val="1"/>
          <w:i w:val="1"/>
          <w:iCs w:val="1"/>
          <w:color w:val="auto"/>
        </w:rPr>
        <w:t>Schedule 6.15</w:t>
      </w:r>
      <w:r>
        <w:rPr>
          <w:rFonts w:ascii="Arial" w:cs="Arial" w:eastAsia="Arial" w:hAnsi="Arial"/>
          <w:sz w:val="17"/>
          <w:szCs w:val="17"/>
          <w:color w:val="auto"/>
        </w:rPr>
        <w:t xml:space="preserve"> or in the Disclosure Documents:</w:t>
      </w:r>
    </w:p>
    <w:p>
      <w:pPr>
        <w:spacing w:after="0" w:line="162" w:lineRule="exact"/>
        <w:rPr>
          <w:sz w:val="20"/>
          <w:szCs w:val="20"/>
          <w:color w:val="auto"/>
        </w:rPr>
      </w:pPr>
    </w:p>
    <w:p>
      <w:pPr>
        <w:jc w:val="both"/>
        <w:ind w:left="660" w:firstLine="644"/>
        <w:spacing w:after="0" w:line="254" w:lineRule="auto"/>
        <w:tabs>
          <w:tab w:leader="none" w:pos="20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Neither Company, any Significant Subsidiary, nor any operator of their properties, is in violation, or alleged violation, of any judgment, decree, order, law, permit, license, rule or regulation pertaining to environmental matters, including without limitation, those arising under the Resource Conservation and Recovery Act (“</w:t>
      </w:r>
      <w:r>
        <w:rPr>
          <w:rFonts w:ascii="Arial" w:cs="Arial" w:eastAsia="Arial" w:hAnsi="Arial"/>
          <w:sz w:val="18"/>
          <w:szCs w:val="18"/>
          <w:b w:val="1"/>
          <w:bCs w:val="1"/>
          <w:i w:val="1"/>
          <w:iCs w:val="1"/>
          <w:color w:val="auto"/>
        </w:rPr>
        <w:t>RCRA</w:t>
      </w:r>
      <w:r>
        <w:rPr>
          <w:rFonts w:ascii="Arial" w:cs="Arial" w:eastAsia="Arial" w:hAnsi="Arial"/>
          <w:sz w:val="18"/>
          <w:szCs w:val="18"/>
          <w:color w:val="auto"/>
        </w:rPr>
        <w:t>”), the Comprehensive Environmental Response, Compensation and Liability Act of 1980 as amended (“</w:t>
      </w:r>
      <w:r>
        <w:rPr>
          <w:rFonts w:ascii="Arial" w:cs="Arial" w:eastAsia="Arial" w:hAnsi="Arial"/>
          <w:sz w:val="18"/>
          <w:szCs w:val="18"/>
          <w:b w:val="1"/>
          <w:bCs w:val="1"/>
          <w:i w:val="1"/>
          <w:iCs w:val="1"/>
          <w:color w:val="auto"/>
        </w:rPr>
        <w:t>CERCLA</w:t>
      </w:r>
      <w:r>
        <w:rPr>
          <w:rFonts w:ascii="Arial" w:cs="Arial" w:eastAsia="Arial" w:hAnsi="Arial"/>
          <w:sz w:val="18"/>
          <w:szCs w:val="18"/>
          <w:color w:val="auto"/>
        </w:rPr>
        <w:t>”), the Superfund Amendments and Reauthorization Act of 1986,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which violation, individually or in the aggregate, could reasonably be expected to have a Material Adverse Effect.</w:t>
      </w:r>
    </w:p>
    <w:p>
      <w:pPr>
        <w:spacing w:after="0" w:line="191" w:lineRule="exact"/>
        <w:rPr>
          <w:rFonts w:ascii="Arial" w:cs="Arial" w:eastAsia="Arial" w:hAnsi="Arial"/>
          <w:sz w:val="18"/>
          <w:szCs w:val="18"/>
          <w:color w:val="auto"/>
        </w:rPr>
      </w:pPr>
    </w:p>
    <w:p>
      <w:pPr>
        <w:jc w:val="both"/>
        <w:ind w:left="660" w:firstLine="644"/>
        <w:spacing w:after="0" w:line="291" w:lineRule="auto"/>
        <w:tabs>
          <w:tab w:leader="none" w:pos="217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neither Company nor any Significant Subsidiary has received notice from any third party including, without limitation: any Governmental Authority,</w:t>
      </w:r>
    </w:p>
    <w:p>
      <w:pPr>
        <w:jc w:val="both"/>
        <w:ind w:left="660" w:hanging="4"/>
        <w:spacing w:after="0" w:line="268" w:lineRule="auto"/>
        <w:tabs>
          <w:tab w:leader="none" w:pos="89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any one of them has been identified by the United States Environmental Protection Agency (“</w:t>
      </w:r>
      <w:r>
        <w:rPr>
          <w:rFonts w:ascii="Arial" w:cs="Arial" w:eastAsia="Arial" w:hAnsi="Arial"/>
          <w:sz w:val="17"/>
          <w:szCs w:val="17"/>
          <w:b w:val="1"/>
          <w:bCs w:val="1"/>
          <w:i w:val="1"/>
          <w:iCs w:val="1"/>
          <w:color w:val="auto"/>
        </w:rPr>
        <w:t>EPA</w:t>
      </w:r>
      <w:r>
        <w:rPr>
          <w:rFonts w:ascii="Arial" w:cs="Arial" w:eastAsia="Arial" w:hAnsi="Arial"/>
          <w:sz w:val="17"/>
          <w:szCs w:val="17"/>
          <w:color w:val="auto"/>
        </w:rPr>
        <w:t xml:space="preserve">”) as a potentially responsible party under CERCLA with respect to a site listed on the National Priorities List, 40 C.F.R. </w:t>
      </w:r>
      <w:r>
        <w:rPr>
          <w:rFonts w:ascii="Arial" w:cs="Arial" w:eastAsia="Arial" w:hAnsi="Arial"/>
          <w:sz w:val="17"/>
          <w:szCs w:val="17"/>
          <w:i w:val="1"/>
          <w:iCs w:val="1"/>
          <w:color w:val="auto"/>
        </w:rPr>
        <w:t>Part 300 Appendix B</w:t>
      </w:r>
      <w:r>
        <w:rPr>
          <w:rFonts w:ascii="Arial" w:cs="Arial" w:eastAsia="Arial" w:hAnsi="Arial"/>
          <w:sz w:val="17"/>
          <w:szCs w:val="17"/>
          <w:color w:val="auto"/>
        </w:rPr>
        <w:t xml:space="preserve">; (ii) that any hazardous waste, as defined by 42 U.S.C. </w:t>
      </w:r>
      <w:r>
        <w:rPr>
          <w:rFonts w:ascii="Arial" w:cs="Arial" w:eastAsia="Arial" w:hAnsi="Arial"/>
          <w:sz w:val="17"/>
          <w:szCs w:val="17"/>
          <w:i w:val="1"/>
          <w:iCs w:val="1"/>
          <w:color w:val="auto"/>
        </w:rPr>
        <w:t>Section 6903(5)</w:t>
      </w:r>
      <w:r>
        <w:rPr>
          <w:rFonts w:ascii="Arial" w:cs="Arial" w:eastAsia="Arial" w:hAnsi="Arial"/>
          <w:sz w:val="17"/>
          <w:szCs w:val="17"/>
          <w:color w:val="auto"/>
        </w:rPr>
        <w:t xml:space="preserve">, any hazardous substances as defined by 42 U.S.C. </w:t>
      </w:r>
      <w:r>
        <w:rPr>
          <w:rFonts w:ascii="Arial" w:cs="Arial" w:eastAsia="Arial" w:hAnsi="Arial"/>
          <w:sz w:val="17"/>
          <w:szCs w:val="17"/>
          <w:i w:val="1"/>
          <w:iCs w:val="1"/>
          <w:color w:val="auto"/>
        </w:rPr>
        <w:t>Section 9601(14)</w:t>
      </w:r>
      <w:r>
        <w:rPr>
          <w:rFonts w:ascii="Arial" w:cs="Arial" w:eastAsia="Arial" w:hAnsi="Arial"/>
          <w:sz w:val="17"/>
          <w:szCs w:val="17"/>
          <w:color w:val="auto"/>
        </w:rPr>
        <w:t xml:space="preserve">, any pollutant or contaminant as defined by 42 U.S.C. </w:t>
      </w:r>
      <w:r>
        <w:rPr>
          <w:rFonts w:ascii="Arial" w:cs="Arial" w:eastAsia="Arial" w:hAnsi="Arial"/>
          <w:sz w:val="17"/>
          <w:szCs w:val="17"/>
          <w:i w:val="1"/>
          <w:iCs w:val="1"/>
          <w:color w:val="auto"/>
        </w:rPr>
        <w:t>Section 9601(33)</w:t>
      </w:r>
      <w:r>
        <w:rPr>
          <w:rFonts w:ascii="Arial" w:cs="Arial" w:eastAsia="Arial" w:hAnsi="Arial"/>
          <w:sz w:val="17"/>
          <w:szCs w:val="17"/>
          <w:color w:val="auto"/>
        </w:rPr>
        <w:t xml:space="preserve"> or any toxic substance, oil or hazardous materials or other chemicals or substances regulated by any Environmental Laws, excluding household hazardous waste (“</w:t>
      </w:r>
      <w:r>
        <w:rPr>
          <w:rFonts w:ascii="Arial" w:cs="Arial" w:eastAsia="Arial" w:hAnsi="Arial"/>
          <w:sz w:val="17"/>
          <w:szCs w:val="17"/>
          <w:b w:val="1"/>
          <w:bCs w:val="1"/>
          <w:i w:val="1"/>
          <w:iCs w:val="1"/>
          <w:color w:val="auto"/>
        </w:rPr>
        <w:t>Hazardous Substances</w:t>
      </w:r>
      <w:r>
        <w:rPr>
          <w:rFonts w:ascii="Arial" w:cs="Arial" w:eastAsia="Arial" w:hAnsi="Arial"/>
          <w:sz w:val="17"/>
          <w:szCs w:val="17"/>
          <w:color w:val="auto"/>
        </w:rPr>
        <w:t>”), which any one of them has generated, transported or disposed of, has been found at any site at which a federal, state, provincial, territorial or local agency or other third party has conducted or has ordered that the Company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644"/>
        <w:spacing w:after="0" w:line="285" w:lineRule="auto"/>
        <w:tabs>
          <w:tab w:leader="none" w:pos="21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Except for those occurrences or situations that could not reasonably be expected to have a Material Adverse Effect, (i) no portion of the Real Property or other assets of the Company or any Significant Subsidiary has been used for the handling, processing, storage or disposal of Hazardous Substances except in accordance with applicable Environmental Laws; (ii) in the course of any activities conducted by the Company, any Significant Subsidiaries, or operators of the Real Property or other assets of the Company or any Significant Subsidiaries, no Hazardous Substances have been generated or are being used on such properties except in accordance with applicable Environmental Laws;</w:t>
      </w:r>
    </w:p>
    <w:p>
      <w:pPr>
        <w:spacing w:after="0" w:line="1" w:lineRule="exact"/>
        <w:rPr>
          <w:rFonts w:ascii="Arial" w:cs="Arial" w:eastAsia="Arial" w:hAnsi="Arial"/>
          <w:sz w:val="16"/>
          <w:szCs w:val="16"/>
          <w:color w:val="auto"/>
        </w:rPr>
      </w:pPr>
    </w:p>
    <w:p>
      <w:pPr>
        <w:jc w:val="both"/>
        <w:ind w:left="660" w:hanging="4"/>
        <w:spacing w:after="0" w:line="252" w:lineRule="auto"/>
        <w:tabs>
          <w:tab w:leader="none" w:pos="9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have been no unpermitted Releases or threatened Releases of Hazardous Substances on, upon, into or from the Real Property or other assets of the Company or any Significant Subsidiaries; and (iv) any Hazardous Substances that have been generated on the Real Property or other assets of the Company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Company’s knowledge, operating in compliance with such permits and applicable Environmental Laws.</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color w:val="auto"/>
        </w:rPr>
        <w:t>Disclosure</w:t>
      </w:r>
      <w:r>
        <w:rPr>
          <w:rFonts w:ascii="Arial" w:cs="Arial" w:eastAsia="Arial" w:hAnsi="Arial"/>
          <w:sz w:val="18"/>
          <w:szCs w:val="18"/>
          <w:color w:val="auto"/>
        </w:rPr>
        <w:t>. No representation or warranty made by the Company or the Guarantor in this Agreement or in any agreement, instrument, document, certificate, or financial statement furnished to the Banks or the Administrative Agent by or on behalf of or at the request of the Company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b w:val="1"/>
          <w:bCs w:val="1"/>
          <w:color w:val="auto"/>
        </w:rPr>
        <w:t>Permits and Governmental Authority</w:t>
      </w:r>
      <w:r>
        <w:rPr>
          <w:rFonts w:ascii="Arial" w:cs="Arial" w:eastAsia="Arial" w:hAnsi="Arial"/>
          <w:sz w:val="18"/>
          <w:szCs w:val="18"/>
          <w:color w:val="auto"/>
        </w:rPr>
        <w:t>. All permits (other than those the absence of which could not reasonably be expected to have a Material Adverse Effect) required for the construction and operation of all landfills currently owned or operated by the Company or any Significant Subsidiaries have been obtained and remain in full force and effect and are not subject to any appeals or further proceedings or to any unsatisfied conditions that may allow material modification or revocation. Neither Company nor any of its Subsidiaries, nor, to the knowledge of the Company, the holder of such permits is in violation of any such permits, except for any violation which could not reasonably be expected to have a Material Adverse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color w:val="auto"/>
        </w:rPr>
        <w:t>Margin Stock</w:t>
      </w:r>
      <w:r>
        <w:rPr>
          <w:rFonts w:ascii="Arial" w:cs="Arial" w:eastAsia="Arial" w:hAnsi="Arial"/>
          <w:sz w:val="18"/>
          <w:szCs w:val="18"/>
          <w:color w:val="auto"/>
        </w:rPr>
        <w:t>. The Company is not engaged in the business of extending credit for the purpose of purchasing or carrying margin stock (within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6.19 </w:t>
      </w:r>
      <w:r>
        <w:rPr>
          <w:rFonts w:ascii="Arial" w:cs="Arial" w:eastAsia="Arial" w:hAnsi="Arial"/>
          <w:sz w:val="17"/>
          <w:szCs w:val="17"/>
          <w:b w:val="1"/>
          <w:bCs w:val="1"/>
          <w:color w:val="auto"/>
        </w:rPr>
        <w:t>Sanctions</w:t>
      </w:r>
      <w:r>
        <w:rPr>
          <w:rFonts w:ascii="Arial" w:cs="Arial" w:eastAsia="Arial" w:hAnsi="Arial"/>
          <w:sz w:val="17"/>
          <w:szCs w:val="17"/>
          <w:color w:val="auto"/>
        </w:rPr>
        <w:t>. Neither Company, nor any of its Subsidiaries, nor, to the knowledge of the Company or any of its Subsidiaries, any director, officer, employee, agent, affiliate or representative thereof, is an individual or entity that is, or is owned or controlled by any individual or entity that is</w:t>
      </w:r>
    </w:p>
    <w:p>
      <w:pPr>
        <w:spacing w:after="0" w:line="1" w:lineRule="exact"/>
        <w:rPr>
          <w:sz w:val="20"/>
          <w:szCs w:val="20"/>
          <w:color w:val="auto"/>
        </w:rPr>
      </w:pPr>
    </w:p>
    <w:p>
      <w:pPr>
        <w:jc w:val="both"/>
        <w:ind w:right="20" w:firstLine="8"/>
        <w:spacing w:after="0" w:line="25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color w:val="auto"/>
        </w:rPr>
        <w:t>Anti-Corruption Laws; Sanctions</w:t>
      </w:r>
      <w:r>
        <w:rPr>
          <w:rFonts w:ascii="Arial" w:cs="Arial" w:eastAsia="Arial" w:hAnsi="Arial"/>
          <w:sz w:val="18"/>
          <w:szCs w:val="18"/>
          <w:color w:val="auto"/>
        </w:rPr>
        <w:t>. The Company and its Subsidiaries have conducted their businesses in compliance with all applicable Sanctions, the FCPA, the Corruption of Foreign Public Officials Act (Canada), the UK Bribery Act 2010, and other similar anti-corruption legislation in other jurisdictions, and have instituted and maintained policies and procedures designed to promote and achieve compliance with such Sanctions, laws, regulations and rules.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66"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color w:val="auto"/>
        </w:rPr>
        <w:t>Affected Financial Institutions; Beneficial Ownership Certification; Covered Entities</w:t>
      </w:r>
      <w:r>
        <w:rPr>
          <w:rFonts w:ascii="Arial" w:cs="Arial" w:eastAsia="Arial" w:hAnsi="Arial"/>
          <w:sz w:val="18"/>
          <w:szCs w:val="18"/>
          <w:color w:val="auto"/>
        </w:rPr>
        <w:t>. Neither the Company nor the Guarantor is an Affected Financial Institution. As of the Effective Date, the information included in the Beneficial Ownership Certification, if applicable, is true and correct in all respects. No Loan Party is a Covered Entity.</w:t>
      </w:r>
    </w:p>
    <w:p>
      <w:pPr>
        <w:spacing w:after="0" w:line="176" w:lineRule="exact"/>
        <w:rPr>
          <w:sz w:val="20"/>
          <w:szCs w:val="20"/>
          <w:color w:val="auto"/>
        </w:rPr>
      </w:pPr>
    </w:p>
    <w:p>
      <w:pPr>
        <w:jc w:val="both"/>
        <w:ind w:firstLine="8"/>
        <w:spacing w:after="0" w:line="266" w:lineRule="auto"/>
        <w:tabs>
          <w:tab w:leader="none" w:pos="729"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AFFIRMATIVE COVENANTS OF THE COMPANY</w:t>
      </w:r>
      <w:r>
        <w:rPr>
          <w:rFonts w:ascii="Arial" w:cs="Arial" w:eastAsia="Arial" w:hAnsi="Arial"/>
          <w:sz w:val="18"/>
          <w:szCs w:val="18"/>
          <w:color w:val="auto"/>
        </w:rPr>
        <w:t>. The Company agrees that, so long as any Obligation is outstanding or the Banks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obligation to make Loans, it shall, and shall cause its Subsidiaries (or, if so indicated below, cause only Significant Subsidiaries) to, comply with the following covenants: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Punctual Payment</w:t>
      </w:r>
      <w:r>
        <w:rPr>
          <w:rFonts w:ascii="Arial" w:cs="Arial" w:eastAsia="Arial" w:hAnsi="Arial"/>
          <w:sz w:val="18"/>
          <w:szCs w:val="18"/>
          <w:color w:val="auto"/>
        </w:rPr>
        <w:t>. The Company will duly and punctually pay or cause to be paid the principal of and interest on the Loans, fees and other amounts provided for in this Agreement and the other Loan Documents, all in accordance with the terms of this Agreement and such other Loan Documents.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Maintenance of U.S. Office</w:t>
      </w:r>
      <w:r>
        <w:rPr>
          <w:rFonts w:ascii="Arial" w:cs="Arial" w:eastAsia="Arial" w:hAnsi="Arial"/>
          <w:sz w:val="18"/>
          <w:szCs w:val="18"/>
          <w:color w:val="auto"/>
        </w:rPr>
        <w:t>. The Company will maintain its chief executive offices at Houston, Texas, or at such other place in the United States of America as the Company shall designate upon 30 days’ prior written notice to the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Records and Accounts</w:t>
      </w:r>
      <w:r>
        <w:rPr>
          <w:rFonts w:ascii="Arial" w:cs="Arial" w:eastAsia="Arial" w:hAnsi="Arial"/>
          <w:sz w:val="18"/>
          <w:szCs w:val="18"/>
          <w:color w:val="auto"/>
        </w:rPr>
        <w:t>. The Company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Financial Statements, Certificates and Information</w:t>
      </w:r>
      <w:r>
        <w:rPr>
          <w:rFonts w:ascii="Arial" w:cs="Arial" w:eastAsia="Arial" w:hAnsi="Arial"/>
          <w:sz w:val="16"/>
          <w:szCs w:val="16"/>
          <w:color w:val="auto"/>
        </w:rPr>
        <w:t>. The Company will deliver to the Banks:</w:t>
      </w:r>
    </w:p>
    <w:p>
      <w:pPr>
        <w:spacing w:after="0" w:line="229" w:lineRule="exact"/>
        <w:rPr>
          <w:sz w:val="20"/>
          <w:szCs w:val="20"/>
          <w:color w:val="auto"/>
        </w:rPr>
      </w:pPr>
    </w:p>
    <w:p>
      <w:pPr>
        <w:jc w:val="both"/>
        <w:ind w:left="660" w:firstLine="644"/>
        <w:spacing w:after="0" w:line="289" w:lineRule="auto"/>
        <w:tabs>
          <w:tab w:leader="none" w:pos="2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100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Company and reasonably satisfactory to the Administrative Agent (the “</w:t>
      </w:r>
      <w:r>
        <w:rPr>
          <w:rFonts w:ascii="Arial" w:cs="Arial" w:eastAsia="Arial" w:hAnsi="Arial"/>
          <w:sz w:val="16"/>
          <w:szCs w:val="16"/>
          <w:b w:val="1"/>
          <w:bCs w:val="1"/>
          <w:i w:val="1"/>
          <w:iCs w:val="1"/>
          <w:color w:val="auto"/>
        </w:rPr>
        <w:t>Accountants</w:t>
      </w:r>
      <w:r>
        <w:rPr>
          <w:rFonts w:ascii="Arial" w:cs="Arial" w:eastAsia="Arial" w:hAnsi="Arial"/>
          <w:sz w:val="16"/>
          <w:szCs w:val="16"/>
          <w:color w:val="auto"/>
        </w:rPr>
        <w:t>”).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66" w:lineRule="exact"/>
        <w:rPr>
          <w:rFonts w:ascii="Arial" w:cs="Arial" w:eastAsia="Arial" w:hAnsi="Arial"/>
          <w:sz w:val="16"/>
          <w:szCs w:val="16"/>
          <w:color w:val="auto"/>
        </w:rPr>
      </w:pPr>
    </w:p>
    <w:p>
      <w:pPr>
        <w:jc w:val="both"/>
        <w:ind w:left="660" w:firstLine="644"/>
        <w:spacing w:after="0" w:line="271" w:lineRule="auto"/>
        <w:tabs>
          <w:tab w:leader="none" w:pos="19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soon as practicable, but in any event not later than 60 days after the end of each of the first three fiscal quarters of each fiscal year of the Company,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w:t>
      </w:r>
      <w:r>
        <w:rPr>
          <w:rFonts w:ascii="Arial" w:cs="Arial" w:eastAsia="Arial" w:hAnsi="Arial"/>
          <w:sz w:val="17"/>
          <w:szCs w:val="17"/>
          <w:b w:val="1"/>
          <w:bCs w:val="1"/>
          <w:i w:val="1"/>
          <w:iCs w:val="1"/>
          <w:color w:val="auto"/>
        </w:rPr>
        <w:t>CFO</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CAO</w:t>
      </w:r>
      <w:r>
        <w:rPr>
          <w:rFonts w:ascii="Arial" w:cs="Arial" w:eastAsia="Arial" w:hAnsi="Arial"/>
          <w:sz w:val="17"/>
          <w:szCs w:val="17"/>
          <w:color w:val="auto"/>
        </w:rPr>
        <w:t>”) that the consolidated financial statements are prepared in accordance with GAAP (to the extent GAAP is applicable to interim unaudited financial statements) and fairly present, in all material respects, the consolidated financial condition of the Company and its Subsidiaries as at the close of business on the date thereof and the results of operations for the period then ended, subject to year-end adjustments and the exclusion of detailed footnotes;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660" w:firstLine="644"/>
        <w:spacing w:after="0" w:line="291" w:lineRule="auto"/>
        <w:tabs>
          <w:tab w:leader="none" w:pos="2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simultaneously with the delivery of the financial statements referred to in (a) and (b) above, a certificate in the form of </w:t>
      </w:r>
      <w:r>
        <w:rPr>
          <w:rFonts w:ascii="Arial" w:cs="Arial" w:eastAsia="Arial" w:hAnsi="Arial"/>
          <w:sz w:val="16"/>
          <w:szCs w:val="16"/>
          <w:b w:val="1"/>
          <w:bCs w:val="1"/>
          <w:i w:val="1"/>
          <w:iCs w:val="1"/>
          <w:color w:val="auto"/>
        </w:rPr>
        <w:t xml:space="preserve">Exhibit C </w:t>
      </w:r>
      <w:r>
        <w:rPr>
          <w:rFonts w:ascii="Arial" w:cs="Arial" w:eastAsia="Arial" w:hAnsi="Arial"/>
          <w:sz w:val="16"/>
          <w:szCs w:val="16"/>
          <w:color w:val="auto"/>
        </w:rPr>
        <w:t>hereto (the “</w:t>
      </w:r>
      <w:r>
        <w:rPr>
          <w:rFonts w:ascii="Arial" w:cs="Arial" w:eastAsia="Arial" w:hAnsi="Arial"/>
          <w:sz w:val="16"/>
          <w:szCs w:val="16"/>
          <w:b w:val="1"/>
          <w:bCs w:val="1"/>
          <w:i w:val="1"/>
          <w:iCs w:val="1"/>
          <w:color w:val="auto"/>
        </w:rPr>
        <w:t>Compliance Certificate</w:t>
      </w:r>
      <w:r>
        <w:rPr>
          <w:rFonts w:ascii="Arial" w:cs="Arial" w:eastAsia="Arial" w:hAnsi="Arial"/>
          <w:sz w:val="16"/>
          <w:szCs w:val="16"/>
          <w:color w:val="auto"/>
        </w:rPr>
        <w:t>”) signed by the CFO or the CAO or the Company’s corporate treasurer, stating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its Subsidiaries are in compliance with the covenants contained in </w:t>
      </w:r>
      <w:r>
        <w:rPr>
          <w:rFonts w:ascii="Arial" w:cs="Arial" w:eastAsia="Arial" w:hAnsi="Arial"/>
          <w:sz w:val="16"/>
          <w:szCs w:val="16"/>
          <w:b w:val="1"/>
          <w:bCs w:val="1"/>
          <w:i w:val="1"/>
          <w:iCs w:val="1"/>
          <w:color w:val="auto"/>
        </w:rPr>
        <w:t>Sections 7</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8</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9</w:t>
      </w:r>
      <w:r>
        <w:rPr>
          <w:rFonts w:ascii="Arial" w:cs="Arial" w:eastAsia="Arial" w:hAnsi="Arial"/>
          <w:sz w:val="16"/>
          <w:szCs w:val="16"/>
          <w:color w:val="auto"/>
        </w:rPr>
        <w:t xml:space="preserve"> hereof as of the end of the applicable period and setting forth in reasonable detail computations evidencing such compliance with respect to the covenants contained in </w:t>
      </w:r>
      <w:r>
        <w:rPr>
          <w:rFonts w:ascii="Arial" w:cs="Arial" w:eastAsia="Arial" w:hAnsi="Arial"/>
          <w:sz w:val="16"/>
          <w:szCs w:val="16"/>
          <w:b w:val="1"/>
          <w:bCs w:val="1"/>
          <w:i w:val="1"/>
          <w:iCs w:val="1"/>
          <w:color w:val="auto"/>
        </w:rPr>
        <w:t>Section 9</w:t>
      </w:r>
      <w:r>
        <w:rPr>
          <w:rFonts w:ascii="Arial" w:cs="Arial" w:eastAsia="Arial" w:hAnsi="Arial"/>
          <w:sz w:val="16"/>
          <w:szCs w:val="16"/>
          <w:color w:val="auto"/>
        </w:rPr>
        <w:t xml:space="preserve"> hereof and that no Default or Event of Default exists, provided that if the Company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Company proposes to take with respect thereto;</w:t>
      </w:r>
    </w:p>
    <w:p>
      <w:pPr>
        <w:spacing w:after="0" w:line="166" w:lineRule="exact"/>
        <w:rPr>
          <w:rFonts w:ascii="Arial" w:cs="Arial" w:eastAsia="Arial" w:hAnsi="Arial"/>
          <w:sz w:val="16"/>
          <w:szCs w:val="16"/>
          <w:color w:val="auto"/>
        </w:rPr>
      </w:pPr>
    </w:p>
    <w:p>
      <w:pPr>
        <w:ind w:left="660" w:firstLine="644"/>
        <w:spacing w:after="0" w:line="277" w:lineRule="auto"/>
        <w:tabs>
          <w:tab w:leader="none" w:pos="20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promptly following the filing or mailing thereof, copies of all material documents of a financial nature filed with the Securities and Exchange Commission or sent to the Company’s and its Subsidiaries’ stockholders generally;</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20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the Canadian AML Acts and the Beneficial Ownership Regulation; and</w:t>
      </w:r>
    </w:p>
    <w:p>
      <w:pPr>
        <w:spacing w:after="0" w:line="165" w:lineRule="exact"/>
        <w:rPr>
          <w:rFonts w:ascii="Arial" w:cs="Arial" w:eastAsia="Arial" w:hAnsi="Arial"/>
          <w:sz w:val="17"/>
          <w:szCs w:val="17"/>
          <w:color w:val="auto"/>
        </w:rPr>
      </w:pPr>
    </w:p>
    <w:p>
      <w:pPr>
        <w:ind w:left="660" w:firstLine="644"/>
        <w:spacing w:after="0" w:line="277" w:lineRule="auto"/>
        <w:tabs>
          <w:tab w:leader="none" w:pos="2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from time to time such other financial data and other information as any of the Banks may reasonably request through the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Company shall, promptly upon the issuance thereof, notify the Administrative Agent of any announcement by Moody’s or S&amp;P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of any change in any Senior Public Debt Rating or (ii) that any Senior Public Debt Rating will be put on a “negative outlook” or “negative credit watch.”</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Company has or may have under the federal Right to Financial Privacy Act of 1978, as in effect from time to time, except as to matters specifically permitted therein.</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Existence and Conduct of Business</w:t>
      </w:r>
      <w:r>
        <w:rPr>
          <w:rFonts w:ascii="Arial" w:cs="Arial" w:eastAsia="Arial" w:hAnsi="Arial"/>
          <w:sz w:val="18"/>
          <w:szCs w:val="18"/>
          <w:color w:val="auto"/>
        </w:rPr>
        <w:t xml:space="preserve">. The Company will, and will cause each Significant Subsidiary to, do or cause to be done all things necessary to preserve and keep in full force and effect its existence, rights and franchises; and effect and maintain its foreign qualifications (except where the failure of the Company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could not reasonably be expected to have a Material Adverse Effect. Neither Company nor any of its Subsidiaries will become obligated under any contract or binding arrangement which, at the time it was entered into, could reasonably be expected to have a Material Adverse Effect. The Company will, and will cause each of its Subsidiaries to, continue to engage primarily in any of the businesses now conducted by the Company and its Subsidiaries and in related, complementary or supplemental businesses, and any additional businesses acquired pursuant to the terms of </w:t>
      </w:r>
      <w:r>
        <w:rPr>
          <w:rFonts w:ascii="Arial" w:cs="Arial" w:eastAsia="Arial" w:hAnsi="Arial"/>
          <w:sz w:val="18"/>
          <w:szCs w:val="18"/>
          <w:b w:val="1"/>
          <w:bCs w:val="1"/>
          <w:i w:val="1"/>
          <w:iCs w:val="1"/>
          <w:color w:val="auto"/>
        </w:rPr>
        <w:t xml:space="preserve">Section 8.4(a) </w:t>
      </w:r>
      <w:r>
        <w:rPr>
          <w:rFonts w:ascii="Arial" w:cs="Arial" w:eastAsia="Arial" w:hAnsi="Arial"/>
          <w:sz w:val="18"/>
          <w:szCs w:val="18"/>
          <w:color w:val="auto"/>
        </w:rPr>
        <w:t>hereunder.</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Maintenance of Properties</w:t>
      </w:r>
      <w:r>
        <w:rPr>
          <w:rFonts w:ascii="Arial" w:cs="Arial" w:eastAsia="Arial" w:hAnsi="Arial"/>
          <w:sz w:val="17"/>
          <w:szCs w:val="17"/>
          <w:color w:val="auto"/>
        </w:rPr>
        <w:t xml:space="preserve">. The Company will, and will cause each Significant Subsidiary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Company and the Significant Subsidiaries may be necessary so that the businesses carried on in connection therewith may be properly and advantageously conducted at all times;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shall prevent the Company or any of its Subsidiaries from discontinuing the operation and maintenance of any of its properties if such discontinuance is, in the judgment of the Company or such Subsidiary, desirable in the conduct of its or their business and which could not reasonably be expected to have a Material Adverse Effect.</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Insurance</w:t>
      </w:r>
      <w:r>
        <w:rPr>
          <w:rFonts w:ascii="Arial" w:cs="Arial" w:eastAsia="Arial" w:hAnsi="Arial"/>
          <w:sz w:val="18"/>
          <w:szCs w:val="18"/>
          <w:color w:val="auto"/>
        </w:rPr>
        <w:t>. The Company will, and will cause its Subsidiaries to, maintain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Company and its Subsidiaries, in amounts substantially similar to the existing coverage maintained by the Company and its Subsidiaries. Such insurance shall be with financially sound and reputable insurance companies (including captive insurance companies), funds or underwriters, or may be pursuant to self-insurance plans. In addition, the Company will furnish from time to time, upon the Administrative Agent’s request, a summary of the insurance coverage of the Company and its Subsidiaries, which summary shall be in form and substance satisfactory to the Administrative Agent and, if requested by the Administrative Agent, will furnish to the Administrative Agent copies of the applicable policies.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color w:val="auto"/>
        </w:rPr>
        <w:t>Taxes</w:t>
      </w:r>
      <w:r>
        <w:rPr>
          <w:rFonts w:ascii="Arial" w:cs="Arial" w:eastAsia="Arial" w:hAnsi="Arial"/>
          <w:sz w:val="17"/>
          <w:szCs w:val="17"/>
          <w:color w:val="auto"/>
        </w:rPr>
        <w:t xml:space="preserve">. The Company will, and will cause its Subsidiaries to, duly pay and discharge, or cause to be paid and discharged, 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Company or such Subsidiary shall have set aside on its books adequate reserves with respect thereto as required by GAAP;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Company or such Subsidiary will pay all such taxes, assessments, charges, levies or claims prior to the foreclosure on any Lien which may have attached as security therefor.</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b w:val="1"/>
          <w:bCs w:val="1"/>
          <w:color w:val="auto"/>
        </w:rPr>
        <w:t>Inspection of Properties, Books and Contracts</w:t>
      </w:r>
      <w:r>
        <w:rPr>
          <w:rFonts w:ascii="Arial" w:cs="Arial" w:eastAsia="Arial" w:hAnsi="Arial"/>
          <w:sz w:val="17"/>
          <w:szCs w:val="17"/>
          <w:color w:val="auto"/>
        </w:rPr>
        <w:t>. The Company will, and will cause each Significant Subsidiary to, permit the Administrative Agent or any Bank or any of their designated representatives, upon reasonable notice, to visit and inspect any of the properties of the Company and the Significant Subsidiaries, to examine the books of account of the Company and the Significant Subsidiaries, or contracts (and to make copies thereof and extracts therefrom), and to discuss the affairs, finances and accounts of the Company and the Significant Subsidiaries with, and to be advised as to the same by, their officers, all at such times and intervals as may be reasonably requested.</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72"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color w:val="auto"/>
        </w:rPr>
        <w:t>Compliance with Laws, Contracts, Licenses and Permits; Maintenance of Material Licenses and Permits</w:t>
      </w:r>
      <w:r>
        <w:rPr>
          <w:rFonts w:ascii="Arial" w:cs="Arial" w:eastAsia="Arial" w:hAnsi="Arial"/>
          <w:sz w:val="17"/>
          <w:szCs w:val="17"/>
          <w:color w:val="auto"/>
        </w:rPr>
        <w:t>. The Company will, and 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w:t>
      </w:r>
    </w:p>
    <w:p>
      <w:pPr>
        <w:spacing w:after="0" w:line="2" w:lineRule="exact"/>
        <w:rPr>
          <w:sz w:val="20"/>
          <w:szCs w:val="20"/>
          <w:color w:val="auto"/>
        </w:rPr>
      </w:pPr>
    </w:p>
    <w:p>
      <w:pPr>
        <w:jc w:val="both"/>
        <w:ind w:firstLine="8"/>
        <w:spacing w:after="0" w:line="286" w:lineRule="auto"/>
        <w:tabs>
          <w:tab w:leader="none" w:pos="321"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comply with all applicable laws and regulations (including Environmental Laws), decrees, orders, judgments, licenses and permits, including, without limitation, all environmental permits (“</w:t>
      </w:r>
      <w:r>
        <w:rPr>
          <w:rFonts w:ascii="Arial" w:cs="Arial" w:eastAsia="Arial" w:hAnsi="Arial"/>
          <w:sz w:val="16"/>
          <w:szCs w:val="16"/>
          <w:b w:val="1"/>
          <w:bCs w:val="1"/>
          <w:i w:val="1"/>
          <w:iCs w:val="1"/>
          <w:color w:val="auto"/>
        </w:rPr>
        <w:t>Applicable Requirements</w:t>
      </w:r>
      <w:r>
        <w:rPr>
          <w:rFonts w:ascii="Arial" w:cs="Arial" w:eastAsia="Arial" w:hAnsi="Arial"/>
          <w:sz w:val="16"/>
          <w:szCs w:val="16"/>
          <w:color w:val="auto"/>
        </w:rPr>
        <w:t>”),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Company’s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Company or any Significant Subsidiary may fulfill any of its obligations hereunder or under any other Loan Document, the Company will immediately take or cause to be taken all reasonable steps within the power of the Company or such Significant Subsidiary to obtain such authorization, consent, approval, permit or license and furnish the Banks with evidence thereof.</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b w:val="1"/>
          <w:bCs w:val="1"/>
          <w:color w:val="auto"/>
        </w:rPr>
        <w:t>Environmental Indemnification</w:t>
      </w:r>
      <w:r>
        <w:rPr>
          <w:rFonts w:ascii="Arial" w:cs="Arial" w:eastAsia="Arial" w:hAnsi="Arial"/>
          <w:sz w:val="17"/>
          <w:szCs w:val="17"/>
          <w:color w:val="auto"/>
        </w:rPr>
        <w:t>. The Company covenants and agrees that it will indemnify and hold the Banks and the Administrative Agent and their respective affiliates, and each of the representatives, agents and officers of each of the foregoing, harmless from and against any and all claims, expense, damage, loss or liability incurred by the Banks or the Administrative Agent (including all reasonable costs of legal representation incurred by the Banks or the Administrative Agent) relating to (a) any Release or threatened Release of Hazardous Substances on the Real Property; (b) any violation of any Environmental Laws or Applicable Requirements with respect to conditions at the Real Property or other assets of the Company or its Subsidiaries, or the operations conducted thereon; or (c) the investigation or remediation of offsite locations at which the Company, any of its Subsidiaries, or their predecessors are alleged to have directly or indirectly Disposed of Hazardous Substances. It is expressly acknowledged by the Company that this covenant of indemnification shall survive the payment of the Loans and satisfaction of all other Obligations hereunder and shall inure to the benefit of the Banks, the Administrative Agent and their affiliates, successors and assigns.</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color w:val="auto"/>
        </w:rPr>
        <w:t>Further Assurances</w:t>
      </w:r>
      <w:r>
        <w:rPr>
          <w:rFonts w:ascii="Arial" w:cs="Arial" w:eastAsia="Arial" w:hAnsi="Arial"/>
          <w:sz w:val="18"/>
          <w:szCs w:val="18"/>
          <w:color w:val="auto"/>
        </w:rPr>
        <w:t>. The Company and the Guarantor will cooperate with the Administrative Agent and execute such further instruments and documents as the Administrative Agent shall reasonably request to carry out to the Majority Banks’ satisfaction the transactions contemplated by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color w:val="auto"/>
        </w:rPr>
        <w:t>Notice of Potential Claims or Litigation</w:t>
      </w:r>
      <w:r>
        <w:rPr>
          <w:rFonts w:ascii="Arial" w:cs="Arial" w:eastAsia="Arial" w:hAnsi="Arial"/>
          <w:sz w:val="18"/>
          <w:szCs w:val="18"/>
          <w:color w:val="auto"/>
        </w:rPr>
        <w:t>. The Company shall deliver to the Banks written notice of the initiation of any action, claim, complaint, investigation or any other notice of dispute or litigation against the Company or any of its Subsidiaries that could reasonably be expected to have a Material Adverse Effect, or which questions the validity or enforceability of any Loan Document, together with a copy of each such complaint or other notice received by the Company or any of its Subsidiaries if requested by the Administrative Agent within 30 days of receipt thereof or of the determination that such action could reasonably be expected to have a Material Adverse Effect, whichever occurs later (and the Company will make such determination in each case as promptly as practicable).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b w:val="1"/>
          <w:bCs w:val="1"/>
          <w:color w:val="auto"/>
        </w:rPr>
        <w:t>Notice of Certain Events Concerning Environmental Claims and/or ERISA Reportable Events</w:t>
      </w:r>
      <w:r>
        <w:rPr>
          <w:rFonts w:ascii="Arial" w:cs="Arial" w:eastAsia="Arial" w:hAnsi="Arial"/>
          <w:sz w:val="17"/>
          <w:szCs w:val="17"/>
          <w:color w:val="auto"/>
        </w:rPr>
        <w:t>. The Company will promptly, and in any event within 10 Business Days of the Company’s obtaining knowledge thereof, notify the Banks in writing of any of the following events:</w:t>
      </w:r>
    </w:p>
    <w:p>
      <w:pPr>
        <w:spacing w:after="0" w:line="144" w:lineRule="exact"/>
        <w:rPr>
          <w:sz w:val="20"/>
          <w:szCs w:val="20"/>
          <w:color w:val="auto"/>
        </w:rPr>
      </w:pPr>
    </w:p>
    <w:p>
      <w:pPr>
        <w:jc w:val="both"/>
        <w:ind w:left="1300" w:firstLine="652"/>
        <w:spacing w:after="0" w:line="263" w:lineRule="auto"/>
        <w:tabs>
          <w:tab w:leader="none" w:pos="26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or any Significant Subsidiary obtaining knowledge of any violation of any Environmental Law regarding the Real Property or the Company’s or Subsidiary’s operations which violation could reasonably be expected to have a Material Adverse Effect;</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8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or any Significant Subsidiary obtaining knowledge of any potential or known Release, or threat of Release, of any Hazardous Substance at, from, or into the Real Property which could reasonably be expected to have a Material Adverse Effect;</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1300" w:firstLine="652"/>
        <w:spacing w:after="0" w:line="291" w:lineRule="auto"/>
        <w:tabs>
          <w:tab w:leader="none" w:pos="273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Company’s, any Significant Subsidiary’s or any Person’s operation of the Real Property, (B) contamination on, from, or into the Real Property, or (C) investigation or remediation of offsite locations at which the Company, any Significant Subsidiary, or its predecessors are alleged to have directly or indirectly Disposed of Hazardous Substances, if any thereof could reasonably be expected to have a Material Adverse Effect;</w:t>
      </w:r>
    </w:p>
    <w:p>
      <w:pPr>
        <w:spacing w:after="0" w:line="166" w:lineRule="exact"/>
        <w:rPr>
          <w:rFonts w:ascii="Arial" w:cs="Arial" w:eastAsia="Arial" w:hAnsi="Arial"/>
          <w:sz w:val="16"/>
          <w:szCs w:val="16"/>
          <w:color w:val="auto"/>
        </w:rPr>
      </w:pPr>
    </w:p>
    <w:p>
      <w:pPr>
        <w:jc w:val="both"/>
        <w:ind w:left="1300" w:firstLine="652"/>
        <w:spacing w:after="0" w:line="257" w:lineRule="auto"/>
        <w:tabs>
          <w:tab w:leader="none" w:pos="27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or any Significant Subsidiary obtaining knowledge that any expense or loss has been incurred by any Governmental Authority in connection with the assessment, containment, removal or remediation of any Hazardous Substances with respect to which the Company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87" w:lineRule="exact"/>
        <w:rPr>
          <w:rFonts w:ascii="Arial" w:cs="Arial" w:eastAsia="Arial" w:hAnsi="Arial"/>
          <w:sz w:val="18"/>
          <w:szCs w:val="18"/>
          <w:color w:val="auto"/>
        </w:rPr>
      </w:pPr>
    </w:p>
    <w:p>
      <w:pPr>
        <w:jc w:val="both"/>
        <w:ind w:left="1300" w:firstLine="652"/>
        <w:spacing w:after="0" w:line="263" w:lineRule="auto"/>
        <w:tabs>
          <w:tab w:leader="none" w:pos="28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occurrence of any ERISA Reportable Event or any failure by any Loan Party or any Subsidiary to materially perform its obligations under a Canadian Pension Plan, in each case that could reasonably be expected to have a Material Adverse Effect; and</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Effective Date.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7.15 </w:t>
      </w:r>
      <w:r>
        <w:rPr>
          <w:rFonts w:ascii="Arial" w:cs="Arial" w:eastAsia="Arial" w:hAnsi="Arial"/>
          <w:sz w:val="17"/>
          <w:szCs w:val="17"/>
          <w:b w:val="1"/>
          <w:bCs w:val="1"/>
          <w:color w:val="auto"/>
        </w:rPr>
        <w:t>Notice of Default</w:t>
      </w:r>
      <w:r>
        <w:rPr>
          <w:rFonts w:ascii="Arial" w:cs="Arial" w:eastAsia="Arial" w:hAnsi="Arial"/>
          <w:sz w:val="17"/>
          <w:szCs w:val="17"/>
          <w:color w:val="auto"/>
        </w:rPr>
        <w:t>. The Company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$200,000,000 as to which the Company or any Significant Subsidiary is a party or obligor, whether as principal or surety, the Company shall promptly upon obtaining actual knowledge thereof give written notice thereof to the Banks, describing the notice of action and the nature of the claimed default.</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color w:val="auto"/>
        </w:rPr>
        <w:t>Use of Proceeds</w:t>
      </w:r>
      <w:r>
        <w:rPr>
          <w:rFonts w:ascii="Arial" w:cs="Arial" w:eastAsia="Arial" w:hAnsi="Arial"/>
          <w:sz w:val="18"/>
          <w:szCs w:val="18"/>
          <w:color w:val="auto"/>
        </w:rPr>
        <w:t>. The proceeds of the Loans shall be used for general corporate purposes (including consummating Acquisitions and refinancing of Indebtedness) and to provide working capital. After application of the proceeds of any Loan, not more than 25% of the value of the assets (either of the Company only or of the Company and its Subsidiaries on a consolidated basis) that are subject to any restriction on sale, pledge, or disposal under this Agreement will be represented by “</w:t>
      </w:r>
      <w:r>
        <w:rPr>
          <w:rFonts w:ascii="Arial" w:cs="Arial" w:eastAsia="Arial" w:hAnsi="Arial"/>
          <w:sz w:val="18"/>
          <w:szCs w:val="18"/>
          <w:i w:val="1"/>
          <w:iCs w:val="1"/>
          <w:color w:val="auto"/>
        </w:rPr>
        <w:t>margin stock</w:t>
      </w:r>
      <w:r>
        <w:rPr>
          <w:rFonts w:ascii="Arial" w:cs="Arial" w:eastAsia="Arial" w:hAnsi="Arial"/>
          <w:sz w:val="18"/>
          <w:szCs w:val="18"/>
          <w:color w:val="auto"/>
        </w:rPr>
        <w:t>,” as defined in accordance with Regulation U issued by the Board of Governors of the Federal Reserve System, now or hereafter in effect.</w:t>
      </w: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73" w:lineRule="auto"/>
        <w:rPr>
          <w:sz w:val="20"/>
          <w:szCs w:val="20"/>
          <w:color w:val="auto"/>
        </w:rPr>
      </w:pPr>
      <w:r>
        <w:rPr>
          <w:rFonts w:ascii="Arial" w:cs="Arial" w:eastAsia="Arial" w:hAnsi="Arial"/>
          <w:sz w:val="17"/>
          <w:szCs w:val="17"/>
          <w:color w:val="auto"/>
        </w:rPr>
        <w:t xml:space="preserve">7.17 </w:t>
      </w:r>
      <w:r>
        <w:rPr>
          <w:rFonts w:ascii="Arial" w:cs="Arial" w:eastAsia="Arial" w:hAnsi="Arial"/>
          <w:sz w:val="17"/>
          <w:szCs w:val="17"/>
          <w:b w:val="1"/>
          <w:bCs w:val="1"/>
          <w:color w:val="auto"/>
        </w:rPr>
        <w:t>Certain Transactions</w:t>
      </w:r>
      <w:r>
        <w:rPr>
          <w:rFonts w:ascii="Arial" w:cs="Arial" w:eastAsia="Arial" w:hAnsi="Arial"/>
          <w:sz w:val="17"/>
          <w:szCs w:val="17"/>
          <w:color w:val="auto"/>
        </w:rPr>
        <w:t>. Except as disclosed in the Disclosure Documents prior to the Effective Date, and except for arm’s length transactions pursuant to which the Company or any Subsidiary makes payments in the ordinary course of business, none of the officers, directors, or employees or any other affiliate of the Company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or any Subsidiary, any corporation, partnership, trust or other entity in which any officer, director, or any such employee has a substantial interest or is an officer, director, trustee or partner.</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b w:val="1"/>
          <w:bCs w:val="1"/>
          <w:color w:val="auto"/>
        </w:rPr>
        <w:t>Anti-Corruption Laws</w:t>
      </w:r>
      <w:r>
        <w:rPr>
          <w:rFonts w:ascii="Arial" w:cs="Arial" w:eastAsia="Arial" w:hAnsi="Arial"/>
          <w:sz w:val="17"/>
          <w:szCs w:val="17"/>
          <w:color w:val="auto"/>
        </w:rPr>
        <w:t>. The Company shall and shall cause each of its Subsidiaries to conduct its businesses in compliance with the 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w:t>
      </w:r>
    </w:p>
    <w:p>
      <w:pPr>
        <w:spacing w:after="0" w:line="158" w:lineRule="exact"/>
        <w:rPr>
          <w:sz w:val="20"/>
          <w:szCs w:val="20"/>
          <w:color w:val="auto"/>
        </w:rPr>
      </w:pPr>
    </w:p>
    <w:p>
      <w:pPr>
        <w:jc w:val="both"/>
        <w:ind w:firstLine="8"/>
        <w:spacing w:after="0" w:line="266" w:lineRule="auto"/>
        <w:tabs>
          <w:tab w:leader="none" w:pos="74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NEGATIVE COVENANTS OF THE COMPANY</w:t>
      </w:r>
      <w:r>
        <w:rPr>
          <w:rFonts w:ascii="Arial" w:cs="Arial" w:eastAsia="Arial" w:hAnsi="Arial"/>
          <w:sz w:val="18"/>
          <w:szCs w:val="18"/>
          <w:color w:val="auto"/>
        </w:rPr>
        <w:t>. The Company agrees that, so long as any Obligation is outstanding or the Banks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make Loans, it shall, and shall cause its Subsidiaries (or, if so indicated below, cause only Significant Subsidiaries) to, comply with the following covenants:</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Restrictions on Indebtedness</w:t>
      </w:r>
      <w:r>
        <w:rPr>
          <w:rFonts w:ascii="Arial" w:cs="Arial" w:eastAsia="Arial" w:hAnsi="Arial"/>
          <w:sz w:val="17"/>
          <w:szCs w:val="17"/>
          <w:color w:val="auto"/>
        </w:rPr>
        <w:t>. The Company will not permit any of its Subsidiaries (other than the Guarantor) to create, incur, assume, or be or remain liable, 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the Company or any of its Subsidiaries, other than:</w:t>
      </w:r>
    </w:p>
    <w:p>
      <w:pPr>
        <w:spacing w:after="0" w:line="169" w:lineRule="exact"/>
        <w:rPr>
          <w:sz w:val="20"/>
          <w:szCs w:val="20"/>
          <w:color w:val="auto"/>
        </w:rPr>
      </w:pPr>
    </w:p>
    <w:p>
      <w:pPr>
        <w:jc w:val="both"/>
        <w:ind w:left="660" w:firstLine="644"/>
        <w:spacing w:after="0" w:line="293" w:lineRule="auto"/>
        <w:tabs>
          <w:tab w:leader="none" w:pos="20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Indebtedness listed in </w:t>
      </w:r>
      <w:r>
        <w:rPr>
          <w:rFonts w:ascii="Arial" w:cs="Arial" w:eastAsia="Arial" w:hAnsi="Arial"/>
          <w:sz w:val="16"/>
          <w:szCs w:val="16"/>
          <w:b w:val="1"/>
          <w:bCs w:val="1"/>
          <w:i w:val="1"/>
          <w:iCs w:val="1"/>
          <w:color w:val="auto"/>
        </w:rPr>
        <w:t>Schedule 8.1(a)</w:t>
      </w:r>
      <w:r>
        <w:rPr>
          <w:rFonts w:ascii="Arial" w:cs="Arial" w:eastAsia="Arial" w:hAnsi="Arial"/>
          <w:sz w:val="16"/>
          <w:szCs w:val="16"/>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Arial" w:cs="Arial" w:eastAsia="Arial" w:hAnsi="Arial"/>
          <w:sz w:val="16"/>
          <w:szCs w:val="16"/>
          <w:b w:val="1"/>
          <w:bCs w:val="1"/>
          <w:i w:val="1"/>
          <w:iCs w:val="1"/>
          <w:color w:val="auto"/>
        </w:rPr>
        <w:t>Section 8.1(a)</w:t>
      </w:r>
      <w:r>
        <w:rPr>
          <w:rFonts w:ascii="Arial" w:cs="Arial" w:eastAsia="Arial" w:hAnsi="Arial"/>
          <w:sz w:val="16"/>
          <w:szCs w:val="16"/>
          <w:color w:val="auto"/>
        </w:rPr>
        <w:t xml:space="preserve"> exceed the aggregate principal amount of the Indebtedness listed on </w:t>
      </w:r>
      <w:r>
        <w:rPr>
          <w:rFonts w:ascii="Arial" w:cs="Arial" w:eastAsia="Arial" w:hAnsi="Arial"/>
          <w:sz w:val="16"/>
          <w:szCs w:val="16"/>
          <w:b w:val="1"/>
          <w:bCs w:val="1"/>
          <w:i w:val="1"/>
          <w:iCs w:val="1"/>
          <w:color w:val="auto"/>
        </w:rPr>
        <w:t>Schedule 8.1(a)</w:t>
      </w:r>
      <w:r>
        <w:rPr>
          <w:rFonts w:ascii="Arial" w:cs="Arial" w:eastAsia="Arial" w:hAnsi="Arial"/>
          <w:sz w:val="16"/>
          <w:szCs w:val="16"/>
          <w:color w:val="auto"/>
        </w:rPr>
        <w:t xml:space="preserve"> that is outstanding on the Effective Date (plus transaction costs, including premiums and fees, related thereto); and</w:t>
      </w:r>
    </w:p>
    <w:p>
      <w:pPr>
        <w:spacing w:after="0" w:line="164" w:lineRule="exact"/>
        <w:rPr>
          <w:rFonts w:ascii="Arial" w:cs="Arial" w:eastAsia="Arial" w:hAnsi="Arial"/>
          <w:sz w:val="16"/>
          <w:szCs w:val="16"/>
          <w:color w:val="auto"/>
        </w:rPr>
      </w:pPr>
    </w:p>
    <w:p>
      <w:pPr>
        <w:jc w:val="both"/>
        <w:ind w:left="660" w:firstLine="644"/>
        <w:spacing w:after="0" w:line="275" w:lineRule="auto"/>
        <w:tabs>
          <w:tab w:leader="none" w:pos="233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other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(without duplication) of (i) the aggregate outstanding principal amount of Indebtedness permitted under this </w:t>
      </w:r>
      <w:r>
        <w:rPr>
          <w:rFonts w:ascii="Arial" w:cs="Arial" w:eastAsia="Arial" w:hAnsi="Arial"/>
          <w:sz w:val="17"/>
          <w:szCs w:val="17"/>
          <w:b w:val="1"/>
          <w:bCs w:val="1"/>
          <w:i w:val="1"/>
          <w:iCs w:val="1"/>
          <w:color w:val="auto"/>
        </w:rPr>
        <w:t>Section 8.1(b)</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outstanding principal amount of secured Indebtedness of the Company and its Subsidiaries permitted under </w:t>
      </w:r>
      <w:r>
        <w:rPr>
          <w:rFonts w:ascii="Arial" w:cs="Arial" w:eastAsia="Arial" w:hAnsi="Arial"/>
          <w:sz w:val="17"/>
          <w:szCs w:val="17"/>
          <w:b w:val="1"/>
          <w:bCs w:val="1"/>
          <w:i w:val="1"/>
          <w:iCs w:val="1"/>
          <w:color w:val="auto"/>
        </w:rPr>
        <w:t>subsections (k)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(m)</w:t>
      </w:r>
      <w:r>
        <w:rPr>
          <w:rFonts w:ascii="Arial" w:cs="Arial" w:eastAsia="Arial" w:hAnsi="Arial"/>
          <w:sz w:val="17"/>
          <w:szCs w:val="17"/>
          <w:color w:val="auto"/>
        </w:rPr>
        <w:t xml:space="preserve"> of the definition of “</w:t>
      </w:r>
      <w:r>
        <w:rPr>
          <w:rFonts w:ascii="Arial" w:cs="Arial" w:eastAsia="Arial" w:hAnsi="Arial"/>
          <w:sz w:val="17"/>
          <w:szCs w:val="17"/>
          <w:i w:val="1"/>
          <w:iCs w:val="1"/>
          <w:color w:val="auto"/>
        </w:rPr>
        <w:t>Permitted Liens</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aggregate amount of Indebtedness with respect to outstanding Permitted Receivables Transactions (determined in accordance with the proviso to the definition of “</w:t>
      </w:r>
      <w:r>
        <w:rPr>
          <w:rFonts w:ascii="Arial" w:cs="Arial" w:eastAsia="Arial" w:hAnsi="Arial"/>
          <w:sz w:val="17"/>
          <w:szCs w:val="17"/>
          <w:i w:val="1"/>
          <w:iCs w:val="1"/>
          <w:color w:val="auto"/>
        </w:rPr>
        <w:t>Indebtedness</w:t>
      </w:r>
      <w:r>
        <w:rPr>
          <w:rFonts w:ascii="Arial" w:cs="Arial" w:eastAsia="Arial" w:hAnsi="Arial"/>
          <w:sz w:val="17"/>
          <w:szCs w:val="17"/>
          <w:color w:val="auto"/>
        </w:rPr>
        <w:t>”), shall not exceed 15% of Consolidated Tangible Assets at any time.</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Restrictions on Liens</w:t>
      </w:r>
      <w:r>
        <w:rPr>
          <w:rFonts w:ascii="Arial" w:cs="Arial" w:eastAsia="Arial" w:hAnsi="Arial"/>
          <w:sz w:val="17"/>
          <w:szCs w:val="17"/>
          <w:color w:val="auto"/>
        </w:rPr>
        <w:t>. The Company will not, and will cause its Subsidiaries not to, create or incur or suffer to be created or incurred or 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in each case except for Permitted Liens.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Company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the Company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covenants of the Company and the Guarantor contained in this sentence shall only be in effect for so long as the Company or the Guarantor shall be similarly obligated under any other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 Event of Default shall occur for so long as such other Indebtedness becomes secured notwithstanding any actions taken by the Company or the Guarantor to ratably secure the Obligations and the Guaranteed Obligations hereunder.</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Mergers, Consolidations, Sales</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84" w:lineRule="auto"/>
        <w:tabs>
          <w:tab w:leader="none" w:pos="19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Neither Company nor any Subsidiary shall be a party to any merger, amalgamation, consolidation, Division or exchange of stock unless the Company shall be the surviving entity with respect to any such transaction to which the Company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Arial" w:cs="Arial" w:eastAsia="Arial" w:hAnsi="Arial"/>
          <w:sz w:val="16"/>
          <w:szCs w:val="16"/>
          <w:b w:val="1"/>
          <w:bCs w:val="1"/>
          <w:i w:val="1"/>
          <w:iCs w:val="1"/>
          <w:color w:val="auto"/>
        </w:rPr>
        <w:t>Section 8.4</w:t>
      </w:r>
      <w:r>
        <w:rPr>
          <w:rFonts w:ascii="Arial" w:cs="Arial" w:eastAsia="Arial" w:hAnsi="Arial"/>
          <w:sz w:val="16"/>
          <w:szCs w:val="16"/>
          <w:color w:val="auto"/>
        </w:rPr>
        <w:t>. Notwithstanding the foregoing, the Company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w:t>
      </w:r>
    </w:p>
    <w:p>
      <w:pPr>
        <w:jc w:val="both"/>
        <w:ind w:left="660" w:hanging="4"/>
        <w:spacing w:after="0" w:line="269" w:lineRule="auto"/>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provided that the Company or its Subsidiaries may purchase or otherwise acquire all or substantially all of the assets or stock of any class of, or any partnership, membership or joint venture or other interest in, any Persons in unrelated businesses, not to exceed a total aggregate amount after the Effective Date of $400,000,000. Notwithstanding anything herein to the contrary, the ability of the Subsidiaries of the Company to incur any Indebtedness in connection with any transaction permitted pursuant to this </w:t>
      </w:r>
      <w:r>
        <w:rPr>
          <w:rFonts w:ascii="Arial" w:cs="Arial" w:eastAsia="Arial" w:hAnsi="Arial"/>
          <w:sz w:val="17"/>
          <w:szCs w:val="17"/>
          <w:b w:val="1"/>
          <w:bCs w:val="1"/>
          <w:i w:val="1"/>
          <w:iCs w:val="1"/>
          <w:color w:val="auto"/>
        </w:rPr>
        <w:t>Section 8.4</w:t>
      </w:r>
      <w:r>
        <w:rPr>
          <w:rFonts w:ascii="Arial" w:cs="Arial" w:eastAsia="Arial" w:hAnsi="Arial"/>
          <w:sz w:val="17"/>
          <w:szCs w:val="17"/>
          <w:color w:val="auto"/>
        </w:rPr>
        <w:t xml:space="preserve"> shall be governed by </w:t>
      </w:r>
      <w:r>
        <w:rPr>
          <w:rFonts w:ascii="Arial" w:cs="Arial" w:eastAsia="Arial" w:hAnsi="Arial"/>
          <w:sz w:val="17"/>
          <w:szCs w:val="17"/>
          <w:b w:val="1"/>
          <w:bCs w:val="1"/>
          <w:i w:val="1"/>
          <w:iCs w:val="1"/>
          <w:color w:val="auto"/>
        </w:rPr>
        <w:t>Section 8.1</w:t>
      </w:r>
      <w:r>
        <w:rPr>
          <w:rFonts w:ascii="Arial" w:cs="Arial" w:eastAsia="Arial" w:hAnsi="Arial"/>
          <w:sz w:val="17"/>
          <w:szCs w:val="17"/>
          <w:color w:val="auto"/>
        </w:rPr>
        <w: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left="660" w:firstLine="644"/>
        <w:spacing w:after="0" w:line="269" w:lineRule="auto"/>
        <w:tabs>
          <w:tab w:leader="none" w:pos="21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Neither Company nor any Subsidiary shall sell, transfer, convey or lease any assets or group of assets, including the sale or transfer of any property owned by the Company or any Subsidiary in order then or thereafter to lease such property or lease other property which the Company or any Subsidiary intends to use for substantially the same purpose as the property being sold or transferred, or sell or assign, with or without recourse, any receivables, except (i) transfers of real or personal property among Subsidiaries of the Company, (ii) so long as no Default or Event of Default has occurred and is continuing, or would result therefrom, sales of assets or pursuant to a sale-leaseback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net cash proceeds from any such sale or sale-leaseback shall, within 180 days, either be used to pay down outstanding Loans under this Agreement or be reinvested by such Person in assets of the business of the Company and its Subsidiaries, used for working capital, or used for other general corporate purposes, (iii) sales of accounts receivable (and contract rights, general intangibles or chattel paper related thereto) more than 60 days past due sold or assigned in the ordinary course of collecting past due accounts, or (iv) pursuant to a Permitted Receivables Transaction.</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Canadian Defined Benefit Pension Plans</w:t>
      </w:r>
      <w:r>
        <w:rPr>
          <w:rFonts w:ascii="Arial" w:cs="Arial" w:eastAsia="Arial" w:hAnsi="Arial"/>
          <w:sz w:val="18"/>
          <w:szCs w:val="18"/>
          <w:color w:val="auto"/>
        </w:rPr>
        <w:t>. Neither Company nor any Subsidiary will maintain, contribute to, or incur any liability or contingent liability in respect of a Canadian Defined Benefit Pension Plan, except (i) Canadian Defined Benefit Pension Plans in existence on the Effective Date, (ii) Canadian Defined Benefit Pension Plans which exist as a result of the consummation of an Acquisition permitted hereunder occurring after the Effective Date, and (iii) other Canadian Defined Benefit Pension Plans established after the Effective Date that could not reasonably be expected to have a Material Adverse Effect for all such plans established after the Effective Date.</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Sanctions</w:t>
      </w:r>
      <w:r>
        <w:rPr>
          <w:rFonts w:ascii="Arial" w:cs="Arial" w:eastAsia="Arial" w:hAnsi="Arial"/>
          <w:sz w:val="18"/>
          <w:szCs w:val="18"/>
          <w:color w:val="auto"/>
        </w:rPr>
        <w:t>. Neither Company nor any of its Subsidiaries will, directly or indirectly, use the proceeds of any Loan, or (knowingly, in the case of any joint venture partner, individual or entity that is not a controlled Affiliate)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any material violation by any individual or entity (including any individual or entity participating in the transaction, whether as Bank, Lead Arranger, Administrative Agent, or otherwise) of Sanctions or any applicable anti-money laundering and counter-terrorism financing provisions of The Bank Secrecy Act of 1970 (as amended) or any regulations issued pursuant to it.</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Anti-Corruption Laws</w:t>
      </w:r>
      <w:r>
        <w:rPr>
          <w:rFonts w:ascii="Arial" w:cs="Arial" w:eastAsia="Arial" w:hAnsi="Arial"/>
          <w:sz w:val="18"/>
          <w:szCs w:val="18"/>
          <w:color w:val="auto"/>
        </w:rPr>
        <w:t>. Neither Company nor any of its Subsidiaries will, directly or indirectly knowingly (as such term is used in the FCPA (as defined below)) use the proceeds of any Loan for any purpose which would breach the FCPA, the Corruption of Foreign Public Officials Act (Canada), the UK Bribery Act 2010 or other similar legislation governing bribery or corruption, in each, case, as applicable to the Company or its Subsidiaries from time to time.</w:t>
      </w:r>
    </w:p>
    <w:p>
      <w:pPr>
        <w:spacing w:after="0" w:line="180" w:lineRule="exact"/>
        <w:rPr>
          <w:sz w:val="20"/>
          <w:szCs w:val="20"/>
          <w:color w:val="auto"/>
        </w:rPr>
      </w:pPr>
    </w:p>
    <w:p>
      <w:pPr>
        <w:jc w:val="both"/>
        <w:ind w:firstLine="8"/>
        <w:spacing w:after="0" w:line="289" w:lineRule="auto"/>
        <w:tabs>
          <w:tab w:leader="none" w:pos="864"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FINANCIAL COVENANT</w:t>
      </w:r>
      <w:r>
        <w:rPr>
          <w:rFonts w:ascii="Arial" w:cs="Arial" w:eastAsia="Arial" w:hAnsi="Arial"/>
          <w:sz w:val="16"/>
          <w:szCs w:val="16"/>
          <w:color w:val="auto"/>
        </w:rPr>
        <w:t>. The Company agrees that, so long as any Obligation is outstanding or the Banks have any obligation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Loans, it shall not permit, as of the end of any fiscal quarter of the Company, the ratio of (a) Total Debt to (b) EBITDA for the four fiscal quarters then ending (the “</w:t>
      </w:r>
      <w:r>
        <w:rPr>
          <w:rFonts w:ascii="Arial" w:cs="Arial" w:eastAsia="Arial" w:hAnsi="Arial"/>
          <w:sz w:val="16"/>
          <w:szCs w:val="16"/>
          <w:b w:val="1"/>
          <w:bCs w:val="1"/>
          <w:i w:val="1"/>
          <w:iCs w:val="1"/>
          <w:color w:val="auto"/>
        </w:rPr>
        <w:t>Leverage Ratio</w:t>
      </w:r>
      <w:r>
        <w:rPr>
          <w:rFonts w:ascii="Arial" w:cs="Arial" w:eastAsia="Arial" w:hAnsi="Arial"/>
          <w:sz w:val="16"/>
          <w:szCs w:val="16"/>
          <w:color w:val="auto"/>
        </w:rPr>
        <w:t xml:space="preserve">”) to exceed 3.75:1.00;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Acquisition permitted under this Agreement involving aggregate consideration in excess of $200,000,000 occurs during a fiscal quarter, the Company shall have the right to increase the maximum permitted Leverage Ratio required to be maintained under this </w:t>
      </w:r>
      <w:r>
        <w:rPr>
          <w:rFonts w:ascii="Arial" w:cs="Arial" w:eastAsia="Arial" w:hAnsi="Arial"/>
          <w:sz w:val="16"/>
          <w:szCs w:val="16"/>
          <w:b w:val="1"/>
          <w:bCs w:val="1"/>
          <w:i w:val="1"/>
          <w:iCs w:val="1"/>
          <w:color w:val="auto"/>
        </w:rPr>
        <w:t>Section 9</w:t>
      </w:r>
      <w:r>
        <w:rPr>
          <w:rFonts w:ascii="Arial" w:cs="Arial" w:eastAsia="Arial" w:hAnsi="Arial"/>
          <w:sz w:val="16"/>
          <w:szCs w:val="16"/>
          <w:color w:val="auto"/>
        </w:rPr>
        <w:t xml:space="preserve"> to 4.25:1.00 during the fiscal quarter in which such permitted Acquisition is consummated (the “</w:t>
      </w:r>
      <w:r>
        <w:rPr>
          <w:rFonts w:ascii="Arial" w:cs="Arial" w:eastAsia="Arial" w:hAnsi="Arial"/>
          <w:sz w:val="16"/>
          <w:szCs w:val="16"/>
          <w:b w:val="1"/>
          <w:bCs w:val="1"/>
          <w:i w:val="1"/>
          <w:iCs w:val="1"/>
          <w:color w:val="auto"/>
        </w:rPr>
        <w:t>Trigger Quarter</w:t>
      </w:r>
      <w:r>
        <w:rPr>
          <w:rFonts w:ascii="Arial" w:cs="Arial" w:eastAsia="Arial" w:hAnsi="Arial"/>
          <w:sz w:val="16"/>
          <w:szCs w:val="16"/>
          <w:color w:val="auto"/>
        </w:rPr>
        <w:t>”) and each of the following three fiscal quarters following the Trigger Quarter (such period, an “</w:t>
      </w:r>
      <w:r>
        <w:rPr>
          <w:rFonts w:ascii="Arial" w:cs="Arial" w:eastAsia="Arial" w:hAnsi="Arial"/>
          <w:sz w:val="16"/>
          <w:szCs w:val="16"/>
          <w:b w:val="1"/>
          <w:bCs w:val="1"/>
          <w:i w:val="1"/>
          <w:iCs w:val="1"/>
          <w:color w:val="auto"/>
        </w:rPr>
        <w:t>Elevated Leverage Ratio Period</w:t>
      </w:r>
      <w:r>
        <w:rPr>
          <w:rFonts w:ascii="Arial" w:cs="Arial" w:eastAsia="Arial" w:hAnsi="Arial"/>
          <w:sz w:val="16"/>
          <w:szCs w:val="16"/>
          <w:color w:val="auto"/>
        </w:rPr>
        <w:t xml:space="preserve">”) so long as there is at least one fiscal quarter end after the end of each Elevated Leverage Ratio Period at which the required Leverage Ratio is less than or equal to 3.75:1.00;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no more than two Elevated Leverage Ratio Periods during the term of this Agreement. Such election shall be made by the delivery of a written notice by the Company to the Administrative Agent making reference to this </w:t>
      </w:r>
      <w:r>
        <w:rPr>
          <w:rFonts w:ascii="Arial" w:cs="Arial" w:eastAsia="Arial" w:hAnsi="Arial"/>
          <w:sz w:val="16"/>
          <w:szCs w:val="16"/>
          <w:b w:val="1"/>
          <w:bCs w:val="1"/>
          <w:i w:val="1"/>
          <w:iCs w:val="1"/>
          <w:color w:val="auto"/>
        </w:rPr>
        <w:t>Section 9</w:t>
      </w:r>
      <w:r>
        <w:rPr>
          <w:rFonts w:ascii="Arial" w:cs="Arial" w:eastAsia="Arial" w:hAnsi="Arial"/>
          <w:sz w:val="16"/>
          <w:szCs w:val="16"/>
          <w:color w:val="auto"/>
        </w:rPr>
        <w:t xml:space="preserve"> and notifying the Administrative Agent of the Company’s exercise of this right on or prior to the date of the actual or required delivery of a Compliance Certificate for the Trigger Quarter.</w:t>
      </w:r>
    </w:p>
    <w:p>
      <w:pPr>
        <w:spacing w:after="0" w:line="3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80" w:hanging="672"/>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CONDITIONS PRECEDENT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Conditions to Effectiveness</w:t>
      </w:r>
      <w:r>
        <w:rPr>
          <w:rFonts w:ascii="Arial" w:cs="Arial" w:eastAsia="Arial" w:hAnsi="Arial"/>
          <w:sz w:val="18"/>
          <w:szCs w:val="18"/>
          <w:color w:val="auto"/>
        </w:rPr>
        <w:t>. The effectiveness of this Agreement shall be subject to the satisfaction of each of the following conditions precedent:</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color w:val="auto"/>
        </w:rPr>
        <w:t>Corporate Action</w:t>
      </w:r>
      <w:r>
        <w:rPr>
          <w:rFonts w:ascii="Arial" w:cs="Arial" w:eastAsia="Arial" w:hAnsi="Arial"/>
          <w:sz w:val="18"/>
          <w:szCs w:val="18"/>
          <w:color w:val="auto"/>
        </w:rPr>
        <w:t>. All corporate action necessary for the valid execution, delivery and performance by the Company and the Guarantor of the Loan Documents shall have been duly and effectively taken, and evidence thereof certified by authorized officers of the Company and the Guarantor and satisfactory to the Administrative Agent shall have been provided to the Banks.</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color w:val="auto"/>
        </w:rPr>
        <w:t>Loan Documents, Etc</w:t>
      </w:r>
      <w:r>
        <w:rPr>
          <w:rFonts w:ascii="Arial" w:cs="Arial" w:eastAsia="Arial" w:hAnsi="Arial"/>
          <w:sz w:val="18"/>
          <w:szCs w:val="18"/>
          <w:color w:val="auto"/>
        </w:rPr>
        <w:t>. Each of the Loan Documents (including any Notes requested by Banks hereunder) and other documents listed on the closing agenda shall have been duly and properly authorized, executed and delivered by the respective parties thereto and shall be in full force and effect in a form satisfactory to the Majority Banks.</w:t>
      </w:r>
    </w:p>
    <w:p>
      <w:pPr>
        <w:spacing w:after="0" w:line="17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color w:val="auto"/>
        </w:rPr>
        <w:t>Certified Copies of Charter Documents</w:t>
      </w:r>
      <w:r>
        <w:rPr>
          <w:rFonts w:ascii="Arial" w:cs="Arial" w:eastAsia="Arial" w:hAnsi="Arial"/>
          <w:sz w:val="18"/>
          <w:szCs w:val="18"/>
          <w:color w:val="auto"/>
        </w:rPr>
        <w:t>. The Banks shall have received from the Company and the Guarantor, certified by a duly authorized officer of such Person to be true and complete on the Effective Date, (a) its charter or other incorporation documents, (b) its by-laws (or equivalent) and (c) good standing certificates and such foreign qualifications as may be reasonably requested by the Administrative Agent (which, in the case of the Company and the Guarantor, shall be limited to domestic good standing certificates from such Person’s jurisdiction of organization and foreign good standing certificates (or comparable certificates) for the State of Texas).</w:t>
      </w:r>
    </w:p>
    <w:p>
      <w:pPr>
        <w:spacing w:after="0" w:line="183"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b w:val="1"/>
          <w:bCs w:val="1"/>
          <w:color w:val="auto"/>
        </w:rPr>
        <w:t>Incumbency Certificate</w:t>
      </w:r>
      <w:r>
        <w:rPr>
          <w:rFonts w:ascii="Arial" w:cs="Arial" w:eastAsia="Arial" w:hAnsi="Arial"/>
          <w:sz w:val="16"/>
          <w:szCs w:val="16"/>
          <w:color w:val="auto"/>
        </w:rPr>
        <w:t>. The Banks shall have received an incumbency certificate, dated as of the Effective Date, signed by duly authorized officers of the Company and the Guarantor giving the name and bearing a specimen signature of each individual who shall be authorized:</w:t>
      </w:r>
    </w:p>
    <w:p>
      <w:pPr>
        <w:spacing w:after="0" w:line="1" w:lineRule="exact"/>
        <w:rPr>
          <w:sz w:val="20"/>
          <w:szCs w:val="20"/>
          <w:color w:val="auto"/>
        </w:rPr>
      </w:pPr>
    </w:p>
    <w:p>
      <w:pPr>
        <w:ind w:firstLine="8"/>
        <w:spacing w:after="0" w:line="260"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sign the Loan Documents on behalf of the Company and the Guarantor; (b) to submit Loan Notices; and (c) to give notices and to take other action on the Company’s or the Guarantor’s behalf under the Loan Documents.</w:t>
      </w:r>
    </w:p>
    <w:p>
      <w:pPr>
        <w:spacing w:after="0" w:line="18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b w:val="1"/>
          <w:bCs w:val="1"/>
          <w:color w:val="auto"/>
        </w:rPr>
        <w:t>Opinion of Counsel</w:t>
      </w:r>
      <w:r>
        <w:rPr>
          <w:rFonts w:ascii="Arial" w:cs="Arial" w:eastAsia="Arial" w:hAnsi="Arial"/>
          <w:sz w:val="18"/>
          <w:szCs w:val="18"/>
          <w:color w:val="auto"/>
        </w:rPr>
        <w:t>. The Banks shall have received favorable legal opinions from the General Counsel - Securities &amp; Governance of the Company and the Guarantor addressed to the Banks, dated the Effective Date, in form and substance satisfactory to the Administrative Agent, and a favorable legal opinion of Haynes and Boone, LLP, special New York counsel to the Administrative Agent, dated the Effective Date, as to the validity and binding effect of this Agreement.</w:t>
      </w:r>
    </w:p>
    <w:p>
      <w:pPr>
        <w:spacing w:after="0" w:line="18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color w:val="auto"/>
        </w:rPr>
        <w:t>Satisfactory Financial Condition</w:t>
      </w:r>
      <w:r>
        <w:rPr>
          <w:rFonts w:ascii="Arial" w:cs="Arial" w:eastAsia="Arial" w:hAnsi="Arial"/>
          <w:sz w:val="16"/>
          <w:szCs w:val="16"/>
          <w:color w:val="auto"/>
        </w:rPr>
        <w:t xml:space="preserve">. Other than as disclosed in the Disclosure Documents, no material adverse change shall have occurred in the financial condition, results of operations, business, properties or prospects of the Company and its Subsidiaries, taken as a whole, since the Balance Sheet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effects of the COVID-19 pandemic, as described in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Form 10-Q for the fiscal quarter ended March 31, 2020, shall be disregarded for purposes of determining a Material Adverse Effect under </w:t>
      </w:r>
      <w:r>
        <w:rPr>
          <w:rFonts w:ascii="Arial" w:cs="Arial" w:eastAsia="Arial" w:hAnsi="Arial"/>
          <w:sz w:val="16"/>
          <w:szCs w:val="16"/>
          <w:b w:val="1"/>
          <w:bCs w:val="1"/>
          <w:i w:val="1"/>
          <w:iCs w:val="1"/>
          <w:color w:val="auto"/>
        </w:rPr>
        <w:t>clause (a)</w:t>
      </w:r>
      <w:r>
        <w:rPr>
          <w:rFonts w:ascii="Arial" w:cs="Arial" w:eastAsia="Arial" w:hAnsi="Arial"/>
          <w:sz w:val="16"/>
          <w:szCs w:val="16"/>
          <w:color w:val="auto"/>
        </w:rPr>
        <w:t xml:space="preserve"> of such definition.</w:t>
      </w:r>
    </w:p>
    <w:p>
      <w:pPr>
        <w:spacing w:after="0" w:line="1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b w:val="1"/>
          <w:bCs w:val="1"/>
          <w:color w:val="auto"/>
        </w:rPr>
        <w:t>Payment of Closing Fees</w:t>
      </w:r>
      <w:r>
        <w:rPr>
          <w:rFonts w:ascii="Arial" w:cs="Arial" w:eastAsia="Arial" w:hAnsi="Arial"/>
          <w:sz w:val="16"/>
          <w:szCs w:val="16"/>
          <w:color w:val="auto"/>
        </w:rPr>
        <w:t>. The Company shall have paid the agreed-upon closing fees to the Administrative Agent and Banks.</w:t>
      </w:r>
    </w:p>
    <w:p>
      <w:pPr>
        <w:spacing w:after="0" w:line="200" w:lineRule="exact"/>
        <w:rPr>
          <w:sz w:val="20"/>
          <w:szCs w:val="20"/>
          <w:color w:val="auto"/>
        </w:rPr>
      </w:pPr>
    </w:p>
    <w:p>
      <w:pPr>
        <w:spacing w:after="0" w:line="24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6"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b w:val="1"/>
          <w:bCs w:val="1"/>
          <w:color w:val="auto"/>
        </w:rPr>
        <w:t>Closing Certificate</w:t>
      </w:r>
      <w:r>
        <w:rPr>
          <w:rFonts w:ascii="Arial" w:cs="Arial" w:eastAsia="Arial" w:hAnsi="Arial"/>
          <w:sz w:val="18"/>
          <w:szCs w:val="18"/>
          <w:color w:val="auto"/>
        </w:rPr>
        <w:t>. The Company shall have delivered to the Administrative Agent a certificate, dated as of the Effective Date, stating that, as of such date (a) the representations and warranties set forth herein and in the other Loan Documents are true and correct, and (b) no Default or Event of Default has occurred and is continuing.</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b w:val="1"/>
          <w:bCs w:val="1"/>
          <w:color w:val="auto"/>
        </w:rPr>
        <w:t>USA PATRIOT ACT/KYC Information</w:t>
      </w:r>
      <w:r>
        <w:rPr>
          <w:rFonts w:ascii="Arial" w:cs="Arial" w:eastAsia="Arial" w:hAnsi="Arial"/>
          <w:sz w:val="17"/>
          <w:szCs w:val="17"/>
          <w:color w:val="auto"/>
        </w:rPr>
        <w:t>.</w:t>
      </w:r>
    </w:p>
    <w:p>
      <w:pPr>
        <w:spacing w:after="0" w:line="229" w:lineRule="exact"/>
        <w:rPr>
          <w:sz w:val="20"/>
          <w:szCs w:val="20"/>
          <w:color w:val="auto"/>
        </w:rPr>
      </w:pPr>
    </w:p>
    <w:p>
      <w:pPr>
        <w:jc w:val="both"/>
        <w:ind w:left="660" w:firstLine="644"/>
        <w:spacing w:after="0" w:line="259" w:lineRule="auto"/>
        <w:tabs>
          <w:tab w:leader="none" w:pos="1979"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reasonable request of any Bank made at least ten days prior to the Effective Date, the Company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and the Canadian AML Acts, in each case at least five days prior to the Effective Date.</w:t>
      </w:r>
    </w:p>
    <w:p>
      <w:pPr>
        <w:spacing w:after="0" w:line="186" w:lineRule="exact"/>
        <w:rPr>
          <w:rFonts w:ascii="Arial" w:cs="Arial" w:eastAsia="Arial" w:hAnsi="Arial"/>
          <w:sz w:val="18"/>
          <w:szCs w:val="18"/>
          <w:color w:val="auto"/>
        </w:rPr>
      </w:pPr>
    </w:p>
    <w:p>
      <w:pPr>
        <w:ind w:left="660" w:firstLine="644"/>
        <w:spacing w:after="0" w:line="308" w:lineRule="auto"/>
        <w:tabs>
          <w:tab w:leader="none" w:pos="21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least five days prior to the Effective Date, if the Company qualifies as a “legal entity customer” under the Beneficial Ownership Regulation it shall deliver, to each Bank that so requests, a Beneficial Ownership Certification in relation to the Company.</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b w:val="1"/>
          <w:bCs w:val="1"/>
          <w:i w:val="1"/>
          <w:iCs w:val="1"/>
          <w:color w:val="auto"/>
        </w:rPr>
        <w:t>Section 15.2</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b w:val="1"/>
          <w:bCs w:val="1"/>
          <w:i w:val="1"/>
          <w:iCs w:val="1"/>
          <w:color w:val="auto"/>
        </w:rPr>
        <w:t>Section 10</w:t>
      </w:r>
      <w:r>
        <w:rPr>
          <w:rFonts w:ascii="Arial" w:cs="Arial" w:eastAsia="Arial" w:hAnsi="Arial"/>
          <w:sz w:val="17"/>
          <w:szCs w:val="17"/>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67" w:lineRule="exact"/>
        <w:rPr>
          <w:sz w:val="20"/>
          <w:szCs w:val="20"/>
          <w:color w:val="auto"/>
        </w:rPr>
      </w:pPr>
    </w:p>
    <w:p>
      <w:pPr>
        <w:ind w:firstLine="8"/>
        <w:spacing w:after="0" w:line="282" w:lineRule="auto"/>
        <w:tabs>
          <w:tab w:leader="none" w:pos="871"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CONDITIONS TO ALL LOANS</w:t>
      </w:r>
      <w:r>
        <w:rPr>
          <w:rFonts w:ascii="Arial" w:cs="Arial" w:eastAsia="Arial" w:hAnsi="Arial"/>
          <w:sz w:val="18"/>
          <w:szCs w:val="18"/>
          <w:color w:val="auto"/>
        </w:rPr>
        <w:t>. The obligations of the Banks to make or continue for an additional Interest Period in accordance with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Section 2.4 </w:t>
      </w:r>
      <w:r>
        <w:rPr>
          <w:rFonts w:ascii="Arial" w:cs="Arial" w:eastAsia="Arial" w:hAnsi="Arial"/>
          <w:sz w:val="18"/>
          <w:szCs w:val="18"/>
          <w:color w:val="auto"/>
        </w:rPr>
        <w:t>any Loan at the time of and subsequent to the Effective Date is subject to the following conditions precedent: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Representations True</w:t>
      </w:r>
      <w:r>
        <w:rPr>
          <w:rFonts w:ascii="Arial" w:cs="Arial" w:eastAsia="Arial" w:hAnsi="Arial"/>
          <w:sz w:val="18"/>
          <w:szCs w:val="18"/>
          <w:color w:val="auto"/>
        </w:rPr>
        <w:t xml:space="preserve">. The Company shall have certified to the Administrative Agent and the Banks that each of the representations and warranties of the Company and the Guarantor (as applicable) contained in this Agreement or in any document or instrument delivered pursuant to or in connection with this Agreement, other than the representation and warranty in </w:t>
      </w:r>
      <w:r>
        <w:rPr>
          <w:rFonts w:ascii="Arial" w:cs="Arial" w:eastAsia="Arial" w:hAnsi="Arial"/>
          <w:sz w:val="18"/>
          <w:szCs w:val="18"/>
          <w:b w:val="1"/>
          <w:bCs w:val="1"/>
          <w:i w:val="1"/>
          <w:iCs w:val="1"/>
          <w:color w:val="auto"/>
        </w:rPr>
        <w:t>Section 6.5</w:t>
      </w:r>
      <w:r>
        <w:rPr>
          <w:rFonts w:ascii="Arial" w:cs="Arial" w:eastAsia="Arial" w:hAnsi="Arial"/>
          <w:sz w:val="18"/>
          <w:szCs w:val="18"/>
          <w:color w:val="auto"/>
        </w:rPr>
        <w:t xml:space="preserve"> hereof, is true as of the date as of which they were made and shall also be true at and as of the time of the making of such Loan,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Performance; No Event of Default</w:t>
      </w:r>
      <w:r>
        <w:rPr>
          <w:rFonts w:ascii="Arial" w:cs="Arial" w:eastAsia="Arial" w:hAnsi="Arial"/>
          <w:sz w:val="17"/>
          <w:szCs w:val="17"/>
          <w:color w:val="auto"/>
        </w:rPr>
        <w:t xml:space="preserve">. The Company shall have performed and complied with all terms and conditions herein required to be performed or complied with by it prior to or at the time of the making of any Loan, and at the time of the making of any Loan there shall exist no Default or Event of Default or condition which would result in a Default or an Event of Default upon consummation of such Loan. Each request for a Loan shall constitute certification by the Company that the condition specified in this </w:t>
      </w:r>
      <w:r>
        <w:rPr>
          <w:rFonts w:ascii="Arial" w:cs="Arial" w:eastAsia="Arial" w:hAnsi="Arial"/>
          <w:sz w:val="17"/>
          <w:szCs w:val="17"/>
          <w:b w:val="1"/>
          <w:bCs w:val="1"/>
          <w:i w:val="1"/>
          <w:iCs w:val="1"/>
          <w:color w:val="auto"/>
        </w:rPr>
        <w:t>Section 11.2</w:t>
      </w:r>
      <w:r>
        <w:rPr>
          <w:rFonts w:ascii="Arial" w:cs="Arial" w:eastAsia="Arial" w:hAnsi="Arial"/>
          <w:sz w:val="17"/>
          <w:szCs w:val="17"/>
          <w:color w:val="auto"/>
        </w:rPr>
        <w:t xml:space="preserve"> will be duly satisfied on the date of such Loan.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Proceedings and Documents</w:t>
      </w:r>
      <w:r>
        <w:rPr>
          <w:rFonts w:ascii="Arial" w:cs="Arial" w:eastAsia="Arial" w:hAnsi="Arial"/>
          <w:sz w:val="18"/>
          <w:szCs w:val="18"/>
          <w:color w:val="auto"/>
        </w:rPr>
        <w:t>. All proceedings in connection with the transactions contemplated by this Agreement shall have been taken and all documents incident thereto shall have been delivered to the Banks as of the date of the making of any extension of credit in substance and in form satisfactory to the Banks, including without limitation a Loan Notice and the Banks shall have received all information and such counterpart originals or certified or other copies of such documents as the Banks may reasonably request.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80" w:hanging="672"/>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EVENTS OF DEFAULT; ACCELERATION; TERMINATION OF COMMITMENT</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Events of Default and Acceleration</w:t>
      </w:r>
      <w:r>
        <w:rPr>
          <w:rFonts w:ascii="Arial" w:cs="Arial" w:eastAsia="Arial" w:hAnsi="Arial"/>
          <w:sz w:val="18"/>
          <w:szCs w:val="18"/>
          <w:color w:val="auto"/>
        </w:rPr>
        <w:t>. If any of the following events (“</w:t>
      </w: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 or, if the giving of notice or the lapse of time or both is required, then, prior to such notice and/or lapse of time, “</w:t>
      </w:r>
      <w:r>
        <w:rPr>
          <w:rFonts w:ascii="Arial" w:cs="Arial" w:eastAsia="Arial" w:hAnsi="Arial"/>
          <w:sz w:val="18"/>
          <w:szCs w:val="18"/>
          <w:b w:val="1"/>
          <w:bCs w:val="1"/>
          <w:i w:val="1"/>
          <w:iCs w:val="1"/>
          <w:color w:val="auto"/>
        </w:rPr>
        <w:t>Defaults</w:t>
      </w:r>
      <w:r>
        <w:rPr>
          <w:rFonts w:ascii="Arial" w:cs="Arial" w:eastAsia="Arial" w:hAnsi="Arial"/>
          <w:sz w:val="18"/>
          <w:szCs w:val="18"/>
          <w:color w:val="auto"/>
        </w:rPr>
        <w:t>”) shall occur:</w:t>
      </w:r>
    </w:p>
    <w:p>
      <w:pPr>
        <w:spacing w:after="0" w:line="166" w:lineRule="exact"/>
        <w:rPr>
          <w:sz w:val="20"/>
          <w:szCs w:val="20"/>
          <w:color w:val="auto"/>
        </w:rPr>
      </w:pPr>
    </w:p>
    <w:p>
      <w:pPr>
        <w:ind w:left="660" w:firstLine="644"/>
        <w:spacing w:after="0" w:line="277" w:lineRule="auto"/>
        <w:tabs>
          <w:tab w:leader="none" w:pos="20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shall fail to pay any principal of the Loans when the same shall become due and payable, whether at the stated date of maturity or any accelerated date of maturity or at any other date fixed for payment;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2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the Company shall fail to pay any interest or fees or other amounts owing hereunder (other than those specified in </w:t>
      </w:r>
      <w:r>
        <w:rPr>
          <w:rFonts w:ascii="Arial" w:cs="Arial" w:eastAsia="Arial" w:hAnsi="Arial"/>
          <w:sz w:val="18"/>
          <w:szCs w:val="18"/>
          <w:b w:val="1"/>
          <w:bCs w:val="1"/>
          <w:i w:val="1"/>
          <w:iCs w:val="1"/>
          <w:color w:val="auto"/>
        </w:rPr>
        <w:t xml:space="preserve">subsection (a) </w:t>
      </w:r>
      <w:r>
        <w:rPr>
          <w:rFonts w:ascii="Arial" w:cs="Arial" w:eastAsia="Arial" w:hAnsi="Arial"/>
          <w:sz w:val="18"/>
          <w:szCs w:val="18"/>
          <w:color w:val="auto"/>
        </w:rPr>
        <w:t>above) within five Business Days after the same shall become due and payable whether at the Maturity Date, the Term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Date or any accelerated date of maturity or at any other date fixed for payment;</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the Company shall fail to comply with any of the covenants contained in </w:t>
      </w:r>
      <w:r>
        <w:rPr>
          <w:rFonts w:ascii="Arial" w:cs="Arial" w:eastAsia="Arial" w:hAnsi="Arial"/>
          <w:sz w:val="17"/>
          <w:szCs w:val="17"/>
          <w:b w:val="1"/>
          <w:bCs w:val="1"/>
          <w:i w:val="1"/>
          <w:iCs w:val="1"/>
          <w:color w:val="auto"/>
        </w:rPr>
        <w:t>Sections 7.4</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7.5</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7.15</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7.16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8</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9</w:t>
      </w:r>
      <w:r>
        <w:rPr>
          <w:rFonts w:ascii="Arial" w:cs="Arial" w:eastAsia="Arial" w:hAnsi="Arial"/>
          <w:sz w:val="17"/>
          <w:szCs w:val="17"/>
          <w:color w:val="auto"/>
        </w:rPr>
        <w:t xml:space="preserve"> hereof;</w:t>
      </w:r>
    </w:p>
    <w:p>
      <w:pPr>
        <w:spacing w:after="0" w:line="236" w:lineRule="exact"/>
        <w:rPr>
          <w:rFonts w:ascii="Arial" w:cs="Arial" w:eastAsia="Arial" w:hAnsi="Arial"/>
          <w:sz w:val="17"/>
          <w:szCs w:val="17"/>
          <w:color w:val="auto"/>
        </w:rPr>
      </w:pPr>
    </w:p>
    <w:p>
      <w:pPr>
        <w:jc w:val="both"/>
        <w:ind w:left="660" w:firstLine="644"/>
        <w:spacing w:after="0" w:line="263" w:lineRule="auto"/>
        <w:tabs>
          <w:tab w:leader="none" w:pos="20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the Company shall fail to perform any term, covenant or agreement contained herein or in any of the other Loan Documents (other than those specified in </w:t>
      </w:r>
      <w:r>
        <w:rPr>
          <w:rFonts w:ascii="Arial" w:cs="Arial" w:eastAsia="Arial" w:hAnsi="Arial"/>
          <w:sz w:val="18"/>
          <w:szCs w:val="18"/>
          <w:b w:val="1"/>
          <w:bCs w:val="1"/>
          <w:i w:val="1"/>
          <w:iCs w:val="1"/>
          <w:color w:val="auto"/>
        </w:rPr>
        <w:t>subsections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above) and such failure shall not be remedied within 30 days after written notice of such failure shall have been given to the Company by the Administrative Agent or any of the Banks;</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1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20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or any of its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92" w:lineRule="exact"/>
        <w:rPr>
          <w:rFonts w:ascii="Arial" w:cs="Arial" w:eastAsia="Arial" w:hAnsi="Arial"/>
          <w:sz w:val="18"/>
          <w:szCs w:val="18"/>
          <w:color w:val="auto"/>
        </w:rPr>
      </w:pPr>
    </w:p>
    <w:p>
      <w:pPr>
        <w:jc w:val="both"/>
        <w:ind w:left="660" w:firstLine="644"/>
        <w:spacing w:after="0" w:line="287" w:lineRule="auto"/>
        <w:tabs>
          <w:tab w:leader="none" w:pos="19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the Company, the Guarantor or any Significant Subsidiary, or of any substantial part of the assets of the Company, the Guarantor or any Significant Subsidiary or commences any case or other proceeding relating to the Company,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Company, the Guarantor or any Significant Subsidiary or the Company, the Guarantor or any Significant Subsidiary indicates its approval thereof, consent thereto or acquiescence therein;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660" w:firstLine="644"/>
        <w:spacing w:after="0" w:line="259" w:lineRule="auto"/>
        <w:tabs>
          <w:tab w:leader="none" w:pos="20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the Company or the Guarantor or any Significant Subsidiary bankrupt or insolvent, or approving a petition in any such case or other proceeding, or a decree or order for relief is entered in respect of the Company or the Guarantor or any Significant Subsidiary in an involuntary case under federal bankruptcy laws of any jurisdiction as now or hereafter constituted;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9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the Company or any Subsidiary which, with other outstanding final judgments against the Company or its Subsidiaries, exceeds in the aggregate $200,000,000 after taking into account any undisputed insurance coverage;</w:t>
      </w:r>
    </w:p>
    <w:p>
      <w:pPr>
        <w:spacing w:after="0" w:line="183" w:lineRule="exact"/>
        <w:rPr>
          <w:rFonts w:ascii="Arial" w:cs="Arial" w:eastAsia="Arial" w:hAnsi="Arial"/>
          <w:sz w:val="18"/>
          <w:szCs w:val="18"/>
          <w:color w:val="auto"/>
        </w:rPr>
      </w:pPr>
    </w:p>
    <w:p>
      <w:pPr>
        <w:jc w:val="both"/>
        <w:ind w:left="660" w:firstLine="644"/>
        <w:spacing w:after="0" w:line="301" w:lineRule="auto"/>
        <w:tabs>
          <w:tab w:leader="none" w:pos="207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the Company or any Subsidiary or (ii) any event, condition or circumstances, including any failure by any Loan Party or any Subsidiary to perform its obligations under a Canadian Pension Plan in respect of all Canadian Pension Plans;</w:t>
      </w:r>
    </w:p>
    <w:p>
      <w:pPr>
        <w:spacing w:after="0" w:line="157" w:lineRule="exact"/>
        <w:rPr>
          <w:rFonts w:ascii="Arial" w:cs="Arial" w:eastAsia="Arial" w:hAnsi="Arial"/>
          <w:sz w:val="16"/>
          <w:szCs w:val="16"/>
          <w:color w:val="auto"/>
        </w:rPr>
      </w:pPr>
    </w:p>
    <w:p>
      <w:pPr>
        <w:jc w:val="both"/>
        <w:ind w:left="660" w:firstLine="644"/>
        <w:spacing w:after="0" w:line="255" w:lineRule="auto"/>
        <w:tabs>
          <w:tab w:leader="none" w:pos="20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Company,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192" w:lineRule="exact"/>
        <w:rPr>
          <w:rFonts w:ascii="Arial" w:cs="Arial" w:eastAsia="Arial" w:hAnsi="Arial"/>
          <w:sz w:val="18"/>
          <w:szCs w:val="18"/>
          <w:color w:val="auto"/>
        </w:rPr>
      </w:pPr>
    </w:p>
    <w:p>
      <w:pPr>
        <w:jc w:val="both"/>
        <w:ind w:left="660" w:firstLine="644"/>
        <w:spacing w:after="0" w:line="272" w:lineRule="auto"/>
        <w:tabs>
          <w:tab w:leader="none" w:pos="2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if any person or group of persons (within the meaning of </w:t>
      </w:r>
      <w:r>
        <w:rPr>
          <w:rFonts w:ascii="Arial" w:cs="Arial" w:eastAsia="Arial" w:hAnsi="Arial"/>
          <w:sz w:val="17"/>
          <w:szCs w:val="17"/>
          <w:b w:val="1"/>
          <w:bCs w:val="1"/>
          <w:i w:val="1"/>
          <w:iCs w:val="1"/>
          <w:color w:val="auto"/>
        </w:rPr>
        <w:t>Section 13</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14</w:t>
      </w:r>
      <w:r>
        <w:rPr>
          <w:rFonts w:ascii="Arial" w:cs="Arial" w:eastAsia="Arial" w:hAnsi="Arial"/>
          <w:sz w:val="17"/>
          <w:szCs w:val="17"/>
          <w:color w:val="auto"/>
        </w:rPr>
        <w:t xml:space="preserve"> of the Securities Exchange Act of 1934, as amended) shall have acquired beneficial ownership (within the meaning of Rule 13d-3 promulgated by the Securities and Exchange Commission under said Act) of 30% or more of the outstanding shares of common voting stock of the Company; or during any period of twelve consecutive calendar months, individuals who were directors of the Company on the first day of such period (together with any new directors whose election by such board or whose nomination for election by the shareholders of the Company was approved by a vote of a majority of the directors still in office who were either directors at the beginning of such period or whose election or nomination for election was previously so approved) shall cease to constitute a majority of the board of directors of the Company; or</w:t>
      </w:r>
    </w:p>
    <w:p>
      <w:pPr>
        <w:spacing w:after="0" w:line="177" w:lineRule="exact"/>
        <w:rPr>
          <w:rFonts w:ascii="Arial" w:cs="Arial" w:eastAsia="Arial" w:hAnsi="Arial"/>
          <w:sz w:val="17"/>
          <w:szCs w:val="17"/>
          <w:color w:val="auto"/>
        </w:rPr>
      </w:pPr>
    </w:p>
    <w:p>
      <w:pPr>
        <w:ind w:left="660" w:right="20" w:firstLine="644"/>
        <w:spacing w:after="0" w:line="277" w:lineRule="auto"/>
        <w:tabs>
          <w:tab w:leader="none" w:pos="21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either Waste Management of Canada Corporation, a Nova Scotia unlimited company, or WM Quebec Inc., a corporation incorporated under the laws of Canada, ceases to be a directly or indirectly wholly-owned Subsidiary of the Company;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then, and in any such event, so long as the same may be continuing, the Administrative Agent may, and upon the request of the Majority Banks shall, by notice in writing to the Company, declare all amounts owing with respect to this Agreement and the other Loan Documents to be, and they shall thereupon forthwith become, immediately due and payable without presentment, demand, protest, notice of intent to accelerate, notice of acceleration to the extent permitted by law or other notice of any kind, all of which are hereby expressly waived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of any Event of Default specified in </w:t>
      </w:r>
      <w:r>
        <w:rPr>
          <w:rFonts w:ascii="Arial" w:cs="Arial" w:eastAsia="Arial" w:hAnsi="Arial"/>
          <w:sz w:val="17"/>
          <w:szCs w:val="17"/>
          <w:b w:val="1"/>
          <w:bCs w:val="1"/>
          <w:i w:val="1"/>
          <w:iCs w:val="1"/>
          <w:color w:val="auto"/>
        </w:rPr>
        <w:t>Section 12.1(g)</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12.1(h)</w:t>
      </w:r>
      <w:r>
        <w:rPr>
          <w:rFonts w:ascii="Arial" w:cs="Arial" w:eastAsia="Arial" w:hAnsi="Arial"/>
          <w:sz w:val="17"/>
          <w:szCs w:val="17"/>
          <w:color w:val="auto"/>
        </w:rPr>
        <w:t xml:space="preserve"> with respect to the Company or the Guarantor, all such amounts shall become immediately due and payable automatically and without any requirement of notice from the Administrative Agent or any Bank.</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9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Termination of Commitments</w:t>
      </w:r>
      <w:r>
        <w:rPr>
          <w:rFonts w:ascii="Arial" w:cs="Arial" w:eastAsia="Arial" w:hAnsi="Arial"/>
          <w:sz w:val="16"/>
          <w:szCs w:val="16"/>
          <w:color w:val="auto"/>
        </w:rPr>
        <w:t xml:space="preserve">. If any Event of Default pursuant to </w:t>
      </w:r>
      <w:r>
        <w:rPr>
          <w:rFonts w:ascii="Arial" w:cs="Arial" w:eastAsia="Arial" w:hAnsi="Arial"/>
          <w:sz w:val="16"/>
          <w:szCs w:val="16"/>
          <w:b w:val="1"/>
          <w:bCs w:val="1"/>
          <w:i w:val="1"/>
          <w:iCs w:val="1"/>
          <w:color w:val="auto"/>
        </w:rPr>
        <w:t>Section 12.1(g)</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12.1(h)</w:t>
      </w:r>
      <w:r>
        <w:rPr>
          <w:rFonts w:ascii="Arial" w:cs="Arial" w:eastAsia="Arial" w:hAnsi="Arial"/>
          <w:sz w:val="16"/>
          <w:szCs w:val="16"/>
          <w:color w:val="auto"/>
        </w:rPr>
        <w:t xml:space="preserve"> hereof shall occur with respect to the Company or the Guarantor, any unused portion of the Total Commitment hereunder shall forthwith terminate and the Banks shall be relieved of all obligations to make Loans hereunder; or if any other Event of Default shall occur, the Majority Banks may by notice to the Company terminate the unused portion of the Total Commitment hereunder, and, upon such notice being given, such unused portion of the Total Commitment hereunder shall terminate immediately and the Banks shall be relieved of all further obligations to make Loans hereunder. No termination of any portion of the Total Commitment hereunder shall relieve the Company of any of its existing Obligations to the Banks, or the Administrative Agent hereunder or elsewhere.</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Remedies</w:t>
      </w:r>
      <w:r>
        <w:rPr>
          <w:rFonts w:ascii="Arial" w:cs="Arial" w:eastAsia="Arial" w:hAnsi="Arial"/>
          <w:sz w:val="17"/>
          <w:szCs w:val="17"/>
          <w:color w:val="auto"/>
        </w:rPr>
        <w:t xml:space="preserve">. In case any one or more of the Events of Default shall have occurred and be continuing, and whether or not the Banks shall have accelerated the maturity of the Loans and other Obligations pursuant to </w:t>
      </w:r>
      <w:r>
        <w:rPr>
          <w:rFonts w:ascii="Arial" w:cs="Arial" w:eastAsia="Arial" w:hAnsi="Arial"/>
          <w:sz w:val="17"/>
          <w:szCs w:val="17"/>
          <w:b w:val="1"/>
          <w:bCs w:val="1"/>
          <w:i w:val="1"/>
          <w:iCs w:val="1"/>
          <w:color w:val="auto"/>
        </w:rPr>
        <w:t>Section 12.1</w:t>
      </w:r>
      <w:r>
        <w:rPr>
          <w:rFonts w:ascii="Arial" w:cs="Arial" w:eastAsia="Arial" w:hAnsi="Arial"/>
          <w:sz w:val="17"/>
          <w:szCs w:val="17"/>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Arial" w:cs="Arial" w:eastAsia="Arial" w:hAnsi="Arial"/>
          <w:sz w:val="17"/>
          <w:szCs w:val="17"/>
          <w:b w:val="1"/>
          <w:bCs w:val="1"/>
          <w:i w:val="1"/>
          <w:iCs w:val="1"/>
          <w:color w:val="auto"/>
        </w:rPr>
        <w:t>Section 12.4</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Section 29</w:t>
      </w:r>
      <w:r>
        <w:rPr>
          <w:rFonts w:ascii="Arial" w:cs="Arial" w:eastAsia="Arial" w:hAnsi="Arial"/>
          <w:sz w:val="17"/>
          <w:szCs w:val="17"/>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Application of Receipts</w:t>
      </w:r>
      <w:r>
        <w:rPr>
          <w:rFonts w:ascii="Arial" w:cs="Arial" w:eastAsia="Arial" w:hAnsi="Arial"/>
          <w:sz w:val="18"/>
          <w:szCs w:val="18"/>
          <w:color w:val="auto"/>
        </w:rPr>
        <w:t xml:space="preserve">. After the exercise of remedies provided for in </w:t>
      </w:r>
      <w:r>
        <w:rPr>
          <w:rFonts w:ascii="Arial" w:cs="Arial" w:eastAsia="Arial" w:hAnsi="Arial"/>
          <w:sz w:val="18"/>
          <w:szCs w:val="18"/>
          <w:b w:val="1"/>
          <w:bCs w:val="1"/>
          <w:i w:val="1"/>
          <w:iCs w:val="1"/>
          <w:color w:val="auto"/>
        </w:rPr>
        <w:t>Section 12.3</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b w:val="1"/>
          <w:bCs w:val="1"/>
          <w:i w:val="1"/>
          <w:iCs w:val="1"/>
          <w:color w:val="auto"/>
        </w:rPr>
        <w:t>Section 12.1</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b w:val="1"/>
          <w:bCs w:val="1"/>
          <w:i w:val="1"/>
          <w:iCs w:val="1"/>
          <w:color w:val="auto"/>
        </w:rPr>
        <w:t>Section 2.17</w:t>
      </w:r>
      <w:r>
        <w:rPr>
          <w:rFonts w:ascii="Arial" w:cs="Arial" w:eastAsia="Arial" w:hAnsi="Arial"/>
          <w:sz w:val="18"/>
          <w:szCs w:val="18"/>
          <w:color w:val="auto"/>
        </w:rPr>
        <w:t>, be applied by the Administrative Agent in the following order:</w:t>
      </w:r>
    </w:p>
    <w:p>
      <w:pPr>
        <w:spacing w:after="0" w:line="18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payment of that portion of the Obligations constituting fees, indemnities, expenses and other amounts (including fees, charges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disbursements of counsel to the Administrative Agent and amounts payable under </w:t>
      </w:r>
      <w:r>
        <w:rPr>
          <w:rFonts w:ascii="Arial" w:cs="Arial" w:eastAsia="Arial" w:hAnsi="Arial"/>
          <w:sz w:val="16"/>
          <w:szCs w:val="16"/>
          <w:b w:val="1"/>
          <w:bCs w:val="1"/>
          <w:i w:val="1"/>
          <w:iCs w:val="1"/>
          <w:color w:val="auto"/>
        </w:rPr>
        <w:t>Section 3</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and other amounts (other than principal, and interest)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Banks (including fees, charges and disbursements of counsel to the respective Banks and amounts payable under </w:t>
      </w:r>
      <w:r>
        <w:rPr>
          <w:rFonts w:ascii="Arial" w:cs="Arial" w:eastAsia="Arial" w:hAnsi="Arial"/>
          <w:sz w:val="18"/>
          <w:szCs w:val="18"/>
          <w:b w:val="1"/>
          <w:bCs w:val="1"/>
          <w:i w:val="1"/>
          <w:iCs w:val="1"/>
          <w:color w:val="auto"/>
        </w:rPr>
        <w:t>Section 3</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b w:val="1"/>
          <w:bCs w:val="1"/>
          <w:i w:val="1"/>
          <w:iCs w:val="1"/>
          <w:color w:val="auto"/>
        </w:rPr>
        <w:t>clause Second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interest on the Loans and other Obligations, ratably among the Banks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proportion to the respective amounts described in this </w:t>
      </w:r>
      <w:r>
        <w:rPr>
          <w:rFonts w:ascii="Arial" w:cs="Arial" w:eastAsia="Arial" w:hAnsi="Arial"/>
          <w:sz w:val="18"/>
          <w:szCs w:val="18"/>
          <w:b w:val="1"/>
          <w:bCs w:val="1"/>
          <w:i w:val="1"/>
          <w:iCs w:val="1"/>
          <w:color w:val="auto"/>
        </w:rPr>
        <w:t>clause Third</w:t>
      </w:r>
      <w:r>
        <w:rPr>
          <w:rFonts w:ascii="Arial" w:cs="Arial" w:eastAsia="Arial" w:hAnsi="Arial"/>
          <w:sz w:val="18"/>
          <w:szCs w:val="18"/>
          <w:color w:val="auto"/>
        </w:rPr>
        <w:t xml:space="preserve"> payable to them;</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right="20" w:firstLine="648"/>
        <w:spacing w:after="0" w:line="277"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ratably among the Banks in proportion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 amounts described in this </w:t>
      </w:r>
      <w:r>
        <w:rPr>
          <w:rFonts w:ascii="Arial" w:cs="Arial" w:eastAsia="Arial" w:hAnsi="Arial"/>
          <w:sz w:val="18"/>
          <w:szCs w:val="18"/>
          <w:b w:val="1"/>
          <w:bCs w:val="1"/>
          <w:i w:val="1"/>
          <w:iCs w:val="1"/>
          <w:color w:val="auto"/>
        </w:rPr>
        <w:t>clause Fourth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Last</w:t>
      </w:r>
      <w:r>
        <w:rPr>
          <w:rFonts w:ascii="Arial" w:cs="Arial" w:eastAsia="Arial" w:hAnsi="Arial"/>
          <w:sz w:val="16"/>
          <w:szCs w:val="16"/>
          <w:color w:val="auto"/>
        </w:rPr>
        <w:t>, the balance, if any, after all of the Obligations have been indefeasibly paid in full, to the Company or as otherwise required by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jc w:val="both"/>
        <w:ind w:firstLine="8"/>
        <w:spacing w:after="0" w:line="255"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SETOFF</w:t>
      </w:r>
      <w:r>
        <w:rPr>
          <w:rFonts w:ascii="Arial" w:cs="Arial" w:eastAsia="Arial" w:hAnsi="Arial"/>
          <w:sz w:val="18"/>
          <w:szCs w:val="18"/>
          <w:color w:val="auto"/>
        </w:rPr>
        <w:t>. During the continuance of an Event of Default, any deposits or other sums credited by or due from any Bank to the Company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or other property of the Company in the possession of such Bank may be applied to or set off against the payment of the Obligations and any and all other liabilities, direct, or indirect, absolute or contingent, due or to become due, now existing or hereafter arising, of the Company to the Banks or the Administrative Agent. Any amounts set off with respect to the Obligations shall, except to the extent </w:t>
      </w:r>
      <w:r>
        <w:rPr>
          <w:rFonts w:ascii="Arial" w:cs="Arial" w:eastAsia="Arial" w:hAnsi="Arial"/>
          <w:sz w:val="18"/>
          <w:szCs w:val="18"/>
          <w:b w:val="1"/>
          <w:bCs w:val="1"/>
          <w:i w:val="1"/>
          <w:iCs w:val="1"/>
          <w:color w:val="auto"/>
        </w:rPr>
        <w:t>Section 2.17</w:t>
      </w:r>
      <w:r>
        <w:rPr>
          <w:rFonts w:ascii="Arial" w:cs="Arial" w:eastAsia="Arial" w:hAnsi="Arial"/>
          <w:sz w:val="18"/>
          <w:szCs w:val="18"/>
          <w:color w:val="auto"/>
        </w:rPr>
        <w:t xml:space="preserve"> applies, be distributed ratably in accordance with </w:t>
      </w:r>
      <w:r>
        <w:rPr>
          <w:rFonts w:ascii="Arial" w:cs="Arial" w:eastAsia="Arial" w:hAnsi="Arial"/>
          <w:sz w:val="18"/>
          <w:szCs w:val="18"/>
          <w:b w:val="1"/>
          <w:bCs w:val="1"/>
          <w:i w:val="1"/>
          <w:iCs w:val="1"/>
          <w:color w:val="auto"/>
        </w:rPr>
        <w:t>Section 29</w:t>
      </w:r>
      <w:r>
        <w:rPr>
          <w:rFonts w:ascii="Arial" w:cs="Arial" w:eastAsia="Arial" w:hAnsi="Arial"/>
          <w:sz w:val="18"/>
          <w:szCs w:val="18"/>
          <w:color w:val="auto"/>
        </w:rPr>
        <w:t xml:space="preserve"> among all of the Banks by the Bank setting off such amounts. If any Bank fails to share such setoff ratably, the Administrative Agent shall have the right to withhold such Bank’s share of the Company’s payments until each of the Banks shall have, in the aggregate, received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repayment.</w:t>
      </w:r>
    </w:p>
    <w:p>
      <w:pPr>
        <w:spacing w:after="0" w:line="188" w:lineRule="exact"/>
        <w:rPr>
          <w:rFonts w:ascii="Arial" w:cs="Arial" w:eastAsia="Arial" w:hAnsi="Arial"/>
          <w:sz w:val="18"/>
          <w:szCs w:val="18"/>
          <w:color w:val="auto"/>
        </w:rPr>
      </w:pPr>
    </w:p>
    <w:p>
      <w:pPr>
        <w:jc w:val="both"/>
        <w:ind w:firstLine="8"/>
        <w:spacing w:after="0" w:line="292" w:lineRule="auto"/>
        <w:tabs>
          <w:tab w:leader="none" w:pos="904"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Whether or not the transactions contemplated herein shall be consummated, the Company hereby promises to reimburse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Company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Company hereunder or under any other Loan Document, or in connection with any litigation, proceeding or dispute hereunder in any way related to the credit hereunder.</w:t>
      </w:r>
    </w:p>
    <w:p>
      <w:pPr>
        <w:spacing w:after="0" w:line="161" w:lineRule="exact"/>
        <w:rPr>
          <w:rFonts w:ascii="Arial" w:cs="Arial" w:eastAsia="Arial" w:hAnsi="Arial"/>
          <w:sz w:val="16"/>
          <w:szCs w:val="16"/>
          <w:color w:val="auto"/>
        </w:rPr>
      </w:pPr>
    </w:p>
    <w:p>
      <w:pPr>
        <w:ind w:left="680" w:hanging="672"/>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THE AGENTS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Authorization and Action</w:t>
      </w:r>
      <w:r>
        <w:rPr>
          <w:rFonts w:ascii="Arial" w:cs="Arial" w:eastAsia="Arial" w:hAnsi="Arial"/>
          <w:sz w:val="18"/>
          <w:szCs w:val="18"/>
          <w:color w:val="auto"/>
        </w:rPr>
        <w:t>. Each Bank hereby irrevocably appoints Mizuho Bank as Administrative Agent hereunder and authorizes Mizuho Bank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provided, however, that the Administrative Agent shall not be required to take any action which exposes the Administrative Agent to personal liability or which is contrary to this Agreement or the other Loan Documents or applicable law.</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Administrative Agent’s Reliance, Etc</w:t>
      </w:r>
      <w:r>
        <w:rPr>
          <w:rFonts w:ascii="Arial" w:cs="Arial" w:eastAsia="Arial" w:hAnsi="Arial"/>
          <w:sz w:val="16"/>
          <w:szCs w:val="16"/>
          <w:color w:val="auto"/>
        </w:rPr>
        <w:t xml:space="preserve">. Neither the Administrative Agent nor any of its directors, officers, agents or employees shall be liable to 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Company),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 Company or the Guarantor (or as to the contents of any certificate, report or other document delivered hereunder or thereunder) or to inspect the property (including the books and records) of the Company or the Guarantor or any of their Subsidiaries, and shall not be deemed to have knowledge or notice of any Default or Event of Default unless and until it shall have received, at its office specified in </w:t>
      </w:r>
      <w:r>
        <w:rPr>
          <w:rFonts w:ascii="Arial" w:cs="Arial" w:eastAsia="Arial" w:hAnsi="Arial"/>
          <w:sz w:val="16"/>
          <w:szCs w:val="16"/>
          <w:b w:val="1"/>
          <w:bCs w:val="1"/>
          <w:i w:val="1"/>
          <w:iCs w:val="1"/>
          <w:color w:val="auto"/>
        </w:rPr>
        <w:t>Section 22</w:t>
      </w:r>
      <w:r>
        <w:rPr>
          <w:rFonts w:ascii="Arial" w:cs="Arial" w:eastAsia="Arial" w:hAnsi="Arial"/>
          <w:sz w:val="16"/>
          <w:szCs w:val="16"/>
          <w:color w:val="auto"/>
        </w:rPr>
        <w:t>,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the Administrative Agent may presume that such condition is satisfactory to such Bank unless the Administrative Agent shall have received notice to the contrary from such Bank prior to the making of such Loan.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70"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color w:val="auto"/>
        </w:rPr>
        <w:t>Mizuho Bank and Affiliates</w:t>
      </w:r>
      <w:r>
        <w:rPr>
          <w:rFonts w:ascii="Arial" w:cs="Arial" w:eastAsia="Arial" w:hAnsi="Arial"/>
          <w:sz w:val="17"/>
          <w:szCs w:val="17"/>
          <w:color w:val="auto"/>
        </w:rPr>
        <w:t xml:space="preserve">. With respect to its Commitment, Mizuho Bank shall have the same rights and powers under this Agreement and under the other Loan Documents as any other Bank and may exercise the same as though it were not the Administrative Agent, and the term “Bank” or “Banks” shall, unless otherwise expressly indicated, include Mizuho Bank in its individual capacity. Mizuho Bank and its Bank Affiliates may accept deposits from, lend money to, act as trustee under indentures of, and generally engage in any kind of business with, the Company, the Guarantor, any of their Subsidiaries and any Person who may do business with or own securities of the Company, the Guarantor, or any such Subsidiary, all as if Mizuho Bank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exculpatory provisions of this Agreement (including the provisions in </w:t>
      </w:r>
      <w:r>
        <w:rPr>
          <w:rFonts w:ascii="Arial" w:cs="Arial" w:eastAsia="Arial" w:hAnsi="Arial"/>
          <w:sz w:val="17"/>
          <w:szCs w:val="17"/>
          <w:b w:val="1"/>
          <w:bCs w:val="1"/>
          <w:i w:val="1"/>
          <w:iCs w:val="1"/>
          <w:color w:val="auto"/>
        </w:rPr>
        <w:t>Section 15</w:t>
      </w:r>
      <w:r>
        <w:rPr>
          <w:rFonts w:ascii="Arial" w:cs="Arial" w:eastAsia="Arial" w:hAnsi="Arial"/>
          <w:sz w:val="17"/>
          <w:szCs w:val="17"/>
          <w:color w:val="auto"/>
        </w:rPr>
        <w:t>) shall apply to any such sub-agent.</w:t>
      </w:r>
    </w:p>
    <w:p>
      <w:pPr>
        <w:spacing w:after="0" w:line="17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color w:val="auto"/>
        </w:rPr>
        <w:t>Bank Credit Decision</w:t>
      </w:r>
      <w:r>
        <w:rPr>
          <w:rFonts w:ascii="Arial" w:cs="Arial" w:eastAsia="Arial" w:hAnsi="Arial"/>
          <w:sz w:val="16"/>
          <w:szCs w:val="16"/>
          <w:color w:val="auto"/>
        </w:rPr>
        <w:t xml:space="preserve">. Each Bank acknowledges that it has, independently and without reliance upon the Administrative Agent or any other Bank and based on the financial statements referred to in </w:t>
      </w:r>
      <w:r>
        <w:rPr>
          <w:rFonts w:ascii="Arial" w:cs="Arial" w:eastAsia="Arial" w:hAnsi="Arial"/>
          <w:sz w:val="16"/>
          <w:szCs w:val="16"/>
          <w:b w:val="1"/>
          <w:bCs w:val="1"/>
          <w:i w:val="1"/>
          <w:iCs w:val="1"/>
          <w:color w:val="auto"/>
        </w:rPr>
        <w:t>Section 6.4</w:t>
      </w:r>
      <w:r>
        <w:rPr>
          <w:rFonts w:ascii="Arial" w:cs="Arial" w:eastAsia="Arial" w:hAnsi="Arial"/>
          <w:sz w:val="16"/>
          <w:szCs w:val="16"/>
          <w:color w:val="auto"/>
        </w:rPr>
        <w:t xml:space="preserve"> 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15.5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The Banks agree to indemnify the Administrative Agent (to the extent not reimbursed by the Company), ratably according 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Company.</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7"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b w:val="1"/>
          <w:bCs w:val="1"/>
          <w:color w:val="auto"/>
        </w:rPr>
        <w:t>Successor Administrative Agent</w:t>
      </w:r>
      <w:r>
        <w:rPr>
          <w:rFonts w:ascii="Arial" w:cs="Arial" w:eastAsia="Arial" w:hAnsi="Arial"/>
          <w:sz w:val="17"/>
          <w:szCs w:val="17"/>
          <w:color w:val="auto"/>
        </w:rPr>
        <w:t xml:space="preserve">. The Administrative Agent may resign at any time by giving written notice thereof to the Banks and the Company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Company.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Administrative Agent shall notify the Company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Company may appoint a successor Administrative Agent to act until replaced by a successor Administrative Agent that is appointed by the Majority Banks (which successor Administrative Agent appointed by the Company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xml:space="preserve">). After any retiring Administrative Agent’s resignation or removal hereunder as Administrative Agent, the provisions of this </w:t>
      </w:r>
      <w:r>
        <w:rPr>
          <w:rFonts w:ascii="Arial" w:cs="Arial" w:eastAsia="Arial" w:hAnsi="Arial"/>
          <w:sz w:val="17"/>
          <w:szCs w:val="17"/>
          <w:b w:val="1"/>
          <w:bCs w:val="1"/>
          <w:i w:val="1"/>
          <w:iCs w:val="1"/>
          <w:color w:val="auto"/>
        </w:rPr>
        <w:t>Section 15</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Section 16</w:t>
      </w:r>
      <w:r>
        <w:rPr>
          <w:rFonts w:ascii="Arial" w:cs="Arial" w:eastAsia="Arial" w:hAnsi="Arial"/>
          <w:sz w:val="17"/>
          <w:szCs w:val="17"/>
          <w:color w:val="auto"/>
        </w:rPr>
        <w:t xml:space="preserve"> shall inure to its benefit as to any actions taken or omitted to be taken by it while it was Administrative Agent under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color w:val="auto"/>
        </w:rPr>
        <w:t>Lead Arrangers, Etc</w:t>
      </w:r>
      <w:r>
        <w:rPr>
          <w:rFonts w:ascii="Arial" w:cs="Arial" w:eastAsia="Arial" w:hAnsi="Arial"/>
          <w:sz w:val="18"/>
          <w:szCs w:val="18"/>
          <w:color w:val="auto"/>
        </w:rPr>
        <w:t>. The parties identified on the cover hereof as Lead Arrangers and Joint Bookrunners, Documentation Agents and Co-Documentation Agents shall have no obligations or liabilities under this Agreement and the other Loan Documents.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color w:val="auto"/>
        </w:rPr>
        <w:t>Documents</w:t>
      </w:r>
      <w:r>
        <w:rPr>
          <w:rFonts w:ascii="Arial" w:cs="Arial" w:eastAsia="Arial" w:hAnsi="Arial"/>
          <w:sz w:val="18"/>
          <w:szCs w:val="18"/>
          <w:color w:val="auto"/>
        </w:rPr>
        <w:t>. The Administrative Agent will forward to each Bank, promptly after receipt thereof, a copy of each notice or other document furnished to the Administrative Agent for such Bank hereunder.</w:t>
      </w:r>
    </w:p>
    <w:p>
      <w:pPr>
        <w:spacing w:after="0" w:line="38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tabs>
          <w:tab w:leader="none" w:pos="7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b w:val="1"/>
          <w:bCs w:val="1"/>
          <w:color w:val="auto"/>
        </w:rPr>
        <w:t>Action by the Banks, Consents, Amendments, Waivers, Etc</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70" w:lineRule="auto"/>
        <w:tabs>
          <w:tab w:leader="none" w:pos="153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Banks hereunder are cumulative and are not exclusive of any rights or remedies that they would otherwise have. No waiver of any provision of this Agreement or consent to any departure by the Company or the Guarantor therefrom shall in any event be effective unless the same shall be permitted by </w:t>
      </w:r>
      <w:r>
        <w:rPr>
          <w:rFonts w:ascii="Arial" w:cs="Arial" w:eastAsia="Arial" w:hAnsi="Arial"/>
          <w:sz w:val="17"/>
          <w:szCs w:val="17"/>
          <w:b w:val="1"/>
          <w:bCs w:val="1"/>
          <w:i w:val="1"/>
          <w:iCs w:val="1"/>
          <w:color w:val="auto"/>
        </w:rPr>
        <w:t>paragraph (b)</w:t>
      </w:r>
      <w:r>
        <w:rPr>
          <w:rFonts w:ascii="Arial" w:cs="Arial" w:eastAsia="Arial" w:hAnsi="Arial"/>
          <w:sz w:val="17"/>
          <w:szCs w:val="17"/>
          <w:color w:val="auto"/>
        </w:rPr>
        <w:t xml:space="preserve"> of this </w:t>
      </w:r>
      <w:r>
        <w:rPr>
          <w:rFonts w:ascii="Arial" w:cs="Arial" w:eastAsia="Arial" w:hAnsi="Arial"/>
          <w:sz w:val="17"/>
          <w:szCs w:val="17"/>
          <w:b w:val="1"/>
          <w:bCs w:val="1"/>
          <w:i w:val="1"/>
          <w:iCs w:val="1"/>
          <w:color w:val="auto"/>
        </w:rPr>
        <w:t>Section</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or any Bank may have had notice or knowledge of such Default or Event of Default at the time.</w:t>
      </w:r>
    </w:p>
    <w:p>
      <w:pPr>
        <w:spacing w:after="0" w:line="180" w:lineRule="exact"/>
        <w:rPr>
          <w:rFonts w:ascii="Arial" w:cs="Arial" w:eastAsia="Arial" w:hAnsi="Arial"/>
          <w:sz w:val="17"/>
          <w:szCs w:val="17"/>
          <w:color w:val="auto"/>
        </w:rPr>
      </w:pPr>
    </w:p>
    <w:p>
      <w:pPr>
        <w:jc w:val="both"/>
        <w:ind w:firstLine="644"/>
        <w:spacing w:after="0" w:line="283" w:lineRule="auto"/>
        <w:tabs>
          <w:tab w:leader="none" w:pos="153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Neither this Agreement nor any provision hereof may be waived, amended or modified except pursuant to an agreement or agreements in writing entered into by the Company and the Majority Banks, and delivered to the Administrative Agent, or by the Company and the Administrative Agent with the consent of the Majority Banks; provided that no such agreement shall (i) increase the Commitment of any Bank without the written consent of such Bank; (ii) reduce the principal amount of any Loan,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Company from its Obligations or the Guarantor from its Guaranteed Obligations hereunder without the written consent of each Bank; (v) modify </w:t>
      </w:r>
      <w:r>
        <w:rPr>
          <w:rFonts w:ascii="Arial" w:cs="Arial" w:eastAsia="Arial" w:hAnsi="Arial"/>
          <w:sz w:val="16"/>
          <w:szCs w:val="16"/>
          <w:b w:val="1"/>
          <w:bCs w:val="1"/>
          <w:i w:val="1"/>
          <w:iCs w:val="1"/>
          <w:color w:val="auto"/>
        </w:rPr>
        <w:t xml:space="preserve">Section 29(a) </w:t>
      </w:r>
      <w:r>
        <w:rPr>
          <w:rFonts w:ascii="Arial" w:cs="Arial" w:eastAsia="Arial" w:hAnsi="Arial"/>
          <w:sz w:val="16"/>
          <w:szCs w:val="16"/>
          <w:color w:val="auto"/>
        </w:rPr>
        <w:t>without the written consent of each Bank; (vi) modify the definition of “</w:t>
      </w:r>
      <w:r>
        <w:rPr>
          <w:rFonts w:ascii="Arial" w:cs="Arial" w:eastAsia="Arial" w:hAnsi="Arial"/>
          <w:sz w:val="16"/>
          <w:szCs w:val="16"/>
          <w:b w:val="1"/>
          <w:bCs w:val="1"/>
          <w:i w:val="1"/>
          <w:iCs w:val="1"/>
          <w:color w:val="auto"/>
        </w:rPr>
        <w:t>Commitment Percentage</w:t>
      </w:r>
      <w:r>
        <w:rPr>
          <w:rFonts w:ascii="Arial" w:cs="Arial" w:eastAsia="Arial" w:hAnsi="Arial"/>
          <w:sz w:val="16"/>
          <w:szCs w:val="16"/>
          <w:color w:val="auto"/>
        </w:rPr>
        <w:t>”; (vii) change</w:t>
      </w:r>
      <w:r>
        <w:rPr>
          <w:rFonts w:ascii="Arial" w:cs="Arial" w:eastAsia="Arial" w:hAnsi="Arial"/>
          <w:sz w:val="16"/>
          <w:szCs w:val="16"/>
          <w:b w:val="1"/>
          <w:bCs w:val="1"/>
          <w:i w:val="1"/>
          <w:iCs w:val="1"/>
          <w:color w:val="auto"/>
        </w:rPr>
        <w:t xml:space="preserve"> Section 12.4 </w:t>
      </w:r>
      <w:r>
        <w:rPr>
          <w:rFonts w:ascii="Arial" w:cs="Arial" w:eastAsia="Arial" w:hAnsi="Arial"/>
          <w:sz w:val="16"/>
          <w:szCs w:val="16"/>
          <w:color w:val="auto"/>
        </w:rPr>
        <w:t>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written consent of each Bank; or (viii) change any of the provisions of this </w:t>
      </w:r>
      <w:r>
        <w:rPr>
          <w:rFonts w:ascii="Arial" w:cs="Arial" w:eastAsia="Arial" w:hAnsi="Arial"/>
          <w:sz w:val="16"/>
          <w:szCs w:val="16"/>
          <w:b w:val="1"/>
          <w:bCs w:val="1"/>
          <w:i w:val="1"/>
          <w:iCs w:val="1"/>
          <w:color w:val="auto"/>
        </w:rPr>
        <w:t>Section 15.9</w:t>
      </w:r>
      <w:r>
        <w:rPr>
          <w:rFonts w:ascii="Arial" w:cs="Arial" w:eastAsia="Arial" w:hAnsi="Arial"/>
          <w:sz w:val="16"/>
          <w:szCs w:val="16"/>
          <w:color w:val="auto"/>
        </w:rPr>
        <w:t xml:space="preserve"> or any provision of this Agreement requiring action by all the Banks, or the percentage of Banks constituting “Majority Banks”, without the written consent of each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agreement shall amend, modify or otherwise affect the rights or duties of the Administrative Agent hereunder without the prior written consent of the Administrative Agent.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or the maturity of any of its Loans may not be extended, the rate of interest on any of its Loans may not be reduced and the principal amount of any of its Loans may not be forgiven, in each case, without the consent of such Defaulting Bank and (y) any waiver, amendment, consent or modification requiring the consent of all Banks or each affected Bank that by its terms affects any Defaulting Bank more adversely than other affected Banks shall require the consent of such Defaulting Bank. 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any such amendment shall become effective at 5:00 p.m.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 Notwithstanding anything to the contrary herein, the Administrative Agent and the Company may, without the consent of any Bank, enter into amendments or modifications to this Agreement or any of the other Loan Documents or to enter into additional Loan Documents as the Administrative Agent reasonably deems appropriate in order to implement any Benchmark Replacement or any Benchmark Replacement Conforming Changes or otherwise effectuate the terms of </w:t>
      </w:r>
      <w:r>
        <w:rPr>
          <w:rFonts w:ascii="Arial" w:cs="Arial" w:eastAsia="Arial" w:hAnsi="Arial"/>
          <w:sz w:val="16"/>
          <w:szCs w:val="16"/>
          <w:b w:val="1"/>
          <w:bCs w:val="1"/>
          <w:i w:val="1"/>
          <w:iCs w:val="1"/>
          <w:color w:val="auto"/>
        </w:rPr>
        <w:t>Section 3.3.2</w:t>
      </w:r>
      <w:r>
        <w:rPr>
          <w:rFonts w:ascii="Arial" w:cs="Arial" w:eastAsia="Arial" w:hAnsi="Arial"/>
          <w:sz w:val="16"/>
          <w:szCs w:val="16"/>
          <w:color w:val="auto"/>
        </w:rPr>
        <w:t xml:space="preserve"> in accordance with the terms of </w:t>
      </w:r>
      <w:r>
        <w:rPr>
          <w:rFonts w:ascii="Arial" w:cs="Arial" w:eastAsia="Arial" w:hAnsi="Arial"/>
          <w:sz w:val="16"/>
          <w:szCs w:val="16"/>
          <w:b w:val="1"/>
          <w:bCs w:val="1"/>
          <w:i w:val="1"/>
          <w:iCs w:val="1"/>
          <w:color w:val="auto"/>
        </w:rPr>
        <w:t>Section 3.3.2</w:t>
      </w: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ind w:left="660"/>
        <w:spacing w:after="0"/>
        <w:tabs>
          <w:tab w:leader="none" w:pos="140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7"/>
          <w:szCs w:val="17"/>
          <w:b w:val="1"/>
          <w:bCs w:val="1"/>
          <w:color w:val="auto"/>
        </w:rPr>
        <w:t>Bank ERISA Matters</w:t>
      </w:r>
      <w:r>
        <w:rPr>
          <w:rFonts w:ascii="Arial" w:cs="Arial" w:eastAsia="Arial" w:hAnsi="Arial"/>
          <w:sz w:val="17"/>
          <w:szCs w:val="17"/>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15.10.1 Each Bank (x) represents and warrants, as of the date such Person became a Bank party hereto, to, and (y) covenants, from the date such Person became a Bank party hereto to the date such Person ceases being a Bank party hereto, for the benefit of, the Administrative Agent and each other Lead Arranger and their respective affiliates, and not, for the avoidance of doubt, to or for the benefit of the Company or any other Loan Party, that at least one of the following is and will be true:</w:t>
      </w:r>
    </w:p>
    <w:p>
      <w:pPr>
        <w:spacing w:after="0" w:line="187" w:lineRule="exact"/>
        <w:rPr>
          <w:sz w:val="20"/>
          <w:szCs w:val="20"/>
          <w:color w:val="auto"/>
        </w:rPr>
      </w:pPr>
    </w:p>
    <w:p>
      <w:pPr>
        <w:jc w:val="both"/>
        <w:ind w:left="660" w:firstLine="644"/>
        <w:spacing w:after="0" w:line="263" w:lineRule="auto"/>
        <w:tabs>
          <w:tab w:leader="none" w:pos="2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Bank is not using “</w:t>
      </w:r>
      <w:r>
        <w:rPr>
          <w:rFonts w:ascii="Arial" w:cs="Arial" w:eastAsia="Arial" w:hAnsi="Arial"/>
          <w:sz w:val="18"/>
          <w:szCs w:val="18"/>
          <w:i w:val="1"/>
          <w:iCs w:val="1"/>
          <w:color w:val="auto"/>
        </w:rPr>
        <w:t>plan assets</w:t>
      </w:r>
      <w:r>
        <w:rPr>
          <w:rFonts w:ascii="Arial" w:cs="Arial" w:eastAsia="Arial" w:hAnsi="Arial"/>
          <w:sz w:val="18"/>
          <w:szCs w:val="18"/>
          <w:color w:val="auto"/>
        </w:rPr>
        <w:t xml:space="preserve">” (within the meaning of </w:t>
      </w:r>
      <w:r>
        <w:rPr>
          <w:rFonts w:ascii="Arial" w:cs="Arial" w:eastAsia="Arial" w:hAnsi="Arial"/>
          <w:sz w:val="18"/>
          <w:szCs w:val="18"/>
          <w:i w:val="1"/>
          <w:iCs w:val="1"/>
          <w:color w:val="auto"/>
        </w:rPr>
        <w:t>Section 3(42)</w:t>
      </w:r>
      <w:r>
        <w:rPr>
          <w:rFonts w:ascii="Arial" w:cs="Arial" w:eastAsia="Arial" w:hAnsi="Arial"/>
          <w:sz w:val="18"/>
          <w:szCs w:val="18"/>
          <w:color w:val="auto"/>
        </w:rPr>
        <w:t xml:space="preserve"> of ERISA or otherwise) of one or more Benefit Plans with respect to such Bank’s entrance into, participation in, administration of and performance of the Loans, the Commitments or this Agreement;</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229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77" w:lineRule="exact"/>
        <w:rPr>
          <w:rFonts w:ascii="Arial" w:cs="Arial" w:eastAsia="Arial" w:hAnsi="Arial"/>
          <w:sz w:val="17"/>
          <w:szCs w:val="17"/>
          <w:color w:val="auto"/>
        </w:rPr>
      </w:pPr>
    </w:p>
    <w:p>
      <w:pPr>
        <w:jc w:val="both"/>
        <w:ind w:left="660" w:firstLine="644"/>
        <w:spacing w:after="0" w:line="273" w:lineRule="auto"/>
        <w:tabs>
          <w:tab w:leader="none" w:pos="207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such Bank is an investment fund managed by a “</w:t>
      </w:r>
      <w:r>
        <w:rPr>
          <w:rFonts w:ascii="Arial" w:cs="Arial" w:eastAsia="Arial" w:hAnsi="Arial"/>
          <w:sz w:val="17"/>
          <w:szCs w:val="17"/>
          <w:i w:val="1"/>
          <w:iCs w:val="1"/>
          <w:color w:val="auto"/>
        </w:rPr>
        <w:t>Qualified Professional Asset Manager</w:t>
      </w:r>
      <w:r>
        <w:rPr>
          <w:rFonts w:ascii="Arial" w:cs="Arial" w:eastAsia="Arial" w:hAnsi="Arial"/>
          <w:sz w:val="17"/>
          <w:szCs w:val="17"/>
          <w:color w:val="auto"/>
        </w:rPr>
        <w:t xml:space="preserve">” (within the meaning of </w:t>
      </w:r>
      <w:r>
        <w:rPr>
          <w:rFonts w:ascii="Arial" w:cs="Arial" w:eastAsia="Arial" w:hAnsi="Arial"/>
          <w:sz w:val="17"/>
          <w:szCs w:val="17"/>
          <w:i w:val="1"/>
          <w:iCs w:val="1"/>
          <w:color w:val="auto"/>
        </w:rPr>
        <w:t>Part VI</w:t>
      </w:r>
      <w:r>
        <w:rPr>
          <w:rFonts w:ascii="Arial" w:cs="Arial" w:eastAsia="Arial" w:hAnsi="Arial"/>
          <w:sz w:val="17"/>
          <w:szCs w:val="17"/>
          <w:color w:val="auto"/>
        </w:rPr>
        <w:t xml:space="preserve">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w:t>
      </w:r>
      <w:r>
        <w:rPr>
          <w:rFonts w:ascii="Arial" w:cs="Arial" w:eastAsia="Arial" w:hAnsi="Arial"/>
          <w:sz w:val="17"/>
          <w:szCs w:val="17"/>
          <w:i w:val="1"/>
          <w:iCs w:val="1"/>
          <w:color w:val="auto"/>
        </w:rPr>
        <w:t>subsections (b)</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(g)</w:t>
      </w:r>
      <w:r>
        <w:rPr>
          <w:rFonts w:ascii="Arial" w:cs="Arial" w:eastAsia="Arial" w:hAnsi="Arial"/>
          <w:sz w:val="17"/>
          <w:szCs w:val="17"/>
          <w:color w:val="auto"/>
        </w:rPr>
        <w:t xml:space="preserve"> of </w:t>
      </w:r>
      <w:r>
        <w:rPr>
          <w:rFonts w:ascii="Arial" w:cs="Arial" w:eastAsia="Arial" w:hAnsi="Arial"/>
          <w:sz w:val="17"/>
          <w:szCs w:val="17"/>
          <w:i w:val="1"/>
          <w:iCs w:val="1"/>
          <w:color w:val="auto"/>
        </w:rPr>
        <w:t>Part I</w:t>
      </w:r>
      <w:r>
        <w:rPr>
          <w:rFonts w:ascii="Arial" w:cs="Arial" w:eastAsia="Arial" w:hAnsi="Arial"/>
          <w:sz w:val="17"/>
          <w:szCs w:val="17"/>
          <w:color w:val="auto"/>
        </w:rPr>
        <w:t xml:space="preserve"> of PTE 84-14 and (D) to the best knowledge of such Bank, the requirements of </w:t>
      </w:r>
      <w:r>
        <w:rPr>
          <w:rFonts w:ascii="Arial" w:cs="Arial" w:eastAsia="Arial" w:hAnsi="Arial"/>
          <w:sz w:val="17"/>
          <w:szCs w:val="17"/>
          <w:i w:val="1"/>
          <w:iCs w:val="1"/>
          <w:color w:val="auto"/>
        </w:rPr>
        <w:t>subsection (a)</w:t>
      </w:r>
      <w:r>
        <w:rPr>
          <w:rFonts w:ascii="Arial" w:cs="Arial" w:eastAsia="Arial" w:hAnsi="Arial"/>
          <w:sz w:val="17"/>
          <w:szCs w:val="17"/>
          <w:color w:val="auto"/>
        </w:rPr>
        <w:t xml:space="preserve"> of </w:t>
      </w:r>
      <w:r>
        <w:rPr>
          <w:rFonts w:ascii="Arial" w:cs="Arial" w:eastAsia="Arial" w:hAnsi="Arial"/>
          <w:sz w:val="17"/>
          <w:szCs w:val="17"/>
          <w:i w:val="1"/>
          <w:iCs w:val="1"/>
          <w:color w:val="auto"/>
        </w:rPr>
        <w:t>Part I</w:t>
      </w:r>
      <w:r>
        <w:rPr>
          <w:rFonts w:ascii="Arial" w:cs="Arial" w:eastAsia="Arial" w:hAnsi="Arial"/>
          <w:sz w:val="17"/>
          <w:szCs w:val="17"/>
          <w:color w:val="auto"/>
        </w:rPr>
        <w:t xml:space="preserve"> of PTE 84-14 are satisfied with respect to such Bank’s entrance into, participation in, administration of and performance of the Loans, the Commitments and this Agreement; or</w:t>
      </w:r>
    </w:p>
    <w:p>
      <w:pPr>
        <w:spacing w:after="0" w:line="177" w:lineRule="exact"/>
        <w:rPr>
          <w:rFonts w:ascii="Arial" w:cs="Arial" w:eastAsia="Arial" w:hAnsi="Arial"/>
          <w:sz w:val="17"/>
          <w:szCs w:val="17"/>
          <w:color w:val="auto"/>
        </w:rPr>
      </w:pPr>
    </w:p>
    <w:p>
      <w:pPr>
        <w:ind w:left="660" w:firstLine="644"/>
        <w:spacing w:after="0" w:line="277" w:lineRule="auto"/>
        <w:tabs>
          <w:tab w:leader="none" w:pos="21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Bank.</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15.10.2 In addition, unless either (1) </w:t>
      </w:r>
      <w:r>
        <w:rPr>
          <w:rFonts w:ascii="Arial" w:cs="Arial" w:eastAsia="Arial" w:hAnsi="Arial"/>
          <w:sz w:val="18"/>
          <w:szCs w:val="18"/>
          <w:b w:val="1"/>
          <w:bCs w:val="1"/>
          <w:i w:val="1"/>
          <w:iCs w:val="1"/>
          <w:color w:val="auto"/>
        </w:rPr>
        <w:t>subclause (a)</w:t>
      </w:r>
      <w:r>
        <w:rPr>
          <w:rFonts w:ascii="Arial" w:cs="Arial" w:eastAsia="Arial" w:hAnsi="Arial"/>
          <w:sz w:val="18"/>
          <w:szCs w:val="18"/>
          <w:color w:val="auto"/>
        </w:rPr>
        <w:t xml:space="preserve"> in the immediately preceding </w:t>
      </w:r>
      <w:r>
        <w:rPr>
          <w:rFonts w:ascii="Arial" w:cs="Arial" w:eastAsia="Arial" w:hAnsi="Arial"/>
          <w:sz w:val="18"/>
          <w:szCs w:val="18"/>
          <w:b w:val="1"/>
          <w:bCs w:val="1"/>
          <w:i w:val="1"/>
          <w:iCs w:val="1"/>
          <w:color w:val="auto"/>
        </w:rPr>
        <w:t>Section 15.10.1</w:t>
      </w:r>
      <w:r>
        <w:rPr>
          <w:rFonts w:ascii="Arial" w:cs="Arial" w:eastAsia="Arial" w:hAnsi="Arial"/>
          <w:sz w:val="18"/>
          <w:szCs w:val="18"/>
          <w:color w:val="auto"/>
        </w:rPr>
        <w:t xml:space="preserve"> is true with respect to a Bank or (2) a Bank has provided another representation, warranty and covenant in accordance with </w:t>
      </w:r>
      <w:r>
        <w:rPr>
          <w:rFonts w:ascii="Arial" w:cs="Arial" w:eastAsia="Arial" w:hAnsi="Arial"/>
          <w:sz w:val="18"/>
          <w:szCs w:val="18"/>
          <w:b w:val="1"/>
          <w:bCs w:val="1"/>
          <w:i w:val="1"/>
          <w:iCs w:val="1"/>
          <w:color w:val="auto"/>
        </w:rPr>
        <w:t>subclause (d)</w:t>
      </w:r>
      <w:r>
        <w:rPr>
          <w:rFonts w:ascii="Arial" w:cs="Arial" w:eastAsia="Arial" w:hAnsi="Arial"/>
          <w:sz w:val="18"/>
          <w:szCs w:val="18"/>
          <w:color w:val="auto"/>
        </w:rPr>
        <w:t xml:space="preserve"> in the immediately preceding </w:t>
      </w:r>
      <w:r>
        <w:rPr>
          <w:rFonts w:ascii="Arial" w:cs="Arial" w:eastAsia="Arial" w:hAnsi="Arial"/>
          <w:sz w:val="18"/>
          <w:szCs w:val="18"/>
          <w:b w:val="1"/>
          <w:bCs w:val="1"/>
          <w:i w:val="1"/>
          <w:iCs w:val="1"/>
          <w:color w:val="auto"/>
        </w:rPr>
        <w:t>Section 15.10.1</w:t>
      </w:r>
      <w:r>
        <w:rPr>
          <w:rFonts w:ascii="Arial" w:cs="Arial" w:eastAsia="Arial" w:hAnsi="Arial"/>
          <w:sz w:val="18"/>
          <w:szCs w:val="18"/>
          <w:color w:val="auto"/>
        </w:rPr>
        <w:t>, such Bank further (x) 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the Company or any other Loan Party, that the Administrative Agent is not a fiduciary with respect to the assets of such Bank involved in such Bank’s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left="-8" w:firstLine="8"/>
        <w:spacing w:after="0" w:line="284" w:lineRule="auto"/>
        <w:tabs>
          <w:tab w:leader="none" w:pos="734"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The Company agrees to indemnify and hold harmless the Banks, the Lead Arrangers and the Administrative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their affiliates, as well as their and their affiliates’ shareholders, directors, employees, partners,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 final and non-appealable judgment. In any investigation, enforcement matter, proceeding or litigation, or the preparation therefor, the Banks, the Lead Arrangers and the Administrative Agent shall be entitled to select their own counsel and, in addition to the foregoing indemnity, the Company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Company shall be entitled to participate in such proceeding or litigation with counsel of their choice at their expense. In the case of an investigation, litigation or proceeding to which the indemnity in this </w:t>
      </w:r>
      <w:r>
        <w:rPr>
          <w:rFonts w:ascii="Arial" w:cs="Arial" w:eastAsia="Arial" w:hAnsi="Arial"/>
          <w:sz w:val="16"/>
          <w:szCs w:val="16"/>
          <w:b w:val="1"/>
          <w:bCs w:val="1"/>
          <w:i w:val="1"/>
          <w:iCs w:val="1"/>
          <w:color w:val="auto"/>
        </w:rPr>
        <w:t>Section 16</w:t>
      </w:r>
      <w:r>
        <w:rPr>
          <w:rFonts w:ascii="Arial" w:cs="Arial" w:eastAsia="Arial" w:hAnsi="Arial"/>
          <w:sz w:val="16"/>
          <w:szCs w:val="16"/>
          <w:color w:val="auto"/>
        </w:rPr>
        <w:t xml:space="preserve"> applies, such indemnity shall be effective, subject to the limitations herein, whether or not such investigation, litigation or proceeding is brought by the Company, the Company’s equity-holders, affiliates or creditors or such an indemnified party, whether or not such indemnified party is otherwise a party thereto and whether or not the transactions contemplated hereby are consummated. The covenants of this </w:t>
      </w:r>
      <w:r>
        <w:rPr>
          <w:rFonts w:ascii="Arial" w:cs="Arial" w:eastAsia="Arial" w:hAnsi="Arial"/>
          <w:sz w:val="16"/>
          <w:szCs w:val="16"/>
          <w:b w:val="1"/>
          <w:bCs w:val="1"/>
          <w:i w:val="1"/>
          <w:iCs w:val="1"/>
          <w:color w:val="auto"/>
        </w:rPr>
        <w:t>Section 16</w:t>
      </w:r>
      <w:r>
        <w:rPr>
          <w:rFonts w:ascii="Arial" w:cs="Arial" w:eastAsia="Arial" w:hAnsi="Arial"/>
          <w:sz w:val="16"/>
          <w:szCs w:val="16"/>
          <w:color w:val="auto"/>
        </w:rPr>
        <w:t xml:space="preserve">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BORROWING HEREUNDER OR THEREUNDER. Without limiting the provisions of </w:t>
      </w:r>
      <w:r>
        <w:rPr>
          <w:rFonts w:ascii="Arial" w:cs="Arial" w:eastAsia="Arial" w:hAnsi="Arial"/>
          <w:sz w:val="16"/>
          <w:szCs w:val="16"/>
          <w:b w:val="1"/>
          <w:bCs w:val="1"/>
          <w:i w:val="1"/>
          <w:iCs w:val="1"/>
          <w:color w:val="auto"/>
        </w:rPr>
        <w:t>Section 3.1.3</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Section 16</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78" w:lineRule="exact"/>
        <w:rPr>
          <w:rFonts w:ascii="Arial" w:cs="Arial" w:eastAsia="Arial" w:hAnsi="Arial"/>
          <w:sz w:val="16"/>
          <w:szCs w:val="16"/>
          <w:color w:val="auto"/>
        </w:rPr>
      </w:pPr>
    </w:p>
    <w:p>
      <w:pPr>
        <w:ind w:left="672" w:hanging="672"/>
        <w:spacing w:after="0"/>
        <w:tabs>
          <w:tab w:leader="none" w:pos="672"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ind w:left="11052"/>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1" w:name="page72"/>
    <w:bookmarkEnd w:id="71"/>
    <w:p>
      <w:pPr>
        <w:ind w:left="680" w:hanging="672"/>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TREATMENT OF CERTAIN 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Company or any of its Subsidiaries pursuant to this Agreement that is identified by such Person as being confidential at the time the same is delivered to the Banks or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limit the disclosure of any such information (a) after such information shall have become public other than through a violation of this </w:t>
      </w:r>
      <w:r>
        <w:rPr>
          <w:rFonts w:ascii="Arial" w:cs="Arial" w:eastAsia="Arial" w:hAnsi="Arial"/>
          <w:sz w:val="16"/>
          <w:szCs w:val="16"/>
          <w:b w:val="1"/>
          <w:bCs w:val="1"/>
          <w:i w:val="1"/>
          <w:iCs w:val="1"/>
          <w:color w:val="auto"/>
        </w:rPr>
        <w:t>Section 18</w:t>
      </w:r>
      <w:r>
        <w:rPr>
          <w:rFonts w:ascii="Arial" w:cs="Arial" w:eastAsia="Arial" w:hAnsi="Arial"/>
          <w:sz w:val="16"/>
          <w:szCs w:val="16"/>
          <w:color w:val="auto"/>
        </w:rPr>
        <w:t xml:space="preserve">, or becomes available to any of the Banks or the Administrative Agent on a non-confidential basis from a source other than the Company, (b) to the extent required by statute, rule, regulation or judicial process, (c) to counsel, employees, advisors and/or 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Company and its Obligations so long as such assignee, participant, counterparty or credit insurance provider, as the case may be, agrees to be bound by a confidentiality agreement the provisions of which shall be no less restrictive than </w:t>
      </w:r>
      <w:r>
        <w:rPr>
          <w:rFonts w:ascii="Arial" w:cs="Arial" w:eastAsia="Arial" w:hAnsi="Arial"/>
          <w:sz w:val="16"/>
          <w:szCs w:val="16"/>
          <w:b w:val="1"/>
          <w:bCs w:val="1"/>
          <w:i w:val="1"/>
          <w:iCs w:val="1"/>
          <w:color w:val="auto"/>
        </w:rPr>
        <w:t>Section 18.1</w:t>
      </w:r>
      <w:r>
        <w:rPr>
          <w:rFonts w:ascii="Arial" w:cs="Arial" w:eastAsia="Arial" w:hAnsi="Arial"/>
          <w:sz w:val="16"/>
          <w:szCs w:val="16"/>
          <w:color w:val="auto"/>
        </w:rPr>
        <w:t>, (i) to the extent such information is independently discovered or developed by a party hereto without utilizing any information received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Company or violating the terms of this </w:t>
      </w:r>
      <w:r>
        <w:rPr>
          <w:rFonts w:ascii="Arial" w:cs="Arial" w:eastAsia="Arial" w:hAnsi="Arial"/>
          <w:sz w:val="16"/>
          <w:szCs w:val="16"/>
          <w:b w:val="1"/>
          <w:bCs w:val="1"/>
          <w:i w:val="1"/>
          <w:iCs w:val="1"/>
          <w:color w:val="auto"/>
        </w:rPr>
        <w:t>Section 18.1</w:t>
      </w:r>
      <w:r>
        <w:rPr>
          <w:rFonts w:ascii="Arial" w:cs="Arial" w:eastAsia="Arial" w:hAnsi="Arial"/>
          <w:sz w:val="16"/>
          <w:szCs w:val="16"/>
          <w:color w:val="auto"/>
        </w:rPr>
        <w:t>, or (j) with the consent of the Company.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Prior Notification</w:t>
      </w:r>
      <w:r>
        <w:rPr>
          <w:rFonts w:ascii="Arial" w:cs="Arial" w:eastAsia="Arial" w:hAnsi="Arial"/>
          <w:sz w:val="18"/>
          <w:szCs w:val="18"/>
          <w:color w:val="auto"/>
        </w:rPr>
        <w:t>. Unless specifically prohibited by applicable law or court order, each of the Banks and the Administrative Agent shall, prior to disclosure thereof, notify the Company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color w:val="auto"/>
        </w:rPr>
        <w:t>Other</w:t>
      </w:r>
      <w:r>
        <w:rPr>
          <w:rFonts w:ascii="Arial" w:cs="Arial" w:eastAsia="Arial" w:hAnsi="Arial"/>
          <w:sz w:val="17"/>
          <w:szCs w:val="17"/>
          <w:color w:val="auto"/>
        </w:rPr>
        <w:t xml:space="preserve">. In no event shall any Bank or the Administrative Agent be obligated or required to return any materials furnished to it or any Financial Affiliate by the Company or any of its Subsidiaries. The obligations of each Bank under this </w:t>
      </w:r>
      <w:r>
        <w:rPr>
          <w:rFonts w:ascii="Arial" w:cs="Arial" w:eastAsia="Arial" w:hAnsi="Arial"/>
          <w:sz w:val="17"/>
          <w:szCs w:val="17"/>
          <w:b w:val="1"/>
          <w:bCs w:val="1"/>
          <w:i w:val="1"/>
          <w:iCs w:val="1"/>
          <w:color w:val="auto"/>
        </w:rPr>
        <w:t>Section 18</w:t>
      </w:r>
      <w:r>
        <w:rPr>
          <w:rFonts w:ascii="Arial" w:cs="Arial" w:eastAsia="Arial" w:hAnsi="Arial"/>
          <w:sz w:val="17"/>
          <w:szCs w:val="17"/>
          <w:color w:val="auto"/>
        </w:rPr>
        <w:t xml:space="preserve"> shall supersede and replace the obligations of such Bank under any confidentiality letter in respect of this financing signed and delivered by such Bank to the Company prior to the date hereof and shall be binding upon any assignee of, or purchaser of any participation in, any interest in any of the Loans from any Bank.</w:t>
      </w:r>
    </w:p>
    <w:p>
      <w:pPr>
        <w:spacing w:after="0" w:line="165" w:lineRule="exact"/>
        <w:rPr>
          <w:sz w:val="20"/>
          <w:szCs w:val="20"/>
          <w:color w:val="auto"/>
        </w:rPr>
      </w:pPr>
    </w:p>
    <w:p>
      <w:pPr>
        <w:jc w:val="both"/>
        <w:ind w:firstLine="8"/>
        <w:spacing w:after="0" w:line="273" w:lineRule="auto"/>
        <w:tabs>
          <w:tab w:leader="none" w:pos="688"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SURVIVAL OF COVENANTS, ETC</w:t>
      </w:r>
      <w:r>
        <w:rPr>
          <w:rFonts w:ascii="Arial" w:cs="Arial" w:eastAsia="Arial" w:hAnsi="Arial"/>
          <w:sz w:val="17"/>
          <w:szCs w:val="17"/>
          <w:color w:val="auto"/>
        </w:rPr>
        <w:t>. Unless otherwise stated herein, all covenants, agreements, representations and warranties made herein,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Loan Documents or in any documents or other papers delivered by or on behalf of the Company or the Guarantor pursuant hereto shall be deemed to have been relied upon by the Banks and the Administrative Agent, notwithstanding any investigation heretofore or hereafter made by them, and shall survive the making by the Banks of the Loans, as herein contemplated, and shall continue in full force and effect so long as any amount due under this Agreement or any Obligation remains outstanding and unpaid or any Bank has any obligation to make any Loans hereunder. All statements contained in any certificate or other paper delivered by or on behalf of the Company pursuant hereto or in connection with the transactions contemplated hereby shall constitute representations and warranties by the Company hereunder.</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8"/>
        <w:spacing w:after="0" w:line="283" w:lineRule="auto"/>
        <w:tabs>
          <w:tab w:leader="none" w:pos="688"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ASSIGNMENT AND PARTICIPATION</w:t>
      </w:r>
      <w:r>
        <w:rPr>
          <w:rFonts w:ascii="Arial" w:cs="Arial" w:eastAsia="Arial" w:hAnsi="Arial"/>
          <w:sz w:val="16"/>
          <w:szCs w:val="16"/>
          <w:color w:val="auto"/>
        </w:rPr>
        <w:t>. It is understood and agreed that each Bank shall have the right to assign at any time all or a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Commitment Percentage and interests in the risk relating to the Loans and its Commitment hereunder in an amount equal to or greater than (except in the case of an assignment by a Bank to any other Bank or Bank Affiliate, or unless otherwise agreed to by the Company and the Administrative Agent) $5,000,000 (or, if a Bank’s Commitment is less than $5,000,000, in a minimum amount equal to such Bank’s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Commitment reductions pursuant to </w:t>
      </w:r>
      <w:r>
        <w:rPr>
          <w:rFonts w:ascii="Arial" w:cs="Arial" w:eastAsia="Arial" w:hAnsi="Arial"/>
          <w:sz w:val="16"/>
          <w:szCs w:val="16"/>
          <w:b w:val="1"/>
          <w:bCs w:val="1"/>
          <w:i w:val="1"/>
          <w:iCs w:val="1"/>
          <w:color w:val="auto"/>
        </w:rPr>
        <w:t>Section 2.6</w:t>
      </w:r>
      <w:r>
        <w:rPr>
          <w:rFonts w:ascii="Arial" w:cs="Arial" w:eastAsia="Arial" w:hAnsi="Arial"/>
          <w:sz w:val="16"/>
          <w:szCs w:val="16"/>
          <w:color w:val="auto"/>
        </w:rPr>
        <w:t>, such Bank’s Commitment was at least $5,000,000), to additional banks, other financial institutions or Bank Affiliates (other than Defaulting Banks) with the prior written approval (not to be unreasonably withheld or delayed) of the Administrative Agent, and, so long as no Event of Default has occurred and is continuing, the consent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Company’s consent shall not be required in the case of an assignment by a Bank to any other Bank, any Bank Affiliate of any Bank or any Approved Fund of any Bank and (ii) the Company shall be deemed to have consented to any such assignment unless it shall object thereto by written notice to the Administrative Agent within five Business Days after having received notice thereof), which approvals shall not be unreasonably withheld or delayed. Any Bank may at any time, and from time to time, assign to any branch, lending office, or Bank Affiliate all or any part of its rights and obligations under the Loan Documents by notice to the Administrative Agent and the Company. It is further agreed that each bank or other financial institution which executes and delivers to the Administrative Agent and the Company hereunder an Assignment and Assumption substantially in the form of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hereto, or such other form approved by the Administrative Agent (an “</w:t>
      </w:r>
      <w:r>
        <w:rPr>
          <w:rFonts w:ascii="Arial" w:cs="Arial" w:eastAsia="Arial" w:hAnsi="Arial"/>
          <w:sz w:val="16"/>
          <w:szCs w:val="16"/>
          <w:b w:val="1"/>
          <w:bCs w:val="1"/>
          <w:i w:val="1"/>
          <w:iCs w:val="1"/>
          <w:color w:val="auto"/>
        </w:rPr>
        <w:t>Assignment and Assumption</w:t>
      </w:r>
      <w:r>
        <w:rPr>
          <w:rFonts w:ascii="Arial" w:cs="Arial" w:eastAsia="Arial" w:hAnsi="Arial"/>
          <w:sz w:val="16"/>
          <w:szCs w:val="16"/>
          <w:color w:val="auto"/>
        </w:rPr>
        <w:t xml:space="preserve">”)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and the Loans shall be as set forth in such Assignment and Assumption;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Company and the Administrative Agent, the applicable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Loans previously requested but not funded by the Defaulting Bank, to each of which the applicable assignee and assignor hereby irrevocably consent), to (x) pay and satisfy in full all payment liabilities then owed by such Defaulting Bank to the Administrative Agent or any Bank hereunder (and interest accrued thereon) and (y) acquire (and fund as appropriate) its full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all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Company shall issue Notes (and replacement Notes) or the Administrative Agent shall make appropriate entries on the applicable loan account(s) to reflect such assignment of Loan(s); and (b) this Agreement and </w:t>
      </w:r>
      <w:r>
        <w:rPr>
          <w:rFonts w:ascii="Arial" w:cs="Arial" w:eastAsia="Arial" w:hAnsi="Arial"/>
          <w:sz w:val="16"/>
          <w:szCs w:val="16"/>
          <w:b w:val="1"/>
          <w:bCs w:val="1"/>
          <w:i w:val="1"/>
          <w:iCs w:val="1"/>
          <w:color w:val="auto"/>
        </w:rPr>
        <w:t>Schedule 1</w:t>
      </w:r>
      <w:r>
        <w:rPr>
          <w:rFonts w:ascii="Arial" w:cs="Arial" w:eastAsia="Arial" w:hAnsi="Arial"/>
          <w:sz w:val="16"/>
          <w:szCs w:val="16"/>
          <w:color w:val="auto"/>
        </w:rPr>
        <w:t xml:space="preserve"> shall be deemed to be appropriately amended to reflect (i) the status of the bank, financial institution or Bank Affiliate as a party hereto and (ii) the status and rights of the Banks hereunder. The Administrative Agent, acting solely for this purpose as an agent of the Company,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The entries in the Register shall be conclusive absent manifest error, and the Company, the Administrative Agent and the Banks shall treat each Person whose name is recorded in the Register pursuant to the terms hereof as a Bank hereunder for all purposes of this Agreement. The Register shall be available for inspection by the Company and any Bank,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9" w:lineRule="auto"/>
        <w:rPr>
          <w:sz w:val="20"/>
          <w:szCs w:val="20"/>
          <w:color w:val="auto"/>
        </w:rPr>
      </w:pPr>
      <w:r>
        <w:rPr>
          <w:rFonts w:ascii="Arial" w:cs="Arial" w:eastAsia="Arial" w:hAnsi="Arial"/>
          <w:sz w:val="17"/>
          <w:szCs w:val="17"/>
          <w:color w:val="auto"/>
        </w:rPr>
        <w:t xml:space="preserve">Each Bank shall also have the right to grant participations to one or more banks, other financial institutions or Bank Affiliates (other than Defaulting Banks) in its Commitment and the Loans. The documents evidencing any such participation shall limit such participating bank’s, financial institution’s or Bank Affiliate’s, voting rights with respect to this Agreement to the matters set forth in </w:t>
      </w:r>
      <w:r>
        <w:rPr>
          <w:rFonts w:ascii="Arial" w:cs="Arial" w:eastAsia="Arial" w:hAnsi="Arial"/>
          <w:sz w:val="17"/>
          <w:szCs w:val="17"/>
          <w:b w:val="1"/>
          <w:bCs w:val="1"/>
          <w:i w:val="1"/>
          <w:iCs w:val="1"/>
          <w:color w:val="auto"/>
        </w:rPr>
        <w:t>Section 15.9(b)(i)-(v)</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Section 15.9(b)(vi)</w:t>
      </w:r>
      <w:r>
        <w:rPr>
          <w:rFonts w:ascii="Arial" w:cs="Arial" w:eastAsia="Arial" w:hAnsi="Arial"/>
          <w:sz w:val="17"/>
          <w:szCs w:val="17"/>
          <w:color w:val="auto"/>
        </w:rPr>
        <w:t xml:space="preserve">; and each such participant shall be entitled to the benefit of </w:t>
      </w:r>
      <w:r>
        <w:rPr>
          <w:rFonts w:ascii="Arial" w:cs="Arial" w:eastAsia="Arial" w:hAnsi="Arial"/>
          <w:sz w:val="17"/>
          <w:szCs w:val="17"/>
          <w:b w:val="1"/>
          <w:bCs w:val="1"/>
          <w:i w:val="1"/>
          <w:iCs w:val="1"/>
          <w:color w:val="auto"/>
        </w:rPr>
        <w:t>Section 3.4</w:t>
      </w:r>
      <w:r>
        <w:rPr>
          <w:rFonts w:ascii="Arial" w:cs="Arial" w:eastAsia="Arial" w:hAnsi="Arial"/>
          <w:sz w:val="17"/>
          <w:szCs w:val="17"/>
          <w:color w:val="auto"/>
        </w:rPr>
        <w:t xml:space="preserve"> hereof to the extent of its participation, subject to the limitations set forth therein. Each Bank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b w:val="1"/>
          <w:bCs w:val="1"/>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Bank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w:t>
      </w:r>
      <w:r>
        <w:rPr>
          <w:rFonts w:ascii="Arial" w:cs="Arial" w:eastAsia="Arial" w:hAnsi="Arial"/>
          <w:sz w:val="17"/>
          <w:szCs w:val="17"/>
          <w:i w:val="1"/>
          <w:iCs w:val="1"/>
          <w:color w:val="auto"/>
        </w:rPr>
        <w:t>Section 5f.103-1(c)</w:t>
      </w:r>
      <w:r>
        <w:rPr>
          <w:rFonts w:ascii="Arial" w:cs="Arial" w:eastAsia="Arial" w:hAnsi="Arial"/>
          <w:sz w:val="17"/>
          <w:szCs w:val="17"/>
          <w:color w:val="auto"/>
        </w:rPr>
        <w:t xml:space="preserve"> of the United States Treasury Regulations.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the foregoing, no assignment or participation shall (a) be made to the Company or any of its affiliates, a Defaulting Bank or any of its Subsidiaries or a natural person (including any holding company, investment vehicle or trust for, or owned and operated for the primary benefit of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w:t>
      </w:r>
      <w:r>
        <w:rPr>
          <w:rFonts w:ascii="Arial" w:cs="Arial" w:eastAsia="Arial" w:hAnsi="Arial"/>
          <w:sz w:val="18"/>
          <w:szCs w:val="18"/>
          <w:b w:val="1"/>
          <w:bCs w:val="1"/>
          <w:i w:val="1"/>
          <w:iCs w:val="1"/>
          <w:color w:val="auto"/>
        </w:rPr>
        <w:t xml:space="preserve">Section 2.6 </w:t>
      </w:r>
      <w:r>
        <w:rPr>
          <w:rFonts w:ascii="Arial" w:cs="Arial" w:eastAsia="Arial" w:hAnsi="Arial"/>
          <w:sz w:val="18"/>
          <w:szCs w:val="18"/>
          <w:color w:val="auto"/>
        </w:rPr>
        <w:t>hereof.</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Anything contained in this </w:t>
      </w:r>
      <w:r>
        <w:rPr>
          <w:rFonts w:ascii="Arial" w:cs="Arial" w:eastAsia="Arial" w:hAnsi="Arial"/>
          <w:sz w:val="16"/>
          <w:szCs w:val="16"/>
          <w:b w:val="1"/>
          <w:bCs w:val="1"/>
          <w:i w:val="1"/>
          <w:iCs w:val="1"/>
          <w:color w:val="auto"/>
        </w:rPr>
        <w:t>Section 20</w:t>
      </w:r>
      <w:r>
        <w:rPr>
          <w:rFonts w:ascii="Arial" w:cs="Arial" w:eastAsia="Arial" w:hAnsi="Arial"/>
          <w:sz w:val="16"/>
          <w:szCs w:val="16"/>
          <w:color w:val="auto"/>
        </w:rPr>
        <w:t xml:space="preserve">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Company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assignees or participants or potential assignees or participants shall agree to be bound by </w:t>
      </w:r>
      <w:r>
        <w:rPr>
          <w:rFonts w:ascii="Arial" w:cs="Arial" w:eastAsia="Arial" w:hAnsi="Arial"/>
          <w:sz w:val="17"/>
          <w:szCs w:val="17"/>
          <w:b w:val="1"/>
          <w:bCs w:val="1"/>
          <w:i w:val="1"/>
          <w:iCs w:val="1"/>
          <w:color w:val="auto"/>
        </w:rPr>
        <w:t>Section 18</w:t>
      </w:r>
      <w:r>
        <w:rPr>
          <w:rFonts w:ascii="Arial" w:cs="Arial" w:eastAsia="Arial" w:hAnsi="Arial"/>
          <w:sz w:val="17"/>
          <w:szCs w:val="17"/>
          <w:color w:val="auto"/>
        </w:rPr>
        <w:t xml:space="preserve"> hereof.</w:t>
      </w:r>
    </w:p>
    <w:p>
      <w:pPr>
        <w:spacing w:after="0" w:line="161" w:lineRule="exact"/>
        <w:rPr>
          <w:sz w:val="20"/>
          <w:szCs w:val="20"/>
          <w:color w:val="auto"/>
        </w:rPr>
      </w:pPr>
    </w:p>
    <w:p>
      <w:pPr>
        <w:jc w:val="both"/>
        <w:ind w:right="20" w:firstLine="8"/>
        <w:spacing w:after="0" w:line="314" w:lineRule="auto"/>
        <w:tabs>
          <w:tab w:leader="none" w:pos="715"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PARTIES IN INTEREST</w:t>
      </w:r>
      <w:r>
        <w:rPr>
          <w:rFonts w:ascii="Arial" w:cs="Arial" w:eastAsia="Arial" w:hAnsi="Arial"/>
          <w:sz w:val="16"/>
          <w:szCs w:val="16"/>
          <w:color w:val="auto"/>
        </w:rPr>
        <w:t>. All the terms of this Agreement and the other Loan Documents shall be binding upon and inure to the benefit of and</w:t>
      </w:r>
      <w:r>
        <w:rPr>
          <w:rFonts w:ascii="Arial" w:cs="Arial" w:eastAsia="Arial" w:hAnsi="Arial"/>
          <w:sz w:val="16"/>
          <w:szCs w:val="16"/>
          <w:b w:val="1"/>
          <w:bCs w:val="1"/>
          <w:color w:val="auto"/>
        </w:rPr>
        <w:t xml:space="preserve"> </w:t>
      </w:r>
      <w:r>
        <w:rPr>
          <w:rFonts w:ascii="Arial" w:cs="Arial" w:eastAsia="Arial" w:hAnsi="Arial"/>
          <w:sz w:val="16"/>
          <w:szCs w:val="16"/>
          <w:color w:val="auto"/>
        </w:rPr>
        <w:t>be enforceable by the respective successors and assigns of the parties hereto and thereto; provided that neither the Company nor the Guarantor shall assign or transfer its rights or obligations hereunder or thereunder without the prior written consent of each of the Banks and the Administrative Agent.</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80" w:hanging="672"/>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NOTICES, ETC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79" w:lineRule="auto"/>
        <w:tabs>
          <w:tab w:leader="none" w:pos="1976"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Except in the case of notices and other communications expressly permitted to be given by telephone (and except as provided in </w:t>
      </w:r>
      <w:r>
        <w:rPr>
          <w:rFonts w:ascii="Arial" w:cs="Arial" w:eastAsia="Arial" w:hAnsi="Arial"/>
          <w:sz w:val="17"/>
          <w:szCs w:val="17"/>
          <w:b w:val="1"/>
          <w:bCs w:val="1"/>
          <w:i w:val="1"/>
          <w:iCs w:val="1"/>
          <w:color w:val="auto"/>
        </w:rPr>
        <w:t xml:space="preserve">subsection (b) </w:t>
      </w:r>
      <w:r>
        <w:rPr>
          <w:rFonts w:ascii="Arial" w:cs="Arial" w:eastAsia="Arial" w:hAnsi="Arial"/>
          <w:sz w:val="17"/>
          <w:szCs w:val="17"/>
          <w:color w:val="auto"/>
        </w:rPr>
        <w:t>below), all notices and other communications provided for herein shall be in writing and shall be delivered by hand or overnight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1300" w:right="20" w:firstLine="652"/>
        <w:spacing w:after="0" w:line="277" w:lineRule="auto"/>
        <w:tabs>
          <w:tab w:leader="none" w:pos="2674"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if to the Company or the Administrative Agent, to the address, telecopier number, electronic mail address or telephone number specified for such Person on </w:t>
      </w:r>
      <w:r>
        <w:rPr>
          <w:rFonts w:ascii="Arial" w:cs="Arial" w:eastAsia="Arial" w:hAnsi="Arial"/>
          <w:sz w:val="18"/>
          <w:szCs w:val="18"/>
          <w:b w:val="1"/>
          <w:bCs w:val="1"/>
          <w:i w:val="1"/>
          <w:iCs w:val="1"/>
          <w:color w:val="auto"/>
        </w:rPr>
        <w:t>Schedule 22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70" w:val="left"/>
        </w:tabs>
        <w:numPr>
          <w:ilvl w:val="2"/>
          <w:numId w:val="73"/>
        </w:numPr>
        <w:rPr>
          <w:rFonts w:ascii="Arial" w:cs="Arial" w:eastAsia="Arial" w:hAnsi="Arial"/>
          <w:sz w:val="18"/>
          <w:szCs w:val="18"/>
          <w:color w:val="auto"/>
        </w:rPr>
      </w:pPr>
      <w:r>
        <w:rPr>
          <w:rFonts w:ascii="Arial" w:cs="Arial" w:eastAsia="Arial" w:hAnsi="Arial"/>
          <w:sz w:val="18"/>
          <w:szCs w:val="18"/>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Company).</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w:t>
      </w:r>
    </w:p>
    <w:p>
      <w:pPr>
        <w:spacing w:after="0" w:line="188" w:lineRule="exact"/>
        <w:rPr>
          <w:sz w:val="20"/>
          <w:szCs w:val="20"/>
          <w:color w:val="auto"/>
        </w:rPr>
      </w:pPr>
    </w:p>
    <w:p>
      <w:pPr>
        <w:jc w:val="both"/>
        <w:ind w:left="660" w:firstLine="644"/>
        <w:spacing w:after="0" w:line="286" w:lineRule="auto"/>
        <w:tabs>
          <w:tab w:leader="none" w:pos="2226"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Notices, requests, financial statements, financial and other reports, certificates and other information materials and other communications to the Banks hereunder (collectively, “</w:t>
      </w:r>
      <w:r>
        <w:rPr>
          <w:rFonts w:ascii="Arial" w:cs="Arial" w:eastAsia="Arial" w:hAnsi="Arial"/>
          <w:sz w:val="16"/>
          <w:szCs w:val="16"/>
          <w:b w:val="1"/>
          <w:bCs w:val="1"/>
          <w:i w:val="1"/>
          <w:iCs w:val="1"/>
          <w:color w:val="auto"/>
        </w:rPr>
        <w:t>Communications</w:t>
      </w:r>
      <w:r>
        <w:rPr>
          <w:rFonts w:ascii="Arial" w:cs="Arial" w:eastAsia="Arial" w:hAnsi="Arial"/>
          <w:sz w:val="16"/>
          <w:szCs w:val="16"/>
          <w:color w:val="auto"/>
        </w:rPr>
        <w:t xml:space="preserve">”) may be delivered or furnished by electronic communication (including e-mail, FpML messaging, and Internet or intranet websites) pursuant to procedures approved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to any Bank pursuant to </w:t>
      </w:r>
      <w:r>
        <w:rPr>
          <w:rFonts w:ascii="Arial" w:cs="Arial" w:eastAsia="Arial" w:hAnsi="Arial"/>
          <w:sz w:val="16"/>
          <w:szCs w:val="16"/>
          <w:b w:val="1"/>
          <w:bCs w:val="1"/>
          <w:i w:val="1"/>
          <w:iCs w:val="1"/>
          <w:color w:val="auto"/>
        </w:rPr>
        <w:t>Section 2</w:t>
      </w:r>
      <w:r>
        <w:rPr>
          <w:rFonts w:ascii="Arial" w:cs="Arial" w:eastAsia="Arial" w:hAnsi="Arial"/>
          <w:sz w:val="16"/>
          <w:szCs w:val="16"/>
          <w:color w:val="auto"/>
        </w:rPr>
        <w:t xml:space="preserve"> if such Bank has notified the Administrative Agent that it is incapable of receiving notices under such Section by electronic communication. The Administrative Agent or the Company may each, in its discretion, agree to accept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Communications.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w:t>
      </w:r>
      <w:r>
        <w:rPr>
          <w:rFonts w:ascii="Arial" w:cs="Arial" w:eastAsia="Arial" w:hAnsi="Arial"/>
          <w:sz w:val="16"/>
          <w:szCs w:val="16"/>
          <w:b w:val="1"/>
          <w:bCs w:val="1"/>
          <w:i w:val="1"/>
          <w:iCs w:val="1"/>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73" w:lineRule="exact"/>
        <w:rPr>
          <w:rFonts w:ascii="Arial" w:cs="Arial" w:eastAsia="Arial" w:hAnsi="Arial"/>
          <w:sz w:val="16"/>
          <w:szCs w:val="16"/>
          <w:color w:val="auto"/>
        </w:rPr>
      </w:pPr>
    </w:p>
    <w:p>
      <w:pPr>
        <w:jc w:val="both"/>
        <w:ind w:left="660" w:firstLine="644"/>
        <w:spacing w:after="0" w:line="267" w:lineRule="auto"/>
        <w:tabs>
          <w:tab w:leader="none" w:pos="196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further agrees that (i) the Administrative Agent and/or the Lead Arrangers may make the Communications and/or information provided by or on behalf of the Company hereunder available to the Banks by posting the Communications and such other information on SyndTrak, Intralinks, Debtdomain or a substantially similar electronic transmission system (the “</w:t>
      </w:r>
      <w:r>
        <w:rPr>
          <w:rFonts w:ascii="Arial" w:cs="Arial" w:eastAsia="Arial" w:hAnsi="Arial"/>
          <w:sz w:val="17"/>
          <w:szCs w:val="17"/>
          <w:b w:val="1"/>
          <w:bCs w:val="1"/>
          <w:i w:val="1"/>
          <w:iCs w:val="1"/>
          <w:color w:val="auto"/>
        </w:rPr>
        <w:t>Platform</w:t>
      </w:r>
      <w:r>
        <w:rPr>
          <w:rFonts w:ascii="Arial" w:cs="Arial" w:eastAsia="Arial" w:hAnsi="Arial"/>
          <w:sz w:val="17"/>
          <w:szCs w:val="17"/>
          <w:color w:val="auto"/>
        </w:rPr>
        <w:t>”) and (ii) certain of the Banks (each, a “</w:t>
      </w:r>
      <w:r>
        <w:rPr>
          <w:rFonts w:ascii="Arial" w:cs="Arial" w:eastAsia="Arial" w:hAnsi="Arial"/>
          <w:sz w:val="17"/>
          <w:szCs w:val="17"/>
          <w:b w:val="1"/>
          <w:bCs w:val="1"/>
          <w:i w:val="1"/>
          <w:iCs w:val="1"/>
          <w:color w:val="auto"/>
        </w:rPr>
        <w:t>Public Lender</w:t>
      </w:r>
      <w:r>
        <w:rPr>
          <w:rFonts w:ascii="Arial" w:cs="Arial" w:eastAsia="Arial" w:hAnsi="Arial"/>
          <w:sz w:val="17"/>
          <w:szCs w:val="17"/>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Company shall be deemed to have authorized the Administrative Agent, the Lead Arrangers and the Banks to treat such Communications and other information as not containing any material non-public information with respect to the Company or its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such Communications and other information subject to </w:t>
      </w:r>
      <w:r>
        <w:rPr>
          <w:rFonts w:ascii="Arial" w:cs="Arial" w:eastAsia="Arial" w:hAnsi="Arial"/>
          <w:sz w:val="17"/>
          <w:szCs w:val="17"/>
          <w:b w:val="1"/>
          <w:bCs w:val="1"/>
          <w:i w:val="1"/>
          <w:iCs w:val="1"/>
          <w:color w:val="auto"/>
        </w:rPr>
        <w:t>Section 18.1</w:t>
      </w:r>
      <w:r>
        <w:rPr>
          <w:rFonts w:ascii="Arial" w:cs="Arial" w:eastAsia="Arial" w:hAnsi="Arial"/>
          <w:sz w:val="17"/>
          <w:szCs w:val="17"/>
          <w:color w:val="auto"/>
        </w:rPr>
        <w:t xml:space="preserve">, they shall be treated as set forth in </w:t>
      </w:r>
      <w:r>
        <w:rPr>
          <w:rFonts w:ascii="Arial" w:cs="Arial" w:eastAsia="Arial" w:hAnsi="Arial"/>
          <w:sz w:val="17"/>
          <w:szCs w:val="17"/>
          <w:b w:val="1"/>
          <w:bCs w:val="1"/>
          <w:i w:val="1"/>
          <w:iCs w:val="1"/>
          <w:color w:val="auto"/>
        </w:rPr>
        <w:t>Section 18.1</w:t>
      </w:r>
      <w:r>
        <w:rPr>
          <w:rFonts w:ascii="Arial" w:cs="Arial" w:eastAsia="Arial" w:hAnsi="Arial"/>
          <w:sz w:val="17"/>
          <w:szCs w:val="17"/>
          <w:color w:val="auto"/>
        </w:rPr>
        <w:t>);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4"/>
        <w:spacing w:after="0" w:line="268" w:lineRule="auto"/>
        <w:tabs>
          <w:tab w:leader="none" w:pos="13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HAVE ANY LIABILITY TO THE COMPANY, ANY BANK OR ANY OTHER PERSON OR ENTITY FOR DAMAGES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KIND ARISING OUT OF THE COMPANY’S OR THE ADMINISTRATIVE AGENT’S TRANSMISSION OF COMMUNICATIONS OR NOTICES THROUGH THE PLATFORM, ANY OTHER ELECTRONIC PLATFORM OR ELECTRONIC MESSAGING SERVICE, OR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AGENT PARTY HAVE ANY LIABILITY TO THE COMPANY, ANY BANK OR ANY OTHER PERSON FOR INDIRECT, SPECIAL, INCIDENTAL, CONSEQUENTIAL OR PUNITIVE DAMAGES (AS OPPOSED TO DIRECT OR ACTUAL DAMAGES).</w:t>
      </w:r>
    </w:p>
    <w:p>
      <w:pPr>
        <w:spacing w:after="0" w:line="179" w:lineRule="exact"/>
        <w:rPr>
          <w:rFonts w:ascii="Arial" w:cs="Arial" w:eastAsia="Arial" w:hAnsi="Arial"/>
          <w:sz w:val="17"/>
          <w:szCs w:val="17"/>
          <w:color w:val="auto"/>
        </w:rPr>
      </w:pPr>
    </w:p>
    <w:p>
      <w:pPr>
        <w:jc w:val="both"/>
        <w:ind w:firstLine="644"/>
        <w:spacing w:after="0" w:line="273" w:lineRule="auto"/>
        <w:tabs>
          <w:tab w:leader="none" w:pos="137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6" w:name="page77"/>
    <w:bookmarkEnd w:id="76"/>
    <w:p>
      <w:pPr>
        <w:ind w:left="652" w:firstLine="644"/>
        <w:spacing w:after="0" w:line="277" w:lineRule="auto"/>
        <w:tabs>
          <w:tab w:leader="none" w:pos="20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this Agreement in any other manner specified herein.</w:t>
      </w:r>
    </w:p>
    <w:p>
      <w:pPr>
        <w:spacing w:after="0" w:line="166" w:lineRule="exact"/>
        <w:rPr>
          <w:rFonts w:ascii="Arial" w:cs="Arial" w:eastAsia="Arial" w:hAnsi="Arial"/>
          <w:sz w:val="18"/>
          <w:szCs w:val="18"/>
          <w:color w:val="auto"/>
        </w:rPr>
      </w:pPr>
    </w:p>
    <w:p>
      <w:pPr>
        <w:jc w:val="both"/>
        <w:ind w:left="-8" w:firstLine="8"/>
        <w:spacing w:after="0" w:line="268" w:lineRule="auto"/>
        <w:tabs>
          <w:tab w:leader="none" w:pos="757"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The rights and remedies herein expressed are cumulative and not exclusive of any other rights which the Banks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rFonts w:ascii="Arial" w:cs="Arial" w:eastAsia="Arial" w:hAnsi="Arial"/>
          <w:sz w:val="17"/>
          <w:szCs w:val="17"/>
          <w:color w:val="auto"/>
        </w:rPr>
      </w:pPr>
    </w:p>
    <w:p>
      <w:pPr>
        <w:jc w:val="both"/>
        <w:ind w:left="-8" w:firstLine="8"/>
        <w:spacing w:after="0" w:line="289" w:lineRule="auto"/>
        <w:tabs>
          <w:tab w:leader="none" w:pos="703"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CONSENTS, ETC</w:t>
      </w:r>
      <w:r>
        <w:rPr>
          <w:rFonts w:ascii="Arial" w:cs="Arial" w:eastAsia="Arial" w:hAnsi="Arial"/>
          <w:sz w:val="16"/>
          <w:szCs w:val="16"/>
          <w:color w:val="auto"/>
        </w:rPr>
        <w:t>. Neither this Agreement nor any term hereof may be changed, waived, discharged or terminated, except as provided in this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Section 24</w:t>
      </w:r>
      <w:r>
        <w:rPr>
          <w:rFonts w:ascii="Arial" w:cs="Arial" w:eastAsia="Arial" w:hAnsi="Arial"/>
          <w:sz w:val="16"/>
          <w:szCs w:val="16"/>
          <w:color w:val="auto"/>
        </w:rPr>
        <w:t>, subject to the provisions of</w:t>
      </w:r>
      <w:r>
        <w:rPr>
          <w:rFonts w:ascii="Arial" w:cs="Arial" w:eastAsia="Arial" w:hAnsi="Arial"/>
          <w:sz w:val="16"/>
          <w:szCs w:val="16"/>
          <w:b w:val="1"/>
          <w:bCs w:val="1"/>
          <w:i w:val="1"/>
          <w:iCs w:val="1"/>
          <w:color w:val="auto"/>
        </w:rPr>
        <w:t xml:space="preserve"> Section 15.9</w:t>
      </w:r>
      <w:r>
        <w:rPr>
          <w:rFonts w:ascii="Arial" w:cs="Arial" w:eastAsia="Arial" w:hAnsi="Arial"/>
          <w:sz w:val="16"/>
          <w:szCs w:val="16"/>
          <w:color w:val="auto"/>
        </w:rPr>
        <w:t>. No waiver shall extend to or affect any obligation not expressly waived or impair any right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Company or the Guarantor of any terms of this Agreement or such other instrument or the continuance of any Default or Event of Default may be waived (either generally or in a particular instance and either retroactively or prospectively) with, but only with, the written consent of the Company and the Majority Banks. To the extent permitted by law, no course of dealing or delay or omission on the part of any of the Banks or the Administrative Agent in exercising any right shall operate as a waiver thereof or otherwise be prejudicial thereto. No notice to or demand upon the Company or the Guarantor shall entitle the Company to other or further notice or demand in similar or other circumstances.</w:t>
      </w:r>
    </w:p>
    <w:p>
      <w:pPr>
        <w:spacing w:after="0" w:line="166" w:lineRule="exact"/>
        <w:rPr>
          <w:rFonts w:ascii="Arial" w:cs="Arial" w:eastAsia="Arial" w:hAnsi="Arial"/>
          <w:sz w:val="16"/>
          <w:szCs w:val="16"/>
          <w:color w:val="auto"/>
        </w:rPr>
      </w:pPr>
    </w:p>
    <w:p>
      <w:pPr>
        <w:jc w:val="both"/>
        <w:ind w:left="-8" w:firstLine="8"/>
        <w:spacing w:after="0" w:line="253" w:lineRule="auto"/>
        <w:tabs>
          <w:tab w:leader="none" w:pos="81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APPLICABLE LAW, EACH OF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COMPANY AND THE GUARANTOR HEREBY WAIVE ANY RIGHT EITHER OF THEM MAY HAVE TO CLAIM OR RECOVER IN ANY LITIGATION REFERRED TO IN THE PRECEDING SENTENCE ANY SPECIAL, EXEMPLARY, PUNITIVE OR CONSEQUENTIAL DAMAGES OR ANY DAMAGES OTHER THAN, OR IN ADDITION TO, ACTUAL DAMAGES. THE COMPANY AND THE GUARANTOR EACH (a) CERTIFIES THAT NO REPRESENTATIVE, AGENT OR ATTORNEY OF ANY BANK, THE ADMINISTRATIVE AGENT OR ANY AGENT HAS REPRESENTED, EXPRESSLY OR OTHERWISE, THAT SUCH BANK, THE ADMINISTRATIVE AGENT OR SUCH AGENT WOULD NOT, IN THE EVENT OF LITIGATION, SEEK TO ENFORCE THE FOREGOING WAIVERS AND (b) ACKNOWLEDGES THAT THE ADMINISTRATIVE AGENT AND THE BANKS HAVE BEEN INDUCED TO ENTER INTO THIS AGREEMENT AND THE OTHER LOAN DOCUMENTS BECAUSE OF, AMONG OTHER THINGS, THE COMPANY’S AND THE GUARANTOR’S WAIVERS AND CERTIFICATIONS CONTAINED HEREIN.</w:t>
      </w:r>
    </w:p>
    <w:p>
      <w:pPr>
        <w:spacing w:after="0" w:line="200" w:lineRule="exact"/>
        <w:rPr>
          <w:sz w:val="20"/>
          <w:szCs w:val="20"/>
          <w:color w:val="auto"/>
        </w:rPr>
      </w:pPr>
    </w:p>
    <w:p>
      <w:pPr>
        <w:spacing w:after="0" w:line="207" w:lineRule="exact"/>
        <w:rPr>
          <w:sz w:val="20"/>
          <w:szCs w:val="20"/>
          <w:color w:val="auto"/>
        </w:rPr>
      </w:pPr>
    </w:p>
    <w:p>
      <w:pPr>
        <w:ind w:left="11052"/>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7" w:name="page78"/>
    <w:bookmarkEnd w:id="77"/>
    <w:p>
      <w:pPr>
        <w:jc w:val="both"/>
        <w:ind w:firstLine="8"/>
        <w:spacing w:after="0" w:line="269" w:lineRule="auto"/>
        <w:tabs>
          <w:tab w:leader="none" w:pos="846"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GOVERNING LAW; SUBMISSION TO JURISDICTION; DESIGNATION OF NY PROCESS AGENT</w:t>
      </w:r>
      <w:r>
        <w:rPr>
          <w:rFonts w:ascii="Arial" w:cs="Arial" w:eastAsia="Arial" w:hAnsi="Arial"/>
          <w:sz w:val="17"/>
          <w:szCs w:val="17"/>
          <w:color w:val="auto"/>
        </w:rPr>
        <w:t>.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OF THE OTHER LOAN DOCUMENTS ARE CONTRACTS UNDER THE LAWS OF THE STATE OF NEW YORK AND SHALL, PURSUANT TO NEW YORK GENERAL OBLIGATIONS LAW </w:t>
      </w:r>
      <w:r>
        <w:rPr>
          <w:rFonts w:ascii="Arial" w:cs="Arial" w:eastAsia="Arial" w:hAnsi="Arial"/>
          <w:sz w:val="17"/>
          <w:szCs w:val="17"/>
          <w:i w:val="1"/>
          <w:iCs w:val="1"/>
          <w:color w:val="auto"/>
        </w:rPr>
        <w:t>SECTION 5-1401</w:t>
      </w:r>
      <w:r>
        <w:rPr>
          <w:rFonts w:ascii="Arial" w:cs="Arial" w:eastAsia="Arial" w:hAnsi="Arial"/>
          <w:sz w:val="17"/>
          <w:szCs w:val="17"/>
          <w:color w:val="auto"/>
        </w:rPr>
        <w:t xml:space="preserve">, BE CONSTRUED IN ACCORDANCE WITH AND GOVERNED BY THE LAW OF THE STATE OF NEW YORK. THE COMPANY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EXCLUSIVE JURISDICTION OF SUCH COURTS AND SERVICE OF PROCESS IN ANY SUCH SUIT BEING MADE UPON THE COMPANY IN ACCORDANCE WITH LAW AT THE ADDRESS SPECIFIED IN </w:t>
      </w:r>
      <w:r>
        <w:rPr>
          <w:rFonts w:ascii="Arial" w:cs="Arial" w:eastAsia="Arial" w:hAnsi="Arial"/>
          <w:sz w:val="17"/>
          <w:szCs w:val="17"/>
          <w:b w:val="1"/>
          <w:bCs w:val="1"/>
          <w:i w:val="1"/>
          <w:iCs w:val="1"/>
          <w:color w:val="auto"/>
        </w:rPr>
        <w:t>SECTION 22</w:t>
      </w:r>
      <w:r>
        <w:rPr>
          <w:rFonts w:ascii="Arial" w:cs="Arial" w:eastAsia="Arial" w:hAnsi="Arial"/>
          <w:sz w:val="17"/>
          <w:szCs w:val="17"/>
          <w:color w:val="auto"/>
        </w:rPr>
        <w:t>. THE COMPANY AND THE GUARANTOR HEREBY WAIVE ANY OBJECTION THAT THEY MAY NOW OR HEREAFTER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178" w:lineRule="exact"/>
        <w:rPr>
          <w:rFonts w:ascii="Arial" w:cs="Arial" w:eastAsia="Arial" w:hAnsi="Arial"/>
          <w:sz w:val="17"/>
          <w:szCs w:val="17"/>
          <w:color w:val="auto"/>
        </w:rPr>
      </w:pPr>
    </w:p>
    <w:p>
      <w:pPr>
        <w:jc w:val="both"/>
        <w:ind w:firstLine="8"/>
        <w:spacing w:after="0" w:line="274" w:lineRule="auto"/>
        <w:tabs>
          <w:tab w:leader="none" w:pos="63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The provisions of this Agreement are severable and if any one clause or provision hereof shall be held invalid or unenforceable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Arial" w:cs="Arial" w:eastAsia="Arial" w:hAnsi="Arial"/>
          <w:sz w:val="17"/>
          <w:szCs w:val="17"/>
          <w:b w:val="1"/>
          <w:bCs w:val="1"/>
          <w:i w:val="1"/>
          <w:iCs w:val="1"/>
          <w:color w:val="auto"/>
        </w:rPr>
        <w:t>Section 27</w:t>
      </w:r>
      <w:r>
        <w:rPr>
          <w:rFonts w:ascii="Arial" w:cs="Arial" w:eastAsia="Arial" w:hAnsi="Arial"/>
          <w:sz w:val="17"/>
          <w:szCs w:val="17"/>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then such provisions shall be deemed to be in effect only to the extent not so limited.</w:t>
      </w:r>
    </w:p>
    <w:p>
      <w:pPr>
        <w:spacing w:after="0" w:line="173" w:lineRule="exact"/>
        <w:rPr>
          <w:rFonts w:ascii="Arial" w:cs="Arial" w:eastAsia="Arial" w:hAnsi="Arial"/>
          <w:sz w:val="17"/>
          <w:szCs w:val="17"/>
          <w:color w:val="auto"/>
        </w:rPr>
      </w:pPr>
    </w:p>
    <w:p>
      <w:pPr>
        <w:ind w:left="640" w:hanging="632"/>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GUARANTY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b w:val="1"/>
          <w:bCs w:val="1"/>
          <w:color w:val="auto"/>
        </w:rPr>
        <w:t>Guaranty</w:t>
      </w:r>
      <w:r>
        <w:rPr>
          <w:rFonts w:ascii="Arial" w:cs="Arial" w:eastAsia="Arial" w:hAnsi="Arial"/>
          <w:sz w:val="17"/>
          <w:szCs w:val="17"/>
          <w:color w:val="auto"/>
        </w:rPr>
        <w:t>. For value received and hereby acknowledged and as an inducement to the Banks to make the Loans available to the Company, the Guarantor hereby unconditionally and irrevocably guarantees (a) the full punctual payment when due, whether at stated maturity, by acceleration or otherwise, of all Obligations of the Company now or hereafter existing whether for principal, interest, fees, expenses or otherwise, and</w:t>
      </w:r>
    </w:p>
    <w:p>
      <w:pPr>
        <w:spacing w:after="0" w:line="2" w:lineRule="exact"/>
        <w:rPr>
          <w:sz w:val="20"/>
          <w:szCs w:val="20"/>
          <w:color w:val="auto"/>
        </w:rPr>
      </w:pPr>
    </w:p>
    <w:p>
      <w:pPr>
        <w:jc w:val="both"/>
        <w:ind w:firstLine="8"/>
        <w:spacing w:after="0" w:line="255"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strict performance and observance by the Company of all agreements, warranties and covenants applicable to the Company in the Loan Documents and (c) the obligations of the Company under the Loan Documents (such Obligations collectively being hereafter referred to as the “</w:t>
      </w:r>
      <w:r>
        <w:rPr>
          <w:rFonts w:ascii="Arial" w:cs="Arial" w:eastAsia="Arial" w:hAnsi="Arial"/>
          <w:sz w:val="18"/>
          <w:szCs w:val="18"/>
          <w:b w:val="1"/>
          <w:bCs w:val="1"/>
          <w:i w:val="1"/>
          <w:iCs w:val="1"/>
          <w:color w:val="auto"/>
        </w:rPr>
        <w:t>Guaranteed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61"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b w:val="1"/>
          <w:bCs w:val="1"/>
          <w:color w:val="auto"/>
        </w:rPr>
        <w:t>Guaranty Absolute</w:t>
      </w:r>
      <w:r>
        <w:rPr>
          <w:rFonts w:ascii="Arial" w:cs="Arial" w:eastAsia="Arial" w:hAnsi="Arial"/>
          <w:sz w:val="18"/>
          <w:szCs w:val="18"/>
          <w:color w:val="auto"/>
        </w:rPr>
        <w:t>. The Guarantor guarantees that the Guaranteed Obligations will be paid strictly in accordance with the terms hereof, regardless of any law, regulation or order now or hereafter in effect in any jurisdiction affecting any of such terms or the rights of any Bank or the Administrative Agent with respect thereto. The liability of the Guarantor under the guaranty granted under this Agreement with regard to the Guaranteed Obligations shall be absolute and unconditional irrespective of:</w:t>
      </w:r>
    </w:p>
    <w:p>
      <w:pPr>
        <w:spacing w:after="0" w:line="184" w:lineRule="exact"/>
        <w:rPr>
          <w:sz w:val="20"/>
          <w:szCs w:val="20"/>
          <w:color w:val="auto"/>
        </w:rPr>
      </w:pPr>
    </w:p>
    <w:p>
      <w:pPr>
        <w:jc w:val="both"/>
        <w:ind w:left="660" w:firstLine="644"/>
        <w:spacing w:after="0" w:line="263" w:lineRule="auto"/>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83" w:lineRule="exact"/>
        <w:rPr>
          <w:rFonts w:ascii="Arial" w:cs="Arial" w:eastAsia="Arial" w:hAnsi="Arial"/>
          <w:sz w:val="18"/>
          <w:szCs w:val="18"/>
          <w:color w:val="auto"/>
        </w:rPr>
      </w:pPr>
    </w:p>
    <w:p>
      <w:pPr>
        <w:ind w:left="2200" w:hanging="896"/>
        <w:spacing w:after="0"/>
        <w:tabs>
          <w:tab w:leader="none" w:pos="22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release or amendment or waiver of or consent to departure from any other guaranty for all or any of its Guaranteed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10" w:lineRule="exact"/>
        <w:rPr>
          <w:rFonts w:ascii="Arial" w:cs="Arial" w:eastAsia="Arial" w:hAnsi="Arial"/>
          <w:sz w:val="17"/>
          <w:szCs w:val="17"/>
          <w:color w:val="auto"/>
        </w:rPr>
      </w:pPr>
    </w:p>
    <w:p>
      <w:pPr>
        <w:ind w:left="1960" w:hanging="656"/>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change in ownership of the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acceptance of any partial payment(s) from the Company or the Guarantor; or</w:t>
      </w:r>
    </w:p>
    <w:p>
      <w:pPr>
        <w:spacing w:after="0" w:line="225" w:lineRule="exact"/>
        <w:rPr>
          <w:rFonts w:ascii="Arial" w:cs="Arial" w:eastAsia="Arial" w:hAnsi="Arial"/>
          <w:sz w:val="18"/>
          <w:szCs w:val="18"/>
          <w:color w:val="auto"/>
        </w:rPr>
      </w:pPr>
    </w:p>
    <w:p>
      <w:pPr>
        <w:ind w:left="660" w:firstLine="644"/>
        <w:spacing w:after="0" w:line="277" w:lineRule="auto"/>
        <w:tabs>
          <w:tab w:leader="none" w:pos="207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the Company in respect of its Obligations under any Loan Document.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 the Banks or the Administrative Agent upon the insolvency, bankruptcy or reorganization of the Company or otherwise, all as though such payment had not been made.</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b w:val="1"/>
          <w:bCs w:val="1"/>
          <w:color w:val="auto"/>
        </w:rPr>
        <w:t>Effectiveness; Enforcement</w:t>
      </w:r>
      <w:r>
        <w:rPr>
          <w:rFonts w:ascii="Arial" w:cs="Arial" w:eastAsia="Arial" w:hAnsi="Arial"/>
          <w:sz w:val="17"/>
          <w:szCs w:val="17"/>
          <w:color w:val="auto"/>
        </w:rPr>
        <w:t>. The guaranty under this Agreement shall be effective and shall be deemed to be made with respect to each Loan as of the time it is made, issued or extended. No invalidity, irregularity or unenforceability by reason of any bankruptcy or similar law, or any law or order of any government or agency thereof purporting to reduce, amend or otherwise affect any liability of the Company, and no defect in or insufficiency or want of powers of the Company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and the Banks and their successors and assigns, and may be enforced from time to time as often as occasion therefor may arise and without requirement on the part of the Administrative Agent or the Banks first to exercise any rights against the Company, or to resort to any other source or means of obtaining payment of any of the said obligations or to elect any other remedy.</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28.4 </w:t>
      </w:r>
      <w:r>
        <w:rPr>
          <w:rFonts w:ascii="Arial" w:cs="Arial" w:eastAsia="Arial" w:hAnsi="Arial"/>
          <w:sz w:val="17"/>
          <w:szCs w:val="17"/>
          <w:b w:val="1"/>
          <w:bCs w:val="1"/>
          <w:color w:val="auto"/>
        </w:rPr>
        <w:t>Waiver</w:t>
      </w:r>
      <w:r>
        <w:rPr>
          <w:rFonts w:ascii="Arial" w:cs="Arial" w:eastAsia="Arial" w:hAnsi="Arial"/>
          <w:sz w:val="17"/>
          <w:szCs w:val="17"/>
          <w:color w:val="auto"/>
        </w:rPr>
        <w:t>.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or the Administrative Agent protect, secure, perfect any security interest or Lien or any property subject thereto or exhaust any right or take any action against the Company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4" w:lineRule="auto"/>
        <w:rPr>
          <w:sz w:val="20"/>
          <w:szCs w:val="20"/>
          <w:color w:val="auto"/>
        </w:rPr>
      </w:pPr>
      <w:r>
        <w:rPr>
          <w:rFonts w:ascii="Arial" w:cs="Arial" w:eastAsia="Arial" w:hAnsi="Arial"/>
          <w:sz w:val="18"/>
          <w:szCs w:val="18"/>
          <w:color w:val="auto"/>
        </w:rPr>
        <w:t xml:space="preserve">28.5 </w:t>
      </w:r>
      <w:r>
        <w:rPr>
          <w:rFonts w:ascii="Arial" w:cs="Arial" w:eastAsia="Arial" w:hAnsi="Arial"/>
          <w:sz w:val="18"/>
          <w:szCs w:val="18"/>
          <w:b w:val="1"/>
          <w:bCs w:val="1"/>
          <w:color w:val="auto"/>
        </w:rPr>
        <w:t>Expenses</w:t>
      </w:r>
      <w:r>
        <w:rPr>
          <w:rFonts w:ascii="Arial" w:cs="Arial" w:eastAsia="Arial" w:hAnsi="Arial"/>
          <w:sz w:val="18"/>
          <w:szCs w:val="18"/>
          <w:color w:val="auto"/>
        </w:rPr>
        <w:t>.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9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b w:val="1"/>
          <w:bCs w:val="1"/>
          <w:color w:val="auto"/>
        </w:rPr>
        <w:t>Concerning Joint and Several Liability of the Guarantor</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301" w:lineRule="auto"/>
        <w:tabs>
          <w:tab w:leader="none" w:pos="20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Guarantor hereby irrevocably and unconditionally accepts, not merely as a surety but also as a co-debtor, joint and several liability with the Company, with respect to the payment and performance of all of its Guaranteed Obligations (including, without limitation, any Guaranteed Obligations arising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it being the intention of the parties hereto that all such Guaranteed Obligations shall be the joint and several Guaranteed Obligations of the Guarantor and the Company without preferences or distinction among them.</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19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and to the extent that the Company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0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Guaranteed Obligations of the Guarantor under the provisions of this </w:t>
      </w:r>
      <w:r>
        <w:rPr>
          <w:rFonts w:ascii="Arial" w:cs="Arial" w:eastAsia="Arial" w:hAnsi="Arial"/>
          <w:sz w:val="18"/>
          <w:szCs w:val="18"/>
          <w:b w:val="1"/>
          <w:bCs w:val="1"/>
          <w:i w:val="1"/>
          <w:iCs w:val="1"/>
          <w:color w:val="auto"/>
        </w:rPr>
        <w:t>Section 28</w:t>
      </w:r>
      <w:r>
        <w:rPr>
          <w:rFonts w:ascii="Arial" w:cs="Arial" w:eastAsia="Arial" w:hAnsi="Arial"/>
          <w:sz w:val="18"/>
          <w:szCs w:val="18"/>
          <w:color w:val="auto"/>
        </w:rPr>
        <w:t xml:space="preserve">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183" w:lineRule="exact"/>
        <w:rPr>
          <w:rFonts w:ascii="Arial" w:cs="Arial" w:eastAsia="Arial" w:hAnsi="Arial"/>
          <w:sz w:val="18"/>
          <w:szCs w:val="18"/>
          <w:color w:val="auto"/>
        </w:rPr>
      </w:pPr>
    </w:p>
    <w:p>
      <w:pPr>
        <w:jc w:val="both"/>
        <w:ind w:left="660" w:firstLine="644"/>
        <w:spacing w:after="0" w:line="284" w:lineRule="auto"/>
        <w:tabs>
          <w:tab w:leader="none" w:pos="208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this Agreement, the Guarantor hereby waives notice of acceptance of its joint and several liability, notice of any Loans made under this Agreement, notice of any action at any time taken or omitted by the Administrative Agent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or the Banks at any time or times in respect of any Default or Event of Default by the Company or the Guarantor in the performance or satisfaction of any term, covenant, condition or provision of this Agreement or any other Loan Document, any and all other indulgences whatsoever by the Administrative Agent or the Banks in respect of any of the Guaranteed Obligations, and the taking, addition, substitution or release, in whole or in part, at any time or times, of any security for any of the Guaranteed Obligations or the addition, substitution or release, in whole or in part, of the Company or the Guarantor. Without limiting the generality of the foregoing, the Guarantor assents to any other action or delay in acting or failure to act on the part of the Banks or the Administrative Agent with respect to the failure by the Company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afford grounds for terminating, discharging or relieving the Guarantor, in whole or in part, from any of the Guaranteed Obligations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it being the intention of the Guarantor that, so long as any of the Guaranteed Obligations hereunder remain unsatisfied, the Guaranteed Obligations of the Guarantor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shall not be discharged except by performance and then only to the extent of such performance. The Guaranteed Obligations of the Guarantor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shall not be diminished or rendered unenforceable by any winding up, reorganization, arrangement, liquidation, reconstruction or similar proceeding with respect to the Company or the Guarantor or the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Company or the Guarantor, the Banks or the Administrative Agent.</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left="660" w:firstLine="644"/>
        <w:spacing w:after="0" w:line="291" w:lineRule="auto"/>
        <w:tabs>
          <w:tab w:leader="none" w:pos="20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Guarantor shall be liable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only for the maximum amount of such liabilities that can be incurred under applicable law without rendering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voidable under applicable law relating to fraudulent conveyance and fraudulent transfer, and not for any greater amount. Accordingly, if any obligation under any provision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shall be declared to be invalid or unenforceable in any respect or to any extent, it is the stated intention and agreement of the Guarantor, the Administrative Agent and the Banks that any balance of the obligation created by such provision and all other obligations of the Guarantor under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to the Banks or the Administrative Agent shall remain valid and enforceable, and that all sums not in excess of those permitted under applicable law shall remain fully collectible by the Banks and the Administrative Agent from the Company or the Guarantor, as the case may be.</w:t>
      </w:r>
    </w:p>
    <w:p>
      <w:pPr>
        <w:spacing w:after="0" w:line="166" w:lineRule="exact"/>
        <w:rPr>
          <w:rFonts w:ascii="Arial" w:cs="Arial" w:eastAsia="Arial" w:hAnsi="Arial"/>
          <w:sz w:val="16"/>
          <w:szCs w:val="16"/>
          <w:color w:val="auto"/>
        </w:rPr>
      </w:pPr>
    </w:p>
    <w:p>
      <w:pPr>
        <w:jc w:val="both"/>
        <w:ind w:left="660" w:firstLine="644"/>
        <w:spacing w:after="0" w:line="289" w:lineRule="auto"/>
        <w:tabs>
          <w:tab w:leader="none" w:pos="2002"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are made for the benefit of the Administrative Agent and the Banks and their successors and assigns, and may be enforced in good faith by them from time to time against the Guarantor as often as occasion therefor may arise and without requirement on the part of the Administrative Agent or the Banks first to marshal any of their claims or to exercise any of their rights against the Company or the Guarantor or to exhaust any remedies available to them against the Company or the Guarantor or to resort to any other source or means of obtaining payment of any of the obligations hereunder or to elect any other remedy. The provisions of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shall remain in effect until all of the Guaranteed Obligations shall have been paid in full or otherwise fully satisfied and the Commitments have expired. If at any time, any payment, or any part thereof, made in respect of any of the Guaranteed Obligations, is rescinded or must otherwise be restored or returned by the Banks or the Administrative Agent upon the insolvency, bankruptcy or reorganization of the Company or the Guarantor, or otherwise, the provisions of this </w:t>
      </w:r>
      <w:r>
        <w:rPr>
          <w:rFonts w:ascii="Arial" w:cs="Arial" w:eastAsia="Arial" w:hAnsi="Arial"/>
          <w:sz w:val="16"/>
          <w:szCs w:val="16"/>
          <w:b w:val="1"/>
          <w:bCs w:val="1"/>
          <w:i w:val="1"/>
          <w:iCs w:val="1"/>
          <w:color w:val="auto"/>
        </w:rPr>
        <w:t>Section 28</w:t>
      </w:r>
      <w:r>
        <w:rPr>
          <w:rFonts w:ascii="Arial" w:cs="Arial" w:eastAsia="Arial" w:hAnsi="Arial"/>
          <w:sz w:val="16"/>
          <w:szCs w:val="16"/>
          <w:color w:val="auto"/>
        </w:rPr>
        <w:t xml:space="preserve"> will forthwith be reinstated in effect, as though such payment had not been made.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28.7 </w:t>
      </w:r>
      <w:r>
        <w:rPr>
          <w:rFonts w:ascii="Arial" w:cs="Arial" w:eastAsia="Arial" w:hAnsi="Arial"/>
          <w:sz w:val="17"/>
          <w:szCs w:val="17"/>
          <w:b w:val="1"/>
          <w:bCs w:val="1"/>
          <w:color w:val="auto"/>
        </w:rPr>
        <w:t>Waiver</w:t>
      </w:r>
      <w:r>
        <w:rPr>
          <w:rFonts w:ascii="Arial" w:cs="Arial" w:eastAsia="Arial" w:hAnsi="Arial"/>
          <w:sz w:val="17"/>
          <w:szCs w:val="17"/>
          <w:color w:val="auto"/>
        </w:rPr>
        <w:t>. Until the final payment and performance in full of all of the Obligations, the Guarantor shall not exercise and the Guarantor hereby waives any rights the Guarantor may have against the Company arising as a result of payment by the Guarantor hereunder, by way of subrogation, reimbursement, restitution, contribution or otherwise, and will not prove any claim in competition with the Administrative Agent or any Bank in respect of any payment hereunder in any bankruptcy, insolvency or reorganization case or proceedings of any nature; the Guarantor will not claim any setoff, recoupment or counterclaim against the Company in respect of any liability of the Company to the Guarantor; and the Guarantor waives any benefit of and any right to participate in any collateral security which may be held by the Administrative Agent or any Bank.</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28.8 </w:t>
      </w:r>
      <w:r>
        <w:rPr>
          <w:rFonts w:ascii="Arial" w:cs="Arial" w:eastAsia="Arial" w:hAnsi="Arial"/>
          <w:sz w:val="17"/>
          <w:szCs w:val="17"/>
          <w:b w:val="1"/>
          <w:bCs w:val="1"/>
          <w:color w:val="auto"/>
        </w:rPr>
        <w:t>Subrogation; Subordination</w:t>
      </w:r>
      <w:r>
        <w:rPr>
          <w:rFonts w:ascii="Arial" w:cs="Arial" w:eastAsia="Arial" w:hAnsi="Arial"/>
          <w:sz w:val="17"/>
          <w:szCs w:val="17"/>
          <w:color w:val="auto"/>
        </w:rPr>
        <w:t>. The payment of any amounts due with respect to any indebtedness of the Company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Company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and the Administrative Agent and be paid over to the Administrative Agent at Default, for the benefit of the Banks and the Administrative Agent on account of the Obligations without affecting in any manner the liability of the Guarantor under the other provisions hereof.</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left="640" w:hanging="632"/>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PRO RATA TREATMENT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63" w:lineRule="auto"/>
        <w:tabs>
          <w:tab w:leader="none" w:pos="2186"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herein, each payment or prepayment of principal and interest received hereunder shall be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Banks, in accordance with the aggregate outstanding principal amount of the Obligations owing to each Bank divided by the aggregate outstanding principal amount of all Obligations.</w:t>
      </w:r>
    </w:p>
    <w:p>
      <w:pPr>
        <w:spacing w:after="0" w:line="183" w:lineRule="exact"/>
        <w:rPr>
          <w:rFonts w:ascii="Arial" w:cs="Arial" w:eastAsia="Arial" w:hAnsi="Arial"/>
          <w:sz w:val="18"/>
          <w:szCs w:val="18"/>
          <w:color w:val="auto"/>
        </w:rPr>
      </w:pPr>
    </w:p>
    <w:p>
      <w:pPr>
        <w:jc w:val="both"/>
        <w:ind w:left="660" w:firstLine="644"/>
        <w:spacing w:after="0" w:line="284" w:lineRule="auto"/>
        <w:tabs>
          <w:tab w:leader="none" w:pos="2072"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Each Bank agrees that if it shall, through the exercise of a right of banker’s lien, setoff or counterclaim against the Company (pursuant to </w:t>
      </w:r>
      <w:r>
        <w:rPr>
          <w:rFonts w:ascii="Arial" w:cs="Arial" w:eastAsia="Arial" w:hAnsi="Arial"/>
          <w:sz w:val="16"/>
          <w:szCs w:val="16"/>
          <w:b w:val="1"/>
          <w:bCs w:val="1"/>
          <w:i w:val="1"/>
          <w:iCs w:val="1"/>
          <w:color w:val="auto"/>
        </w:rPr>
        <w:t>Section 13</w:t>
      </w:r>
      <w:r>
        <w:rPr>
          <w:rFonts w:ascii="Arial" w:cs="Arial" w:eastAsia="Arial" w:hAnsi="Arial"/>
          <w:sz w:val="16"/>
          <w:szCs w:val="16"/>
          <w:color w:val="auto"/>
        </w:rPr>
        <w:t xml:space="preserve"> or otherwise), including a secured claim under </w:t>
      </w:r>
      <w:r>
        <w:rPr>
          <w:rFonts w:ascii="Arial" w:cs="Arial" w:eastAsia="Arial" w:hAnsi="Arial"/>
          <w:sz w:val="16"/>
          <w:szCs w:val="16"/>
          <w:i w:val="1"/>
          <w:iCs w:val="1"/>
          <w:color w:val="auto"/>
        </w:rPr>
        <w:t>Section 506</w:t>
      </w:r>
      <w:r>
        <w:rPr>
          <w:rFonts w:ascii="Arial" w:cs="Arial" w:eastAsia="Arial" w:hAnsi="Arial"/>
          <w:sz w:val="16"/>
          <w:szCs w:val="16"/>
          <w:color w:val="auto"/>
        </w:rPr>
        <w:t xml:space="preserve">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Notes, Loans and other Obligations held by it (other than pursuant to </w:t>
      </w:r>
      <w:r>
        <w:rPr>
          <w:rFonts w:ascii="Arial" w:cs="Arial" w:eastAsia="Arial" w:hAnsi="Arial"/>
          <w:sz w:val="16"/>
          <w:szCs w:val="16"/>
          <w:b w:val="1"/>
          <w:bCs w:val="1"/>
          <w:i w:val="1"/>
          <w:iCs w:val="1"/>
          <w:color w:val="auto"/>
        </w:rPr>
        <w:t>Section 3.4</w:t>
      </w:r>
      <w:r>
        <w:rPr>
          <w:rFonts w:ascii="Arial" w:cs="Arial" w:eastAsia="Arial" w:hAnsi="Arial"/>
          <w:sz w:val="16"/>
          <w:szCs w:val="16"/>
          <w:color w:val="auto"/>
        </w:rPr>
        <w:t xml:space="preserve">)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if any such purchase or purchases or adjustments shall be made pursuant to this </w:t>
      </w:r>
      <w:r>
        <w:rPr>
          <w:rFonts w:ascii="Arial" w:cs="Arial" w:eastAsia="Arial" w:hAnsi="Arial"/>
          <w:sz w:val="16"/>
          <w:szCs w:val="16"/>
          <w:b w:val="1"/>
          <w:bCs w:val="1"/>
          <w:i w:val="1"/>
          <w:iCs w:val="1"/>
          <w:color w:val="auto"/>
        </w:rPr>
        <w:t>Section 29</w:t>
      </w:r>
      <w:r>
        <w:rPr>
          <w:rFonts w:ascii="Arial" w:cs="Arial" w:eastAsia="Arial" w:hAnsi="Arial"/>
          <w:sz w:val="16"/>
          <w:szCs w:val="16"/>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w:t>
      </w:r>
      <w:r>
        <w:rPr>
          <w:rFonts w:ascii="Arial" w:cs="Arial" w:eastAsia="Arial" w:hAnsi="Arial"/>
          <w:sz w:val="16"/>
          <w:szCs w:val="16"/>
          <w:b w:val="1"/>
          <w:bCs w:val="1"/>
          <w:i w:val="1"/>
          <w:iCs w:val="1"/>
          <w:color w:val="auto"/>
        </w:rPr>
        <w:t xml:space="preserve">Section </w:t>
      </w:r>
      <w:r>
        <w:rPr>
          <w:rFonts w:ascii="Arial" w:cs="Arial" w:eastAsia="Arial" w:hAnsi="Arial"/>
          <w:sz w:val="16"/>
          <w:szCs w:val="16"/>
          <w:color w:val="auto"/>
        </w:rPr>
        <w:t>shall not be construed to apply to (x) any payment made by or on behalf of the Company pursuant to and in accordance with the express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terms of this Agreement (including the application of funds arising from the existence of a Defaulting Bank), or (y) any payment obtained by a Bank as consideration for the assignment of or sale of a participation in any of its Loans to any assignee or participant, other than an assignment to the Company or any Subsidiary thereof (as to which the provisions of this </w:t>
      </w:r>
      <w:r>
        <w:rPr>
          <w:rFonts w:ascii="Arial" w:cs="Arial" w:eastAsia="Arial" w:hAnsi="Arial"/>
          <w:sz w:val="16"/>
          <w:szCs w:val="16"/>
          <w:b w:val="1"/>
          <w:bCs w:val="1"/>
          <w:i w:val="1"/>
          <w:iCs w:val="1"/>
          <w:color w:val="auto"/>
        </w:rPr>
        <w:t>Section</w:t>
      </w:r>
      <w:r>
        <w:rPr>
          <w:rFonts w:ascii="Arial" w:cs="Arial" w:eastAsia="Arial" w:hAnsi="Arial"/>
          <w:sz w:val="16"/>
          <w:szCs w:val="16"/>
          <w:color w:val="auto"/>
        </w:rPr>
        <w:t xml:space="preserve"> shall apply). The Company expressly consents to the foregoing arrangements and agrees that any Person holding such a participation in the Obligations deemed to have been so purchased may exercise any and all rights of banker’s lien, setoff or counterclaim with respect to any and all moneys owing by the Company to such Person as fully as if such Person had made a Loan directly to the Company in the amount of such participation.</w:t>
      </w:r>
    </w:p>
    <w:p>
      <w:pPr>
        <w:spacing w:after="0" w:line="177" w:lineRule="exact"/>
        <w:rPr>
          <w:rFonts w:ascii="Arial" w:cs="Arial" w:eastAsia="Arial" w:hAnsi="Arial"/>
          <w:sz w:val="16"/>
          <w:szCs w:val="16"/>
          <w:color w:val="auto"/>
        </w:rPr>
      </w:pPr>
    </w:p>
    <w:p>
      <w:pPr>
        <w:jc w:val="both"/>
        <w:ind w:firstLine="8"/>
        <w:spacing w:after="0" w:line="266" w:lineRule="auto"/>
        <w:tabs>
          <w:tab w:leader="none" w:pos="981"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FINAL AGREEMENT</w:t>
      </w:r>
      <w:r>
        <w:rPr>
          <w:rFonts w:ascii="Arial" w:cs="Arial" w:eastAsia="Arial" w:hAnsi="Arial"/>
          <w:sz w:val="18"/>
          <w:szCs w:val="18"/>
          <w:color w:val="auto"/>
        </w:rPr>
        <w:t>. THIS AGREEMENT AND THE OTHER LOAN DOCUMENTS REPRESENT THE FINAL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PARTIES AND MAY NOT BE CONTRADICTED BY EVIDENCE OF PRIOR, CONTEMPORANEOUS, OR SUBSEQUENT ORAL AGREEMENTS OF THE PARTIES. THERE ARE NO UNWRITTEN ORAL AGREEMENTS BETWEEN THE PARTIES.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8"/>
        <w:spacing w:after="0" w:line="294" w:lineRule="auto"/>
        <w:tabs>
          <w:tab w:leader="none" w:pos="724"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USA PATRIOT ACT</w:t>
      </w:r>
      <w:r>
        <w:rPr>
          <w:rFonts w:ascii="Arial" w:cs="Arial" w:eastAsia="Arial" w:hAnsi="Arial"/>
          <w:sz w:val="16"/>
          <w:szCs w:val="16"/>
          <w:color w:val="auto"/>
        </w:rPr>
        <w:t>. Each Bank hereby notifies the Company that pursuant to the requirements of the USA PATRIOT Act and the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AML Acts, it is required to obtain, verify and record information that identifies the Company, which information includes the name and address of the Company, information concerning its direct and indirect holders of equity interests and other Persons exercising control over it, and other information that will allow such Bank to identify the Company in accordance with the USA PATRIOT Act and the Canadian AML Acts. The Company and each of its Subsidiaries shall provide such information and take such actions as are reasonably requested by the Administrative Agent or any Bank in order to assist the Administrative Agent and the Banks in maintaining compliance with the USA PATRIOT Act and the Canadian AML Acts.</w:t>
      </w:r>
    </w:p>
    <w:p>
      <w:pPr>
        <w:spacing w:after="0" w:line="159" w:lineRule="exact"/>
        <w:rPr>
          <w:rFonts w:ascii="Arial" w:cs="Arial" w:eastAsia="Arial" w:hAnsi="Arial"/>
          <w:sz w:val="16"/>
          <w:szCs w:val="16"/>
          <w:color w:val="auto"/>
        </w:rPr>
      </w:pPr>
    </w:p>
    <w:p>
      <w:pPr>
        <w:jc w:val="both"/>
        <w:ind w:firstLine="8"/>
        <w:spacing w:after="0" w:line="268" w:lineRule="auto"/>
        <w:tabs>
          <w:tab w:leader="none" w:pos="711"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amendment, waiver or other modification hereof or of any other Loan Document), each of the Company and the Guarantor acknowledges and agrees, and acknowledges its affiliates’ understanding, that: (i)(A) the arranging and other services regarding this Agreement provided by the Administrative Agent, the Banks and the Lead Arrangers are arm’s-length commercial transactions between the Company, the Guarantor and their respective affiliates, on the one hand, and the Administrative Agent, the Banks and the other Lead Arrangers, on the other hand, (B) each of the Company and the Guarantor has consulted its own legal, accounting, regulatory and tax advisors to the extent it has deemed appropriate, and (C) the Company and the Guarantor is capable of evaluating, and understands and accepts, the terms, risks and conditions of the transactions contemplated hereby and by the other Loan Documents; (ii)(A) the Administrative Agent, each Bank and each Lead Arranger each is and has been acting solely as a principal and, except as expressly agreed in writing by the relevant parties, has not been, is not, and will not be acting as an advisor, agent or fiduciary for the Company, the Guarantor or any of their respective affiliates, or any other Person and (B) neither the Administrative Agent nor any Bank nor any Lead Arranger has any obligation to the Company,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Company, the Guarantor and their respective affiliates, and neither the Administrative Agent nor any Bank nor any Lead Arranger has any obligation to disclose any of such interests to the Company, the Guarantor or any of their respective affiliates. To the fullest extent permitted by law, each of the Company and the Guarantor hereby waives and releases any claims that it may have against the Administrative Agent, the Banks and the other Lead Arrangers with respect to any breach or alleged breach of any agency or fiduciary duty to the Company, the Guarantor or any of their respective affiliates in connection with any aspect of any transaction contemplated hereby.</w:t>
      </w:r>
    </w:p>
    <w:p>
      <w:pPr>
        <w:spacing w:after="0" w:line="174" w:lineRule="exact"/>
        <w:rPr>
          <w:rFonts w:ascii="Arial" w:cs="Arial" w:eastAsia="Arial" w:hAnsi="Arial"/>
          <w:sz w:val="17"/>
          <w:szCs w:val="17"/>
          <w:color w:val="auto"/>
        </w:rPr>
      </w:pPr>
    </w:p>
    <w:p>
      <w:pPr>
        <w:jc w:val="both"/>
        <w:ind w:firstLine="8"/>
        <w:spacing w:after="0" w:line="270" w:lineRule="auto"/>
        <w:tabs>
          <w:tab w:leader="none" w:pos="67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PAYMENTS SET ASIDE</w:t>
      </w:r>
      <w:r>
        <w:rPr>
          <w:rFonts w:ascii="Arial" w:cs="Arial" w:eastAsia="Arial" w:hAnsi="Arial"/>
          <w:sz w:val="17"/>
          <w:szCs w:val="17"/>
          <w:color w:val="auto"/>
        </w:rPr>
        <w:t>. To the extent that any payment by or on behalf of the Company is made to the Administrative Agent or any Bank,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Administrative Agent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Administrative Agent upon demand its applicable share (without duplication) of any amount so recovered from or repaid by the Administrative Agent, plus interest thereon from the date of such demand to the date such payment is made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Federal Funds Rate from time to time in effect. The obligations of the Banks under </w:t>
      </w:r>
      <w:r>
        <w:rPr>
          <w:rFonts w:ascii="Arial" w:cs="Arial" w:eastAsia="Arial" w:hAnsi="Arial"/>
          <w:sz w:val="17"/>
          <w:szCs w:val="17"/>
          <w:b w:val="1"/>
          <w:bCs w:val="1"/>
          <w:i w:val="1"/>
          <w:iCs w:val="1"/>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8"/>
        <w:spacing w:after="0" w:line="270" w:lineRule="auto"/>
        <w:tabs>
          <w:tab w:leader="none" w:pos="873"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ELECTRONIC EXECUTION OF CREDIT AGREEMENT, ASSIGNMENTS AND CERTAIN OTHER DOCUMENTS</w:t>
      </w:r>
      <w:r>
        <w:rPr>
          <w:rFonts w:ascii="Arial" w:cs="Arial" w:eastAsia="Arial" w:hAnsi="Arial"/>
          <w:sz w:val="17"/>
          <w:szCs w:val="17"/>
          <w:color w:val="auto"/>
        </w:rPr>
        <w:t>. The words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 “execution,” “signed,” “signature,” and words of like import in this Agreement, or in or related to any document to be signed in connection with this Agreement and the transactions contemplated hereby (including without limitation Assignment and Assumptions, amendments or other modifications, Loan Notice,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6" w:lineRule="exact"/>
        <w:rPr>
          <w:rFonts w:ascii="Arial" w:cs="Arial" w:eastAsia="Arial" w:hAnsi="Arial"/>
          <w:sz w:val="17"/>
          <w:szCs w:val="17"/>
          <w:color w:val="auto"/>
        </w:rPr>
      </w:pPr>
    </w:p>
    <w:p>
      <w:pPr>
        <w:jc w:val="both"/>
        <w:ind w:firstLine="8"/>
        <w:spacing w:after="0" w:line="277" w:lineRule="auto"/>
        <w:tabs>
          <w:tab w:leader="none" w:pos="724"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ACKNOWLEDGEMENT AND CONSENT TO BAIL-IN OF AFFECTED FINANCIAL INSTITUTIONS</w:t>
      </w:r>
      <w:r>
        <w:rPr>
          <w:rFonts w:ascii="Arial" w:cs="Arial" w:eastAsia="Arial" w:hAnsi="Arial"/>
          <w:sz w:val="17"/>
          <w:szCs w:val="17"/>
          <w:color w:val="auto"/>
        </w:rPr>
        <w:t>. Solely to the extent any Bank</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an Affected Financial Institution is a party to this Agreement and notwithstanding anything to the contrary in any Loan Document or in any other agreement, arrangement or understanding among any such parties, each party hereto acknowledges that any liability of any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35.1 the application of any Write-Down and Conversion Powers by the applicable Resolution Authority to any such liabilities arising hereunder which may be payable to it by any Bank that is an Affected Financial Institution; and</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the effects of any Bail-in Action on any such liability, including, if applicable:</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35.2.1</w:t>
      </w:r>
      <w:r>
        <w:rPr>
          <w:sz w:val="20"/>
          <w:szCs w:val="20"/>
          <w:color w:val="auto"/>
        </w:rPr>
        <w:tab/>
      </w:r>
      <w:r>
        <w:rPr>
          <w:rFonts w:ascii="Arial" w:cs="Arial" w:eastAsia="Arial" w:hAnsi="Arial"/>
          <w:sz w:val="16"/>
          <w:szCs w:val="16"/>
          <w:color w:val="auto"/>
        </w:rPr>
        <w:t>a reduction in full or in part or cancellation of any such liability;</w:t>
      </w:r>
    </w:p>
    <w:p>
      <w:pPr>
        <w:spacing w:after="0" w:line="225"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35.2.2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35.2.3 the variation of the terms of such liability in connection with the exercise of the write-down and conversion powers of the applicable Resolution Authority.</w:t>
      </w:r>
    </w:p>
    <w:p>
      <w:pPr>
        <w:spacing w:after="0" w:line="166" w:lineRule="exact"/>
        <w:rPr>
          <w:sz w:val="20"/>
          <w:szCs w:val="20"/>
          <w:color w:val="auto"/>
        </w:rPr>
      </w:pPr>
    </w:p>
    <w:p>
      <w:pPr>
        <w:jc w:val="both"/>
        <w:ind w:firstLine="8"/>
        <w:spacing w:after="0" w:line="292" w:lineRule="auto"/>
        <w:tabs>
          <w:tab w:leader="none" w:pos="67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640" w:hanging="632"/>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color w:val="auto"/>
        </w:rPr>
      </w:pPr>
    </w:p>
    <w:p>
      <w:pPr>
        <w:jc w:val="both"/>
        <w:ind w:firstLine="8"/>
        <w:spacing w:after="0" w:line="273" w:lineRule="auto"/>
        <w:tabs>
          <w:tab w:leader="none" w:pos="805"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ACKNOWLEDGEMENT REGARDING ANY SUPPORTED QFCS</w:t>
      </w:r>
      <w:r>
        <w:rPr>
          <w:rFonts w:ascii="Arial" w:cs="Arial" w:eastAsia="Arial" w:hAnsi="Arial"/>
          <w:sz w:val="17"/>
          <w:szCs w:val="17"/>
          <w:color w:val="auto"/>
        </w:rPr>
        <w:t>. To the extent that the Loan Documents provide support, through a</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 or otherwise, for any Swap Contract or any other agreement or instrument that is a QFC (such support, “</w:t>
      </w:r>
      <w:r>
        <w:rPr>
          <w:rFonts w:ascii="Arial" w:cs="Arial" w:eastAsia="Arial" w:hAnsi="Arial"/>
          <w:sz w:val="17"/>
          <w:szCs w:val="17"/>
          <w:b w:val="1"/>
          <w:bCs w:val="1"/>
          <w:i w:val="1"/>
          <w:iCs w:val="1"/>
          <w:color w:val="auto"/>
        </w:rPr>
        <w:t>QFC Credit Support</w:t>
      </w:r>
      <w:r>
        <w:rPr>
          <w:rFonts w:ascii="Arial" w:cs="Arial" w:eastAsia="Arial" w:hAnsi="Arial"/>
          <w:sz w:val="17"/>
          <w:szCs w:val="17"/>
          <w:color w:val="auto"/>
        </w:rPr>
        <w:t>”, and each such QFC, a “</w:t>
      </w:r>
      <w:r>
        <w:rPr>
          <w:rFonts w:ascii="Arial" w:cs="Arial" w:eastAsia="Arial" w:hAnsi="Arial"/>
          <w:sz w:val="17"/>
          <w:szCs w:val="17"/>
          <w:b w:val="1"/>
          <w:bCs w:val="1"/>
          <w:i w:val="1"/>
          <w:iCs w:val="1"/>
          <w:color w:val="auto"/>
        </w:rPr>
        <w:t>Supported QFC</w:t>
      </w:r>
      <w:r>
        <w:rPr>
          <w:rFonts w:ascii="Arial" w:cs="Arial" w:eastAsia="Arial" w:hAnsi="Arial"/>
          <w:sz w:val="17"/>
          <w:szCs w:val="17"/>
          <w:color w:val="auto"/>
        </w:rPr>
        <w:t xml:space="preserve">”), the parties acknowledge and agree as follows with respect to the resolution power of the Federal Deposit Insurance Corporation under the Federal Deposit Insurance Act and </w:t>
      </w:r>
      <w:r>
        <w:rPr>
          <w:rFonts w:ascii="Arial" w:cs="Arial" w:eastAsia="Arial" w:hAnsi="Arial"/>
          <w:sz w:val="17"/>
          <w:szCs w:val="17"/>
          <w:i w:val="1"/>
          <w:iCs w:val="1"/>
          <w:color w:val="auto"/>
        </w:rPr>
        <w:t>Title II</w:t>
      </w:r>
      <w:r>
        <w:rPr>
          <w:rFonts w:ascii="Arial" w:cs="Arial" w:eastAsia="Arial" w:hAnsi="Arial"/>
          <w:sz w:val="17"/>
          <w:szCs w:val="17"/>
          <w:color w:val="auto"/>
        </w:rPr>
        <w:t xml:space="preserve"> of the Dodd-Frank Wall Street Reform and Consumer Protection Act (together with the regulations promulgated thereunder, the “</w:t>
      </w:r>
      <w:r>
        <w:rPr>
          <w:rFonts w:ascii="Arial" w:cs="Arial" w:eastAsia="Arial" w:hAnsi="Arial"/>
          <w:sz w:val="17"/>
          <w:szCs w:val="17"/>
          <w:b w:val="1"/>
          <w:bCs w:val="1"/>
          <w:i w:val="1"/>
          <w:iCs w:val="1"/>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38.1 In the event a Covered Entity that is party to a Supported QFC (each, a “</w:t>
      </w:r>
      <w:r>
        <w:rPr>
          <w:rFonts w:ascii="Arial" w:cs="Arial" w:eastAsia="Arial" w:hAnsi="Arial"/>
          <w:sz w:val="17"/>
          <w:szCs w:val="17"/>
          <w:b w:val="1"/>
          <w:bCs w:val="1"/>
          <w:i w:val="1"/>
          <w:i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 xml:space="preserve">As used in this </w:t>
      </w:r>
      <w:r>
        <w:rPr>
          <w:rFonts w:ascii="Arial" w:cs="Arial" w:eastAsia="Arial" w:hAnsi="Arial"/>
          <w:sz w:val="16"/>
          <w:szCs w:val="16"/>
          <w:b w:val="1"/>
          <w:bCs w:val="1"/>
          <w:i w:val="1"/>
          <w:iCs w:val="1"/>
          <w:color w:val="auto"/>
        </w:rPr>
        <w:t>Section 38</w:t>
      </w:r>
      <w:r>
        <w:rPr>
          <w:rFonts w:ascii="Arial" w:cs="Arial" w:eastAsia="Arial" w:hAnsi="Arial"/>
          <w:sz w:val="16"/>
          <w:szCs w:val="16"/>
          <w:color w:val="auto"/>
        </w:rPr>
        <w: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of a party means an “</w:t>
      </w:r>
      <w:r>
        <w:rPr>
          <w:rFonts w:ascii="Arial" w:cs="Arial" w:eastAsia="Arial" w:hAnsi="Arial"/>
          <w:sz w:val="16"/>
          <w:szCs w:val="16"/>
          <w:i w:val="1"/>
          <w:iCs w:val="1"/>
          <w:color w:val="auto"/>
        </w:rPr>
        <w:t>affiliate</w:t>
      </w:r>
      <w:r>
        <w:rPr>
          <w:rFonts w:ascii="Arial" w:cs="Arial" w:eastAsia="Arial" w:hAnsi="Arial"/>
          <w:sz w:val="16"/>
          <w:szCs w:val="16"/>
          <w:color w:val="auto"/>
        </w:rPr>
        <w:t>”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w:t>
      </w:r>
      <w:r>
        <w:rPr>
          <w:rFonts w:ascii="Arial" w:cs="Arial" w:eastAsia="Arial" w:hAnsi="Arial"/>
          <w:sz w:val="18"/>
          <w:szCs w:val="18"/>
          <w:i w:val="1"/>
          <w:iCs w:val="1"/>
          <w:color w:val="auto"/>
        </w:rPr>
        <w:t>covered entity</w:t>
      </w:r>
      <w:r>
        <w:rPr>
          <w:rFonts w:ascii="Arial" w:cs="Arial" w:eastAsia="Arial" w:hAnsi="Arial"/>
          <w:sz w:val="18"/>
          <w:szCs w:val="18"/>
          <w:color w:val="auto"/>
        </w:rPr>
        <w:t>” as that term is defined in, and interpreted in accordance with, 12 C.F.R. §252.82(b); (ii) a “</w:t>
      </w:r>
      <w:r>
        <w:rPr>
          <w:rFonts w:ascii="Arial" w:cs="Arial" w:eastAsia="Arial" w:hAnsi="Arial"/>
          <w:sz w:val="18"/>
          <w:szCs w:val="18"/>
          <w:i w:val="1"/>
          <w:iCs w:val="1"/>
          <w:color w:val="auto"/>
        </w:rPr>
        <w:t>covered bank</w:t>
      </w:r>
      <w:r>
        <w:rPr>
          <w:rFonts w:ascii="Arial" w:cs="Arial" w:eastAsia="Arial" w:hAnsi="Arial"/>
          <w:sz w:val="18"/>
          <w:szCs w:val="18"/>
          <w:color w:val="auto"/>
        </w:rPr>
        <w:t>” as that term is defined in, and interpreted in accordance with, 12 C.F.R. §47.3(b); or (iii) a “</w:t>
      </w:r>
      <w:r>
        <w:rPr>
          <w:rFonts w:ascii="Arial" w:cs="Arial" w:eastAsia="Arial" w:hAnsi="Arial"/>
          <w:sz w:val="18"/>
          <w:szCs w:val="18"/>
          <w:i w:val="1"/>
          <w:iCs w:val="1"/>
          <w:color w:val="auto"/>
        </w:rPr>
        <w:t>covered FSI</w:t>
      </w:r>
      <w:r>
        <w:rPr>
          <w:rFonts w:ascii="Arial" w:cs="Arial" w:eastAsia="Arial" w:hAnsi="Arial"/>
          <w:sz w:val="18"/>
          <w:szCs w:val="18"/>
          <w:color w:val="auto"/>
        </w:rPr>
        <w:t>” as that term is defined in, and interpreted in accordance with, 12 C.F.R. §382.2(b).</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§§252.81, 47.2 or 382.1,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QFC</w:t>
      </w:r>
      <w:r>
        <w:rPr>
          <w:rFonts w:ascii="Arial" w:cs="Arial" w:eastAsia="Arial" w:hAnsi="Arial"/>
          <w:sz w:val="16"/>
          <w:szCs w:val="16"/>
          <w:color w:val="auto"/>
        </w:rPr>
        <w:t>” has the meaning assigned to the term “</w:t>
      </w:r>
      <w:r>
        <w:rPr>
          <w:rFonts w:ascii="Arial" w:cs="Arial" w:eastAsia="Arial" w:hAnsi="Arial"/>
          <w:sz w:val="16"/>
          <w:szCs w:val="16"/>
          <w:i w:val="1"/>
          <w:iCs w:val="1"/>
          <w:color w:val="auto"/>
        </w:rPr>
        <w:t>qualified financial contract</w:t>
      </w:r>
      <w:r>
        <w:rPr>
          <w:rFonts w:ascii="Arial" w:cs="Arial" w:eastAsia="Arial" w:hAnsi="Arial"/>
          <w:sz w:val="16"/>
          <w:szCs w:val="16"/>
          <w:color w:val="auto"/>
        </w:rPr>
        <w: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ind w:righ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Remainder of Page Is Intentionally Left Blank;</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Signature Page(s) Follow(s)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duly executed this Agreement as of the date first set forth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COMPANY AND GUARANTOR: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David L. Reed</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07" w:lineRule="exact"/>
        <w:rPr>
          <w:sz w:val="20"/>
          <w:szCs w:val="20"/>
          <w:color w:val="auto"/>
        </w:rPr>
      </w:pPr>
    </w:p>
    <w:p>
      <w:pPr>
        <w:jc w:val="right"/>
        <w:ind w:right="979"/>
        <w:spacing w:after="0"/>
        <w:rPr>
          <w:sz w:val="20"/>
          <w:szCs w:val="20"/>
          <w:color w:val="auto"/>
        </w:rPr>
      </w:pPr>
      <w:r>
        <w:rPr>
          <w:rFonts w:ascii="Arial" w:cs="Arial" w:eastAsia="Arial" w:hAnsi="Arial"/>
          <w:sz w:val="18"/>
          <w:szCs w:val="18"/>
          <w:b w:val="1"/>
          <w:bCs w:val="1"/>
          <w:color w:val="auto"/>
        </w:rPr>
        <w:t>WASTE MANAGEMENT HOLDINGS,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3343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David L. Reed</w:t>
      </w:r>
    </w:p>
    <w:p>
      <w:pPr>
        <w:spacing w:after="0" w:line="23" w:lineRule="exact"/>
        <w:rPr>
          <w:sz w:val="20"/>
          <w:szCs w:val="20"/>
          <w:color w:val="auto"/>
        </w:rPr>
      </w:pPr>
    </w:p>
    <w:p>
      <w:pPr>
        <w:ind w:left="532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87" w:name="page88"/>
    <w:bookmarkEnd w:id="87"/>
    <w:p>
      <w:pPr>
        <w:ind w:left="4520"/>
        <w:spacing w:after="0"/>
        <w:rPr>
          <w:sz w:val="20"/>
          <w:szCs w:val="20"/>
          <w:color w:val="auto"/>
        </w:rPr>
      </w:pPr>
      <w:r>
        <w:rPr>
          <w:rFonts w:ascii="Arial" w:cs="Arial" w:eastAsia="Arial" w:hAnsi="Arial"/>
          <w:sz w:val="18"/>
          <w:szCs w:val="18"/>
          <w:b w:val="1"/>
          <w:bCs w:val="1"/>
          <w:color w:val="auto"/>
        </w:rPr>
        <w:t>THE ADMINISTRATIVE AGENT:</w:t>
      </w:r>
    </w:p>
    <w:p>
      <w:pPr>
        <w:spacing w:after="0" w:line="225" w:lineRule="exact"/>
        <w:rPr>
          <w:sz w:val="20"/>
          <w:szCs w:val="20"/>
          <w:color w:val="auto"/>
        </w:rPr>
      </w:pPr>
    </w:p>
    <w:p>
      <w:pPr>
        <w:jc w:val="right"/>
        <w:ind w:right="839"/>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Donna DeMagistris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8" w:name="page89"/>
    <w:bookmarkEnd w:id="88"/>
    <w:p>
      <w:pPr>
        <w:ind w:left="4520"/>
        <w:spacing w:after="0"/>
        <w:rPr>
          <w:sz w:val="20"/>
          <w:szCs w:val="20"/>
          <w:color w:val="auto"/>
        </w:rPr>
      </w:pPr>
      <w:r>
        <w:rPr>
          <w:rFonts w:ascii="Arial" w:cs="Arial" w:eastAsia="Arial" w:hAnsi="Arial"/>
          <w:sz w:val="18"/>
          <w:szCs w:val="18"/>
          <w:b w:val="1"/>
          <w:bCs w:val="1"/>
          <w:color w:val="auto"/>
        </w:rPr>
        <w:t>THE BANKS:</w:t>
      </w:r>
    </w:p>
    <w:p>
      <w:pPr>
        <w:spacing w:after="0" w:line="225" w:lineRule="exact"/>
        <w:rPr>
          <w:sz w:val="20"/>
          <w:szCs w:val="20"/>
          <w:color w:val="auto"/>
        </w:rPr>
      </w:pPr>
    </w:p>
    <w:p>
      <w:pPr>
        <w:jc w:val="right"/>
        <w:ind w:right="1879"/>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Donna DeMagistris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9" w:name="page90"/>
    <w:bookmarkEnd w:id="89"/>
    <w:p>
      <w:pPr>
        <w:jc w:val="right"/>
        <w:ind w:right="1539"/>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Michael Contreras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0" w:name="page91"/>
    <w:bookmarkEnd w:id="90"/>
    <w:p>
      <w:pPr>
        <w:jc w:val="right"/>
        <w:ind w:right="1779"/>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Craig Malloy</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91" w:name="page92"/>
    <w:bookmarkEnd w:id="91"/>
    <w:p>
      <w:pPr>
        <w:jc w:val="right"/>
        <w:ind w:right="999"/>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Peter S. Predun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2" w:name="page93"/>
    <w:bookmarkEnd w:id="92"/>
    <w:p>
      <w:pPr>
        <w:jc w:val="right"/>
        <w:ind w:right="1179"/>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Frans Braniotis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Frans Braniotis</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Christopher Sked</w:t>
      </w:r>
    </w:p>
    <w:p>
      <w:pPr>
        <w:spacing w:after="0" w:line="34" w:lineRule="exact"/>
        <w:rPr>
          <w:sz w:val="20"/>
          <w:szCs w:val="20"/>
          <w:color w:val="auto"/>
        </w:rPr>
      </w:pPr>
    </w:p>
    <w:p>
      <w:pPr>
        <w:jc w:val="right"/>
        <w:ind w:right="1999"/>
        <w:spacing w:after="0"/>
        <w:tabs>
          <w:tab w:leader="none" w:pos="1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Karim Remtoula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 Bank</w:t>
      </w:r>
    </w:p>
    <w:p>
      <w:pPr>
        <w:spacing w:after="0" w:line="200" w:lineRule="exact"/>
        <w:rPr>
          <w:sz w:val="20"/>
          <w:szCs w:val="20"/>
          <w:color w:val="auto"/>
        </w:rPr>
      </w:pPr>
    </w:p>
    <w:p>
      <w:pPr>
        <w:spacing w:after="0" w:line="25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Millie Schild</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Annie Chung</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60"/>
          </w:cols>
          <w:pgMar w:left="1440" w:top="904" w:right="1399" w:bottom="1440" w:gutter="0" w:footer="0" w:header="0"/>
        </w:sectPr>
      </w:pPr>
    </w:p>
    <w:bookmarkStart w:id="96" w:name="page97"/>
    <w:bookmarkEnd w:id="96"/>
    <w:p>
      <w:pPr>
        <w:jc w:val="right"/>
        <w:ind w:right="1519"/>
        <w:spacing w:after="0"/>
        <w:rPr>
          <w:sz w:val="20"/>
          <w:szCs w:val="20"/>
          <w:color w:val="auto"/>
        </w:rPr>
      </w:pPr>
      <w:r>
        <w:rPr>
          <w:rFonts w:ascii="Arial" w:cs="Arial" w:eastAsia="Arial" w:hAnsi="Arial"/>
          <w:sz w:val="18"/>
          <w:szCs w:val="18"/>
          <w:b w:val="1"/>
          <w:bCs w:val="1"/>
          <w:color w:val="auto"/>
        </w:rPr>
        <w:t>MUFG UNION BANK, N.A.</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Maria F. Maia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7" w:name="page98"/>
    <w:bookmarkEnd w:id="97"/>
    <w:p>
      <w:pPr>
        <w:jc w:val="right"/>
        <w:ind w:right="679"/>
        <w:spacing w:after="0"/>
        <w:rPr>
          <w:sz w:val="20"/>
          <w:szCs w:val="20"/>
          <w:color w:val="auto"/>
        </w:rPr>
      </w:pPr>
      <w:r>
        <w:rPr>
          <w:rFonts w:ascii="Arial" w:cs="Arial" w:eastAsia="Arial" w:hAnsi="Arial"/>
          <w:sz w:val="18"/>
          <w:szCs w:val="18"/>
          <w:b w:val="1"/>
          <w:bCs w:val="1"/>
          <w:color w:val="auto"/>
        </w:rPr>
        <w:t xml:space="preserve">Sumitomo Mitsui Banking Corporation, </w:t>
      </w:r>
      <w:r>
        <w:rPr>
          <w:rFonts w:ascii="Arial" w:cs="Arial" w:eastAsia="Arial" w:hAnsi="Arial"/>
          <w:sz w:val="18"/>
          <w:szCs w:val="18"/>
          <w:color w:val="auto"/>
        </w:rPr>
        <w:t>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Katie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Katie Lee</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8" w:name="page99"/>
    <w:bookmarkEnd w:id="98"/>
    <w:p>
      <w:pPr>
        <w:jc w:val="right"/>
        <w:ind w:right="539"/>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Bank</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Steven L. Sawyer</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23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Date: __________, 20__ [</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To:</w:t>
        <w:tab/>
        <w:t>Mizuho Bank, Ltd.,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that certain Credit Agreement, dated as of July 28, 2020 (as amended, modified, supplemented, restated and in effect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the terms defined therein being used herein as therein defined),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Waste Management Holdings, Inc., a wholly owned Subsidiary of the Company, as Guarantor, the Banks from time to time party thereto, and </w:t>
      </w:r>
      <w:r>
        <w:rPr>
          <w:rFonts w:ascii="Arial" w:cs="Arial" w:eastAsia="Arial" w:hAnsi="Arial"/>
          <w:sz w:val="18"/>
          <w:szCs w:val="18"/>
          <w:b w:val="1"/>
          <w:bCs w:val="1"/>
          <w:color w:val="auto"/>
        </w:rPr>
        <w:t>MIZUHO BANK, LTD.</w:t>
      </w:r>
      <w:r>
        <w:rPr>
          <w:rFonts w:ascii="Arial" w:cs="Arial" w:eastAsia="Arial" w:hAnsi="Arial"/>
          <w:sz w:val="18"/>
          <w:szCs w:val="18"/>
          <w:color w:val="auto"/>
        </w:rPr>
        <w:t>, as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requests, on behalf of itself (select one):</w:t>
      </w:r>
    </w:p>
    <w:p>
      <w:pPr>
        <w:spacing w:after="0" w:line="219" w:lineRule="exact"/>
        <w:rPr>
          <w:sz w:val="20"/>
          <w:szCs w:val="20"/>
          <w:color w:val="auto"/>
        </w:rPr>
      </w:pPr>
    </w:p>
    <w:tbl>
      <w:tblPr>
        <w:tblLayout w:type="fixed"/>
        <w:tblInd w:w="2270" w:type="dxa"/>
        <w:tblCellMar>
          <w:top w:w="0" w:type="dxa"/>
          <w:left w:w="0" w:type="dxa"/>
          <w:bottom w:w="0" w:type="dxa"/>
          <w:right w:w="0" w:type="dxa"/>
        </w:tblCellMar>
      </w:tblPr>
      <w:tr>
        <w:trPr>
          <w:trHeight w:val="211"/>
        </w:trPr>
        <w:tc>
          <w:tcPr>
            <w:tcW w:w="170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700" w:type="dxa"/>
            <w:vAlign w:val="bottom"/>
            <w:tcBorders>
              <w:top w:val="single" w:sz="8" w:color="auto"/>
              <w:right w:val="single" w:sz="8" w:color="auto"/>
            </w:tcBorders>
            <w:shd w:val="clear" w:color="auto" w:fill="D9D9D9"/>
          </w:tcPr>
          <w:p>
            <w:pPr>
              <w:spacing w:after="0"/>
              <w:rPr>
                <w:sz w:val="18"/>
                <w:szCs w:val="18"/>
                <w:color w:val="auto"/>
              </w:rPr>
            </w:pPr>
          </w:p>
        </w:tc>
        <w:tc>
          <w:tcPr>
            <w:tcW w:w="1680" w:type="dxa"/>
            <w:vAlign w:val="bottom"/>
            <w:tcBorders>
              <w:top w:val="single" w:sz="8" w:color="auto"/>
              <w:right w:val="single" w:sz="8" w:color="auto"/>
            </w:tcBorders>
            <w:shd w:val="clear" w:color="auto" w:fill="D9D9D9"/>
          </w:tcPr>
          <w:p>
            <w:pPr>
              <w:spacing w:after="0"/>
              <w:rPr>
                <w:sz w:val="18"/>
                <w:szCs w:val="18"/>
                <w:color w:val="auto"/>
              </w:rPr>
            </w:pP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6"/>
              </w:rPr>
              <w:t>For</w:t>
            </w:r>
          </w:p>
        </w:tc>
      </w:tr>
      <w:tr>
        <w:trPr>
          <w:trHeight w:val="216"/>
        </w:trPr>
        <w:tc>
          <w:tcPr>
            <w:tcW w:w="1700" w:type="dxa"/>
            <w:vAlign w:val="bottom"/>
            <w:tcBorders>
              <w:left w:val="single" w:sz="8" w:color="auto"/>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Eurocurrency</w:t>
            </w:r>
          </w:p>
        </w:tc>
      </w:tr>
      <w:tr>
        <w:trPr>
          <w:trHeight w:val="216"/>
        </w:trPr>
        <w:tc>
          <w:tcPr>
            <w:tcW w:w="1700" w:type="dxa"/>
            <w:vAlign w:val="bottom"/>
            <w:tcBorders>
              <w:left w:val="single" w:sz="8" w:color="auto"/>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Rate Loans</w:t>
            </w:r>
          </w:p>
        </w:tc>
      </w:tr>
      <w:tr>
        <w:trPr>
          <w:trHeight w:val="216"/>
        </w:trPr>
        <w:tc>
          <w:tcPr>
            <w:tcW w:w="1700" w:type="dxa"/>
            <w:vAlign w:val="bottom"/>
            <w:tcBorders>
              <w:left w:val="single" w:sz="8" w:color="auto"/>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i w:val="1"/>
                <w:iCs w:val="1"/>
                <w:color w:val="auto"/>
                <w:w w:val="89"/>
              </w:rPr>
              <w:t>Indicate</w:t>
            </w:r>
            <w:r>
              <w:rPr>
                <w:rFonts w:ascii="Arial" w:cs="Arial" w:eastAsia="Arial" w:hAnsi="Arial"/>
                <w:sz w:val="18"/>
                <w:szCs w:val="18"/>
                <w:b w:val="1"/>
                <w:bCs w:val="1"/>
                <w:color w:val="auto"/>
                <w:w w:val="89"/>
              </w:rPr>
              <w:t>:</w:t>
            </w:r>
          </w:p>
        </w:tc>
      </w:tr>
      <w:tr>
        <w:trPr>
          <w:trHeight w:val="216"/>
        </w:trPr>
        <w:tc>
          <w:tcPr>
            <w:tcW w:w="17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i w:val="1"/>
                <w:iCs w:val="1"/>
                <w:color w:val="auto"/>
                <w:w w:val="89"/>
              </w:rPr>
              <w:t>Indicate</w:t>
            </w:r>
            <w:r>
              <w:rPr>
                <w:rFonts w:ascii="Arial" w:cs="Arial" w:eastAsia="Arial" w:hAnsi="Arial"/>
                <w:sz w:val="18"/>
                <w:szCs w:val="18"/>
                <w:b w:val="1"/>
                <w:bCs w:val="1"/>
                <w:color w:val="auto"/>
                <w:w w:val="89"/>
              </w:rPr>
              <w:t>:</w:t>
            </w: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i w:val="1"/>
                <w:iCs w:val="1"/>
                <w:color w:val="auto"/>
                <w:w w:val="89"/>
              </w:rPr>
              <w:t>Indicate</w:t>
            </w:r>
            <w:r>
              <w:rPr>
                <w:rFonts w:ascii="Arial" w:cs="Arial" w:eastAsia="Arial" w:hAnsi="Arial"/>
                <w:sz w:val="18"/>
                <w:szCs w:val="18"/>
                <w:b w:val="1"/>
                <w:bCs w:val="1"/>
                <w:color w:val="auto"/>
                <w:w w:val="89"/>
              </w:rPr>
              <w:t>:</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Interest Period</w:t>
            </w:r>
          </w:p>
        </w:tc>
      </w:tr>
      <w:tr>
        <w:trPr>
          <w:trHeight w:val="216"/>
        </w:trPr>
        <w:tc>
          <w:tcPr>
            <w:tcW w:w="17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Borrowing or</w:t>
            </w:r>
          </w:p>
        </w:tc>
        <w:tc>
          <w:tcPr>
            <w:tcW w:w="1700" w:type="dxa"/>
            <w:vAlign w:val="bottom"/>
            <w:tcBorders>
              <w:right w:val="single" w:sz="8" w:color="auto"/>
            </w:tcBorders>
            <w:shd w:val="clear" w:color="auto" w:fill="D9D9D9"/>
          </w:tcPr>
          <w:p>
            <w:pPr>
              <w:spacing w:after="0"/>
              <w:rPr>
                <w:sz w:val="18"/>
                <w:szCs w:val="18"/>
                <w:color w:val="auto"/>
              </w:rPr>
            </w:pPr>
          </w:p>
        </w:tc>
        <w:tc>
          <w:tcPr>
            <w:tcW w:w="1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[Base Rate</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(e.g. 1 week or</w:t>
            </w:r>
          </w:p>
        </w:tc>
      </w:tr>
      <w:tr>
        <w:trPr>
          <w:trHeight w:val="216"/>
        </w:trPr>
        <w:tc>
          <w:tcPr>
            <w:tcW w:w="17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Conversion or</w:t>
            </w: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i w:val="1"/>
                <w:iCs w:val="1"/>
                <w:color w:val="auto"/>
                <w:w w:val="89"/>
              </w:rPr>
              <w:t>Indicate</w:t>
            </w:r>
            <w:r>
              <w:rPr>
                <w:rFonts w:ascii="Arial" w:cs="Arial" w:eastAsia="Arial" w:hAnsi="Arial"/>
                <w:sz w:val="18"/>
                <w:szCs w:val="18"/>
                <w:b w:val="1"/>
                <w:bCs w:val="1"/>
                <w:color w:val="auto"/>
                <w:w w:val="89"/>
              </w:rPr>
              <w:t>:</w:t>
            </w:r>
          </w:p>
        </w:tc>
        <w:tc>
          <w:tcPr>
            <w:tcW w:w="1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Loan or</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1, 2, 3 or</w:t>
            </w:r>
          </w:p>
        </w:tc>
      </w:tr>
      <w:tr>
        <w:trPr>
          <w:trHeight w:val="216"/>
        </w:trPr>
        <w:tc>
          <w:tcPr>
            <w:tcW w:w="17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17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Requested</w:t>
            </w:r>
          </w:p>
        </w:tc>
        <w:tc>
          <w:tcPr>
            <w:tcW w:w="1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Eurocurrency</w:t>
            </w:r>
          </w:p>
        </w:tc>
        <w:tc>
          <w:tcPr>
            <w:tcW w:w="16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6-month</w:t>
            </w:r>
          </w:p>
        </w:tc>
      </w:tr>
      <w:tr>
        <w:trPr>
          <w:trHeight w:val="234"/>
        </w:trPr>
        <w:tc>
          <w:tcPr>
            <w:tcW w:w="17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and Date</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Rate Loan]</w:t>
            </w:r>
          </w:p>
        </w:tc>
        <w:tc>
          <w:tcPr>
            <w:tcW w:w="16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interest period)</w:t>
            </w: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Borrowing, if any, requested herein complies with the provisos to the first sentence of </w:t>
      </w:r>
      <w:r>
        <w:rPr>
          <w:rFonts w:ascii="Arial" w:cs="Arial" w:eastAsia="Arial" w:hAnsi="Arial"/>
          <w:sz w:val="18"/>
          <w:szCs w:val="18"/>
          <w:i w:val="1"/>
          <w:iCs w:val="1"/>
          <w:color w:val="auto"/>
        </w:rPr>
        <w:t>Section 2.1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Page(s)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8" w:lineRule="exact"/>
        <w:rPr>
          <w:sz w:val="20"/>
          <w:szCs w:val="20"/>
          <w:color w:val="auto"/>
        </w:rPr>
      </w:pPr>
    </w:p>
    <w:p>
      <w:pPr>
        <w:ind w:right="140" w:firstLine="8"/>
        <w:spacing w:after="0" w:line="194" w:lineRule="auto"/>
        <w:tabs>
          <w:tab w:leader="none" w:pos="120" w:val="left"/>
        </w:tabs>
        <w:numPr>
          <w:ilvl w:val="0"/>
          <w:numId w:val="88"/>
        </w:numPr>
        <w:rPr>
          <w:rFonts w:ascii="Arial" w:cs="Arial" w:eastAsia="Arial" w:hAnsi="Arial"/>
          <w:sz w:val="30"/>
          <w:szCs w:val="30"/>
          <w:color w:val="auto"/>
          <w:vertAlign w:val="superscript"/>
        </w:rPr>
      </w:pPr>
      <w:r>
        <w:rPr>
          <w:rFonts w:ascii="Arial" w:cs="Arial" w:eastAsia="Arial" w:hAnsi="Arial"/>
          <w:sz w:val="18"/>
          <w:szCs w:val="18"/>
          <w:color w:val="auto"/>
        </w:rPr>
        <w:t>Note to Company: All requests submitted under a single Loan Notice must be effective on the same date. If multiple effective dates are needed, multiple Loan Notices will need to be prepared and signed.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right"/>
        <w:ind w:right="2019"/>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i w:val="1"/>
          <w:iCs w:val="1"/>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33" w:lineRule="exact"/>
        <w:rPr>
          <w:sz w:val="20"/>
          <w:szCs w:val="20"/>
          <w:color w:val="auto"/>
        </w:rPr>
      </w:pPr>
    </w:p>
    <w:p>
      <w:pPr>
        <w:ind w:left="3560" w:hanging="216"/>
        <w:spacing w:after="0"/>
        <w:tabs>
          <w:tab w:leader="none" w:pos="35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Check for distribution to PUBLIC and Private side Lenders</w:t>
      </w:r>
      <w:r>
        <w:rPr>
          <w:rFonts w:ascii="Arial" w:cs="Arial" w:eastAsia="Arial" w:hAnsi="Arial"/>
          <w:sz w:val="29"/>
          <w:szCs w:val="29"/>
          <w:color w:val="auto"/>
          <w:vertAlign w:val="superscript"/>
        </w:rPr>
        <w:t>2</w:t>
      </w:r>
    </w:p>
    <w:p>
      <w:pPr>
        <w:spacing w:after="0" w:line="135"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Compliance Certificate dated __________, 20__</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 ____________________, [Chief Financial Officer] [Chief Accounting Officer] [Corporate Treasurer] of </w:t>
      </w:r>
      <w:r>
        <w:rPr>
          <w:rFonts w:ascii="Arial" w:cs="Arial" w:eastAsia="Arial" w:hAnsi="Arial"/>
          <w:sz w:val="17"/>
          <w:szCs w:val="17"/>
          <w:b w:val="1"/>
          <w:bCs w:val="1"/>
          <w:color w:val="auto"/>
        </w:rPr>
        <w:t>WASTE MANAGEMENT, INC.</w:t>
      </w:r>
      <w:r>
        <w:rPr>
          <w:rFonts w:ascii="Arial" w:cs="Arial" w:eastAsia="Arial" w:hAnsi="Arial"/>
          <w:sz w:val="17"/>
          <w:szCs w:val="17"/>
          <w:color w:val="auto"/>
        </w:rPr>
        <w:t xml:space="preserve"> (the</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certify that (i) no Default or Event of Default exists, (ii) the Company and its Subsidiaries are in compliance with </w:t>
      </w:r>
      <w:r>
        <w:rPr>
          <w:rFonts w:ascii="Arial" w:cs="Arial" w:eastAsia="Arial" w:hAnsi="Arial"/>
          <w:sz w:val="16"/>
          <w:szCs w:val="16"/>
          <w:i w:val="1"/>
          <w:iCs w:val="1"/>
          <w:color w:val="auto"/>
        </w:rPr>
        <w:t>Section 7</w:t>
      </w:r>
      <w:r>
        <w:rPr>
          <w:rFonts w:ascii="Arial" w:cs="Arial" w:eastAsia="Arial" w:hAnsi="Arial"/>
          <w:sz w:val="16"/>
          <w:szCs w:val="16"/>
          <w:color w:val="auto"/>
        </w:rPr>
        <w:t xml:space="preserve">, </w:t>
      </w:r>
      <w:r>
        <w:rPr>
          <w:rFonts w:ascii="Arial" w:cs="Arial" w:eastAsia="Arial" w:hAnsi="Arial"/>
          <w:sz w:val="16"/>
          <w:szCs w:val="16"/>
          <w:i w:val="1"/>
          <w:iCs w:val="1"/>
          <w:color w:val="auto"/>
        </w:rPr>
        <w:t>8</w:t>
      </w:r>
      <w:r>
        <w:rPr>
          <w:rFonts w:ascii="Arial" w:cs="Arial" w:eastAsia="Arial" w:hAnsi="Arial"/>
          <w:sz w:val="16"/>
          <w:szCs w:val="16"/>
          <w:color w:val="auto"/>
        </w:rPr>
        <w:t xml:space="preserve"> and </w:t>
      </w:r>
      <w:r>
        <w:rPr>
          <w:rFonts w:ascii="Arial" w:cs="Arial" w:eastAsia="Arial" w:hAnsi="Arial"/>
          <w:sz w:val="16"/>
          <w:szCs w:val="16"/>
          <w:i w:val="1"/>
          <w:iCs w:val="1"/>
          <w:color w:val="auto"/>
        </w:rPr>
        <w:t>9</w:t>
      </w:r>
      <w:r>
        <w:rPr>
          <w:rFonts w:ascii="Arial" w:cs="Arial" w:eastAsia="Arial" w:hAnsi="Arial"/>
          <w:sz w:val="16"/>
          <w:szCs w:val="16"/>
          <w:color w:val="auto"/>
        </w:rPr>
        <w:t xml:space="preserve"> of the Credit Agreement dated as of July 28, 2020 (as amended, modified, supplemented, restated and in effect from time to time,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55" w:lineRule="auto"/>
        <w:tabs>
          <w:tab w:leader="none" w:pos="3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calculation of the debt restrictions in </w:t>
      </w:r>
      <w:r>
        <w:rPr>
          <w:rFonts w:ascii="Arial" w:cs="Arial" w:eastAsia="Arial" w:hAnsi="Arial"/>
          <w:sz w:val="18"/>
          <w:szCs w:val="18"/>
          <w:i w:val="1"/>
          <w:iCs w:val="1"/>
          <w:color w:val="auto"/>
        </w:rPr>
        <w:t>Section 8.1</w:t>
      </w:r>
      <w:r>
        <w:rPr>
          <w:rFonts w:ascii="Arial" w:cs="Arial" w:eastAsia="Arial" w:hAnsi="Arial"/>
          <w:sz w:val="18"/>
          <w:szCs w:val="18"/>
          <w:color w:val="auto"/>
        </w:rPr>
        <w:t xml:space="preserve"> of the Credit Agreement attached hereto as Schedule 1 is true, correct and complete [as of the end of the quarter ended __________, 20__]. Computations to evidence compliance with </w:t>
      </w:r>
      <w:r>
        <w:rPr>
          <w:rFonts w:ascii="Arial" w:cs="Arial" w:eastAsia="Arial" w:hAnsi="Arial"/>
          <w:sz w:val="18"/>
          <w:szCs w:val="18"/>
          <w:i w:val="1"/>
          <w:iCs w:val="1"/>
          <w:color w:val="auto"/>
        </w:rPr>
        <w:t>Section 9</w:t>
      </w:r>
      <w:r>
        <w:rPr>
          <w:rFonts w:ascii="Arial" w:cs="Arial" w:eastAsia="Arial" w:hAnsi="Arial"/>
          <w:sz w:val="18"/>
          <w:szCs w:val="18"/>
          <w:color w:val="auto"/>
        </w:rPr>
        <w:t xml:space="preserve"> of the Credit Agreement are detailed below. Capitalized terms used herein without definition shall have the meanings assigned to such terms in the Credit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b w:val="1"/>
                <w:bCs w:val="1"/>
                <w:color w:val="auto"/>
              </w:rPr>
              <w:t>WASTE MANAGEMENT, INC.</w:t>
            </w:r>
          </w:p>
        </w:tc>
      </w:tr>
      <w:tr>
        <w:trPr>
          <w:trHeight w:val="648"/>
        </w:trPr>
        <w:tc>
          <w:tcPr>
            <w:tcW w:w="550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By:</w:t>
            </w:r>
          </w:p>
        </w:tc>
      </w:tr>
      <w:tr>
        <w:trPr>
          <w:trHeight w:val="195"/>
        </w:trPr>
        <w:tc>
          <w:tcPr>
            <w:tcW w:w="5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5500" w:type="dxa"/>
            <w:vAlign w:val="bottom"/>
          </w:tcPr>
          <w:p>
            <w:pPr>
              <w:spacing w:after="0"/>
              <w:rPr>
                <w:sz w:val="20"/>
                <w:szCs w:val="20"/>
                <w:color w:val="auto"/>
              </w:rPr>
            </w:pPr>
          </w:p>
        </w:tc>
        <w:tc>
          <w:tcPr>
            <w:tcW w:w="574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432"/>
        </w:trPr>
        <w:tc>
          <w:tcPr>
            <w:tcW w:w="5500" w:type="dxa"/>
            <w:vAlign w:val="bottom"/>
          </w:tcPr>
          <w:p>
            <w:pPr>
              <w:spacing w:after="0"/>
              <w:rPr>
                <w:sz w:val="20"/>
                <w:szCs w:val="20"/>
                <w:color w:val="auto"/>
              </w:rPr>
            </w:pPr>
            <w:r>
              <w:rPr>
                <w:rFonts w:ascii="Arial" w:cs="Arial" w:eastAsia="Arial" w:hAnsi="Arial"/>
                <w:sz w:val="18"/>
                <w:szCs w:val="18"/>
                <w:i w:val="1"/>
                <w:iCs w:val="1"/>
                <w:color w:val="auto"/>
              </w:rPr>
              <w:t xml:space="preserve">Section 9   </w:t>
            </w:r>
            <w:r>
              <w:rPr>
                <w:rFonts w:ascii="Arial" w:cs="Arial" w:eastAsia="Arial" w:hAnsi="Arial"/>
                <w:sz w:val="18"/>
                <w:szCs w:val="18"/>
                <w:color w:val="auto"/>
              </w:rPr>
              <w:t>Leverage Ratio</w:t>
            </w:r>
          </w:p>
        </w:tc>
        <w:tc>
          <w:tcPr>
            <w:tcW w:w="7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Consolidated Net Income (or Deficit)</w:t>
            </w:r>
          </w:p>
        </w:tc>
        <w:tc>
          <w:tcPr>
            <w:tcW w:w="700" w:type="dxa"/>
            <w:vAlign w:val="bottom"/>
          </w:tcPr>
          <w:p>
            <w:pPr>
              <w:spacing w:after="0"/>
              <w:rPr>
                <w:sz w:val="24"/>
                <w:szCs w:val="24"/>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 (i)</w:t>
            </w:r>
          </w:p>
        </w:tc>
      </w:tr>
      <w:tr>
        <w:trPr>
          <w:trHeight w:val="216"/>
        </w:trPr>
        <w:tc>
          <w:tcPr>
            <w:tcW w:w="5500" w:type="dxa"/>
            <w:vAlign w:val="bottom"/>
          </w:tcPr>
          <w:p>
            <w:pPr>
              <w:ind w:left="660"/>
              <w:spacing w:after="0"/>
              <w:rPr>
                <w:sz w:val="20"/>
                <w:szCs w:val="20"/>
                <w:color w:val="auto"/>
              </w:rPr>
            </w:pPr>
            <w:r>
              <w:rPr>
                <w:rFonts w:ascii="Arial" w:cs="Arial" w:eastAsia="Arial" w:hAnsi="Arial"/>
                <w:sz w:val="18"/>
                <w:szCs w:val="18"/>
                <w:i w:val="1"/>
                <w:iCs w:val="1"/>
                <w:color w:val="auto"/>
              </w:rPr>
              <w:t>Plus (without duplication):</w:t>
            </w:r>
          </w:p>
        </w:tc>
        <w:tc>
          <w:tcPr>
            <w:tcW w:w="7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$__________(ii)</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equity in losses (earnings) of unconsolidated entities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$__________(iii)</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$__________(iv)</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non-cash write-downs or write-offs of assets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w w:val="92"/>
              </w:rPr>
              <w:t>losses attributable to the extinguishment of Indebtedness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$__________(vi)</w:t>
            </w:r>
          </w:p>
        </w:tc>
      </w:tr>
      <w:tr>
        <w:trPr>
          <w:trHeight w:val="230"/>
        </w:trPr>
        <w:tc>
          <w:tcPr>
            <w:tcW w:w="5500" w:type="dxa"/>
            <w:vAlign w:val="bottom"/>
          </w:tcPr>
          <w:p>
            <w:pPr>
              <w:ind w:left="660"/>
              <w:spacing w:after="0"/>
              <w:rPr>
                <w:sz w:val="20"/>
                <w:szCs w:val="20"/>
                <w:color w:val="auto"/>
              </w:rPr>
            </w:pPr>
            <w:r>
              <w:rPr>
                <w:rFonts w:ascii="Arial" w:cs="Arial" w:eastAsia="Arial" w:hAnsi="Arial"/>
                <w:sz w:val="18"/>
                <w:szCs w:val="18"/>
                <w:i w:val="1"/>
                <w:iCs w:val="1"/>
                <w:color w:val="auto"/>
              </w:rPr>
              <w:t>Minus non-cash extraordinary gains on the sale of assets</w:t>
            </w:r>
          </w:p>
        </w:tc>
        <w:tc>
          <w:tcPr>
            <w:tcW w:w="700" w:type="dxa"/>
            <w:vAlign w:val="bottom"/>
          </w:tcPr>
          <w:p>
            <w:pPr>
              <w:spacing w:after="0"/>
              <w:rPr>
                <w:sz w:val="20"/>
                <w:szCs w:val="20"/>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$__________(vii)</w:t>
            </w:r>
          </w:p>
        </w:tc>
      </w:tr>
      <w:tr>
        <w:trPr>
          <w:trHeight w:val="432"/>
        </w:trPr>
        <w:tc>
          <w:tcPr>
            <w:tcW w:w="5500" w:type="dxa"/>
            <w:vAlign w:val="bottom"/>
          </w:tcPr>
          <w:p>
            <w:pPr>
              <w:spacing w:after="0"/>
              <w:rPr>
                <w:sz w:val="20"/>
                <w:szCs w:val="20"/>
                <w:color w:val="auto"/>
              </w:rPr>
            </w:pPr>
            <w:r>
              <w:rPr>
                <w:rFonts w:ascii="Arial" w:cs="Arial" w:eastAsia="Arial" w:hAnsi="Arial"/>
                <w:sz w:val="18"/>
                <w:szCs w:val="18"/>
                <w:i w:val="1"/>
                <w:iCs w:val="1"/>
                <w:color w:val="auto"/>
              </w:rPr>
              <w:t>EBIT (sum of (i) through (vi) minus (vii))</w:t>
            </w:r>
          </w:p>
        </w:tc>
        <w:tc>
          <w:tcPr>
            <w:tcW w:w="700" w:type="dxa"/>
            <w:vAlign w:val="bottom"/>
          </w:tcPr>
          <w:p>
            <w:pPr>
              <w:spacing w:after="0"/>
              <w:rPr>
                <w:sz w:val="24"/>
                <w:szCs w:val="24"/>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$__________(a)</w:t>
            </w: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Consolidated Net Income of Acquired Businesses</w:t>
            </w:r>
          </w:p>
        </w:tc>
        <w:tc>
          <w:tcPr>
            <w:tcW w:w="700" w:type="dxa"/>
            <w:vAlign w:val="bottom"/>
          </w:tcPr>
          <w:p>
            <w:pPr>
              <w:spacing w:after="0"/>
              <w:rPr>
                <w:sz w:val="24"/>
                <w:szCs w:val="24"/>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w:t>
            </w:r>
          </w:p>
        </w:tc>
      </w:tr>
      <w:tr>
        <w:trPr>
          <w:trHeight w:val="216"/>
        </w:trPr>
        <w:tc>
          <w:tcPr>
            <w:tcW w:w="5500" w:type="dxa"/>
            <w:vAlign w:val="bottom"/>
          </w:tcPr>
          <w:p>
            <w:pPr>
              <w:ind w:left="660"/>
              <w:spacing w:after="0"/>
              <w:rPr>
                <w:sz w:val="20"/>
                <w:szCs w:val="20"/>
                <w:color w:val="auto"/>
              </w:rPr>
            </w:pPr>
            <w:r>
              <w:rPr>
                <w:rFonts w:ascii="Arial" w:cs="Arial" w:eastAsia="Arial" w:hAnsi="Arial"/>
                <w:sz w:val="18"/>
                <w:szCs w:val="18"/>
                <w:i w:val="1"/>
                <w:iCs w:val="1"/>
                <w:color w:val="auto"/>
              </w:rPr>
              <w:t>Plus (without duplication):</w:t>
            </w:r>
          </w:p>
        </w:tc>
        <w:tc>
          <w:tcPr>
            <w:tcW w:w="7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$__________(ii)</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equity in losses (earnings) of unconsolidated entities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$__________(iii)</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$__________(iv)</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rPr>
              <w:t>non-cash writedowns or write-offs of assets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w:t>
            </w:r>
          </w:p>
        </w:tc>
      </w:tr>
      <w:tr>
        <w:trPr>
          <w:trHeight w:val="216"/>
        </w:trPr>
        <w:tc>
          <w:tcPr>
            <w:tcW w:w="5500" w:type="dxa"/>
            <w:vAlign w:val="bottom"/>
          </w:tcPr>
          <w:p>
            <w:pPr>
              <w:ind w:left="1300"/>
              <w:spacing w:after="0"/>
              <w:rPr>
                <w:sz w:val="20"/>
                <w:szCs w:val="20"/>
                <w:color w:val="auto"/>
              </w:rPr>
            </w:pPr>
            <w:r>
              <w:rPr>
                <w:rFonts w:ascii="Arial" w:cs="Arial" w:eastAsia="Arial" w:hAnsi="Arial"/>
                <w:sz w:val="18"/>
                <w:szCs w:val="18"/>
                <w:color w:val="auto"/>
                <w:w w:val="92"/>
              </w:rPr>
              <w:t>losses attributable to the extinguishment of Indebtedness</w:t>
            </w:r>
          </w:p>
        </w:tc>
        <w:tc>
          <w:tcPr>
            <w:tcW w:w="700" w:type="dxa"/>
            <w:vAlign w:val="bottom"/>
          </w:tcPr>
          <w:p>
            <w:pPr>
              <w:spacing w:after="0"/>
              <w:rPr>
                <w:sz w:val="18"/>
                <w:szCs w:val="18"/>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$__________(vi)</w:t>
            </w:r>
          </w:p>
        </w:tc>
      </w:tr>
      <w:tr>
        <w:trPr>
          <w:trHeight w:val="230"/>
        </w:trPr>
        <w:tc>
          <w:tcPr>
            <w:tcW w:w="5500" w:type="dxa"/>
            <w:vAlign w:val="bottom"/>
          </w:tcPr>
          <w:p>
            <w:pPr>
              <w:ind w:left="660"/>
              <w:spacing w:after="0"/>
              <w:rPr>
                <w:sz w:val="20"/>
                <w:szCs w:val="20"/>
                <w:color w:val="auto"/>
              </w:rPr>
            </w:pPr>
            <w:r>
              <w:rPr>
                <w:rFonts w:ascii="Arial" w:cs="Arial" w:eastAsia="Arial" w:hAnsi="Arial"/>
                <w:sz w:val="18"/>
                <w:szCs w:val="18"/>
                <w:i w:val="1"/>
                <w:iCs w:val="1"/>
                <w:color w:val="auto"/>
              </w:rPr>
              <w:t>Minus non-cash extraordinary gains on the sale of assets</w:t>
            </w:r>
          </w:p>
        </w:tc>
        <w:tc>
          <w:tcPr>
            <w:tcW w:w="700" w:type="dxa"/>
            <w:vAlign w:val="bottom"/>
          </w:tcPr>
          <w:p>
            <w:pPr>
              <w:spacing w:after="0"/>
              <w:rPr>
                <w:sz w:val="20"/>
                <w:szCs w:val="20"/>
                <w:color w:val="auto"/>
              </w:rPr>
            </w:pPr>
          </w:p>
        </w:tc>
        <w:tc>
          <w:tcPr>
            <w:tcW w:w="5040" w:type="dxa"/>
            <w:vAlign w:val="bottom"/>
          </w:tcPr>
          <w:p>
            <w:pPr>
              <w:ind w:left="2260"/>
              <w:spacing w:after="0"/>
              <w:rPr>
                <w:sz w:val="20"/>
                <w:szCs w:val="20"/>
                <w:color w:val="auto"/>
              </w:rPr>
            </w:pPr>
            <w:r>
              <w:rPr>
                <w:rFonts w:ascii="Arial" w:cs="Arial" w:eastAsia="Arial" w:hAnsi="Arial"/>
                <w:sz w:val="18"/>
                <w:szCs w:val="18"/>
                <w:color w:val="auto"/>
              </w:rPr>
              <w:t>$__________(vii)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0" w:hanging="112"/>
        <w:spacing w:after="0"/>
        <w:tabs>
          <w:tab w:leader="none" w:pos="120" w:val="left"/>
        </w:tabs>
        <w:numPr>
          <w:ilvl w:val="0"/>
          <w:numId w:val="91"/>
        </w:numPr>
        <w:rPr>
          <w:rFonts w:ascii="Arial" w:cs="Arial" w:eastAsia="Arial" w:hAnsi="Arial"/>
          <w:sz w:val="30"/>
          <w:szCs w:val="30"/>
          <w:color w:val="auto"/>
          <w:vertAlign w:val="superscript"/>
        </w:rPr>
      </w:pPr>
      <w:r>
        <w:rPr>
          <w:rFonts w:ascii="Arial" w:cs="Arial" w:eastAsia="Arial" w:hAnsi="Arial"/>
          <w:sz w:val="18"/>
          <w:szCs w:val="18"/>
          <w:color w:val="auto"/>
        </w:rPr>
        <w:t>If this is not checked, this certificate will only be posted to Private side Lenders.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EBIT of Acquired Businesses (sum of (i) through (vi) minus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 of (a) plus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EBITDA (sum of (c), (i) and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following (calculated on a consolidated basis for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Subsidiaries):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Indebtedness for borrowed money</w:t>
      </w:r>
    </w:p>
    <w:p>
      <w:pPr>
        <w:spacing w:after="0" w:line="9" w:lineRule="exact"/>
        <w:rPr>
          <w:sz w:val="20"/>
          <w:szCs w:val="20"/>
          <w:color w:val="auto"/>
        </w:rPr>
      </w:pPr>
    </w:p>
    <w:p>
      <w:pPr>
        <w:ind w:left="820" w:right="2420"/>
        <w:spacing w:after="0" w:line="250" w:lineRule="auto"/>
        <w:rPr>
          <w:sz w:val="20"/>
          <w:szCs w:val="20"/>
          <w:color w:val="auto"/>
        </w:rPr>
      </w:pPr>
      <w:r>
        <w:rPr>
          <w:rFonts w:ascii="Arial" w:cs="Arial" w:eastAsia="Arial" w:hAnsi="Arial"/>
          <w:sz w:val="18"/>
          <w:szCs w:val="18"/>
          <w:color w:val="auto"/>
        </w:rPr>
        <w:t>Obligations for deferred purchase price of property or services (other than trade payables)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evidenced by debt instruments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Obligations under conditional sales</w:t>
      </w:r>
    </w:p>
    <w:p>
      <w:pPr>
        <w:spacing w:after="0" w:line="9" w:lineRule="exact"/>
        <w:rPr>
          <w:sz w:val="20"/>
          <w:szCs w:val="20"/>
          <w:color w:val="auto"/>
        </w:rPr>
      </w:pPr>
    </w:p>
    <w:p>
      <w:pPr>
        <w:ind w:left="660" w:right="2360"/>
        <w:spacing w:after="0" w:line="265" w:lineRule="auto"/>
        <w:rPr>
          <w:sz w:val="20"/>
          <w:szCs w:val="20"/>
          <w:color w:val="auto"/>
        </w:rPr>
      </w:pPr>
      <w:r>
        <w:rPr>
          <w:rFonts w:ascii="Arial" w:cs="Arial" w:eastAsia="Arial" w:hAnsi="Arial"/>
          <w:sz w:val="17"/>
          <w:szCs w:val="17"/>
          <w:color w:val="auto"/>
        </w:rPr>
        <w:t>Obligations, liabilities and indebtedness under Capitalized Leases Obligations, liabilities and indebtedness under bonding</w:t>
      </w:r>
    </w:p>
    <w:p>
      <w:pPr>
        <w:ind w:left="820"/>
        <w:spacing w:after="0"/>
        <w:rPr>
          <w:sz w:val="20"/>
          <w:szCs w:val="20"/>
          <w:color w:val="auto"/>
        </w:rPr>
      </w:pPr>
      <w:r>
        <w:rPr>
          <w:rFonts w:ascii="Arial" w:cs="Arial" w:eastAsia="Arial" w:hAnsi="Arial"/>
          <w:sz w:val="17"/>
          <w:szCs w:val="17"/>
          <w:color w:val="auto"/>
        </w:rPr>
        <w:t>arrangements (to the extent that a surety has been called</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upon to make payment on a bond)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Guaranties of the Indebtedness of others</w:t>
      </w:r>
    </w:p>
    <w:p>
      <w:pPr>
        <w:spacing w:after="0" w:line="9" w:lineRule="exact"/>
        <w:rPr>
          <w:sz w:val="20"/>
          <w:szCs w:val="20"/>
          <w:color w:val="auto"/>
        </w:rPr>
      </w:pPr>
    </w:p>
    <w:p>
      <w:pPr>
        <w:jc w:val="both"/>
        <w:ind w:left="660" w:right="2800"/>
        <w:spacing w:after="0" w:line="255" w:lineRule="auto"/>
        <w:rPr>
          <w:sz w:val="20"/>
          <w:szCs w:val="20"/>
          <w:color w:val="auto"/>
        </w:rPr>
      </w:pPr>
      <w:r>
        <w:rPr>
          <w:rFonts w:ascii="Arial" w:cs="Arial" w:eastAsia="Arial" w:hAnsi="Arial"/>
          <w:sz w:val="18"/>
          <w:szCs w:val="18"/>
          <w:color w:val="auto"/>
        </w:rPr>
        <w:t>Indebtedness secured by liens or encumbrances on property Non-contingent reimbursement obligations with respect to letters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Total Debt (sum of (i) through (ix))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Ratio of (e) to (d)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Maximum permitted:</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830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$___________(b)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$___________(ii)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$___________(iii)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$___________(iv)</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$___________(v)</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$___________(vi)</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$___________(vii)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$___________(viii)</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$___________(ix)</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3.75 : 1.00</w:t>
      </w:r>
    </w:p>
    <w:p>
      <w:pPr>
        <w:spacing w:after="0" w:line="289" w:lineRule="exact"/>
        <w:rPr>
          <w:sz w:val="20"/>
          <w:szCs w:val="20"/>
          <w:color w:val="auto"/>
        </w:rPr>
      </w:pPr>
    </w:p>
    <w:p>
      <w:pPr>
        <w:sectPr>
          <w:pgSz w:w="11900" w:h="16838" w:orient="portrait"/>
          <w:cols w:equalWidth="0" w:num="2">
            <w:col w:w="7740" w:space="720"/>
            <w:col w:w="2780"/>
          </w:cols>
          <w:pgMar w:left="320" w:top="935" w:right="339" w:bottom="1440" w:gutter="0" w:footer="0" w:header="0"/>
        </w:sectPr>
      </w:pPr>
    </w:p>
    <w:p>
      <w:pPr>
        <w:spacing w:after="0" w:line="219" w:lineRule="exact"/>
        <w:rPr>
          <w:sz w:val="20"/>
          <w:szCs w:val="20"/>
          <w:color w:val="auto"/>
        </w:rPr>
      </w:pPr>
    </w:p>
    <w:p>
      <w:pPr>
        <w:jc w:val="both"/>
        <w:ind w:firstLine="8"/>
        <w:spacing w:after="0" w:line="223" w:lineRule="auto"/>
        <w:tabs>
          <w:tab w:leader="none" w:pos="131" w:val="left"/>
        </w:tabs>
        <w:numPr>
          <w:ilvl w:val="0"/>
          <w:numId w:val="92"/>
        </w:numPr>
        <w:rPr>
          <w:rFonts w:ascii="Arial" w:cs="Arial" w:eastAsia="Arial" w:hAnsi="Arial"/>
          <w:sz w:val="30"/>
          <w:szCs w:val="30"/>
          <w:color w:val="auto"/>
          <w:vertAlign w:val="superscript"/>
        </w:rPr>
      </w:pPr>
      <w:r>
        <w:rPr>
          <w:rFonts w:ascii="Arial" w:cs="Arial" w:eastAsia="Arial" w:hAnsi="Arial"/>
          <w:sz w:val="18"/>
          <w:szCs w:val="18"/>
          <w:color w:val="auto"/>
        </w:rPr>
        <w:t xml:space="preserve">If an Acquisition permitted under the Credit Agreement involving aggregate consideration in excess of $200,000,000 occurs during a fiscal quarter, the Company shall have the right to increase the maximum permitted Leverage Ratio required to be maintained under </w:t>
      </w:r>
      <w:r>
        <w:rPr>
          <w:rFonts w:ascii="Arial" w:cs="Arial" w:eastAsia="Arial" w:hAnsi="Arial"/>
          <w:sz w:val="18"/>
          <w:szCs w:val="18"/>
          <w:i w:val="1"/>
          <w:iCs w:val="1"/>
          <w:color w:val="auto"/>
        </w:rPr>
        <w:t>Section 9</w:t>
      </w:r>
      <w:r>
        <w:rPr>
          <w:rFonts w:ascii="Arial" w:cs="Arial" w:eastAsia="Arial" w:hAnsi="Arial"/>
          <w:sz w:val="18"/>
          <w:szCs w:val="18"/>
          <w:color w:val="auto"/>
        </w:rPr>
        <w:t xml:space="preserve"> of the Credit Agreement to 4.25:1.00 during an Elevated Leverage Ratio Period so long as there is at least one fiscal quarter end after the end of each Elevated Ratio Leverage Period at which the Leverage Ratio is less than or equal to 3.75:1.00;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no more than two Elevated Leverage Ratio Periods during the term of the Credit Agreement.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i w:val="1"/>
          <w:iCs w:val="1"/>
          <w:color w:val="auto"/>
        </w:rPr>
        <w:t>SCHEDULE 1</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___________</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be attached]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i w:val="1"/>
          <w:iCs w:val="1"/>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b w:val="1"/>
          <w:bCs w:val="1"/>
          <w:i w:val="1"/>
          <w:iCs w:val="1"/>
          <w:color w:val="auto"/>
        </w:rPr>
        <w:t>Assignment and Assumption</w:t>
      </w:r>
      <w:r>
        <w:rPr>
          <w:rFonts w:ascii="Arial" w:cs="Arial" w:eastAsia="Arial" w:hAnsi="Arial"/>
          <w:sz w:val="16"/>
          <w:szCs w:val="16"/>
          <w:color w:val="auto"/>
        </w:rPr>
        <w:t>”) is dated as of the Effective Date set forth below and is entered into by and between [the][each]</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Assignor identified in </w:t>
      </w:r>
      <w:r>
        <w:rPr>
          <w:rFonts w:ascii="Arial" w:cs="Arial" w:eastAsia="Arial" w:hAnsi="Arial"/>
          <w:sz w:val="16"/>
          <w:szCs w:val="16"/>
          <w:b w:val="1"/>
          <w:bCs w:val="1"/>
          <w:i w:val="1"/>
          <w:iCs w:val="1"/>
          <w:color w:val="auto"/>
        </w:rPr>
        <w:t>item 1</w:t>
      </w:r>
      <w:r>
        <w:rPr>
          <w:rFonts w:ascii="Arial" w:cs="Arial" w:eastAsia="Arial" w:hAnsi="Arial"/>
          <w:sz w:val="16"/>
          <w:szCs w:val="16"/>
          <w:color w:val="auto"/>
        </w:rPr>
        <w:t xml:space="preserve"> below ([the][each, an] “</w:t>
      </w:r>
      <w:r>
        <w:rPr>
          <w:rFonts w:ascii="Arial" w:cs="Arial" w:eastAsia="Arial" w:hAnsi="Arial"/>
          <w:sz w:val="16"/>
          <w:szCs w:val="16"/>
          <w:b w:val="1"/>
          <w:bCs w:val="1"/>
          <w:i w:val="1"/>
          <w:iCs w:val="1"/>
          <w:color w:val="auto"/>
        </w:rPr>
        <w:t>Assignor</w:t>
      </w:r>
      <w:r>
        <w:rPr>
          <w:rFonts w:ascii="Arial" w:cs="Arial" w:eastAsia="Arial" w:hAnsi="Arial"/>
          <w:sz w:val="16"/>
          <w:szCs w:val="16"/>
          <w:color w:val="auto"/>
        </w:rPr>
        <w:t>”) and [the][each]</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Assignee identified in </w:t>
      </w:r>
      <w:r>
        <w:rPr>
          <w:rFonts w:ascii="Arial" w:cs="Arial" w:eastAsia="Arial" w:hAnsi="Arial"/>
          <w:sz w:val="16"/>
          <w:szCs w:val="16"/>
          <w:b w:val="1"/>
          <w:bCs w:val="1"/>
          <w:i w:val="1"/>
          <w:iCs w:val="1"/>
          <w:color w:val="auto"/>
        </w:rPr>
        <w:t>item 2</w:t>
      </w:r>
      <w:r>
        <w:rPr>
          <w:rFonts w:ascii="Arial" w:cs="Arial" w:eastAsia="Arial" w:hAnsi="Arial"/>
          <w:sz w:val="16"/>
          <w:szCs w:val="16"/>
          <w:color w:val="auto"/>
        </w:rPr>
        <w:t xml:space="preserve"> below ([the][each, an]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hereunder are several and not joint.]</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Capitalized terms used but not defined herein shall have the meanings given to them in the Credit Agreement identified below (as amended, the “</w:t>
      </w:r>
      <w:r>
        <w:rPr>
          <w:rFonts w:ascii="Arial" w:cs="Arial" w:eastAsia="Arial" w:hAnsi="Arial"/>
          <w:sz w:val="16"/>
          <w:szCs w:val="16"/>
          <w:b w:val="1"/>
          <w:bCs w:val="1"/>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receipt of a copy of which is hereby acknowledged by [the][each] Assignee. The Standard Terms and Conditions set forth in</w:t>
      </w:r>
      <w:r>
        <w:rPr>
          <w:rFonts w:ascii="Arial" w:cs="Arial" w:eastAsia="Arial" w:hAnsi="Arial"/>
          <w:sz w:val="16"/>
          <w:szCs w:val="16"/>
          <w:b w:val="1"/>
          <w:bCs w:val="1"/>
          <w:i w:val="1"/>
          <w:iCs w:val="1"/>
          <w:color w:val="auto"/>
        </w:rPr>
        <w:t xml:space="preserve"> Annex 1 </w:t>
      </w:r>
      <w:r>
        <w:rPr>
          <w:rFonts w:ascii="Arial" w:cs="Arial" w:eastAsia="Arial" w:hAnsi="Arial"/>
          <w:sz w:val="16"/>
          <w:szCs w:val="16"/>
          <w:color w:val="auto"/>
        </w:rPr>
        <w:t>attached hereto are hereby agreed to and incorporated herein by reference and made a part of this Assignment and Assumption as if set forth herein in full.</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under the respective facilities identified below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6"/>
          <w:szCs w:val="16"/>
          <w:b w:val="1"/>
          <w:bCs w:val="1"/>
          <w:i w:val="1"/>
          <w:iCs w:val="1"/>
          <w:color w:val="auto"/>
        </w:rPr>
        <w:t xml:space="preserve">clause (i) </w:t>
      </w:r>
      <w:r>
        <w:rPr>
          <w:rFonts w:ascii="Arial" w:cs="Arial" w:eastAsia="Arial" w:hAnsi="Arial"/>
          <w:sz w:val="16"/>
          <w:szCs w:val="16"/>
          <w:color w:val="auto"/>
        </w:rPr>
        <w:t>above (the rights and obligations sold and assigned by [the][any] Assignor to [the][any] Assignee pursuant to</w:t>
      </w:r>
      <w:r>
        <w:rPr>
          <w:rFonts w:ascii="Arial" w:cs="Arial" w:eastAsia="Arial" w:hAnsi="Arial"/>
          <w:sz w:val="16"/>
          <w:szCs w:val="16"/>
          <w:b w:val="1"/>
          <w:bCs w:val="1"/>
          <w:i w:val="1"/>
          <w:iCs w:val="1"/>
          <w:color w:val="auto"/>
        </w:rPr>
        <w:t xml:space="preserve"> clauses (i)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(ii) </w:t>
      </w:r>
      <w:r>
        <w:rPr>
          <w:rFonts w:ascii="Arial" w:cs="Arial" w:eastAsia="Arial" w:hAnsi="Arial"/>
          <w:sz w:val="16"/>
          <w:szCs w:val="16"/>
          <w:color w:val="auto"/>
        </w:rPr>
        <w:t>above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herein collectively as [the][an] “</w:t>
      </w:r>
      <w:r>
        <w:rPr>
          <w:rFonts w:ascii="Arial" w:cs="Arial" w:eastAsia="Arial" w:hAnsi="Arial"/>
          <w:sz w:val="16"/>
          <w:szCs w:val="16"/>
          <w:b w:val="1"/>
          <w:bCs w:val="1"/>
          <w:i w:val="1"/>
          <w:iCs w:val="1"/>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74"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Assignor[s]: ______________________________</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[Assignor [is][is not] a Defaulting Bank]</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Assignee[s]: ______________________________</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each Assignee, indicate [Bank Affiliate][Approved Fund] of [identify Bank]]</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Company: 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ind w:firstLine="8"/>
        <w:spacing w:after="0" w:line="207" w:lineRule="auto"/>
        <w:tabs>
          <w:tab w:leader="none" w:pos="112" w:val="left"/>
        </w:tabs>
        <w:numPr>
          <w:ilvl w:val="0"/>
          <w:numId w:val="94"/>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6" w:lineRule="exact"/>
        <w:rPr>
          <w:sz w:val="20"/>
          <w:szCs w:val="20"/>
          <w:color w:val="auto"/>
        </w:rPr>
      </w:pPr>
    </w:p>
    <w:p>
      <w:pPr>
        <w:ind w:firstLine="8"/>
        <w:spacing w:after="0" w:line="207" w:lineRule="auto"/>
        <w:tabs>
          <w:tab w:leader="none" w:pos="112" w:val="left"/>
        </w:tabs>
        <w:numPr>
          <w:ilvl w:val="0"/>
          <w:numId w:val="95"/>
        </w:numPr>
        <w:rPr>
          <w:rFonts w:ascii="Arial" w:cs="Arial" w:eastAsia="Arial" w:hAnsi="Arial"/>
          <w:sz w:val="28"/>
          <w:szCs w:val="28"/>
          <w:color w:val="auto"/>
          <w:vertAlign w:val="superscript"/>
        </w:rPr>
      </w:pPr>
      <w:r>
        <w:rPr>
          <w:rFonts w:ascii="Arial" w:cs="Arial" w:eastAsia="Arial" w:hAnsi="Arial"/>
          <w:sz w:val="17"/>
          <w:szCs w:val="17"/>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214" w:lineRule="auto"/>
        <w:rPr>
          <w:rFonts w:ascii="Arial" w:cs="Arial" w:eastAsia="Arial" w:hAnsi="Arial"/>
          <w:sz w:val="28"/>
          <w:szCs w:val="28"/>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Select as appropriate.</w:t>
      </w:r>
    </w:p>
    <w:p>
      <w:pPr>
        <w:spacing w:after="0" w:line="1"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Include bracketed language if there are either multiple Assignors or multiple Assignees.</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Administrative Agent: Mizuho Bank, Ltd., as the administrative agent under the Credit Agreement</w:t>
      </w:r>
    </w:p>
    <w:p>
      <w:pPr>
        <w:spacing w:after="0" w:line="221" w:lineRule="exact"/>
        <w:rPr>
          <w:rFonts w:ascii="Arial" w:cs="Arial" w:eastAsia="Arial" w:hAnsi="Arial"/>
          <w:sz w:val="18"/>
          <w:szCs w:val="18"/>
          <w:color w:val="auto"/>
        </w:rPr>
      </w:pPr>
    </w:p>
    <w:p>
      <w:pPr>
        <w:ind w:left="660" w:right="20" w:hanging="652"/>
        <w:spacing w:after="0" w:line="312"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Credit Agreement: Credit Agreement, dated as of July 28, 2020, among </w:t>
      </w:r>
      <w:r>
        <w:rPr>
          <w:rFonts w:ascii="Arial" w:cs="Arial" w:eastAsia="Arial" w:hAnsi="Arial"/>
          <w:sz w:val="17"/>
          <w:szCs w:val="17"/>
          <w:b w:val="1"/>
          <w:bCs w:val="1"/>
          <w:color w:val="auto"/>
        </w:rPr>
        <w:t>WASTE MANAGEMENT, INC.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Waste Management Holdings, Inc., as Guarantor, the Banks from time to time party thereto, and Mizuho Bank, Ltd., as Administrative Agent</w:t>
      </w:r>
    </w:p>
    <w:p>
      <w:pPr>
        <w:spacing w:after="0" w:line="143" w:lineRule="exact"/>
        <w:rPr>
          <w:rFonts w:ascii="Arial" w:cs="Arial" w:eastAsia="Arial" w:hAnsi="Arial"/>
          <w:sz w:val="17"/>
          <w:szCs w:val="17"/>
          <w:color w:val="auto"/>
        </w:rPr>
      </w:pPr>
    </w:p>
    <w:p>
      <w:pPr>
        <w:ind w:left="680" w:hanging="67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 of</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Percentage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Amount of</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Commitment/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Assigned of</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Commitment/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Loans</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Commitment/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Loans for all</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Assigned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Loans under</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Assignor[s]</w:t>
            </w:r>
            <w:r>
              <w:rPr>
                <w:rFonts w:ascii="Arial" w:cs="Arial" w:eastAsia="Arial" w:hAnsi="Arial"/>
                <w:sz w:val="29"/>
                <w:szCs w:val="29"/>
                <w:b w:val="1"/>
                <w:bCs w:val="1"/>
                <w:color w:val="auto"/>
                <w:vertAlign w:val="superscript"/>
              </w:rPr>
              <w:t>8</w:t>
            </w:r>
          </w:p>
        </w:tc>
        <w:tc>
          <w:tcPr>
            <w:tcW w:w="17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Assignee[s]</w:t>
            </w:r>
            <w:r>
              <w:rPr>
                <w:rFonts w:ascii="Arial" w:cs="Arial" w:eastAsia="Arial" w:hAnsi="Arial"/>
                <w:sz w:val="29"/>
                <w:szCs w:val="29"/>
                <w:b w:val="1"/>
                <w:bCs w:val="1"/>
                <w:color w:val="auto"/>
                <w:vertAlign w:val="superscript"/>
              </w:rPr>
              <w:t>9</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Facility</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Banks under</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under such</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0"/>
              </w:rPr>
              <w:t>such</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CUSIP</w:t>
            </w:r>
          </w:p>
        </w:tc>
        <w:tc>
          <w:tcPr>
            <w:tcW w:w="0" w:type="dxa"/>
            <w:vAlign w:val="bottom"/>
          </w:tcPr>
          <w:p>
            <w:pPr>
              <w:spacing w:after="0"/>
              <w:rPr>
                <w:sz w:val="1"/>
                <w:szCs w:val="1"/>
                <w:color w:val="auto"/>
              </w:rPr>
            </w:pPr>
          </w:p>
        </w:tc>
      </w:tr>
      <w:tr>
        <w:trPr>
          <w:trHeight w:val="283"/>
        </w:trPr>
        <w:tc>
          <w:tcPr>
            <w:tcW w:w="1700" w:type="dxa"/>
            <w:vAlign w:val="bottom"/>
            <w:gridSpan w:val="2"/>
            <w:vMerge w:val="continue"/>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720" w:type="dxa"/>
            <w:vAlign w:val="bottom"/>
            <w:gridSpan w:val="2"/>
          </w:tcPr>
          <w:p>
            <w:pPr>
              <w:jc w:val="center"/>
              <w:ind w:right="120"/>
              <w:spacing w:after="0" w:line="284" w:lineRule="exact"/>
              <w:rPr>
                <w:sz w:val="20"/>
                <w:szCs w:val="20"/>
                <w:color w:val="auto"/>
              </w:rPr>
            </w:pPr>
            <w:r>
              <w:rPr>
                <w:rFonts w:ascii="Arial" w:cs="Arial" w:eastAsia="Arial" w:hAnsi="Arial"/>
                <w:sz w:val="18"/>
                <w:szCs w:val="18"/>
                <w:b w:val="1"/>
                <w:bCs w:val="1"/>
                <w:color w:val="auto"/>
                <w:w w:val="81"/>
              </w:rPr>
              <w:t>Assigned</w:t>
            </w:r>
            <w:r>
              <w:rPr>
                <w:rFonts w:ascii="Arial" w:cs="Arial" w:eastAsia="Arial" w:hAnsi="Arial"/>
                <w:sz w:val="29"/>
                <w:szCs w:val="29"/>
                <w:b w:val="1"/>
                <w:bCs w:val="1"/>
                <w:color w:val="auto"/>
                <w:w w:val="81"/>
                <w:vertAlign w:val="superscript"/>
              </w:rPr>
              <w:t>10</w:t>
            </w:r>
          </w:p>
        </w:tc>
        <w:tc>
          <w:tcPr>
            <w:tcW w:w="1680" w:type="dxa"/>
            <w:vAlign w:val="bottom"/>
            <w:gridSpan w:val="2"/>
          </w:tcPr>
          <w:p>
            <w:pPr>
              <w:jc w:val="center"/>
              <w:ind w:right="120"/>
              <w:spacing w:after="0" w:line="284" w:lineRule="exact"/>
              <w:rPr>
                <w:sz w:val="20"/>
                <w:szCs w:val="20"/>
                <w:color w:val="auto"/>
              </w:rPr>
            </w:pPr>
            <w:r>
              <w:rPr>
                <w:rFonts w:ascii="Arial" w:cs="Arial" w:eastAsia="Arial" w:hAnsi="Arial"/>
                <w:sz w:val="18"/>
                <w:szCs w:val="18"/>
                <w:b w:val="1"/>
                <w:bCs w:val="1"/>
                <w:color w:val="auto"/>
                <w:w w:val="85"/>
              </w:rPr>
              <w:t>such Facility</w:t>
            </w:r>
            <w:r>
              <w:rPr>
                <w:rFonts w:ascii="Arial" w:cs="Arial" w:eastAsia="Arial" w:hAnsi="Arial"/>
                <w:sz w:val="29"/>
                <w:szCs w:val="29"/>
                <w:b w:val="1"/>
                <w:bCs w:val="1"/>
                <w:color w:val="auto"/>
                <w:w w:val="85"/>
                <w:vertAlign w:val="superscript"/>
              </w:rPr>
              <w:t>11</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Facility</w:t>
            </w:r>
          </w:p>
        </w:tc>
        <w:tc>
          <w:tcPr>
            <w:tcW w:w="1540" w:type="dxa"/>
            <w:vAlign w:val="bottom"/>
            <w:gridSpan w:val="2"/>
          </w:tcPr>
          <w:p>
            <w:pPr>
              <w:jc w:val="center"/>
              <w:ind w:right="120"/>
              <w:spacing w:after="0" w:line="284" w:lineRule="exact"/>
              <w:rPr>
                <w:sz w:val="20"/>
                <w:szCs w:val="20"/>
                <w:color w:val="auto"/>
              </w:rPr>
            </w:pPr>
            <w:r>
              <w:rPr>
                <w:rFonts w:ascii="Arial" w:cs="Arial" w:eastAsia="Arial" w:hAnsi="Arial"/>
                <w:sz w:val="18"/>
                <w:szCs w:val="18"/>
                <w:b w:val="1"/>
                <w:bCs w:val="1"/>
                <w:color w:val="auto"/>
                <w:w w:val="88"/>
              </w:rPr>
              <w:t>Facility</w:t>
            </w:r>
            <w:r>
              <w:rPr>
                <w:rFonts w:ascii="Arial" w:cs="Arial" w:eastAsia="Arial" w:hAnsi="Arial"/>
                <w:sz w:val="29"/>
                <w:szCs w:val="29"/>
                <w:b w:val="1"/>
                <w:bCs w:val="1"/>
                <w:color w:val="auto"/>
                <w:w w:val="88"/>
                <w:vertAlign w:val="superscript"/>
              </w:rPr>
              <w:t>12</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[7. Trade Date: __________, 20__]</w:t>
      </w:r>
      <w:r>
        <w:rPr>
          <w:rFonts w:ascii="Arial" w:cs="Arial" w:eastAsia="Arial" w:hAnsi="Arial"/>
          <w:sz w:val="29"/>
          <w:szCs w:val="29"/>
          <w:color w:val="auto"/>
          <w:vertAlign w:val="superscript"/>
        </w:rPr>
        <w:t>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__________, 20__ [TO BE INSERTED BY ADMINISTRATIVE AGENT AND WHICH SHALL BE THE EFFECTIVE DATE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Page(s)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97"/>
        </w:numPr>
        <w:rPr>
          <w:rFonts w:ascii="Arial" w:cs="Arial" w:eastAsia="Arial" w:hAnsi="Arial"/>
          <w:sz w:val="30"/>
          <w:szCs w:val="30"/>
          <w:color w:val="auto"/>
          <w:vertAlign w:val="superscript"/>
        </w:rPr>
      </w:pPr>
      <w:r>
        <w:rPr>
          <w:rFonts w:ascii="Arial" w:cs="Arial" w:eastAsia="Arial" w:hAnsi="Arial"/>
          <w:sz w:val="18"/>
          <w:szCs w:val="18"/>
          <w:color w:val="auto"/>
        </w:rPr>
        <w:t>List each Assignor, as appropriate.</w:t>
      </w:r>
    </w:p>
    <w:p>
      <w:pPr>
        <w:ind w:left="120" w:hanging="112"/>
        <w:spacing w:after="0" w:line="184" w:lineRule="auto"/>
        <w:tabs>
          <w:tab w:leader="none" w:pos="120" w:val="left"/>
        </w:tabs>
        <w:numPr>
          <w:ilvl w:val="0"/>
          <w:numId w:val="98"/>
        </w:numPr>
        <w:rPr>
          <w:rFonts w:ascii="Arial" w:cs="Arial" w:eastAsia="Arial" w:hAnsi="Arial"/>
          <w:sz w:val="29"/>
          <w:szCs w:val="29"/>
          <w:color w:val="auto"/>
          <w:vertAlign w:val="superscript"/>
        </w:rPr>
      </w:pPr>
      <w:r>
        <w:rPr>
          <w:rFonts w:ascii="Arial" w:cs="Arial" w:eastAsia="Arial" w:hAnsi="Arial"/>
          <w:sz w:val="17"/>
          <w:szCs w:val="17"/>
          <w:color w:val="auto"/>
        </w:rPr>
        <w:t>List each Assignee and, if available, its market entity identifier, as appropriate.</w:t>
      </w:r>
    </w:p>
    <w:p>
      <w:pPr>
        <w:ind w:left="200" w:hanging="192"/>
        <w:spacing w:after="0" w:line="214" w:lineRule="auto"/>
        <w:tabs>
          <w:tab w:leader="none" w:pos="200" w:val="left"/>
        </w:tabs>
        <w:numPr>
          <w:ilvl w:val="0"/>
          <w:numId w:val="99"/>
        </w:numPr>
        <w:rPr>
          <w:rFonts w:ascii="Arial" w:cs="Arial" w:eastAsia="Arial" w:hAnsi="Arial"/>
          <w:sz w:val="25"/>
          <w:szCs w:val="25"/>
          <w:color w:val="auto"/>
          <w:vertAlign w:val="superscript"/>
        </w:rPr>
      </w:pPr>
      <w:r>
        <w:rPr>
          <w:rFonts w:ascii="Arial" w:cs="Arial" w:eastAsia="Arial" w:hAnsi="Arial"/>
          <w:sz w:val="15"/>
          <w:szCs w:val="15"/>
          <w:color w:val="auto"/>
        </w:rPr>
        <w:t>Fill in the appropriate terminology for the types of facilities under the Credit Agreement that are being assigned under this Assignment.</w:t>
      </w:r>
    </w:p>
    <w:p>
      <w:pPr>
        <w:spacing w:after="0" w:line="43" w:lineRule="exact"/>
        <w:rPr>
          <w:rFonts w:ascii="Arial" w:cs="Arial" w:eastAsia="Arial" w:hAnsi="Arial"/>
          <w:sz w:val="25"/>
          <w:szCs w:val="25"/>
          <w:color w:val="auto"/>
          <w:vertAlign w:val="superscript"/>
        </w:rPr>
      </w:pPr>
    </w:p>
    <w:p>
      <w:pPr>
        <w:ind w:firstLine="8"/>
        <w:spacing w:after="0" w:line="208" w:lineRule="auto"/>
        <w:tabs>
          <w:tab w:leader="none" w:pos="209" w:val="left"/>
        </w:tabs>
        <w:numPr>
          <w:ilvl w:val="0"/>
          <w:numId w:val="99"/>
        </w:numPr>
        <w:rPr>
          <w:rFonts w:ascii="Arial" w:cs="Arial" w:eastAsia="Arial" w:hAnsi="Arial"/>
          <w:sz w:val="27"/>
          <w:szCs w:val="27"/>
          <w:color w:val="auto"/>
          <w:vertAlign w:val="superscript"/>
        </w:rPr>
      </w:pPr>
      <w:r>
        <w:rPr>
          <w:rFonts w:ascii="Arial" w:cs="Arial" w:eastAsia="Arial" w:hAnsi="Arial"/>
          <w:sz w:val="16"/>
          <w:szCs w:val="16"/>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rFonts w:ascii="Arial" w:cs="Arial" w:eastAsia="Arial" w:hAnsi="Arial"/>
          <w:sz w:val="27"/>
          <w:szCs w:val="27"/>
          <w:color w:val="auto"/>
          <w:vertAlign w:val="superscript"/>
        </w:rPr>
      </w:pPr>
    </w:p>
    <w:p>
      <w:pPr>
        <w:ind w:left="200" w:hanging="192"/>
        <w:spacing w:after="0" w:line="214" w:lineRule="auto"/>
        <w:tabs>
          <w:tab w:leader="none" w:pos="200" w:val="left"/>
        </w:tabs>
        <w:numPr>
          <w:ilvl w:val="0"/>
          <w:numId w:val="99"/>
        </w:numPr>
        <w:rPr>
          <w:rFonts w:ascii="Arial" w:cs="Arial" w:eastAsia="Arial" w:hAnsi="Arial"/>
          <w:sz w:val="25"/>
          <w:szCs w:val="25"/>
          <w:color w:val="auto"/>
          <w:vertAlign w:val="superscript"/>
        </w:rPr>
      </w:pPr>
      <w:r>
        <w:rPr>
          <w:rFonts w:ascii="Arial" w:cs="Arial" w:eastAsia="Arial" w:hAnsi="Arial"/>
          <w:sz w:val="15"/>
          <w:szCs w:val="15"/>
          <w:color w:val="auto"/>
        </w:rPr>
        <w:t>Set forth, to at least 9 decimals, as a percentage of the Commitment/Loans of all Banks thereunder.</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9"/>
        </w:numPr>
        <w:rPr>
          <w:rFonts w:ascii="Arial" w:cs="Arial" w:eastAsia="Arial" w:hAnsi="Arial"/>
          <w:sz w:val="23"/>
          <w:szCs w:val="23"/>
          <w:color w:val="auto"/>
          <w:vertAlign w:val="superscript"/>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652"/>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9" w:lineRule="exact"/>
        <w:rPr>
          <w:sz w:val="20"/>
          <w:szCs w:val="20"/>
          <w:color w:val="auto"/>
        </w:rPr>
      </w:pPr>
    </w:p>
    <w:p>
      <w:pPr>
        <w:ind w:left="5612"/>
        <w:spacing w:after="0"/>
        <w:rPr>
          <w:sz w:val="20"/>
          <w:szCs w:val="20"/>
          <w:color w:val="auto"/>
        </w:rPr>
      </w:pPr>
      <w:r>
        <w:rPr>
          <w:rFonts w:ascii="Arial" w:cs="Arial" w:eastAsia="Arial" w:hAnsi="Arial"/>
          <w:sz w:val="18"/>
          <w:szCs w:val="18"/>
          <w:b w:val="1"/>
          <w:bCs w:val="1"/>
          <w:color w:val="auto"/>
        </w:rPr>
        <w:t>ASSIGNOR[S]</w:t>
      </w:r>
      <w:r>
        <w:rPr>
          <w:rFonts w:ascii="Arial" w:cs="Arial" w:eastAsia="Arial" w:hAnsi="Arial"/>
          <w:sz w:val="29"/>
          <w:szCs w:val="29"/>
          <w:color w:val="auto"/>
          <w:vertAlign w:val="superscript"/>
        </w:rPr>
        <w:t>14</w:t>
      </w:r>
    </w:p>
    <w:p>
      <w:pPr>
        <w:spacing w:after="0" w:line="13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ASSIGNOR</w:t>
      </w:r>
      <w:r>
        <w:rPr>
          <w:rFonts w:ascii="Arial" w:cs="Arial" w:eastAsia="Arial" w:hAnsi="Arial"/>
          <w:sz w:val="18"/>
          <w:szCs w:val="18"/>
          <w:color w:val="auto"/>
        </w:rPr>
        <w:t>]</w:t>
      </w:r>
    </w:p>
    <w:p>
      <w:pPr>
        <w:spacing w:after="0" w:line="22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ASSIGNOR</w:t>
      </w:r>
      <w:r>
        <w:rPr>
          <w:rFonts w:ascii="Arial" w:cs="Arial" w:eastAsia="Arial" w:hAnsi="Arial"/>
          <w:sz w:val="18"/>
          <w:szCs w:val="18"/>
          <w:color w:val="auto"/>
        </w:rPr>
        <w:t>]</w:t>
      </w:r>
    </w:p>
    <w:p>
      <w:pPr>
        <w:spacing w:after="0" w:line="22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ind w:left="5612"/>
        <w:spacing w:after="0"/>
        <w:rPr>
          <w:sz w:val="20"/>
          <w:szCs w:val="20"/>
          <w:color w:val="auto"/>
        </w:rPr>
      </w:pPr>
      <w:r>
        <w:rPr>
          <w:rFonts w:ascii="Arial" w:cs="Arial" w:eastAsia="Arial" w:hAnsi="Arial"/>
          <w:sz w:val="18"/>
          <w:szCs w:val="18"/>
          <w:b w:val="1"/>
          <w:bCs w:val="1"/>
          <w:color w:val="auto"/>
        </w:rPr>
        <w:t>ASSIGNEE[S]</w:t>
      </w:r>
      <w:r>
        <w:rPr>
          <w:rFonts w:ascii="Arial" w:cs="Arial" w:eastAsia="Arial" w:hAnsi="Arial"/>
          <w:sz w:val="29"/>
          <w:szCs w:val="29"/>
          <w:color w:val="auto"/>
          <w:vertAlign w:val="superscript"/>
        </w:rPr>
        <w:t>15</w:t>
      </w:r>
    </w:p>
    <w:p>
      <w:pPr>
        <w:spacing w:after="0" w:line="13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ASSIGNEE</w:t>
      </w:r>
      <w:r>
        <w:rPr>
          <w:rFonts w:ascii="Arial" w:cs="Arial" w:eastAsia="Arial" w:hAnsi="Arial"/>
          <w:sz w:val="18"/>
          <w:szCs w:val="18"/>
          <w:color w:val="auto"/>
        </w:rPr>
        <w:t>]</w:t>
      </w:r>
    </w:p>
    <w:p>
      <w:pPr>
        <w:spacing w:after="0" w:line="22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ASSIGNEE</w:t>
      </w:r>
      <w:r>
        <w:rPr>
          <w:rFonts w:ascii="Arial" w:cs="Arial" w:eastAsia="Arial" w:hAnsi="Arial"/>
          <w:sz w:val="18"/>
          <w:szCs w:val="18"/>
          <w:color w:val="auto"/>
        </w:rPr>
        <w:t>]</w:t>
      </w:r>
    </w:p>
    <w:p>
      <w:pPr>
        <w:spacing w:after="0" w:line="229"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3515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5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1" w:lineRule="exact"/>
        <w:rPr>
          <w:sz w:val="20"/>
          <w:szCs w:val="20"/>
          <w:color w:val="auto"/>
        </w:rPr>
      </w:pPr>
    </w:p>
    <w:p>
      <w:pPr>
        <w:ind w:left="192" w:hanging="192"/>
        <w:spacing w:after="0"/>
        <w:tabs>
          <w:tab w:leader="none" w:pos="192" w:val="left"/>
        </w:tabs>
        <w:numPr>
          <w:ilvl w:val="0"/>
          <w:numId w:val="100"/>
        </w:numPr>
        <w:rPr>
          <w:rFonts w:ascii="Arial" w:cs="Arial" w:eastAsia="Arial" w:hAnsi="Arial"/>
          <w:sz w:val="25"/>
          <w:szCs w:val="25"/>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42" w:lineRule="exact"/>
        <w:rPr>
          <w:rFonts w:ascii="Arial" w:cs="Arial" w:eastAsia="Arial" w:hAnsi="Arial"/>
          <w:sz w:val="25"/>
          <w:szCs w:val="25"/>
          <w:color w:val="auto"/>
          <w:vertAlign w:val="superscript"/>
        </w:rPr>
      </w:pPr>
    </w:p>
    <w:p>
      <w:pPr>
        <w:ind w:left="192" w:hanging="192"/>
        <w:spacing w:after="0" w:line="194" w:lineRule="auto"/>
        <w:tabs>
          <w:tab w:leader="none" w:pos="192" w:val="left"/>
        </w:tabs>
        <w:numPr>
          <w:ilvl w:val="0"/>
          <w:numId w:val="100"/>
        </w:numPr>
        <w:rPr>
          <w:rFonts w:ascii="Arial" w:cs="Arial" w:eastAsia="Arial" w:hAnsi="Arial"/>
          <w:sz w:val="23"/>
          <w:szCs w:val="23"/>
          <w:color w:val="auto"/>
          <w:vertAlign w:val="superscript"/>
        </w:rPr>
      </w:pPr>
      <w:r>
        <w:rPr>
          <w:rFonts w:ascii="Arial" w:cs="Arial" w:eastAsia="Arial" w:hAnsi="Arial"/>
          <w:sz w:val="15"/>
          <w:szCs w:val="15"/>
          <w:color w:val="auto"/>
        </w:rPr>
        <w:t>Add additional signature blocks as needed. Include both Fund/Pension Plan and manager making the trade (if applicable).</w:t>
      </w:r>
    </w:p>
    <w:p>
      <w:pPr>
        <w:spacing w:after="0" w:line="202" w:lineRule="exact"/>
        <w:rPr>
          <w:sz w:val="20"/>
          <w:szCs w:val="20"/>
          <w:color w:val="auto"/>
        </w:rPr>
      </w:pPr>
    </w:p>
    <w:p>
      <w:pPr>
        <w:ind w:left="4952"/>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572"/>
        <w:spacing w:after="0"/>
        <w:rPr>
          <w:sz w:val="20"/>
          <w:szCs w:val="20"/>
          <w:color w:val="auto"/>
        </w:rPr>
      </w:pPr>
      <w:r>
        <w:rPr>
          <w:rFonts w:ascii="Arial" w:cs="Arial" w:eastAsia="Arial" w:hAnsi="Arial"/>
          <w:sz w:val="18"/>
          <w:szCs w:val="18"/>
          <w:color w:val="auto"/>
        </w:rPr>
        <w:t>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8"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Accepted: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WASTE MANAGEMENT,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1" w:lineRule="exact"/>
        <w:rPr>
          <w:sz w:val="20"/>
          <w:szCs w:val="20"/>
          <w:color w:val="auto"/>
        </w:rPr>
      </w:pPr>
    </w:p>
    <w:p>
      <w:pPr>
        <w:ind w:left="200" w:hanging="192"/>
        <w:spacing w:after="0"/>
        <w:tabs>
          <w:tab w:leader="none" w:pos="200" w:val="left"/>
        </w:tabs>
        <w:numPr>
          <w:ilvl w:val="0"/>
          <w:numId w:val="101"/>
        </w:numPr>
        <w:rPr>
          <w:rFonts w:ascii="Arial" w:cs="Arial" w:eastAsia="Arial" w:hAnsi="Arial"/>
          <w:sz w:val="25"/>
          <w:szCs w:val="25"/>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01"/>
        </w:numPr>
        <w:rPr>
          <w:rFonts w:ascii="Arial" w:cs="Arial" w:eastAsia="Arial" w:hAnsi="Arial"/>
          <w:sz w:val="23"/>
          <w:szCs w:val="23"/>
          <w:color w:val="auto"/>
          <w:vertAlign w:val="superscript"/>
        </w:rPr>
      </w:pPr>
      <w:r>
        <w:rPr>
          <w:rFonts w:ascii="Arial" w:cs="Arial" w:eastAsia="Arial" w:hAnsi="Arial"/>
          <w:sz w:val="15"/>
          <w:szCs w:val="15"/>
          <w:color w:val="auto"/>
        </w:rPr>
        <w:t>To be added only if the consent of the Company and/or other parties is required by the terms of the Credit Agreement.</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12" w:right="1440" w:bottom="1440" w:gutter="0" w:footer="0" w:header="0"/>
        </w:sectPr>
      </w:pPr>
    </w:p>
    <w:bookmarkStart w:id="109" w:name="page110"/>
    <w:bookmarkEnd w:id="109"/>
    <w:p>
      <w:pPr>
        <w:ind w:left="7360"/>
        <w:spacing w:after="0"/>
        <w:rPr>
          <w:sz w:val="20"/>
          <w:szCs w:val="20"/>
          <w:color w:val="auto"/>
        </w:rPr>
      </w:pPr>
      <w:r>
        <w:rPr>
          <w:rFonts w:ascii="Arial" w:cs="Arial" w:eastAsia="Arial" w:hAnsi="Arial"/>
          <w:sz w:val="17"/>
          <w:szCs w:val="17"/>
          <w:b w:val="1"/>
          <w:bCs w:val="1"/>
          <w:i w:val="1"/>
          <w:iCs w:val="1"/>
          <w:color w:val="auto"/>
        </w:rPr>
        <w:t>ANNEX 1 TO ASSIGNMENT AND ASSUMPTION</w:t>
      </w:r>
    </w:p>
    <w:p>
      <w:pPr>
        <w:spacing w:after="0" w:line="23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Credit Agreement, dated as of July 28, 2020, among Waste Management, Inc., Waste Management Holdings, Inc., as Guarantor, the Banks from time to time party thereto, and Mizuho Bank, Ltd., as Administrative Agent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 ASSIGNMENT AND ASSUMPTION</w:t>
      </w:r>
    </w:p>
    <w:p>
      <w:pPr>
        <w:spacing w:after="0" w:line="225" w:lineRule="exact"/>
        <w:rPr>
          <w:sz w:val="20"/>
          <w:szCs w:val="20"/>
          <w:color w:val="auto"/>
        </w:rPr>
      </w:pPr>
    </w:p>
    <w:p>
      <w:pPr>
        <w:ind w:left="680" w:hanging="672"/>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Assignor</w:t>
      </w:r>
      <w:r>
        <w:rPr>
          <w:rFonts w:ascii="Arial" w:cs="Arial" w:eastAsia="Arial" w:hAnsi="Arial"/>
          <w:sz w:val="16"/>
          <w:szCs w:val="16"/>
          <w:color w:val="auto"/>
        </w:rPr>
        <w:t>[s].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w:t>
      </w:r>
    </w:p>
    <w:p>
      <w:pPr>
        <w:spacing w:after="0" w:line="2" w:lineRule="exact"/>
        <w:rPr>
          <w:sz w:val="20"/>
          <w:szCs w:val="20"/>
          <w:color w:val="auto"/>
        </w:rPr>
      </w:pPr>
    </w:p>
    <w:p>
      <w:pPr>
        <w:jc w:val="both"/>
        <w:ind w:firstLine="8"/>
        <w:spacing w:after="0" w:line="253" w:lineRule="auto"/>
        <w:tabs>
          <w:tab w:leader="none" w:pos="3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[not] a Defaulting Bank;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6"/>
          <w:szCs w:val="16"/>
          <w:i w:val="1"/>
          <w:iCs w:val="1"/>
          <w:color w:val="auto"/>
        </w:rPr>
        <w:t>Section 20</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i w:val="1"/>
          <w:iCs w:val="1"/>
          <w:color w:val="auto"/>
        </w:rPr>
        <w:t>Section 20</w:t>
      </w:r>
      <w:r>
        <w:rPr>
          <w:rFonts w:ascii="Arial" w:cs="Arial" w:eastAsia="Arial" w:hAnsi="Arial"/>
          <w:sz w:val="16"/>
          <w:szCs w:val="16"/>
          <w:color w:val="auto"/>
        </w:rPr>
        <w:t xml:space="preserve"> of the Credit Agreement), (iii) from and after the Effective Date, it shall be bound by the provisions of the Credit Agreement as a Bank thereunder and, to the extent of [the][the relevant] Assigned Interest, shall have the obligations of a Bank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i w:val="1"/>
          <w:iCs w:val="1"/>
          <w:color w:val="auto"/>
        </w:rPr>
        <w:t>Section 7.4</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[the][such] Assigned Interest, and (vii) if it is a Foreign Bank,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164" w:lineRule="exact"/>
        <w:rPr>
          <w:sz w:val="20"/>
          <w:szCs w:val="20"/>
          <w:color w:val="auto"/>
        </w:rPr>
      </w:pPr>
    </w:p>
    <w:p>
      <w:pPr>
        <w:jc w:val="both"/>
        <w:ind w:firstLine="8"/>
        <w:spacing w:after="0" w:line="258" w:lineRule="auto"/>
        <w:tabs>
          <w:tab w:leader="none" w:pos="877"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 From and after the Effective Date, the Administrative Agent shall make all payments in respect of [the][each] Assigned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 Annex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8"/>
        <w:spacing w:after="0" w:line="258" w:lineRule="auto"/>
        <w:tabs>
          <w:tab w:leader="none" w:pos="756"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 Annex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i w:val="1"/>
          <w:iCs w:val="1"/>
          <w:color w:val="auto"/>
        </w:rPr>
        <w:t>EXHIBIT E</w:t>
      </w:r>
    </w:p>
    <w:p>
      <w:pPr>
        <w:spacing w:after="0" w:line="2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FORM OF ADMINISTRATIVE QUESTIONNAIRE</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140078"/>
        </w:rPr>
        <w:t>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60" w:type="dxa"/>
            <w:vAlign w:val="bottom"/>
            <w:gridSpan w:val="2"/>
          </w:tcPr>
          <w:p>
            <w:pPr>
              <w:ind w:left="620"/>
              <w:spacing w:after="0"/>
              <w:rPr>
                <w:sz w:val="20"/>
                <w:szCs w:val="20"/>
                <w:color w:val="auto"/>
              </w:rPr>
            </w:pPr>
            <w:r>
              <w:rPr>
                <w:rFonts w:ascii="Arial" w:cs="Arial" w:eastAsia="Arial" w:hAnsi="Arial"/>
                <w:sz w:val="18"/>
                <w:szCs w:val="18"/>
                <w:color w:val="auto"/>
              </w:rPr>
              <w:t>Waste Management, Inc.</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Agent Address:</w:t>
            </w:r>
          </w:p>
        </w:tc>
        <w:tc>
          <w:tcPr>
            <w:tcW w:w="2700" w:type="dxa"/>
            <w:vAlign w:val="bottom"/>
          </w:tcPr>
          <w:p>
            <w:pPr>
              <w:ind w:left="280"/>
              <w:spacing w:after="0"/>
              <w:rPr>
                <w:sz w:val="20"/>
                <w:szCs w:val="20"/>
                <w:color w:val="auto"/>
              </w:rPr>
            </w:pPr>
            <w:r>
              <w:rPr>
                <w:rFonts w:ascii="Arial" w:cs="Arial" w:eastAsia="Arial" w:hAnsi="Arial"/>
                <w:sz w:val="18"/>
                <w:szCs w:val="18"/>
                <w:color w:val="auto"/>
              </w:rPr>
              <w:t>Mizuho Bank, Ltd.</w:t>
            </w:r>
          </w:p>
        </w:tc>
        <w:tc>
          <w:tcPr>
            <w:tcW w:w="1800" w:type="dxa"/>
            <w:vAlign w:val="bottom"/>
          </w:tcPr>
          <w:p>
            <w:pPr>
              <w:ind w:left="400"/>
              <w:spacing w:after="0"/>
              <w:rPr>
                <w:sz w:val="20"/>
                <w:szCs w:val="20"/>
                <w:color w:val="auto"/>
              </w:rPr>
            </w:pPr>
            <w:r>
              <w:rPr>
                <w:rFonts w:ascii="Arial" w:cs="Arial" w:eastAsia="Arial" w:hAnsi="Arial"/>
                <w:sz w:val="18"/>
                <w:szCs w:val="18"/>
                <w:color w:val="auto"/>
              </w:rPr>
              <w:t>Return form to:</w:t>
            </w:r>
          </w:p>
        </w:tc>
        <w:tc>
          <w:tcPr>
            <w:tcW w:w="2460" w:type="dxa"/>
            <w:vAlign w:val="bottom"/>
          </w:tcPr>
          <w:p>
            <w:pPr>
              <w:ind w:left="280"/>
              <w:spacing w:after="0"/>
              <w:rPr>
                <w:sz w:val="20"/>
                <w:szCs w:val="20"/>
                <w:color w:val="auto"/>
              </w:rPr>
            </w:pPr>
            <w:r>
              <w:rPr>
                <w:rFonts w:ascii="Arial" w:cs="Arial" w:eastAsia="Arial" w:hAnsi="Arial"/>
                <w:sz w:val="18"/>
                <w:szCs w:val="18"/>
                <w:color w:val="auto"/>
              </w:rPr>
              <w:t>Lynn Santos</w:t>
            </w:r>
          </w:p>
        </w:tc>
      </w:tr>
      <w:tr>
        <w:trPr>
          <w:trHeight w:val="216"/>
        </w:trPr>
        <w:tc>
          <w:tcPr>
            <w:tcW w:w="14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8"/>
                <w:szCs w:val="18"/>
                <w:color w:val="auto"/>
              </w:rPr>
              <w:t>1800 Plaza Ten</w:t>
            </w:r>
          </w:p>
        </w:tc>
        <w:tc>
          <w:tcPr>
            <w:tcW w:w="1800" w:type="dxa"/>
            <w:vAlign w:val="bottom"/>
          </w:tcPr>
          <w:p>
            <w:pPr>
              <w:ind w:left="400"/>
              <w:spacing w:after="0"/>
              <w:rPr>
                <w:sz w:val="20"/>
                <w:szCs w:val="20"/>
                <w:color w:val="auto"/>
              </w:rPr>
            </w:pPr>
            <w:r>
              <w:rPr>
                <w:rFonts w:ascii="Arial" w:cs="Arial" w:eastAsia="Arial" w:hAnsi="Arial"/>
                <w:sz w:val="18"/>
                <w:szCs w:val="18"/>
                <w:color w:val="auto"/>
              </w:rPr>
              <w:t>Telephone:</w:t>
            </w:r>
          </w:p>
        </w:tc>
        <w:tc>
          <w:tcPr>
            <w:tcW w:w="2460" w:type="dxa"/>
            <w:vAlign w:val="bottom"/>
          </w:tcPr>
          <w:p>
            <w:pPr>
              <w:ind w:left="280"/>
              <w:spacing w:after="0"/>
              <w:rPr>
                <w:sz w:val="20"/>
                <w:szCs w:val="20"/>
                <w:color w:val="auto"/>
              </w:rPr>
            </w:pPr>
            <w:r>
              <w:rPr>
                <w:rFonts w:ascii="Arial" w:cs="Arial" w:eastAsia="Arial" w:hAnsi="Arial"/>
                <w:sz w:val="18"/>
                <w:szCs w:val="18"/>
                <w:color w:val="auto"/>
              </w:rPr>
              <w:t>(213) 243-4562</w:t>
            </w:r>
          </w:p>
        </w:tc>
      </w:tr>
      <w:tr>
        <w:trPr>
          <w:trHeight w:val="216"/>
        </w:trPr>
        <w:tc>
          <w:tcPr>
            <w:tcW w:w="142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8"/>
                <w:szCs w:val="18"/>
                <w:color w:val="auto"/>
              </w:rPr>
              <w:t>Harborside Financial Center</w:t>
            </w:r>
          </w:p>
        </w:tc>
        <w:tc>
          <w:tcPr>
            <w:tcW w:w="1800" w:type="dxa"/>
            <w:vAlign w:val="bottom"/>
          </w:tcPr>
          <w:p>
            <w:pPr>
              <w:ind w:left="400"/>
              <w:spacing w:after="0"/>
              <w:rPr>
                <w:sz w:val="20"/>
                <w:szCs w:val="20"/>
                <w:color w:val="auto"/>
              </w:rPr>
            </w:pPr>
            <w:r>
              <w:rPr>
                <w:rFonts w:ascii="Arial" w:cs="Arial" w:eastAsia="Arial" w:hAnsi="Arial"/>
                <w:sz w:val="18"/>
                <w:szCs w:val="18"/>
                <w:color w:val="auto"/>
              </w:rPr>
              <w:t>Facsimile:</w:t>
            </w:r>
          </w:p>
        </w:tc>
        <w:tc>
          <w:tcPr>
            <w:tcW w:w="2460" w:type="dxa"/>
            <w:vAlign w:val="bottom"/>
          </w:tcPr>
          <w:p>
            <w:pPr>
              <w:ind w:left="280"/>
              <w:spacing w:after="0"/>
              <w:rPr>
                <w:sz w:val="20"/>
                <w:szCs w:val="20"/>
                <w:color w:val="auto"/>
              </w:rPr>
            </w:pPr>
            <w:r>
              <w:rPr>
                <w:rFonts w:ascii="Arial" w:cs="Arial" w:eastAsia="Arial" w:hAnsi="Arial"/>
                <w:sz w:val="18"/>
                <w:szCs w:val="18"/>
                <w:color w:val="auto"/>
              </w:rPr>
              <w:t>(201) 626-9935</w:t>
            </w:r>
          </w:p>
        </w:tc>
      </w:tr>
      <w:tr>
        <w:trPr>
          <w:trHeight w:val="230"/>
        </w:trPr>
        <w:tc>
          <w:tcPr>
            <w:tcW w:w="142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8"/>
                <w:szCs w:val="18"/>
                <w:color w:val="auto"/>
              </w:rPr>
              <w:t>Jersey City, NJ 07311</w:t>
            </w:r>
          </w:p>
        </w:tc>
        <w:tc>
          <w:tcPr>
            <w:tcW w:w="1800" w:type="dxa"/>
            <w:vAlign w:val="bottom"/>
          </w:tcPr>
          <w:p>
            <w:pPr>
              <w:ind w:left="400"/>
              <w:spacing w:after="0"/>
              <w:rPr>
                <w:sz w:val="20"/>
                <w:szCs w:val="20"/>
                <w:color w:val="auto"/>
              </w:rPr>
            </w:pPr>
            <w:r>
              <w:rPr>
                <w:rFonts w:ascii="Arial" w:cs="Arial" w:eastAsia="Arial" w:hAnsi="Arial"/>
                <w:sz w:val="18"/>
                <w:szCs w:val="18"/>
                <w:color w:val="auto"/>
              </w:rPr>
              <w:t>E-mail:</w:t>
            </w:r>
          </w:p>
        </w:tc>
        <w:tc>
          <w:tcPr>
            <w:tcW w:w="2460" w:type="dxa"/>
            <w:vAlign w:val="bottom"/>
          </w:tcPr>
          <w:p>
            <w:pPr>
              <w:ind w:left="280"/>
              <w:spacing w:after="0"/>
              <w:rPr>
                <w:sz w:val="20"/>
                <w:szCs w:val="20"/>
                <w:color w:val="auto"/>
              </w:rPr>
            </w:pPr>
            <w:r>
              <w:rPr>
                <w:rFonts w:ascii="Arial" w:cs="Arial" w:eastAsia="Arial" w:hAnsi="Arial"/>
                <w:sz w:val="18"/>
                <w:szCs w:val="18"/>
                <w:color w:val="auto"/>
                <w:w w:val="89"/>
              </w:rPr>
              <w:t>lau_agent@mizuhogroup.com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57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color w:val="auto"/>
        </w:rPr>
        <w:t xml:space="preserve">It is very important that </w:t>
      </w:r>
      <w:r>
        <w:rPr>
          <w:rFonts w:ascii="Arial" w:cs="Arial" w:eastAsia="Arial" w:hAnsi="Arial"/>
          <w:sz w:val="18"/>
          <w:szCs w:val="18"/>
          <w:b w:val="1"/>
          <w:bCs w:val="1"/>
          <w:u w:val="single" w:color="auto"/>
          <w:color w:val="auto"/>
        </w:rPr>
        <w:t>all</w:t>
      </w:r>
      <w:r>
        <w:rPr>
          <w:rFonts w:ascii="Arial" w:cs="Arial" w:eastAsia="Arial" w:hAnsi="Arial"/>
          <w:sz w:val="18"/>
          <w:szCs w:val="18"/>
          <w:color w:val="auto"/>
        </w:rPr>
        <w:t xml:space="preserve"> of the requested information be completed accurately and that this questionnaire be returned promptly. If your institution is sub-allocating its allocation, please fill out an administrative questionnaire for each legal entity.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Lender as to appear in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Block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Signing Credit Agreement</w:t>
            </w:r>
          </w:p>
        </w:tc>
        <w:tc>
          <w:tcPr>
            <w:tcW w:w="20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454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432"/>
        </w:trPr>
        <w:tc>
          <w:tcPr>
            <w:tcW w:w="148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Coming in via Assignment</w:t>
            </w:r>
          </w:p>
        </w:tc>
        <w:tc>
          <w:tcPr>
            <w:tcW w:w="2060" w:type="dxa"/>
            <w:vAlign w:val="bottom"/>
          </w:tcPr>
          <w:p>
            <w:pPr>
              <w:ind w:left="10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454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Type of Lender:</w:t>
            </w:r>
          </w:p>
        </w:tc>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center"/>
        <w:ind w:left="340" w:right="120"/>
        <w:spacing w:after="0" w:line="277" w:lineRule="auto"/>
        <w:rPr>
          <w:sz w:val="20"/>
          <w:szCs w:val="20"/>
          <w:color w:val="auto"/>
        </w:rPr>
      </w:pPr>
      <w:r>
        <w:rPr>
          <w:rFonts w:ascii="Arial" w:cs="Arial" w:eastAsia="Arial" w:hAnsi="Arial"/>
          <w:sz w:val="18"/>
          <w:szCs w:val="18"/>
          <w:color w:val="auto"/>
        </w:rPr>
        <w:t>(Bank, Asset Manager, Broker/Dealer, CLO/CDO; Finance Company, Hedge Fund, Insurance, Mutual Fund, Pension Fund, Other Regulated Investment Fund, Special Purpose Vehicle, Other-please specify)</w:t>
      </w:r>
    </w:p>
    <w:p>
      <w:pPr>
        <w:sectPr>
          <w:pgSz w:w="11900" w:h="16838" w:orient="portrait"/>
          <w:cols w:equalWidth="0" w:num="1">
            <w:col w:w="11240"/>
          </w:cols>
          <w:pgMar w:left="320" w:top="908"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Lender Parent:</w:t>
      </w:r>
    </w:p>
    <w:p>
      <w:pPr>
        <w:spacing w:after="0" w:line="239" w:lineRule="exact"/>
        <w:rPr>
          <w:sz w:val="20"/>
          <w:szCs w:val="20"/>
          <w:color w:val="auto"/>
        </w:rPr>
      </w:pPr>
    </w:p>
    <w:p>
      <w:pPr>
        <w:jc w:val="right"/>
        <w:ind w:right="3740"/>
        <w:spacing w:after="0"/>
        <w:rPr>
          <w:sz w:val="20"/>
          <w:szCs w:val="20"/>
          <w:color w:val="auto"/>
        </w:rPr>
      </w:pPr>
      <w:r>
        <w:rPr>
          <w:rFonts w:ascii="Arial" w:cs="Arial" w:eastAsia="Arial" w:hAnsi="Arial"/>
          <w:sz w:val="18"/>
          <w:szCs w:val="18"/>
          <w:u w:val="single" w:color="auto"/>
          <w:color w:val="auto"/>
        </w:rPr>
        <w:t>Domestic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3429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34290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4290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34290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Eurodollar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-252730</wp:posOffset>
            </wp:positionV>
            <wp:extent cx="63436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603885</wp:posOffset>
            </wp:positionV>
            <wp:extent cx="34201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457835</wp:posOffset>
            </wp:positionV>
            <wp:extent cx="34201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312420</wp:posOffset>
            </wp:positionV>
            <wp:extent cx="34201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166370</wp:posOffset>
            </wp:positionV>
            <wp:extent cx="34201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749300</wp:posOffset>
            </wp:positionV>
            <wp:extent cx="7132320" cy="316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120" w:space="720"/>
            <w:col w:w="340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2" w:name="page113"/>
    <w:bookmarkEnd w:id="112"/>
    <w:p>
      <w:pP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83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Contacts/Notification Methods: Borrowings, Paydowns, Interest, Fees, etc.</w:t>
      </w:r>
    </w:p>
    <w:p>
      <w:pPr>
        <w:spacing w:after="0" w:line="200" w:lineRule="exact"/>
        <w:rPr>
          <w:sz w:val="20"/>
          <w:szCs w:val="20"/>
          <w:color w:val="auto"/>
        </w:rPr>
      </w:pPr>
    </w:p>
    <w:p>
      <w:pPr>
        <w:spacing w:after="0" w:line="313" w:lineRule="exact"/>
        <w:rPr>
          <w:sz w:val="20"/>
          <w:szCs w:val="20"/>
          <w:color w:val="auto"/>
        </w:rPr>
      </w:pPr>
    </w:p>
    <w:p>
      <w:pPr>
        <w:ind w:left="3420"/>
        <w:spacing w:after="0"/>
        <w:tabs>
          <w:tab w:leader="none" w:pos="8020" w:val="left"/>
        </w:tabs>
        <w:rPr>
          <w:sz w:val="20"/>
          <w:szCs w:val="20"/>
          <w:color w:val="auto"/>
        </w:rPr>
      </w:pPr>
      <w:r>
        <w:rPr>
          <w:rFonts w:ascii="Arial" w:cs="Arial" w:eastAsia="Arial" w:hAnsi="Arial"/>
          <w:sz w:val="18"/>
          <w:szCs w:val="18"/>
          <w:u w:val="single" w:color="auto"/>
          <w:color w:val="auto"/>
        </w:rPr>
        <w:t>Primary Credit Contact</w:t>
      </w:r>
      <w:r>
        <w:rPr>
          <w:sz w:val="20"/>
          <w:szCs w:val="20"/>
          <w:color w:val="auto"/>
        </w:rPr>
        <w:tab/>
      </w:r>
      <w:r>
        <w:rPr>
          <w:rFonts w:ascii="Arial" w:cs="Arial" w:eastAsia="Arial" w:hAnsi="Arial"/>
          <w:sz w:val="16"/>
          <w:szCs w:val="16"/>
          <w:u w:val="single" w:color="auto"/>
          <w:color w:val="auto"/>
        </w:rPr>
        <w:t>Secondary Credit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408940</wp:posOffset>
            </wp:positionV>
            <wp:extent cx="58293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212090</wp:posOffset>
            </wp:positionV>
            <wp:extent cx="58293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159"/>
        <w:spacing w:after="0"/>
        <w:tabs>
          <w:tab w:leader="none" w:pos="1980" w:val="left"/>
        </w:tabs>
        <w:rPr>
          <w:sz w:val="20"/>
          <w:szCs w:val="20"/>
          <w:color w:val="auto"/>
        </w:rPr>
      </w:pPr>
      <w:r>
        <w:rPr>
          <w:rFonts w:ascii="Arial" w:cs="Arial" w:eastAsia="Arial" w:hAnsi="Arial"/>
          <w:sz w:val="18"/>
          <w:szCs w:val="18"/>
          <w:u w:val="single" w:color="auto"/>
          <w:color w:val="auto"/>
        </w:rPr>
        <w:t>Primary Operations Contact</w:t>
      </w:r>
      <w:r>
        <w:rPr>
          <w:sz w:val="20"/>
          <w:szCs w:val="20"/>
          <w:color w:val="auto"/>
        </w:rPr>
        <w:tab/>
      </w:r>
      <w:r>
        <w:rPr>
          <w:rFonts w:ascii="Arial" w:cs="Arial" w:eastAsia="Arial" w:hAnsi="Arial"/>
          <w:sz w:val="16"/>
          <w:szCs w:val="16"/>
          <w:u w:val="single" w:color="auto"/>
          <w:color w:val="auto"/>
        </w:rPr>
        <w:t>Primary Disclosure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408940</wp:posOffset>
            </wp:positionV>
            <wp:extent cx="58293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212090</wp:posOffset>
            </wp:positionV>
            <wp:extent cx="58293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14605</wp:posOffset>
            </wp:positionV>
            <wp:extent cx="58293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32320" cy="325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Lender’s Domestic Wire Instructions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ABA/Routing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FFC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60432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43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283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Agent’s Wire Instructions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Bank Name:</w:t>
            </w:r>
          </w:p>
        </w:tc>
        <w:tc>
          <w:tcPr>
            <w:tcW w:w="9680" w:type="dxa"/>
            <w:vAlign w:val="bottom"/>
          </w:tcPr>
          <w:p>
            <w:pPr>
              <w:ind w:left="140"/>
              <w:spacing w:after="0"/>
              <w:rPr>
                <w:sz w:val="20"/>
                <w:szCs w:val="20"/>
                <w:color w:val="auto"/>
              </w:rPr>
            </w:pPr>
            <w:r>
              <w:rPr>
                <w:rFonts w:ascii="Arial" w:cs="Arial" w:eastAsia="Arial" w:hAnsi="Arial"/>
                <w:sz w:val="18"/>
                <w:szCs w:val="18"/>
                <w:color w:val="auto"/>
              </w:rPr>
              <w:t>Mizuho Bank, Ltd. New York Branch</w:t>
            </w:r>
          </w:p>
        </w:tc>
      </w:tr>
      <w:tr>
        <w:trPr>
          <w:trHeight w:val="378"/>
        </w:trPr>
        <w:tc>
          <w:tcPr>
            <w:tcW w:w="1560" w:type="dxa"/>
            <w:vAlign w:val="bottom"/>
          </w:tcPr>
          <w:p>
            <w:pPr>
              <w:ind w:left="20"/>
              <w:spacing w:after="0"/>
              <w:rPr>
                <w:sz w:val="20"/>
                <w:szCs w:val="20"/>
                <w:color w:val="auto"/>
              </w:rPr>
            </w:pPr>
            <w:r>
              <w:rPr>
                <w:rFonts w:ascii="Arial" w:cs="Arial" w:eastAsia="Arial" w:hAnsi="Arial"/>
                <w:sz w:val="18"/>
                <w:szCs w:val="18"/>
                <w:color w:val="auto"/>
              </w:rPr>
              <w:t>ABA/Routing No.:</w:t>
            </w:r>
          </w:p>
        </w:tc>
        <w:tc>
          <w:tcPr>
            <w:tcW w:w="9680" w:type="dxa"/>
            <w:vAlign w:val="bottom"/>
          </w:tcPr>
          <w:p>
            <w:pPr>
              <w:ind w:left="140"/>
              <w:spacing w:after="0"/>
              <w:rPr>
                <w:sz w:val="20"/>
                <w:szCs w:val="20"/>
                <w:color w:val="auto"/>
              </w:rPr>
            </w:pPr>
            <w:r>
              <w:rPr>
                <w:rFonts w:ascii="Arial" w:cs="Arial" w:eastAsia="Arial" w:hAnsi="Arial"/>
                <w:sz w:val="18"/>
                <w:szCs w:val="18"/>
                <w:color w:val="auto"/>
              </w:rPr>
              <w:t>026004307</w:t>
            </w:r>
          </w:p>
        </w:tc>
      </w:tr>
      <w:tr>
        <w:trPr>
          <w:trHeight w:val="378"/>
        </w:trPr>
        <w:tc>
          <w:tcPr>
            <w:tcW w:w="1560" w:type="dxa"/>
            <w:vAlign w:val="bottom"/>
          </w:tcPr>
          <w:p>
            <w:pPr>
              <w:ind w:left="20"/>
              <w:spacing w:after="0"/>
              <w:rPr>
                <w:sz w:val="20"/>
                <w:szCs w:val="20"/>
                <w:color w:val="auto"/>
              </w:rPr>
            </w:pPr>
            <w:r>
              <w:rPr>
                <w:rFonts w:ascii="Arial" w:cs="Arial" w:eastAsia="Arial" w:hAnsi="Arial"/>
                <w:sz w:val="18"/>
                <w:szCs w:val="18"/>
                <w:color w:val="auto"/>
              </w:rPr>
              <w:t>ISA Account No.:</w:t>
            </w:r>
          </w:p>
        </w:tc>
        <w:tc>
          <w:tcPr>
            <w:tcW w:w="9680" w:type="dxa"/>
            <w:vAlign w:val="bottom"/>
          </w:tcPr>
          <w:p>
            <w:pPr>
              <w:ind w:left="140"/>
              <w:spacing w:after="0"/>
              <w:rPr>
                <w:sz w:val="20"/>
                <w:szCs w:val="20"/>
                <w:color w:val="auto"/>
              </w:rPr>
            </w:pPr>
            <w:r>
              <w:rPr>
                <w:rFonts w:ascii="Arial" w:cs="Arial" w:eastAsia="Arial" w:hAnsi="Arial"/>
                <w:sz w:val="18"/>
                <w:szCs w:val="18"/>
                <w:color w:val="auto"/>
              </w:rPr>
              <w:t>H79-740-005344</w:t>
            </w:r>
          </w:p>
        </w:tc>
      </w:tr>
      <w:tr>
        <w:trPr>
          <w:trHeight w:val="378"/>
        </w:trPr>
        <w:tc>
          <w:tcPr>
            <w:tcW w:w="1560" w:type="dxa"/>
            <w:vAlign w:val="bottom"/>
          </w:tcPr>
          <w:p>
            <w:pPr>
              <w:ind w:left="20"/>
              <w:spacing w:after="0"/>
              <w:rPr>
                <w:sz w:val="20"/>
                <w:szCs w:val="20"/>
                <w:color w:val="auto"/>
              </w:rPr>
            </w:pPr>
            <w:r>
              <w:rPr>
                <w:rFonts w:ascii="Arial" w:cs="Arial" w:eastAsia="Arial" w:hAnsi="Arial"/>
                <w:sz w:val="18"/>
                <w:szCs w:val="18"/>
                <w:color w:val="auto"/>
              </w:rPr>
              <w:t>Account Name:</w:t>
            </w:r>
          </w:p>
        </w:tc>
        <w:tc>
          <w:tcPr>
            <w:tcW w:w="9680" w:type="dxa"/>
            <w:vAlign w:val="bottom"/>
          </w:tcPr>
          <w:p>
            <w:pPr>
              <w:ind w:left="140"/>
              <w:spacing w:after="0"/>
              <w:rPr>
                <w:sz w:val="20"/>
                <w:szCs w:val="20"/>
                <w:color w:val="auto"/>
              </w:rPr>
            </w:pPr>
            <w:r>
              <w:rPr>
                <w:rFonts w:ascii="Arial" w:cs="Arial" w:eastAsia="Arial" w:hAnsi="Arial"/>
                <w:sz w:val="18"/>
                <w:szCs w:val="18"/>
                <w:color w:val="auto"/>
              </w:rPr>
              <w:t>ISA LOAN AGENCY</w:t>
            </w:r>
          </w:p>
        </w:tc>
      </w:tr>
      <w:tr>
        <w:trPr>
          <w:trHeight w:val="378"/>
        </w:trPr>
        <w:tc>
          <w:tcPr>
            <w:tcW w:w="1560" w:type="dxa"/>
            <w:vAlign w:val="bottom"/>
          </w:tcPr>
          <w:p>
            <w:pPr>
              <w:ind w:left="20"/>
              <w:spacing w:after="0"/>
              <w:rPr>
                <w:sz w:val="20"/>
                <w:szCs w:val="20"/>
                <w:color w:val="auto"/>
              </w:rPr>
            </w:pPr>
            <w:r>
              <w:rPr>
                <w:rFonts w:ascii="Arial" w:cs="Arial" w:eastAsia="Arial" w:hAnsi="Arial"/>
                <w:sz w:val="18"/>
                <w:szCs w:val="18"/>
                <w:color w:val="auto"/>
              </w:rPr>
              <w:t>Reference:</w:t>
            </w:r>
          </w:p>
        </w:tc>
        <w:tc>
          <w:tcPr>
            <w:tcW w:w="9680" w:type="dxa"/>
            <w:vAlign w:val="bottom"/>
          </w:tcPr>
          <w:p>
            <w:pPr>
              <w:ind w:left="140"/>
              <w:spacing w:after="0"/>
              <w:rPr>
                <w:sz w:val="20"/>
                <w:szCs w:val="20"/>
                <w:color w:val="auto"/>
              </w:rPr>
            </w:pPr>
            <w:r>
              <w:rPr>
                <w:rFonts w:ascii="Arial" w:cs="Arial" w:eastAsia="Arial" w:hAnsi="Arial"/>
                <w:sz w:val="18"/>
                <w:szCs w:val="18"/>
                <w:color w:val="auto"/>
              </w:rPr>
              <w:t>Waste Management, Inc.</w:t>
            </w:r>
          </w:p>
        </w:tc>
      </w:tr>
      <w:tr>
        <w:trPr>
          <w:trHeight w:val="318"/>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865505" cy="282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655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83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Tax Documents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NON-U.S. LENDER INSTITUTIONS</w:t>
      </w:r>
      <w:r>
        <w:rPr>
          <w:rFonts w:ascii="Arial" w:cs="Arial" w:eastAsia="Arial" w:hAnsi="Arial"/>
          <w:sz w:val="18"/>
          <w:szCs w:val="18"/>
          <w:b w:val="1"/>
          <w:bCs w:val="1"/>
          <w:color w:val="auto"/>
        </w:rPr>
        <w:t>:</w:t>
      </w:r>
    </w:p>
    <w:p>
      <w:pPr>
        <w:spacing w:after="0" w:line="229" w:lineRule="exact"/>
        <w:rPr>
          <w:sz w:val="20"/>
          <w:szCs w:val="20"/>
          <w:color w:val="auto"/>
        </w:rPr>
      </w:pPr>
    </w:p>
    <w:p>
      <w:pPr>
        <w:ind w:left="160" w:hanging="152"/>
        <w:spacing w:after="0"/>
        <w:tabs>
          <w:tab w:leader="none" w:pos="16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Corporations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your institution is incorporated outside of the United States for U.S. federal income tax purposes,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is the beneficial owner of the interest and other income it receives, you must complete one of the following three tax forms, as applicable to your institution: </w:t>
      </w:r>
      <w:r>
        <w:rPr>
          <w:rFonts w:ascii="Arial" w:cs="Arial" w:eastAsia="Arial" w:hAnsi="Arial"/>
          <w:sz w:val="18"/>
          <w:szCs w:val="18"/>
          <w:b w:val="1"/>
          <w:bCs w:val="1"/>
          <w:i w:val="1"/>
          <w:iCs w:val="1"/>
          <w:color w:val="auto"/>
        </w:rPr>
        <w:t>a.) Form W-8BEN</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of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Status of Beneficial Owner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b.) Form W-8ECI</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Income Effectively Connected to a U.S. Trade or Business</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c.) Form W-8EXP</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Certificate of Foreign Government or Governmental Agency</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 U.S. taxpayer identification number is required for any institution submitting Form W-8ECI.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7"/>
          <w:szCs w:val="17"/>
          <w:b w:val="1"/>
          <w:bCs w:val="1"/>
          <w:color w:val="auto"/>
        </w:rPr>
        <w:t>An original tax form must be submitted.</w:t>
      </w:r>
    </w:p>
    <w:p>
      <w:pPr>
        <w:spacing w:after="0" w:line="165" w:lineRule="exact"/>
        <w:rPr>
          <w:sz w:val="20"/>
          <w:szCs w:val="20"/>
          <w:color w:val="auto"/>
        </w:rPr>
      </w:pPr>
    </w:p>
    <w:p>
      <w:pPr>
        <w:ind w:left="240" w:hanging="232"/>
        <w:spacing w:after="0"/>
        <w:tabs>
          <w:tab w:leader="none" w:pos="24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Flow-Through Entities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If your institution is organized outside the U.S., and is classified for U.S. federal income tax purposes as either a Partnership, Trust, Qualified or Non-Qualified Intermediary, or other non-U.S. flow-through entity, an original </w:t>
      </w:r>
      <w:r>
        <w:rPr>
          <w:rFonts w:ascii="Arial" w:cs="Arial" w:eastAsia="Arial" w:hAnsi="Arial"/>
          <w:sz w:val="17"/>
          <w:szCs w:val="17"/>
          <w:b w:val="1"/>
          <w:bCs w:val="1"/>
          <w:i w:val="1"/>
          <w:iCs w:val="1"/>
          <w:color w:val="auto"/>
        </w:rPr>
        <w:t>Form W-8IMY</w:t>
      </w:r>
      <w:r>
        <w:rPr>
          <w:rFonts w:ascii="Arial" w:cs="Arial" w:eastAsia="Arial" w:hAnsi="Arial"/>
          <w:sz w:val="17"/>
          <w:szCs w:val="17"/>
          <w:color w:val="auto"/>
        </w:rPr>
        <w:t xml:space="preserve"> (</w:t>
      </w:r>
      <w:r>
        <w:rPr>
          <w:rFonts w:ascii="Arial" w:cs="Arial" w:eastAsia="Arial" w:hAnsi="Arial"/>
          <w:sz w:val="17"/>
          <w:szCs w:val="17"/>
          <w:i w:val="1"/>
          <w:iCs w:val="1"/>
          <w:color w:val="auto"/>
        </w:rPr>
        <w:t>Certificate of Foreign Intermediary, Foreign Flow-Through</w:t>
      </w:r>
      <w:r>
        <w:rPr>
          <w:rFonts w:ascii="Arial" w:cs="Arial" w:eastAsia="Arial" w:hAnsi="Arial"/>
          <w:sz w:val="17"/>
          <w:szCs w:val="17"/>
          <w:color w:val="auto"/>
        </w:rPr>
        <w:t xml:space="preserve"> </w:t>
      </w:r>
      <w:r>
        <w:rPr>
          <w:rFonts w:ascii="Arial" w:cs="Arial" w:eastAsia="Arial" w:hAnsi="Arial"/>
          <w:sz w:val="17"/>
          <w:szCs w:val="17"/>
          <w:i w:val="1"/>
          <w:iCs w:val="1"/>
          <w:color w:val="auto"/>
        </w:rPr>
        <w:t>Entity, or Certain U.S. Branches for United States Tax Withholding</w:t>
      </w:r>
      <w:r>
        <w:rPr>
          <w:rFonts w:ascii="Arial" w:cs="Arial" w:eastAsia="Arial" w:hAnsi="Arial"/>
          <w:sz w:val="17"/>
          <w:szCs w:val="17"/>
          <w:color w:val="auto"/>
        </w:rPr>
        <w:t>) must be completed by the intermediary together with a withholding statement. Flow-through entities other than Qualified Intermediaries are required to include tax forms for each of the underlying beneficial owners.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Please refer to the instructions when completing this form. In addition, please be advised that U.S. tax regulations do not permit the acceptance of faxed forms. </w:t>
      </w:r>
      <w:r>
        <w:rPr>
          <w:rFonts w:ascii="Arial" w:cs="Arial" w:eastAsia="Arial" w:hAnsi="Arial"/>
          <w:sz w:val="18"/>
          <w:szCs w:val="18"/>
          <w:b w:val="1"/>
          <w:bCs w:val="1"/>
          <w:color w:val="auto"/>
        </w:rPr>
        <w:t>Original tax form(s) must be submitted.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LENDER INSTITUTIONS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If your institution is incorporated or organized </w:t>
      </w:r>
      <w:r>
        <w:rPr>
          <w:rFonts w:ascii="Arial" w:cs="Arial" w:eastAsia="Arial" w:hAnsi="Arial"/>
          <w:sz w:val="18"/>
          <w:szCs w:val="18"/>
          <w:u w:val="single" w:color="auto"/>
          <w:color w:val="auto"/>
        </w:rPr>
        <w:t>within</w:t>
      </w:r>
      <w:r>
        <w:rPr>
          <w:rFonts w:ascii="Arial" w:cs="Arial" w:eastAsia="Arial" w:hAnsi="Arial"/>
          <w:sz w:val="18"/>
          <w:szCs w:val="18"/>
          <w:color w:val="auto"/>
        </w:rPr>
        <w:t xml:space="preserve"> the United States, you must complete and return </w:t>
      </w:r>
      <w:r>
        <w:rPr>
          <w:rFonts w:ascii="Arial" w:cs="Arial" w:eastAsia="Arial" w:hAnsi="Arial"/>
          <w:sz w:val="18"/>
          <w:szCs w:val="18"/>
          <w:b w:val="1"/>
          <w:bCs w:val="1"/>
          <w:i w:val="1"/>
          <w:iCs w:val="1"/>
          <w:color w:val="auto"/>
        </w:rPr>
        <w:t>Form W-9</w:t>
      </w:r>
      <w:r>
        <w:rPr>
          <w:rFonts w:ascii="Arial" w:cs="Arial" w:eastAsia="Arial" w:hAnsi="Arial"/>
          <w:sz w:val="18"/>
          <w:szCs w:val="18"/>
          <w:color w:val="auto"/>
        </w:rPr>
        <w:t xml:space="preserve"> </w:t>
      </w:r>
      <w:r>
        <w:rPr>
          <w:rFonts w:ascii="Arial" w:cs="Arial" w:eastAsia="Arial" w:hAnsi="Arial"/>
          <w:sz w:val="18"/>
          <w:szCs w:val="18"/>
          <w:i w:val="1"/>
          <w:iCs w:val="1"/>
          <w:color w:val="auto"/>
        </w:rPr>
        <w:t>(Request for Taxpayer Identification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Number and Certification). </w:t>
      </w:r>
      <w:r>
        <w:rPr>
          <w:rFonts w:ascii="Arial" w:cs="Arial" w:eastAsia="Arial" w:hAnsi="Arial"/>
          <w:sz w:val="18"/>
          <w:szCs w:val="18"/>
          <w:b w:val="1"/>
          <w:bCs w:val="1"/>
          <w:color w:val="auto"/>
        </w:rPr>
        <w:t>Please be advised that we request that you submit an original Form W-9.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prior to the first payment of income. Failure to provide the proper tax form when requested may subject your institution to U.S.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3257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i w:val="1"/>
          <w:iCs w:val="1"/>
          <w:color w:val="auto"/>
        </w:rPr>
        <w:t>EXHIBIT F</w:t>
      </w: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ind w:left="9440"/>
        <w:spacing w:after="0"/>
        <w:rPr>
          <w:sz w:val="20"/>
          <w:szCs w:val="20"/>
          <w:color w:val="auto"/>
        </w:rPr>
      </w:pPr>
      <w:r>
        <w:rPr>
          <w:rFonts w:ascii="Arial" w:cs="Arial" w:eastAsia="Arial" w:hAnsi="Arial"/>
          <w:sz w:val="17"/>
          <w:szCs w:val="17"/>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6" w:name="page117"/>
    <w:bookmarkEnd w:id="116"/>
    <w:p>
      <w:pPr>
        <w:ind w:left="10160"/>
        <w:spacing w:after="0"/>
        <w:rPr>
          <w:sz w:val="20"/>
          <w:szCs w:val="20"/>
          <w:color w:val="auto"/>
        </w:rPr>
      </w:pPr>
      <w:r>
        <w:rPr>
          <w:rFonts w:ascii="Arial" w:cs="Arial" w:eastAsia="Arial" w:hAnsi="Arial"/>
          <w:sz w:val="18"/>
          <w:szCs w:val="18"/>
          <w:b w:val="1"/>
          <w:bCs w:val="1"/>
          <w:i w:val="1"/>
          <w:iCs w:val="1"/>
          <w:color w:val="auto"/>
        </w:rPr>
        <w:t>EXHIBIT G-1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Banks That Are Not Partnerships For U.S. Federal Income Tax Purposes)</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Reference is hereby made to that certain Credit Agreement, dated as of July 28, 2020 (as amended, restated, extended,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Waste Management Holdings, Inc., a wholly owned Subsidiary of the Company, as Guarantor, and </w:t>
      </w:r>
      <w:r>
        <w:rPr>
          <w:rFonts w:ascii="Arial" w:cs="Arial" w:eastAsia="Arial" w:hAnsi="Arial"/>
          <w:sz w:val="18"/>
          <w:szCs w:val="18"/>
          <w:b w:val="1"/>
          <w:bCs w:val="1"/>
          <w:color w:val="auto"/>
        </w:rPr>
        <w:t>MIZUHO BANK, LTD.</w:t>
      </w:r>
      <w:r>
        <w:rPr>
          <w:rFonts w:ascii="Arial" w:cs="Arial" w:eastAsia="Arial" w:hAnsi="Arial"/>
          <w:sz w:val="18"/>
          <w:szCs w:val="18"/>
          <w:color w:val="auto"/>
        </w:rPr>
        <w:t>, as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i w:val="1"/>
          <w:iCs w:val="1"/>
          <w:color w:val="auto"/>
        </w:rPr>
        <w:t>Section 3.1.5</w:t>
      </w:r>
      <w:r>
        <w:rPr>
          <w:rFonts w:ascii="Arial" w:cs="Arial" w:eastAsia="Arial" w:hAnsi="Arial"/>
          <w:sz w:val="17"/>
          <w:szCs w:val="17"/>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w:t>
      </w:r>
      <w:r>
        <w:rPr>
          <w:rFonts w:ascii="Arial" w:cs="Arial" w:eastAsia="Arial" w:hAnsi="Arial"/>
          <w:sz w:val="17"/>
          <w:szCs w:val="17"/>
          <w:i w:val="1"/>
          <w:iCs w:val="1"/>
          <w:color w:val="auto"/>
        </w:rPr>
        <w:t>Section 881(c)(3)(A)</w:t>
      </w:r>
      <w:r>
        <w:rPr>
          <w:rFonts w:ascii="Arial" w:cs="Arial" w:eastAsia="Arial" w:hAnsi="Arial"/>
          <w:sz w:val="17"/>
          <w:szCs w:val="17"/>
          <w:color w:val="auto"/>
        </w:rPr>
        <w:t xml:space="preserve"> of the Code, (iii) it is not a ten percent shareholder of the Company within the meaning of </w:t>
      </w:r>
      <w:r>
        <w:rPr>
          <w:rFonts w:ascii="Arial" w:cs="Arial" w:eastAsia="Arial" w:hAnsi="Arial"/>
          <w:sz w:val="17"/>
          <w:szCs w:val="17"/>
          <w:i w:val="1"/>
          <w:iCs w:val="1"/>
          <w:color w:val="auto"/>
        </w:rPr>
        <w:t>Section 871(h)(3)(B)</w:t>
      </w:r>
      <w:r>
        <w:rPr>
          <w:rFonts w:ascii="Arial" w:cs="Arial" w:eastAsia="Arial" w:hAnsi="Arial"/>
          <w:sz w:val="17"/>
          <w:szCs w:val="17"/>
          <w:color w:val="auto"/>
        </w:rPr>
        <w:t xml:space="preserve"> of the Code and (iv) it is not a controlled foreign corporation related to the Company as described in </w:t>
      </w:r>
      <w:r>
        <w:rPr>
          <w:rFonts w:ascii="Arial" w:cs="Arial" w:eastAsia="Arial" w:hAnsi="Arial"/>
          <w:sz w:val="17"/>
          <w:szCs w:val="17"/>
          <w:i w:val="1"/>
          <w:iCs w:val="1"/>
          <w:color w:val="auto"/>
        </w:rPr>
        <w:t>Section 881(c)(3)(C)</w:t>
      </w:r>
      <w:r>
        <w:rPr>
          <w:rFonts w:ascii="Arial" w:cs="Arial" w:eastAsia="Arial" w:hAnsi="Arial"/>
          <w:sz w:val="17"/>
          <w:szCs w:val="17"/>
          <w:color w:val="auto"/>
        </w:rPr>
        <w:t xml:space="preserve"> of the Code.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IRS Form W-8BENE (or W-8BEN,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BANK</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Exhibit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10160"/>
        <w:spacing w:after="0"/>
        <w:rPr>
          <w:sz w:val="20"/>
          <w:szCs w:val="20"/>
          <w:color w:val="auto"/>
        </w:rPr>
      </w:pPr>
      <w:r>
        <w:rPr>
          <w:rFonts w:ascii="Arial" w:cs="Arial" w:eastAsia="Arial" w:hAnsi="Arial"/>
          <w:sz w:val="18"/>
          <w:szCs w:val="18"/>
          <w:b w:val="1"/>
          <w:bCs w:val="1"/>
          <w:i w:val="1"/>
          <w:iCs w:val="1"/>
          <w:color w:val="auto"/>
        </w:rPr>
        <w:t>EXHIBIT G-2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that certain Credit Agreement, dated as of July 28, 2020 (as amended, restated, extended,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Waste Management Holdings, Inc., a wholly owned Subsidiary of the Company, as Guarantor, the Banks from time to time party thereto, and </w:t>
      </w:r>
      <w:r>
        <w:rPr>
          <w:rFonts w:ascii="Arial" w:cs="Arial" w:eastAsia="Arial" w:hAnsi="Arial"/>
          <w:sz w:val="18"/>
          <w:szCs w:val="18"/>
          <w:b w:val="1"/>
          <w:bCs w:val="1"/>
          <w:color w:val="auto"/>
        </w:rPr>
        <w:t>MIZUHO</w:t>
      </w:r>
      <w:r>
        <w:rPr>
          <w:rFonts w:ascii="Arial" w:cs="Arial" w:eastAsia="Arial" w:hAnsi="Arial"/>
          <w:sz w:val="18"/>
          <w:szCs w:val="18"/>
          <w:color w:val="auto"/>
        </w:rPr>
        <w:t xml:space="preserve"> </w:t>
      </w:r>
      <w:r>
        <w:rPr>
          <w:rFonts w:ascii="Arial" w:cs="Arial" w:eastAsia="Arial" w:hAnsi="Arial"/>
          <w:sz w:val="18"/>
          <w:szCs w:val="18"/>
          <w:b w:val="1"/>
          <w:bCs w:val="1"/>
          <w:color w:val="auto"/>
        </w:rPr>
        <w:t>BANK, LTD.</w:t>
      </w:r>
      <w:r>
        <w:rPr>
          <w:rFonts w:ascii="Arial" w:cs="Arial" w:eastAsia="Arial" w:hAnsi="Arial"/>
          <w:sz w:val="18"/>
          <w:szCs w:val="18"/>
          <w:color w:val="auto"/>
        </w:rPr>
        <w:t>, as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i w:val="1"/>
          <w:iCs w:val="1"/>
          <w:color w:val="auto"/>
        </w:rPr>
        <w:t>Section 3.1.5</w:t>
      </w:r>
      <w:r>
        <w:rPr>
          <w:rFonts w:ascii="Arial" w:cs="Arial" w:eastAsia="Arial" w:hAnsi="Arial"/>
          <w:sz w:val="16"/>
          <w:szCs w:val="16"/>
          <w:color w:val="auto"/>
        </w:rPr>
        <w:t xml:space="preserve"> of the Credit Agreement, the undersigned hereby certifies that (i) it is the sole record and beneficial owner of the participation in respect of which it is providing this certificate, (ii) it is not a bank within the meaning of </w:t>
      </w:r>
      <w:r>
        <w:rPr>
          <w:rFonts w:ascii="Arial" w:cs="Arial" w:eastAsia="Arial" w:hAnsi="Arial"/>
          <w:sz w:val="16"/>
          <w:szCs w:val="16"/>
          <w:i w:val="1"/>
          <w:iCs w:val="1"/>
          <w:color w:val="auto"/>
        </w:rPr>
        <w:t>Section 881(c)(3)(A)</w:t>
      </w:r>
      <w:r>
        <w:rPr>
          <w:rFonts w:ascii="Arial" w:cs="Arial" w:eastAsia="Arial" w:hAnsi="Arial"/>
          <w:sz w:val="16"/>
          <w:szCs w:val="16"/>
          <w:color w:val="auto"/>
        </w:rPr>
        <w:t xml:space="preserve"> of the Code,</w:t>
      </w:r>
    </w:p>
    <w:p>
      <w:pPr>
        <w:ind w:firstLine="8"/>
        <w:spacing w:after="0" w:line="260"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it is not a ten percent shareholder of the Company within the meaning of </w:t>
      </w:r>
      <w:r>
        <w:rPr>
          <w:rFonts w:ascii="Arial" w:cs="Arial" w:eastAsia="Arial" w:hAnsi="Arial"/>
          <w:sz w:val="18"/>
          <w:szCs w:val="18"/>
          <w:i w:val="1"/>
          <w:iCs w:val="1"/>
          <w:color w:val="auto"/>
        </w:rPr>
        <w:t>Section 871(h)(3)(B)</w:t>
      </w:r>
      <w:r>
        <w:rPr>
          <w:rFonts w:ascii="Arial" w:cs="Arial" w:eastAsia="Arial" w:hAnsi="Arial"/>
          <w:sz w:val="18"/>
          <w:szCs w:val="18"/>
          <w:color w:val="auto"/>
        </w:rPr>
        <w:t xml:space="preserve"> of the Code, and (iv) it is not a controlled foreign corporation related to the Company as described in </w:t>
      </w:r>
      <w:r>
        <w:rPr>
          <w:rFonts w:ascii="Arial" w:cs="Arial" w:eastAsia="Arial" w:hAnsi="Arial"/>
          <w:sz w:val="18"/>
          <w:szCs w:val="18"/>
          <w:i w:val="1"/>
          <w:iCs w:val="1"/>
          <w:color w:val="auto"/>
        </w:rPr>
        <w:t>Section 881(c)(3)(C)</w:t>
      </w:r>
      <w:r>
        <w:rPr>
          <w:rFonts w:ascii="Arial" w:cs="Arial" w:eastAsia="Arial" w:hAnsi="Arial"/>
          <w:sz w:val="18"/>
          <w:szCs w:val="18"/>
          <w:color w:val="auto"/>
        </w:rPr>
        <w:t xml:space="preserve"> of the Code.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PARTICIPANT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Exhibit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10160"/>
        <w:spacing w:after="0"/>
        <w:rPr>
          <w:sz w:val="20"/>
          <w:szCs w:val="20"/>
          <w:color w:val="auto"/>
        </w:rPr>
      </w:pPr>
      <w:r>
        <w:rPr>
          <w:rFonts w:ascii="Arial" w:cs="Arial" w:eastAsia="Arial" w:hAnsi="Arial"/>
          <w:sz w:val="18"/>
          <w:szCs w:val="18"/>
          <w:b w:val="1"/>
          <w:bCs w:val="1"/>
          <w:i w:val="1"/>
          <w:iCs w:val="1"/>
          <w:color w:val="auto"/>
        </w:rPr>
        <w:t>EXHIBIT G-3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that certain Credit Agreement, dated as of July 28, 2020 (as amended, restated, extended,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Waste Management Holdings, Inc., a wholly owned Subsidiary of the Company, as Guarantor, the Banks from time to time party thereto, and </w:t>
      </w:r>
      <w:r>
        <w:rPr>
          <w:rFonts w:ascii="Arial" w:cs="Arial" w:eastAsia="Arial" w:hAnsi="Arial"/>
          <w:sz w:val="18"/>
          <w:szCs w:val="18"/>
          <w:b w:val="1"/>
          <w:bCs w:val="1"/>
          <w:color w:val="auto"/>
        </w:rPr>
        <w:t>MIZUHO</w:t>
      </w:r>
      <w:r>
        <w:rPr>
          <w:rFonts w:ascii="Arial" w:cs="Arial" w:eastAsia="Arial" w:hAnsi="Arial"/>
          <w:sz w:val="18"/>
          <w:szCs w:val="18"/>
          <w:color w:val="auto"/>
        </w:rPr>
        <w:t xml:space="preserve"> </w:t>
      </w:r>
      <w:r>
        <w:rPr>
          <w:rFonts w:ascii="Arial" w:cs="Arial" w:eastAsia="Arial" w:hAnsi="Arial"/>
          <w:sz w:val="18"/>
          <w:szCs w:val="18"/>
          <w:b w:val="1"/>
          <w:bCs w:val="1"/>
          <w:color w:val="auto"/>
        </w:rPr>
        <w:t>BANK, LTD.</w:t>
      </w:r>
      <w:r>
        <w:rPr>
          <w:rFonts w:ascii="Arial" w:cs="Arial" w:eastAsia="Arial" w:hAnsi="Arial"/>
          <w:sz w:val="18"/>
          <w:szCs w:val="18"/>
          <w:color w:val="auto"/>
        </w:rPr>
        <w:t>, as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i w:val="1"/>
          <w:iCs w:val="1"/>
          <w:color w:val="auto"/>
        </w:rPr>
        <w:t>Section 3.1.5</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w:t>
      </w:r>
      <w:r>
        <w:rPr>
          <w:rFonts w:ascii="Arial" w:cs="Arial" w:eastAsia="Arial" w:hAnsi="Arial"/>
          <w:sz w:val="16"/>
          <w:szCs w:val="16"/>
          <w:i w:val="1"/>
          <w:iCs w:val="1"/>
          <w:color w:val="auto"/>
        </w:rPr>
        <w:t>Section 881(c)(3)(A)</w:t>
      </w:r>
      <w:r>
        <w:rPr>
          <w:rFonts w:ascii="Arial" w:cs="Arial" w:eastAsia="Arial" w:hAnsi="Arial"/>
          <w:sz w:val="16"/>
          <w:szCs w:val="16"/>
          <w:color w:val="auto"/>
        </w:rPr>
        <w:t xml:space="preserve"> of the Code, (iv) none of its direct or indirect partners/members is a ten percent shareholder of the Company within the meaning of </w:t>
      </w:r>
      <w:r>
        <w:rPr>
          <w:rFonts w:ascii="Arial" w:cs="Arial" w:eastAsia="Arial" w:hAnsi="Arial"/>
          <w:sz w:val="16"/>
          <w:szCs w:val="16"/>
          <w:i w:val="1"/>
          <w:iCs w:val="1"/>
          <w:color w:val="auto"/>
        </w:rPr>
        <w:t>Section 871(h)(3)(B)</w:t>
      </w:r>
      <w:r>
        <w:rPr>
          <w:rFonts w:ascii="Arial" w:cs="Arial" w:eastAsia="Arial" w:hAnsi="Arial"/>
          <w:sz w:val="16"/>
          <w:szCs w:val="16"/>
          <w:color w:val="auto"/>
        </w:rPr>
        <w:t xml:space="preserve"> of the Code and (v) none of its direct or indirect partners/members is a controlled foreign corporation related to the Company as described in </w:t>
      </w:r>
      <w:r>
        <w:rPr>
          <w:rFonts w:ascii="Arial" w:cs="Arial" w:eastAsia="Arial" w:hAnsi="Arial"/>
          <w:sz w:val="16"/>
          <w:szCs w:val="16"/>
          <w:i w:val="1"/>
          <w:iCs w:val="1"/>
          <w:color w:val="auto"/>
        </w:rPr>
        <w:t>Section 881(c)(3)(C)</w:t>
      </w:r>
      <w:r>
        <w:rPr>
          <w:rFonts w:ascii="Arial" w:cs="Arial" w:eastAsia="Arial" w:hAnsi="Arial"/>
          <w:sz w:val="16"/>
          <w:szCs w:val="16"/>
          <w:color w:val="auto"/>
        </w:rPr>
        <w:t xml:space="preserve"> of the Code.</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PARTICIPANT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Exhibit 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10160"/>
        <w:spacing w:after="0"/>
        <w:rPr>
          <w:sz w:val="20"/>
          <w:szCs w:val="20"/>
          <w:color w:val="auto"/>
        </w:rPr>
      </w:pPr>
      <w:r>
        <w:rPr>
          <w:rFonts w:ascii="Arial" w:cs="Arial" w:eastAsia="Arial" w:hAnsi="Arial"/>
          <w:sz w:val="18"/>
          <w:szCs w:val="18"/>
          <w:b w:val="1"/>
          <w:bCs w:val="1"/>
          <w:i w:val="1"/>
          <w:iCs w:val="1"/>
          <w:color w:val="auto"/>
        </w:rPr>
        <w:t>EXHIBIT G-4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Banks That Are Partnerships For U.S. Federal Income Tax Purposes)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that certain Credit Agreement, dated as of July 28, 2020 (as amended, restated, extended, supplemented or otherwise modified from time to time,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WASTE MANAGEMENT,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Waste Management Holdings, Inc., a wholly owned Subsidiary of the Company, as Guarantor, the Banks from time to time party thereto, and </w:t>
      </w:r>
      <w:r>
        <w:rPr>
          <w:rFonts w:ascii="Arial" w:cs="Arial" w:eastAsia="Arial" w:hAnsi="Arial"/>
          <w:sz w:val="18"/>
          <w:szCs w:val="18"/>
          <w:b w:val="1"/>
          <w:bCs w:val="1"/>
          <w:color w:val="auto"/>
        </w:rPr>
        <w:t>MIZUHO</w:t>
      </w:r>
      <w:r>
        <w:rPr>
          <w:rFonts w:ascii="Arial" w:cs="Arial" w:eastAsia="Arial" w:hAnsi="Arial"/>
          <w:sz w:val="18"/>
          <w:szCs w:val="18"/>
          <w:color w:val="auto"/>
        </w:rPr>
        <w:t xml:space="preserve"> </w:t>
      </w:r>
      <w:r>
        <w:rPr>
          <w:rFonts w:ascii="Arial" w:cs="Arial" w:eastAsia="Arial" w:hAnsi="Arial"/>
          <w:sz w:val="18"/>
          <w:szCs w:val="18"/>
          <w:b w:val="1"/>
          <w:bCs w:val="1"/>
          <w:color w:val="auto"/>
        </w:rPr>
        <w:t>BANK, LTD.</w:t>
      </w:r>
      <w:r>
        <w:rPr>
          <w:rFonts w:ascii="Arial" w:cs="Arial" w:eastAsia="Arial" w:hAnsi="Arial"/>
          <w:sz w:val="18"/>
          <w:szCs w:val="18"/>
          <w:color w:val="auto"/>
        </w:rPr>
        <w:t>, as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i w:val="1"/>
          <w:iCs w:val="1"/>
          <w:color w:val="auto"/>
        </w:rPr>
        <w:t>Section 3.1.5</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w:t>
      </w:r>
      <w:r>
        <w:rPr>
          <w:rFonts w:ascii="Arial" w:cs="Arial" w:eastAsia="Arial" w:hAnsi="Arial"/>
          <w:sz w:val="16"/>
          <w:szCs w:val="16"/>
          <w:i w:val="1"/>
          <w:iCs w:val="1"/>
          <w:color w:val="auto"/>
        </w:rPr>
        <w:t>Section 881(c)(3)(A)</w:t>
      </w:r>
      <w:r>
        <w:rPr>
          <w:rFonts w:ascii="Arial" w:cs="Arial" w:eastAsia="Arial" w:hAnsi="Arial"/>
          <w:sz w:val="16"/>
          <w:szCs w:val="16"/>
          <w:color w:val="auto"/>
        </w:rPr>
        <w:t xml:space="preserve"> of the Code, (iv) none of its direct or indirect partners/members is a ten percent shareholder of the Company within the meaning of </w:t>
      </w:r>
      <w:r>
        <w:rPr>
          <w:rFonts w:ascii="Arial" w:cs="Arial" w:eastAsia="Arial" w:hAnsi="Arial"/>
          <w:sz w:val="16"/>
          <w:szCs w:val="16"/>
          <w:i w:val="1"/>
          <w:iCs w:val="1"/>
          <w:color w:val="auto"/>
        </w:rPr>
        <w:t>Section 871(h)(3)(B)</w:t>
      </w:r>
      <w:r>
        <w:rPr>
          <w:rFonts w:ascii="Arial" w:cs="Arial" w:eastAsia="Arial" w:hAnsi="Arial"/>
          <w:sz w:val="16"/>
          <w:szCs w:val="16"/>
          <w:color w:val="auto"/>
        </w:rPr>
        <w:t xml:space="preserve"> of the Code and (v) none of its direct or indirect partners/members is a controlled foreign corporation related to the Company as described in </w:t>
      </w:r>
      <w:r>
        <w:rPr>
          <w:rFonts w:ascii="Arial" w:cs="Arial" w:eastAsia="Arial" w:hAnsi="Arial"/>
          <w:sz w:val="16"/>
          <w:szCs w:val="16"/>
          <w:i w:val="1"/>
          <w:iCs w:val="1"/>
          <w:color w:val="auto"/>
        </w:rPr>
        <w:t>Section 881(c)(3)(C)</w:t>
      </w:r>
      <w:r>
        <w:rPr>
          <w:rFonts w:ascii="Arial" w:cs="Arial" w:eastAsia="Arial" w:hAnsi="Arial"/>
          <w:sz w:val="16"/>
          <w:szCs w:val="16"/>
          <w:color w:val="auto"/>
        </w:rPr>
        <w:t xml:space="preserve"> of the Code.</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has furnished the Administrative Agent and the Company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BANK</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20__</w:t>
      </w:r>
    </w:p>
    <w:p>
      <w:pPr>
        <w:spacing w:after="0" w:line="200" w:lineRule="exact"/>
        <w:rPr>
          <w:sz w:val="20"/>
          <w:szCs w:val="20"/>
          <w:color w:val="auto"/>
        </w:rPr>
      </w:pPr>
    </w:p>
    <w:p>
      <w:pPr>
        <w:spacing w:after="0" w:line="2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Exhibit 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SCHEDULE 1</w:t>
            </w:r>
          </w:p>
        </w:tc>
      </w:tr>
      <w:tr>
        <w:trPr>
          <w:trHeight w:val="432"/>
        </w:trPr>
        <w:tc>
          <w:tcPr>
            <w:tcW w:w="4300" w:type="dxa"/>
            <w:vAlign w:val="bottom"/>
          </w:tcPr>
          <w:p>
            <w:pPr>
              <w:spacing w:after="0"/>
              <w:rPr>
                <w:sz w:val="24"/>
                <w:szCs w:val="24"/>
                <w:color w:val="auto"/>
              </w:rPr>
            </w:pPr>
          </w:p>
        </w:tc>
        <w:tc>
          <w:tcPr>
            <w:tcW w:w="3640" w:type="dxa"/>
            <w:vAlign w:val="bottom"/>
            <w:gridSpan w:val="3"/>
          </w:tcPr>
          <w:p>
            <w:pPr>
              <w:jc w:val="right"/>
              <w:ind w:right="1167"/>
              <w:spacing w:after="0"/>
              <w:rPr>
                <w:sz w:val="20"/>
                <w:szCs w:val="20"/>
                <w:color w:val="auto"/>
              </w:rPr>
            </w:pPr>
            <w:r>
              <w:rPr>
                <w:rFonts w:ascii="Arial" w:cs="Arial" w:eastAsia="Arial" w:hAnsi="Arial"/>
                <w:sz w:val="18"/>
                <w:szCs w:val="18"/>
                <w:b w:val="1"/>
                <w:bCs w:val="1"/>
                <w:color w:val="auto"/>
              </w:rPr>
              <w:t>BANKS; COMMITMENTS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4300" w:type="dxa"/>
            <w:vAlign w:val="bottom"/>
          </w:tcPr>
          <w:p>
            <w:pPr>
              <w:ind w:left="3660"/>
              <w:spacing w:after="0"/>
              <w:rPr>
                <w:sz w:val="20"/>
                <w:szCs w:val="20"/>
                <w:color w:val="auto"/>
              </w:rPr>
            </w:pPr>
            <w:r>
              <w:rPr>
                <w:rFonts w:ascii="Arial" w:cs="Arial" w:eastAsia="Arial" w:hAnsi="Arial"/>
                <w:sz w:val="18"/>
                <w:szCs w:val="18"/>
                <w:b w:val="1"/>
                <w:bCs w:val="1"/>
                <w:color w:val="auto"/>
              </w:rPr>
              <w:t>Bank</w:t>
            </w: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Commitment</w:t>
            </w:r>
          </w:p>
        </w:tc>
        <w:tc>
          <w:tcPr>
            <w:tcW w:w="1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5"/>
              </w:rPr>
              <w:t>Pro Rata Percentage</w:t>
            </w:r>
          </w:p>
        </w:tc>
      </w:tr>
      <w:tr>
        <w:trPr>
          <w:trHeight w:val="223"/>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3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330,000,000.00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11.000000000</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Bank of America, N.A.</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330,000,000.00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11.000000000%</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330,000,000.00</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11.000000000%</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330,000,000.00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11.000000000%</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330,000,000.00</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11.000000000%</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BNP Paribas</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7.500000000%</w:t>
            </w: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7.500000000%</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7.500000000%</w:t>
            </w: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MUFG Union Bank, N.A.</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7.500000000%</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7.500000000%</w:t>
            </w: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225,000,000.00</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7.500000000%</w:t>
            </w:r>
          </w:p>
        </w:tc>
      </w:tr>
      <w:tr>
        <w:trPr>
          <w:trHeight w:val="209"/>
        </w:trPr>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3,000,000,000.00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100.000000000</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i w:val="1"/>
          <w:iCs w:val="1"/>
          <w:color w:val="auto"/>
        </w:rPr>
        <w:t>SCHEDULE 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LIENS</w:t>
      </w:r>
    </w:p>
    <w:p>
      <w:pPr>
        <w:spacing w:after="0" w:line="229" w:lineRule="exact"/>
        <w:rPr>
          <w:sz w:val="20"/>
          <w:szCs w:val="20"/>
          <w:color w:val="auto"/>
        </w:rPr>
      </w:pPr>
    </w:p>
    <w:p>
      <w:pPr>
        <w:ind w:left="660" w:hanging="652"/>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Various capital leases and similar purchase-money financings entered into by Subsidiaries of the Company in the ordinary course of business for operating equipment and facilities.</w:t>
      </w:r>
    </w:p>
    <w:p>
      <w:pPr>
        <w:spacing w:after="0" w:line="170"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notes payable / debt balances associated with the investments in federal low-income housing tax credits as described in (1) Note 9, Income Taxes, and Note 19, Variable Interest Entities, to the Company’s consolidated financial statements within its Annual Report on Form 10-K for the year ended December 31, 2019 and (2) Note 4, Income Taxes, and Note 13, Variable Interest Entities, to the Company’s condensed consolidated financial statements within its Quarterly Report on Form 10-Q for the fiscal quarter ended March 31, 2020.</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i w:val="1"/>
          <w:iCs w:val="1"/>
          <w:color w:val="auto"/>
        </w:rPr>
        <w:t>SCHEDULE 6.7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See the disclosure provided in (1)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sections of Note 6, Commitments and Contingencies, to the Company’s condensed consolidated financial statements included within its Quarterly Report on Form 10-Q for the fiscal quarter ended March 31, 2020 and (2)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sections of Note 11, Commitments and Contingencies, to the Company’s consolidated financial statements included within its Annual Report on Form 10-K for the fiscal year ended December 31, 2019.</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i w:val="1"/>
          <w:iCs w:val="1"/>
          <w:color w:val="auto"/>
        </w:rPr>
        <w:t>SCHEDULE 6.15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See the disclosure provided in (1) Note 2,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Commitments and Contingencies, to the Company’s condensed consolidated financial statements included within its Quarterly Report on Form 10-Q for the fiscal quarter ended March 31, 2020 and (2) Note 4, Landfill and Environmental Remediation Liabilities, and the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w:t>
      </w:r>
      <w:r>
        <w:rPr>
          <w:rFonts w:ascii="Arial" w:cs="Arial" w:eastAsia="Arial" w:hAnsi="Arial"/>
          <w:sz w:val="18"/>
          <w:szCs w:val="18"/>
          <w:i w:val="1"/>
          <w:iCs w:val="1"/>
          <w:color w:val="auto"/>
        </w:rPr>
        <w:t xml:space="preserve"> “Litigation” </w:t>
      </w:r>
      <w:r>
        <w:rPr>
          <w:rFonts w:ascii="Arial" w:cs="Arial" w:eastAsia="Arial" w:hAnsi="Arial"/>
          <w:sz w:val="18"/>
          <w:szCs w:val="18"/>
          <w:color w:val="auto"/>
        </w:rPr>
        <w:t>sections of Note 11, Commitments and Contingencies, to the Company’s consolidated financial statements included within its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fiscal year ended December 31, 2019.</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w w:val="93"/>
              </w:rPr>
              <w:t>SCHEDULE 8.1(a)</w:t>
            </w:r>
          </w:p>
        </w:tc>
      </w:tr>
      <w:tr>
        <w:trPr>
          <w:trHeight w:val="432"/>
        </w:trPr>
        <w:tc>
          <w:tcPr>
            <w:tcW w:w="4140" w:type="dxa"/>
            <w:vAlign w:val="bottom"/>
          </w:tcPr>
          <w:p>
            <w:pPr>
              <w:spacing w:after="0"/>
              <w:rPr>
                <w:sz w:val="24"/>
                <w:szCs w:val="24"/>
                <w:color w:val="auto"/>
              </w:rPr>
            </w:pPr>
          </w:p>
        </w:tc>
        <w:tc>
          <w:tcPr>
            <w:tcW w:w="368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EXISTING INDEBTEDNESS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140" w:type="dxa"/>
            <w:vAlign w:val="bottom"/>
          </w:tcPr>
          <w:p>
            <w:pPr>
              <w:ind w:left="3380"/>
              <w:spacing w:after="0"/>
              <w:rPr>
                <w:sz w:val="20"/>
                <w:szCs w:val="20"/>
                <w:color w:val="auto"/>
              </w:rPr>
            </w:pPr>
            <w:r>
              <w:rPr>
                <w:rFonts w:ascii="Arial" w:cs="Arial" w:eastAsia="Arial" w:hAnsi="Arial"/>
                <w:sz w:val="18"/>
                <w:szCs w:val="18"/>
                <w:b w:val="1"/>
                <w:bCs w:val="1"/>
                <w:color w:val="auto"/>
              </w:rPr>
              <w:t>Name</w:t>
            </w: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rPr>
              <w:t>Principal Outstanding</w:t>
            </w:r>
          </w:p>
        </w:tc>
        <w:tc>
          <w:tcPr>
            <w:tcW w:w="1900" w:type="dxa"/>
            <w:vAlign w:val="bottom"/>
            <w:gridSpan w:val="2"/>
          </w:tcPr>
          <w:p>
            <w:pPr>
              <w:ind w:left="560"/>
              <w:spacing w:after="0"/>
              <w:rPr>
                <w:sz w:val="20"/>
                <w:szCs w:val="20"/>
                <w:color w:val="auto"/>
              </w:rPr>
            </w:pPr>
            <w:r>
              <w:rPr>
                <w:rFonts w:ascii="Arial" w:cs="Arial" w:eastAsia="Arial" w:hAnsi="Arial"/>
                <w:sz w:val="18"/>
                <w:szCs w:val="18"/>
                <w:b w:val="1"/>
                <w:bCs w:val="1"/>
                <w:color w:val="auto"/>
              </w:rPr>
              <w:t>Maturity</w:t>
            </w: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5-year revolving credit facility (a):</w:t>
            </w:r>
          </w:p>
        </w:tc>
        <w:tc>
          <w:tcPr>
            <w:tcW w:w="3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Canadian Borrowers sublimit of $375,000,000</w:t>
            </w:r>
          </w:p>
        </w:tc>
        <w:tc>
          <w:tcPr>
            <w:tcW w:w="3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0" w:type="dxa"/>
            <w:vAlign w:val="bottom"/>
          </w:tcPr>
          <w:p>
            <w:pPr>
              <w:ind w:left="120"/>
              <w:spacing w:after="0"/>
              <w:rPr>
                <w:sz w:val="20"/>
                <w:szCs w:val="20"/>
                <w:color w:val="auto"/>
              </w:rPr>
            </w:pPr>
            <w:r>
              <w:rPr>
                <w:rFonts w:ascii="Arial" w:cs="Arial" w:eastAsia="Arial" w:hAnsi="Arial"/>
                <w:sz w:val="18"/>
                <w:szCs w:val="18"/>
                <w:color w:val="auto"/>
              </w:rPr>
              <w:t>11/07/2024</w:t>
            </w:r>
          </w:p>
        </w:tc>
        <w:tc>
          <w:tcPr>
            <w:tcW w:w="100" w:type="dxa"/>
            <w:vAlign w:val="bottom"/>
          </w:tcPr>
          <w:p>
            <w:pPr>
              <w:spacing w:after="0"/>
              <w:rPr>
                <w:sz w:val="19"/>
                <w:szCs w:val="19"/>
                <w:color w:val="auto"/>
              </w:rPr>
            </w:pPr>
          </w:p>
        </w:tc>
      </w:tr>
      <w:tr>
        <w:trPr>
          <w:trHeight w:val="210"/>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WM revolving credit facility</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Waste Management Holdings senior notes: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$450,000,000 due 8/01/26</w:t>
            </w:r>
          </w:p>
        </w:tc>
        <w:tc>
          <w:tcPr>
            <w:tcW w:w="3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248,898,000</w:t>
            </w:r>
          </w:p>
        </w:tc>
        <w:tc>
          <w:tcPr>
            <w:tcW w:w="1800" w:type="dxa"/>
            <w:vAlign w:val="bottom"/>
          </w:tcPr>
          <w:p>
            <w:pPr>
              <w:ind w:left="120"/>
              <w:spacing w:after="0"/>
              <w:rPr>
                <w:sz w:val="20"/>
                <w:szCs w:val="20"/>
                <w:color w:val="auto"/>
              </w:rPr>
            </w:pPr>
            <w:r>
              <w:rPr>
                <w:rFonts w:ascii="Arial" w:cs="Arial" w:eastAsia="Arial" w:hAnsi="Arial"/>
                <w:sz w:val="18"/>
                <w:szCs w:val="18"/>
                <w:color w:val="auto"/>
              </w:rPr>
              <w:t>8/01/2026</w:t>
            </w:r>
          </w:p>
        </w:tc>
        <w:tc>
          <w:tcPr>
            <w:tcW w:w="100" w:type="dxa"/>
            <w:vAlign w:val="bottom"/>
          </w:tcPr>
          <w:p>
            <w:pPr>
              <w:spacing w:after="0"/>
              <w:rPr>
                <w:sz w:val="19"/>
                <w:szCs w:val="19"/>
                <w:color w:val="auto"/>
              </w:rPr>
            </w:pPr>
          </w:p>
        </w:tc>
      </w:tr>
      <w:tr>
        <w:trPr>
          <w:trHeight w:val="209"/>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Total Waste Management Holdings senior notes</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248,898,000</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Canadian senior note: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C$500,000,000 due 9/23/26</w:t>
            </w:r>
          </w:p>
        </w:tc>
        <w:tc>
          <w:tcPr>
            <w:tcW w:w="3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368,300,000</w:t>
            </w:r>
          </w:p>
        </w:tc>
        <w:tc>
          <w:tcPr>
            <w:tcW w:w="1800" w:type="dxa"/>
            <w:vAlign w:val="bottom"/>
          </w:tcPr>
          <w:p>
            <w:pPr>
              <w:ind w:left="120"/>
              <w:spacing w:after="0"/>
              <w:rPr>
                <w:sz w:val="20"/>
                <w:szCs w:val="20"/>
                <w:color w:val="auto"/>
              </w:rPr>
            </w:pPr>
            <w:r>
              <w:rPr>
                <w:rFonts w:ascii="Arial" w:cs="Arial" w:eastAsia="Arial" w:hAnsi="Arial"/>
                <w:sz w:val="18"/>
                <w:szCs w:val="18"/>
                <w:color w:val="auto"/>
              </w:rPr>
              <w:t>9/23/2026</w:t>
            </w:r>
          </w:p>
        </w:tc>
        <w:tc>
          <w:tcPr>
            <w:tcW w:w="100" w:type="dxa"/>
            <w:vAlign w:val="bottom"/>
          </w:tcPr>
          <w:p>
            <w:pPr>
              <w:spacing w:after="0"/>
              <w:rPr>
                <w:sz w:val="19"/>
                <w:szCs w:val="19"/>
                <w:color w:val="auto"/>
              </w:rPr>
            </w:pPr>
          </w:p>
        </w:tc>
      </w:tr>
      <w:tr>
        <w:trPr>
          <w:trHeight w:val="209"/>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Canadian senior notes</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368,300,000</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Tax-exempt bonds: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Amelia, Virginia due 4/1/27</w:t>
            </w:r>
          </w:p>
        </w:tc>
        <w:tc>
          <w:tcPr>
            <w:tcW w:w="3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26,800,000</w:t>
            </w:r>
          </w:p>
        </w:tc>
        <w:tc>
          <w:tcPr>
            <w:tcW w:w="1800" w:type="dxa"/>
            <w:vAlign w:val="bottom"/>
          </w:tcPr>
          <w:p>
            <w:pPr>
              <w:ind w:left="120"/>
              <w:spacing w:after="0"/>
              <w:rPr>
                <w:sz w:val="20"/>
                <w:szCs w:val="20"/>
                <w:color w:val="auto"/>
              </w:rPr>
            </w:pPr>
            <w:r>
              <w:rPr>
                <w:rFonts w:ascii="Arial" w:cs="Arial" w:eastAsia="Arial" w:hAnsi="Arial"/>
                <w:sz w:val="18"/>
                <w:szCs w:val="18"/>
                <w:color w:val="auto"/>
              </w:rPr>
              <w:t>4/1/2027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Bucks County due 12/01/22</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12/1/2022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California CPCFA</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35,700,000</w:t>
            </w:r>
          </w:p>
        </w:tc>
        <w:tc>
          <w:tcPr>
            <w:tcW w:w="1800" w:type="dxa"/>
            <w:vAlign w:val="bottom"/>
          </w:tcPr>
          <w:p>
            <w:pPr>
              <w:ind w:left="120"/>
              <w:spacing w:after="0"/>
              <w:rPr>
                <w:sz w:val="20"/>
                <w:szCs w:val="20"/>
                <w:color w:val="auto"/>
              </w:rPr>
            </w:pPr>
            <w:r>
              <w:rPr>
                <w:rFonts w:ascii="Arial" w:cs="Arial" w:eastAsia="Arial" w:hAnsi="Arial"/>
                <w:sz w:val="18"/>
                <w:szCs w:val="18"/>
                <w:color w:val="auto"/>
              </w:rPr>
              <w:t>11/1/2038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2015 A-1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84,430,000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7/1/2025</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California CPCFA 2015 A-2</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28,000,000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7/1/2027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2015 A-3</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7/1/2040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California CPCFA due 12/01/27</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12/1/2027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California CPCFA due 7/01/31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7/1/2031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California Municipal Finance Authority - 2009A</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2/1/2039</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2/1/29)</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2/1/2029</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Charles City (Virginia)</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8/1/2027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Charles City (Virginia) due 4/1/27</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4/1/2027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City of Granite City Illinois due 5/1/27</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30,320,000</w:t>
            </w:r>
          </w:p>
        </w:tc>
        <w:tc>
          <w:tcPr>
            <w:tcW w:w="1800" w:type="dxa"/>
            <w:vAlign w:val="bottom"/>
          </w:tcPr>
          <w:p>
            <w:pPr>
              <w:ind w:left="120"/>
              <w:spacing w:after="0"/>
              <w:rPr>
                <w:sz w:val="20"/>
                <w:szCs w:val="20"/>
                <w:color w:val="auto"/>
              </w:rPr>
            </w:pPr>
            <w:r>
              <w:rPr>
                <w:rFonts w:ascii="Arial" w:cs="Arial" w:eastAsia="Arial" w:hAnsi="Arial"/>
                <w:sz w:val="18"/>
                <w:szCs w:val="18"/>
                <w:color w:val="auto"/>
              </w:rPr>
              <w:t>5/1/2027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City of Minor Lane Heights due 3/1/21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3/1/2021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City of Mobile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4,175,000</w:t>
            </w:r>
          </w:p>
        </w:tc>
        <w:tc>
          <w:tcPr>
            <w:tcW w:w="1800" w:type="dxa"/>
            <w:vAlign w:val="bottom"/>
          </w:tcPr>
          <w:p>
            <w:pPr>
              <w:ind w:left="120"/>
              <w:spacing w:after="0"/>
              <w:rPr>
                <w:sz w:val="20"/>
                <w:szCs w:val="20"/>
                <w:color w:val="auto"/>
              </w:rPr>
            </w:pPr>
            <w:r>
              <w:rPr>
                <w:rFonts w:ascii="Arial" w:cs="Arial" w:eastAsia="Arial" w:hAnsi="Arial"/>
                <w:sz w:val="18"/>
                <w:szCs w:val="18"/>
                <w:color w:val="auto"/>
              </w:rPr>
              <w:t>10/1/2038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Cobb County Series 2004B</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4/1/2033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Countryside (Lake County) due 4/1/21</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5,670,000</w:t>
            </w:r>
          </w:p>
        </w:tc>
        <w:tc>
          <w:tcPr>
            <w:tcW w:w="1800" w:type="dxa"/>
            <w:vAlign w:val="bottom"/>
          </w:tcPr>
          <w:p>
            <w:pPr>
              <w:ind w:left="120"/>
              <w:spacing w:after="0"/>
              <w:rPr>
                <w:sz w:val="20"/>
                <w:szCs w:val="20"/>
                <w:color w:val="auto"/>
              </w:rPr>
            </w:pPr>
            <w:r>
              <w:rPr>
                <w:rFonts w:ascii="Arial" w:cs="Arial" w:eastAsia="Arial" w:hAnsi="Arial"/>
                <w:sz w:val="18"/>
                <w:szCs w:val="18"/>
                <w:color w:val="auto"/>
              </w:rPr>
              <w:t>4/1/2021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Countryside (Lake County) due 9/1/21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9/1/2021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County of Logan due 3/1/21</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7,450,000</w:t>
            </w:r>
          </w:p>
        </w:tc>
        <w:tc>
          <w:tcPr>
            <w:tcW w:w="1800" w:type="dxa"/>
            <w:vAlign w:val="bottom"/>
          </w:tcPr>
          <w:p>
            <w:pPr>
              <w:ind w:left="120"/>
              <w:spacing w:after="0"/>
              <w:rPr>
                <w:sz w:val="20"/>
                <w:szCs w:val="20"/>
                <w:color w:val="auto"/>
              </w:rPr>
            </w:pPr>
            <w:r>
              <w:rPr>
                <w:rFonts w:ascii="Arial" w:cs="Arial" w:eastAsia="Arial" w:hAnsi="Arial"/>
                <w:sz w:val="18"/>
                <w:szCs w:val="18"/>
                <w:color w:val="auto"/>
              </w:rPr>
              <w:t>3/1/2021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Denton County (TX 2003B)</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5/1/2028</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Gilliam County</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7/1/2038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Gilliam County due 08/01/25</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8/1/2025</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Gloucester (VA 2003A)</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9/1/2038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Harrison County (West Virginia due 4/1/24)</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4/1/2024</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Indiana due 10/01/31</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10/1/2031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6/1/23</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6/1/2023</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King George due 9/1/21 (Garnet)</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19,890,000</w:t>
            </w:r>
          </w:p>
        </w:tc>
        <w:tc>
          <w:tcPr>
            <w:tcW w:w="1800" w:type="dxa"/>
            <w:vAlign w:val="bottom"/>
          </w:tcPr>
          <w:p>
            <w:pPr>
              <w:ind w:left="120"/>
              <w:spacing w:after="0"/>
              <w:rPr>
                <w:sz w:val="20"/>
                <w:szCs w:val="20"/>
                <w:color w:val="auto"/>
              </w:rPr>
            </w:pPr>
            <w:r>
              <w:rPr>
                <w:rFonts w:ascii="Arial" w:cs="Arial" w:eastAsia="Arial" w:hAnsi="Arial"/>
                <w:sz w:val="18"/>
                <w:szCs w:val="18"/>
                <w:color w:val="auto"/>
              </w:rPr>
              <w:t>9/1/2021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Maricopa (Arizona) due 12/01/31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12/1/2031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Massachusetts due 5/1/27</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5/1/2027</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2007</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9/1/2027</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Miami Dade County Series 2008</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25,000,000</w:t>
            </w:r>
          </w:p>
        </w:tc>
        <w:tc>
          <w:tcPr>
            <w:tcW w:w="1800" w:type="dxa"/>
            <w:vAlign w:val="bottom"/>
          </w:tcPr>
          <w:p>
            <w:pPr>
              <w:ind w:left="120"/>
              <w:spacing w:after="0"/>
              <w:rPr>
                <w:sz w:val="20"/>
                <w:szCs w:val="20"/>
                <w:color w:val="auto"/>
              </w:rPr>
            </w:pPr>
            <w:r>
              <w:rPr>
                <w:rFonts w:ascii="Arial" w:cs="Arial" w:eastAsia="Arial" w:hAnsi="Arial"/>
                <w:sz w:val="18"/>
                <w:szCs w:val="18"/>
                <w:color w:val="auto"/>
              </w:rPr>
              <w:t>8/1/2023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2011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1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11/1/2041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8.1(a)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Michigan due 8/1/2027</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8/1/2027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Mississippi due 3/1/27</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3/1/2027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3/1/29</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3/1/2029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Mississippi due 7/1/28</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7/1/2028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Nashville (Tennessee) due 8/01/31</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8/1/2031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New York Series 2012</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5/1/2030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Ohio WDA due 11/1/22</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45,865,000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11/1/2022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Ohio WDA due 7/1/21 (Series 2004)</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7/1/2021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Okeechobee due 8/1/24</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Okeechobee Series 2004A</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15,970,000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7/1/2039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12/1/2021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Pennsylvania</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11/1/2021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11/1/2021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Pennsylvania</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11/1/2021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Pennsylvania Series 2009</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12/1/2033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Pennsylvania Series 2011</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Pennsylvania Series 2013</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8/1/2045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South Carolina Series 2003A</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Sussex County</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6/1/2028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SW Illinois due 10/1/2027</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10/1/2027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Tennessee - 2012</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7/2/2035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Texas due 8/1/20 (Mission EDC)</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8/1/2020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Washington due 7/1/30</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2080" w:type="dxa"/>
            <w:vAlign w:val="bottom"/>
          </w:tcPr>
          <w:p>
            <w:pPr>
              <w:ind w:left="300"/>
              <w:spacing w:after="0"/>
              <w:rPr>
                <w:sz w:val="20"/>
                <w:szCs w:val="20"/>
                <w:color w:val="auto"/>
              </w:rPr>
            </w:pPr>
            <w:r>
              <w:rPr>
                <w:rFonts w:ascii="Arial" w:cs="Arial" w:eastAsia="Arial" w:hAnsi="Arial"/>
                <w:sz w:val="18"/>
                <w:szCs w:val="18"/>
                <w:color w:val="auto"/>
              </w:rPr>
              <w:t>7/1/2030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4/1/2024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Yavapai (Arizona) due 3/1/28</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17,420,000</w:t>
            </w:r>
          </w:p>
        </w:tc>
        <w:tc>
          <w:tcPr>
            <w:tcW w:w="2080" w:type="dxa"/>
            <w:vAlign w:val="bottom"/>
          </w:tcPr>
          <w:p>
            <w:pPr>
              <w:ind w:left="300"/>
              <w:spacing w:after="0"/>
              <w:rPr>
                <w:sz w:val="20"/>
                <w:szCs w:val="20"/>
                <w:color w:val="auto"/>
              </w:rPr>
            </w:pPr>
            <w:r>
              <w:rPr>
                <w:rFonts w:ascii="Arial" w:cs="Arial" w:eastAsia="Arial" w:hAnsi="Arial"/>
                <w:sz w:val="18"/>
                <w:szCs w:val="18"/>
                <w:color w:val="auto"/>
              </w:rPr>
              <w:t>3/1/2028</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Yavapai (Arizona) due 6/1/27</w:t>
            </w: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30,000,000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6/1/2027</w:t>
            </w:r>
          </w:p>
        </w:tc>
      </w:tr>
      <w:tr>
        <w:trPr>
          <w:trHeight w:val="21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Tax-exempt bonds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1,364,190,000</w:t>
            </w:r>
          </w:p>
        </w:tc>
        <w:tc>
          <w:tcPr>
            <w:tcW w:w="2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r>
      <w:tr>
        <w:trPr>
          <w:trHeight w:val="210"/>
        </w:trPr>
        <w:tc>
          <w:tcPr>
            <w:tcW w:w="7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debt:</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209,700,750</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Various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Great Oak Landfill</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15,232,980</w:t>
            </w:r>
          </w:p>
        </w:tc>
        <w:tc>
          <w:tcPr>
            <w:tcW w:w="2080" w:type="dxa"/>
            <w:vAlign w:val="bottom"/>
          </w:tcPr>
          <w:p>
            <w:pPr>
              <w:ind w:left="300"/>
              <w:spacing w:after="0"/>
              <w:rPr>
                <w:sz w:val="20"/>
                <w:szCs w:val="20"/>
                <w:color w:val="auto"/>
              </w:rPr>
            </w:pPr>
            <w:r>
              <w:rPr>
                <w:rFonts w:ascii="Arial" w:cs="Arial" w:eastAsia="Arial" w:hAnsi="Arial"/>
                <w:sz w:val="18"/>
                <w:szCs w:val="18"/>
                <w:color w:val="auto"/>
              </w:rPr>
              <w:t>7/31/2044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Harlem River Yard</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19,843,358</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12/31/2035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King George Landfill Royalty Agreement</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39,489,553</w:t>
            </w:r>
          </w:p>
        </w:tc>
        <w:tc>
          <w:tcPr>
            <w:tcW w:w="2080" w:type="dxa"/>
            <w:vAlign w:val="bottom"/>
          </w:tcPr>
          <w:p>
            <w:pPr>
              <w:ind w:left="300"/>
              <w:spacing w:after="0"/>
              <w:rPr>
                <w:sz w:val="20"/>
                <w:szCs w:val="20"/>
                <w:color w:val="auto"/>
              </w:rPr>
            </w:pPr>
            <w:r>
              <w:rPr>
                <w:rFonts w:ascii="Arial" w:cs="Arial" w:eastAsia="Arial" w:hAnsi="Arial"/>
                <w:sz w:val="18"/>
                <w:szCs w:val="18"/>
                <w:color w:val="auto"/>
              </w:rPr>
              <w:t>7/1/2027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240,473,861</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Various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Prairie View Landfill Host Agreement</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13,125,712</w:t>
            </w:r>
          </w:p>
        </w:tc>
        <w:tc>
          <w:tcPr>
            <w:tcW w:w="2080" w:type="dxa"/>
            <w:vAlign w:val="bottom"/>
          </w:tcPr>
          <w:p>
            <w:pPr>
              <w:ind w:left="300"/>
              <w:spacing w:after="0"/>
              <w:rPr>
                <w:sz w:val="20"/>
                <w:szCs w:val="20"/>
                <w:color w:val="auto"/>
              </w:rPr>
            </w:pPr>
            <w:r>
              <w:rPr>
                <w:rFonts w:ascii="Arial" w:cs="Arial" w:eastAsia="Arial" w:hAnsi="Arial"/>
                <w:sz w:val="18"/>
                <w:szCs w:val="18"/>
                <w:color w:val="auto"/>
              </w:rPr>
              <w:t>12/31/2023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WM Elizabeth Marine Terminal</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39,831,469</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8/31/2027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WM Temple Financing Lease</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23,976,628</w:t>
            </w:r>
          </w:p>
        </w:tc>
        <w:tc>
          <w:tcPr>
            <w:tcW w:w="2080" w:type="dxa"/>
            <w:vAlign w:val="bottom"/>
          </w:tcPr>
          <w:p>
            <w:pPr>
              <w:ind w:left="300"/>
              <w:spacing w:after="0"/>
              <w:rPr>
                <w:sz w:val="20"/>
                <w:szCs w:val="20"/>
                <w:color w:val="auto"/>
              </w:rPr>
            </w:pPr>
            <w:r>
              <w:rPr>
                <w:rFonts w:ascii="Arial" w:cs="Arial" w:eastAsia="Arial" w:hAnsi="Arial"/>
                <w:sz w:val="18"/>
                <w:szCs w:val="18"/>
                <w:color w:val="auto"/>
              </w:rPr>
              <w:t>4/30/2071</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61,914,411</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Various</w:t>
            </w:r>
          </w:p>
        </w:tc>
      </w:tr>
      <w:tr>
        <w:trPr>
          <w:trHeight w:val="210"/>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Other debt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663,588,722</w:t>
            </w:r>
          </w:p>
        </w:tc>
        <w:tc>
          <w:tcPr>
            <w:tcW w:w="2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r>
      <w:tr>
        <w:trPr>
          <w:trHeight w:val="209"/>
        </w:trPr>
        <w:tc>
          <w:tcPr>
            <w:tcW w:w="7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Existing Indebtedness (b)</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2,644,976,722</w:t>
            </w:r>
          </w:p>
        </w:tc>
        <w:tc>
          <w:tcPr>
            <w:tcW w:w="2080" w:type="dxa"/>
            <w:vAlign w:val="bottom"/>
          </w:tcPr>
          <w:p>
            <w:pPr>
              <w:spacing w:after="0"/>
              <w:rPr>
                <w:sz w:val="19"/>
                <w:szCs w:val="19"/>
                <w:color w:val="auto"/>
              </w:rPr>
            </w:pPr>
          </w:p>
        </w:tc>
      </w:tr>
    </w:tbl>
    <w:p>
      <w:pPr>
        <w:spacing w:after="0" w:line="202" w:lineRule="exact"/>
        <w:rPr>
          <w:sz w:val="20"/>
          <w:szCs w:val="20"/>
          <w:color w:val="auto"/>
        </w:rPr>
      </w:pPr>
    </w:p>
    <w:p>
      <w:pPr>
        <w:jc w:val="both"/>
        <w:ind w:firstLine="8"/>
        <w:spacing w:after="0" w:line="255" w:lineRule="auto"/>
        <w:tabs>
          <w:tab w:leader="none" w:pos="2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Waste Management of Canada Corporation and WM Quebec Inc. (collectively, the "Canadian Borrowers") have the ability to incur up to $375 million, or its Canadian dollar equivalent, under the Fifth Amended and Restated Revolving Credit Agreement, dated as of November 7, 2019, among the Company, the Canadian Borrowers, the Guarantor, certain lenders and Bank of America, N.A., as administrative agent</w:t>
      </w:r>
    </w:p>
    <w:p>
      <w:pPr>
        <w:spacing w:after="0" w:line="2" w:lineRule="exact"/>
        <w:rPr>
          <w:rFonts w:ascii="Arial" w:cs="Arial" w:eastAsia="Arial" w:hAnsi="Arial"/>
          <w:sz w:val="18"/>
          <w:szCs w:val="18"/>
          <w:color w:val="auto"/>
        </w:rPr>
      </w:pPr>
    </w:p>
    <w:p>
      <w:pPr>
        <w:ind w:firstLine="8"/>
        <w:spacing w:after="0" w:line="260"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Balances are as of June 30, 2020, except where otherwise noted. Excludes indebtedness incurred and scheduled payments made subsequent to June 30, 2020.</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8.1(a)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6" w:name="page127"/>
    <w:bookmarkEnd w:id="126"/>
    <w:p>
      <w:pPr>
        <w:ind w:left="10040"/>
        <w:spacing w:after="0"/>
        <w:rPr>
          <w:sz w:val="20"/>
          <w:szCs w:val="20"/>
          <w:color w:val="auto"/>
        </w:rPr>
      </w:pPr>
      <w:r>
        <w:rPr>
          <w:rFonts w:ascii="Arial" w:cs="Arial" w:eastAsia="Arial" w:hAnsi="Arial"/>
          <w:sz w:val="17"/>
          <w:szCs w:val="17"/>
          <w:b w:val="1"/>
          <w:bCs w:val="1"/>
          <w:i w:val="1"/>
          <w:iCs w:val="1"/>
          <w:color w:val="auto"/>
        </w:rPr>
        <w:t>SCHEDULE 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AGENT’S OFFICE; CERTAIN ADDRESSES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L. Reed,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713-328-7503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713-328-7471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dlreed@wm.com and</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GCLegal@wm.com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Website Address: 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advances, payments and Requests for Borrowings)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Agent’s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Plaza 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Harborside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Remittance Instructions</w:t>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7"/>
          <w:szCs w:val="17"/>
          <w:color w:val="auto"/>
        </w:rPr>
        <w:t>MIZUHO BANK LTD., NEW YORK BRANCH</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Swift Code:</w:t>
      </w:r>
      <w:r>
        <w:rPr>
          <w:sz w:val="20"/>
          <w:szCs w:val="20"/>
          <w:color w:val="auto"/>
        </w:rPr>
        <w:tab/>
      </w:r>
      <w:r>
        <w:rPr>
          <w:rFonts w:ascii="Arial" w:cs="Arial" w:eastAsia="Arial" w:hAnsi="Arial"/>
          <w:sz w:val="17"/>
          <w:szCs w:val="17"/>
          <w:color w:val="auto"/>
        </w:rPr>
        <w:t>MHCBUS33</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Account Name:</w:t>
      </w:r>
      <w:r>
        <w:rPr>
          <w:sz w:val="20"/>
          <w:szCs w:val="20"/>
          <w:color w:val="auto"/>
        </w:rPr>
        <w:tab/>
      </w:r>
      <w:r>
        <w:rPr>
          <w:rFonts w:ascii="Arial" w:cs="Arial" w:eastAsia="Arial" w:hAnsi="Arial"/>
          <w:sz w:val="16"/>
          <w:szCs w:val="16"/>
          <w:color w:val="auto"/>
        </w:rPr>
        <w:t>ISA Loan Agency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6"/>
          <w:szCs w:val="16"/>
          <w:color w:val="auto"/>
        </w:rPr>
        <w:t>H79-740-005344</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ABA No.:</w:t>
      </w:r>
      <w:r>
        <w:rPr>
          <w:sz w:val="20"/>
          <w:szCs w:val="20"/>
          <w:color w:val="auto"/>
        </w:rPr>
        <w:tab/>
      </w:r>
      <w:r>
        <w:rPr>
          <w:rFonts w:ascii="Arial" w:cs="Arial" w:eastAsia="Arial" w:hAnsi="Arial"/>
          <w:sz w:val="15"/>
          <w:szCs w:val="15"/>
          <w:color w:val="auto"/>
        </w:rPr>
        <w:t>026004307</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Reference:</w:t>
      </w:r>
      <w:r>
        <w:rPr>
          <w:sz w:val="20"/>
          <w:szCs w:val="20"/>
          <w:color w:val="auto"/>
        </w:rPr>
        <w:tab/>
      </w:r>
      <w:r>
        <w:rPr>
          <w:rFonts w:ascii="Arial" w:cs="Arial" w:eastAsia="Arial" w:hAnsi="Arial"/>
          <w:sz w:val="18"/>
          <w:szCs w:val="18"/>
          <w:color w:val="auto"/>
        </w:rPr>
        <w:t>Waste Management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Notices as Administrative Agent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Agent’s Operations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 Plaza 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Harborside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Lynn Santos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213-243-4562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201-626-9935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Lau_agent@mizuhogroup.com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Agent’s Credit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Emanuel Giumarra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212-282-4009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Emanuel.giumarra@mizuhogroup.com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120"/>
          </w:cols>
          <w:pgMar w:left="440" w:top="603"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Waste Management Announces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Second Quarter Earnings</w:t>
      </w:r>
    </w:p>
    <w:p>
      <w:pPr>
        <w:spacing w:after="0" w:line="200" w:lineRule="exact"/>
        <w:rPr>
          <w:sz w:val="20"/>
          <w:szCs w:val="20"/>
          <w:color w:val="auto"/>
        </w:rPr>
      </w:pPr>
    </w:p>
    <w:p>
      <w:pPr>
        <w:spacing w:after="0" w:line="232" w:lineRule="exact"/>
        <w:rPr>
          <w:sz w:val="20"/>
          <w:szCs w:val="20"/>
          <w:color w:val="auto"/>
        </w:rPr>
      </w:pPr>
    </w:p>
    <w:p>
      <w:pPr>
        <w:jc w:val="center"/>
        <w:ind w:right="20"/>
        <w:spacing w:after="0" w:line="238" w:lineRule="auto"/>
        <w:rPr>
          <w:sz w:val="20"/>
          <w:szCs w:val="20"/>
          <w:color w:val="auto"/>
        </w:rPr>
      </w:pPr>
      <w:r>
        <w:rPr>
          <w:rFonts w:ascii="Arial" w:cs="Arial" w:eastAsia="Arial" w:hAnsi="Arial"/>
          <w:sz w:val="22"/>
          <w:szCs w:val="22"/>
          <w:color w:val="auto"/>
        </w:rPr>
        <w:t>Stronger than Expected Financial Performance Demonstrates Business’ Resiliency and Disciplined Focus on Cost and Capital Management</w:t>
      </w:r>
    </w:p>
    <w:p>
      <w:pPr>
        <w:spacing w:after="0" w:line="200" w:lineRule="exact"/>
        <w:rPr>
          <w:sz w:val="20"/>
          <w:szCs w:val="20"/>
          <w:color w:val="auto"/>
        </w:rPr>
      </w:pP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July 30, 2020</w:t>
      </w:r>
      <w:r>
        <w:rPr>
          <w:rFonts w:ascii="Arial" w:cs="Arial" w:eastAsia="Arial" w:hAnsi="Arial"/>
          <w:sz w:val="16"/>
          <w:szCs w:val="16"/>
          <w:b w:val="1"/>
          <w:bCs w:val="1"/>
          <w:color w:val="auto"/>
        </w:rPr>
        <w:t xml:space="preserve"> </w:t>
      </w:r>
      <w:r>
        <w:rPr>
          <w:rFonts w:ascii="Arial" w:cs="Arial" w:eastAsia="Arial" w:hAnsi="Arial"/>
          <w:sz w:val="16"/>
          <w:szCs w:val="16"/>
          <w:color w:val="auto"/>
        </w:rPr>
        <w:t>— Waste Management, Inc. (NYSE: WM) today announced financial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June 30, 2020. Revenues for the second quarter of 2020 were $3.56 billion compared with $3.95 billion for the same 2019 period. Net income for the quarter was $307 million, or $0.72 per diluted share, compared with $381</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million, or $0.89 per diluted share, for the second quarter of 2019.</w:t>
      </w:r>
      <w:r>
        <w:rPr>
          <w:rFonts w:ascii="Arial" w:cs="Arial" w:eastAsia="Arial" w:hAnsi="Arial"/>
          <w:sz w:val="26"/>
          <w:szCs w:val="26"/>
          <w:color w:val="auto"/>
          <w:vertAlign w:val="superscript"/>
        </w:rPr>
        <w:t>(a)</w:t>
      </w:r>
      <w:r>
        <w:rPr>
          <w:rFonts w:ascii="Arial" w:cs="Arial" w:eastAsia="Arial" w:hAnsi="Arial"/>
          <w:sz w:val="16"/>
          <w:szCs w:val="16"/>
          <w:color w:val="auto"/>
        </w:rPr>
        <w:t xml:space="preserve"> On an adjusted basis, net income was $372 million, or $0.88 per diluted share, in the second quarter of 2020, compared with $470 million, or $1.11 per diluted share, in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2019.</w:t>
      </w:r>
      <w:r>
        <w:rPr>
          <w:rFonts w:ascii="Arial" w:cs="Arial" w:eastAsia="Arial" w:hAnsi="Arial"/>
          <w:sz w:val="26"/>
          <w:szCs w:val="26"/>
          <w:color w:val="auto"/>
          <w:vertAlign w:val="superscript"/>
        </w:rPr>
        <w:t>(b)</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adjusted second quarter 2020 results exclude $0.12 per diluted share from non-cash impairments of landfill assets primarily related to energy services activities, $ 0.03 per diluted share from advisory costs incurred in connection with the pending acquisition of Advanced Disposal Services, Inc., and $0.01 per diluted share from costs incurred to support its implementation of a new enterprise resource planning system.</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 am proud of how our employees have continued to provide dependable, essential services to our customers and communities during the pandemic,” said Jim Fish, Waste Management’s President and Chief Executive Officer. “While keeping health and safety as the top priority, the team adapted through difficult circumstances, finding ways to improve efficiency across the collection and disposal business and reduce discretionary spending.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saw robust improvements in volumes and earnings each month as we progressed through the quarter with June standing out as the strongest month. This early stage of economic recovery combined with our successful cost flexing in the second quarter provide greater clarity for our 2020 financial results under current economic conditions.”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previously announced, Waste Management and Advanced Disposal have agreed to revised acquisition terms along with an agreement to sell substantially all anticipated regulatory divestures to GFL Environmental. Both transactions are expected to close by the end of the third quarter of 2020. The Company continues to maintain a strong balance sheet and liquidity position, with its current and forecasted post-acquisition leverage ratio well within the financial covenant in its revolving credit facilities. The Company has recently entered into a supplemental $ 3 billion revolving credit facility maturing July 27, 2021, to be used for general corporate purposes, including funding a portion of the Advanced Disposal acquisition and refinancing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544195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7584F"/>
        </w:rPr>
        <w:t>www.wm.com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7584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760"/>
        <w:spacing w:after="0" w:line="261" w:lineRule="auto"/>
        <w:rPr>
          <w:sz w:val="20"/>
          <w:szCs w:val="20"/>
          <w:color w:val="auto"/>
        </w:rPr>
      </w:pPr>
      <w:r>
        <w:rPr>
          <w:rFonts w:ascii="Arial" w:cs="Arial" w:eastAsia="Arial" w:hAnsi="Arial"/>
          <w:sz w:val="17"/>
          <w:szCs w:val="17"/>
          <w:color w:val="57584F"/>
        </w:rPr>
        <w:t xml:space="preserve">Janette Micelli 602.579.6152 </w:t>
      </w:r>
      <w:r>
        <w:rPr>
          <w:rFonts w:ascii="Arial" w:cs="Arial" w:eastAsia="Arial" w:hAnsi="Arial"/>
          <w:sz w:val="17"/>
          <w:szCs w:val="17"/>
          <w:u w:val="single" w:color="auto"/>
          <w:color w:val="57584F"/>
        </w:rPr>
        <w:t>jmicelli@wm.com</w:t>
      </w:r>
    </w:p>
    <w:p>
      <w:pPr>
        <w:sectPr>
          <w:pgSz w:w="11900" w:h="16838" w:orient="portrait"/>
          <w:cols w:equalWidth="0" w:num="2">
            <w:col w:w="8600" w:space="380"/>
            <w:col w:w="2140"/>
          </w:cols>
          <w:pgMar w:left="440" w:top="603"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KEY HIGHLIGHTS FOR THE SECOND QUARTER OF 2020</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ind w:left="540" w:right="1379" w:hanging="279"/>
        <w:spacing w:after="0" w:line="256" w:lineRule="auto"/>
        <w:tabs>
          <w:tab w:leader="none" w:pos="51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second quarter of 2020, revenue declined $331 million in the Company’s collection and disposal business, driven by $386 million in volume declines partially offset by $55 million of yield growth.</w:t>
      </w:r>
    </w:p>
    <w:p>
      <w:pPr>
        <w:spacing w:after="0" w:line="1" w:lineRule="exact"/>
        <w:rPr>
          <w:rFonts w:ascii="Arial" w:cs="Arial" w:eastAsia="Arial" w:hAnsi="Arial"/>
          <w:sz w:val="17"/>
          <w:szCs w:val="17"/>
          <w:color w:val="auto"/>
        </w:rPr>
      </w:pPr>
    </w:p>
    <w:p>
      <w:pPr>
        <w:ind w:left="520" w:hanging="259"/>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Core price for the second quarter of 2020 was 1.3% compared to 4.2% in the second quarter of 2019.</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w:t>
      </w:r>
    </w:p>
    <w:p>
      <w:pPr>
        <w:spacing w:after="0" w:line="30" w:lineRule="exact"/>
        <w:rPr>
          <w:sz w:val="20"/>
          <w:szCs w:val="20"/>
          <w:color w:val="auto"/>
        </w:rPr>
      </w:pPr>
    </w:p>
    <w:p>
      <w:pPr>
        <w:ind w:left="540" w:right="1379" w:hanging="279"/>
        <w:spacing w:after="0" w:line="242" w:lineRule="auto"/>
        <w:tabs>
          <w:tab w:leader="none" w:pos="5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Collection and disposal yield was 1.6% in the second quarter of 2020 compared to 2.7% in the second quarter of 2019.</w:t>
      </w:r>
    </w:p>
    <w:p>
      <w:pPr>
        <w:spacing w:after="0" w:line="1" w:lineRule="exact"/>
        <w:rPr>
          <w:rFonts w:ascii="Arial" w:cs="Arial" w:eastAsia="Arial" w:hAnsi="Arial"/>
          <w:sz w:val="18"/>
          <w:szCs w:val="18"/>
          <w:color w:val="auto"/>
        </w:rPr>
      </w:pPr>
    </w:p>
    <w:p>
      <w:pPr>
        <w:jc w:val="both"/>
        <w:ind w:left="540" w:right="1379" w:hanging="279"/>
        <w:spacing w:after="0" w:line="238" w:lineRule="auto"/>
        <w:tabs>
          <w:tab w:leader="none" w:pos="55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second quarter 2020 pricing results were muted relative to historical results and our initial full year expectations due to proactive customer-centric steps to temporarily suspend price increases and certain fees for customers impacted by the COVID-19 pandemic. The Company remains committed to its pricing programs.</w:t>
      </w:r>
    </w:p>
    <w:p>
      <w:pPr>
        <w:spacing w:after="0" w:line="2" w:lineRule="exact"/>
        <w:rPr>
          <w:rFonts w:ascii="Arial" w:cs="Arial" w:eastAsia="Arial" w:hAnsi="Arial"/>
          <w:sz w:val="18"/>
          <w:szCs w:val="18"/>
          <w:color w:val="auto"/>
        </w:rPr>
      </w:pPr>
    </w:p>
    <w:p>
      <w:pPr>
        <w:jc w:val="both"/>
        <w:ind w:left="540" w:right="1379" w:hanging="279"/>
        <w:spacing w:after="0" w:line="238" w:lineRule="auto"/>
        <w:tabs>
          <w:tab w:leader="none" w:pos="5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Total Company volumes declined 10.3% in the second quarter of 2020. Volumes declined almost 11% in the commercial line of business, 16% in industrial, and 18% in landfill, primarily related to the COVID-19 pandemic. Adjusting for natural disaster volumes that occurred in the second quarter of 2019, landfill volumes declined 13% in the second quarter of 2020.</w:t>
      </w:r>
    </w:p>
    <w:p>
      <w:pPr>
        <w:spacing w:after="0" w:line="2" w:lineRule="exact"/>
        <w:rPr>
          <w:rFonts w:ascii="Arial" w:cs="Arial" w:eastAsia="Arial" w:hAnsi="Arial"/>
          <w:sz w:val="18"/>
          <w:szCs w:val="18"/>
          <w:color w:val="auto"/>
        </w:rPr>
      </w:pPr>
    </w:p>
    <w:p>
      <w:pPr>
        <w:ind w:left="540" w:right="1379" w:hanging="279"/>
        <w:spacing w:after="0" w:line="261" w:lineRule="auto"/>
        <w:tabs>
          <w:tab w:leader="none" w:pos="5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estimate that business interruptions related to the COVID-19 pandemic had a negative revenue impact of approximately $400 million.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220" w:lineRule="exact"/>
        <w:rPr>
          <w:sz w:val="20"/>
          <w:szCs w:val="20"/>
          <w:color w:val="auto"/>
        </w:rPr>
      </w:pPr>
    </w:p>
    <w:p>
      <w:pPr>
        <w:jc w:val="both"/>
        <w:ind w:left="540" w:right="1379" w:hanging="279"/>
        <w:spacing w:after="0" w:line="238" w:lineRule="auto"/>
        <w:tabs>
          <w:tab w:leader="none" w:pos="5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remains focused on taking steps to manage costs to mitigate the impact of the COVID-19 pandemic. Steps include swift labor and route optimization in response to reduced volumes, reducing overtime hours, limiting hiring, eliminating non-essential expenses and costs, and reducing incentive compensation accruals.</w:t>
      </w:r>
    </w:p>
    <w:p>
      <w:pPr>
        <w:spacing w:after="0" w:line="2" w:lineRule="exact"/>
        <w:rPr>
          <w:rFonts w:ascii="Arial" w:cs="Arial" w:eastAsia="Arial" w:hAnsi="Arial"/>
          <w:sz w:val="18"/>
          <w:szCs w:val="18"/>
          <w:color w:val="auto"/>
        </w:rPr>
      </w:pPr>
    </w:p>
    <w:p>
      <w:pPr>
        <w:jc w:val="both"/>
        <w:ind w:left="540" w:right="1379" w:hanging="279"/>
        <w:spacing w:after="0" w:line="212" w:lineRule="auto"/>
        <w:tabs>
          <w:tab w:leader="none" w:pos="5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Operating expenses as a percentage of revenue improved 70 basis points to 61.2% when compared to the second quarter of 2019. On an adjusted basis, operating expenses as a percentage of revenue improved 30 basis points when compared to the second quarter of 2019.</w:t>
      </w:r>
      <w:r>
        <w:rPr>
          <w:rFonts w:ascii="Arial" w:cs="Arial" w:eastAsia="Arial" w:hAnsi="Arial"/>
          <w:sz w:val="29"/>
          <w:szCs w:val="29"/>
          <w:color w:val="auto"/>
          <w:vertAlign w:val="superscript"/>
        </w:rPr>
        <w:t>(b)</w:t>
      </w:r>
    </w:p>
    <w:p>
      <w:pPr>
        <w:spacing w:after="0" w:line="1" w:lineRule="exact"/>
        <w:rPr>
          <w:rFonts w:ascii="Arial" w:cs="Arial" w:eastAsia="Arial" w:hAnsi="Arial"/>
          <w:sz w:val="18"/>
          <w:szCs w:val="18"/>
          <w:color w:val="auto"/>
        </w:rPr>
      </w:pPr>
    </w:p>
    <w:p>
      <w:pPr>
        <w:jc w:val="both"/>
        <w:ind w:left="540" w:right="1379" w:hanging="279"/>
        <w:spacing w:after="0" w:line="238" w:lineRule="auto"/>
        <w:tabs>
          <w:tab w:leader="none" w:pos="5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Operating expenses included $12 million of costs specifically attributable to the Company’s People First responses to COVID-19, primarily related to enhanced personal protective equipment and the Company’s policies of excusing COVID-19 related absences and guaranteeing 40 hours of weekly pay for full-time employees during the pandemic.</w:t>
      </w:r>
    </w:p>
    <w:p>
      <w:pPr>
        <w:spacing w:after="0" w:line="2" w:lineRule="exact"/>
        <w:rPr>
          <w:rFonts w:ascii="Arial" w:cs="Arial" w:eastAsia="Arial" w:hAnsi="Arial"/>
          <w:sz w:val="18"/>
          <w:szCs w:val="18"/>
          <w:color w:val="auto"/>
        </w:rPr>
      </w:pPr>
    </w:p>
    <w:p>
      <w:pPr>
        <w:jc w:val="both"/>
        <w:ind w:left="540" w:right="1379" w:hanging="279"/>
        <w:spacing w:after="0" w:line="242" w:lineRule="auto"/>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SG&amp;A expenses were 10.6% of revenue in the second quarter of 2020 compared to 9.9% in the second quarter of 2019. On an adjusted basis, SG&amp;A expenses were 9.9% of revenue in the second</w:t>
      </w:r>
    </w:p>
    <w:p>
      <w:pPr>
        <w:spacing w:after="0" w:line="1" w:lineRule="exact"/>
        <w:rPr>
          <w:sz w:val="20"/>
          <w:szCs w:val="20"/>
          <w:color w:val="auto"/>
        </w:rPr>
      </w:pPr>
    </w:p>
    <w:p>
      <w:pPr>
        <w:jc w:val="both"/>
        <w:ind w:left="540" w:right="1379"/>
        <w:spacing w:after="0" w:line="208" w:lineRule="auto"/>
        <w:rPr>
          <w:sz w:val="20"/>
          <w:szCs w:val="20"/>
          <w:color w:val="auto"/>
        </w:rPr>
      </w:pPr>
      <w:r>
        <w:rPr>
          <w:rFonts w:ascii="Arial" w:cs="Arial" w:eastAsia="Arial" w:hAnsi="Arial"/>
          <w:sz w:val="18"/>
          <w:szCs w:val="18"/>
          <w:color w:val="auto"/>
        </w:rPr>
        <w:t>quarter of 2020 compared to 9.8% in the second quarter of 2019.</w:t>
      </w:r>
      <w:r>
        <w:rPr>
          <w:rFonts w:ascii="Arial" w:cs="Arial" w:eastAsia="Arial" w:hAnsi="Arial"/>
          <w:sz w:val="29"/>
          <w:szCs w:val="29"/>
          <w:color w:val="auto"/>
          <w:vertAlign w:val="superscript"/>
        </w:rPr>
        <w:t>(b)</w:t>
      </w:r>
      <w:r>
        <w:rPr>
          <w:rFonts w:ascii="Arial" w:cs="Arial" w:eastAsia="Arial" w:hAnsi="Arial"/>
          <w:sz w:val="18"/>
          <w:szCs w:val="18"/>
          <w:color w:val="auto"/>
        </w:rPr>
        <w:t xml:space="preserve"> Increased bad debt expense drove the majority of the increase as efforts to reduce discretionary spending and lower incentive compensation accruals reduced overall costs.</w:t>
      </w:r>
    </w:p>
    <w:p>
      <w:pPr>
        <w:jc w:val="both"/>
        <w:ind w:left="540" w:right="1379" w:hanging="279"/>
        <w:spacing w:after="0" w:line="248" w:lineRule="auto"/>
        <w:tabs>
          <w:tab w:leader="none" w:pos="5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SG&amp;A expenses included $8 million of costs specifically attributable to the Company’s People First responses to COVID-19, primarily driven by employee pay guarantees and costs related to employees working from home.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20" w:lineRule="exact"/>
        <w:rPr>
          <w:sz w:val="20"/>
          <w:szCs w:val="20"/>
          <w:color w:val="auto"/>
        </w:rPr>
      </w:pPr>
    </w:p>
    <w:p>
      <w:pPr>
        <w:ind w:left="600" w:hanging="339"/>
        <w:spacing w:after="0"/>
        <w:tabs>
          <w:tab w:leader="none" w:pos="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Total Company operating EBITDA was $941 million, or 26.4% as a percentage of revenue for the</w:t>
      </w:r>
    </w:p>
    <w:p>
      <w:pPr>
        <w:spacing w:after="0" w:line="9" w:lineRule="exact"/>
        <w:rPr>
          <w:sz w:val="20"/>
          <w:szCs w:val="20"/>
          <w:color w:val="auto"/>
        </w:rPr>
      </w:pPr>
    </w:p>
    <w:p>
      <w:pPr>
        <w:jc w:val="both"/>
        <w:ind w:left="540" w:right="1379"/>
        <w:spacing w:after="0" w:line="227" w:lineRule="auto"/>
        <w:rPr>
          <w:sz w:val="20"/>
          <w:szCs w:val="20"/>
          <w:color w:val="auto"/>
        </w:rPr>
      </w:pPr>
      <w:r>
        <w:rPr>
          <w:rFonts w:ascii="Arial" w:cs="Arial" w:eastAsia="Arial" w:hAnsi="Arial"/>
          <w:sz w:val="18"/>
          <w:szCs w:val="18"/>
          <w:color w:val="auto"/>
        </w:rPr>
        <w:t>second quarter of 2020.</w:t>
      </w:r>
      <w:r>
        <w:rPr>
          <w:rFonts w:ascii="Arial" w:cs="Arial" w:eastAsia="Arial" w:hAnsi="Arial"/>
          <w:sz w:val="29"/>
          <w:szCs w:val="29"/>
          <w:color w:val="auto"/>
          <w:vertAlign w:val="superscript"/>
        </w:rPr>
        <w:t>(c)</w:t>
      </w:r>
      <w:r>
        <w:rPr>
          <w:rFonts w:ascii="Arial" w:cs="Arial" w:eastAsia="Arial" w:hAnsi="Arial"/>
          <w:sz w:val="18"/>
          <w:szCs w:val="18"/>
          <w:color w:val="auto"/>
        </w:rPr>
        <w:t xml:space="preserve"> On an adjusted basis, total Company operating EBITDA was $1.03 billion, or 28.8% as a percentage of revenue for the second quarter of 2020 versus adjusted operating EBITDA of $1.13 billion and 28.7% as a percentage of revenue in 2019.</w:t>
      </w:r>
      <w:r>
        <w:rPr>
          <w:rFonts w:ascii="Arial" w:cs="Arial" w:eastAsia="Arial" w:hAnsi="Arial"/>
          <w:sz w:val="29"/>
          <w:szCs w:val="29"/>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332740</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886" w:right="1440" w:bottom="1440" w:gutter="0" w:footer="0" w:header="0"/>
        </w:sectPr>
      </w:pPr>
    </w:p>
    <w:bookmarkStart w:id="129" w:name="page130"/>
    <w:bookmarkEnd w:id="129"/>
    <w:p>
      <w:pPr>
        <w:jc w:val="both"/>
        <w:ind w:left="540" w:right="1379" w:hanging="279"/>
        <w:spacing w:after="0"/>
        <w:tabs>
          <w:tab w:leader="none" w:pos="52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was $1.14 billion for the second quarter of 2020, compared to $1.31 billion for the second quarter of 2019.</w:t>
      </w:r>
    </w:p>
    <w:p>
      <w:pPr>
        <w:jc w:val="both"/>
        <w:ind w:left="540" w:right="1379" w:hanging="279"/>
        <w:spacing w:after="0" w:line="248" w:lineRule="auto"/>
        <w:tabs>
          <w:tab w:leader="none" w:pos="55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grew operating EBITDA in its recycling business by almost $8 million when compared to the second quarter of 2019 by reducing costs and continuing to implement its fee-for-service model.</w:t>
      </w:r>
    </w:p>
    <w:p>
      <w:pPr>
        <w:spacing w:after="0" w:line="15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rFonts w:ascii="Arial" w:cs="Arial" w:eastAsia="Arial" w:hAnsi="Arial"/>
          <w:sz w:val="18"/>
          <w:szCs w:val="18"/>
          <w:color w:val="auto"/>
        </w:rPr>
      </w:pPr>
    </w:p>
    <w:p>
      <w:pPr>
        <w:ind w:left="540" w:right="1379" w:hanging="279"/>
        <w:spacing w:after="0" w:line="242" w:lineRule="auto"/>
        <w:tabs>
          <w:tab w:leader="none" w:pos="52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second quarter of 2020, net cash provided by operating activities was $856 million compared to $1.01 billion in the second quarter of 2019.</w:t>
      </w:r>
    </w:p>
    <w:p>
      <w:pPr>
        <w:spacing w:after="0" w:line="1" w:lineRule="exact"/>
        <w:rPr>
          <w:rFonts w:ascii="Arial" w:cs="Arial" w:eastAsia="Arial" w:hAnsi="Arial"/>
          <w:sz w:val="18"/>
          <w:szCs w:val="18"/>
          <w:color w:val="auto"/>
        </w:rPr>
      </w:pPr>
    </w:p>
    <w:p>
      <w:pPr>
        <w:ind w:left="540" w:right="1379" w:hanging="279"/>
        <w:spacing w:after="0" w:line="242" w:lineRule="auto"/>
        <w:tabs>
          <w:tab w:leader="none" w:pos="5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second quarter of 2020, capital expenditures were $436 million compared to $578 million in the second quarter of 2019.</w:t>
      </w:r>
    </w:p>
    <w:p>
      <w:pPr>
        <w:spacing w:after="0" w:line="1" w:lineRule="exact"/>
        <w:rPr>
          <w:rFonts w:ascii="Arial" w:cs="Arial" w:eastAsia="Arial" w:hAnsi="Arial"/>
          <w:sz w:val="18"/>
          <w:szCs w:val="18"/>
          <w:color w:val="auto"/>
        </w:rPr>
      </w:pPr>
    </w:p>
    <w:p>
      <w:pPr>
        <w:ind w:left="500" w:hanging="239"/>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second quarter of 2020, free cash flow was $423 million compared to $440 million in the second</w:t>
      </w:r>
    </w:p>
    <w:p>
      <w:pPr>
        <w:ind w:left="540"/>
        <w:spacing w:after="0" w:line="181" w:lineRule="auto"/>
        <w:rPr>
          <w:sz w:val="20"/>
          <w:szCs w:val="20"/>
          <w:color w:val="auto"/>
        </w:rPr>
      </w:pPr>
      <w:r>
        <w:rPr>
          <w:rFonts w:ascii="Arial" w:cs="Arial" w:eastAsia="Arial" w:hAnsi="Arial"/>
          <w:sz w:val="18"/>
          <w:szCs w:val="18"/>
          <w:color w:val="auto"/>
        </w:rPr>
        <w:t>quarter of 2019.</w:t>
      </w:r>
      <w:r>
        <w:rPr>
          <w:rFonts w:ascii="Arial" w:cs="Arial" w:eastAsia="Arial" w:hAnsi="Arial"/>
          <w:sz w:val="29"/>
          <w:szCs w:val="29"/>
          <w:color w:val="auto"/>
          <w:vertAlign w:val="superscript"/>
        </w:rPr>
        <w:t>(b)</w:t>
      </w:r>
    </w:p>
    <w:p>
      <w:pPr>
        <w:spacing w:after="0" w:line="1" w:lineRule="exact"/>
        <w:rPr>
          <w:sz w:val="20"/>
          <w:szCs w:val="20"/>
          <w:color w:val="auto"/>
        </w:rPr>
      </w:pPr>
    </w:p>
    <w:p>
      <w:pPr>
        <w:ind w:left="500" w:hanging="239"/>
        <w:spacing w:after="0"/>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paid $230 million of dividends to shareholders.</w:t>
      </w:r>
    </w:p>
    <w:p>
      <w:pPr>
        <w:spacing w:after="0" w:line="9" w:lineRule="exact"/>
        <w:rPr>
          <w:rFonts w:ascii="Arial" w:cs="Arial" w:eastAsia="Arial" w:hAnsi="Arial"/>
          <w:sz w:val="18"/>
          <w:szCs w:val="18"/>
          <w:color w:val="auto"/>
        </w:rPr>
      </w:pPr>
    </w:p>
    <w:p>
      <w:pPr>
        <w:ind w:left="540" w:right="1379" w:hanging="279"/>
        <w:spacing w:after="0" w:line="261" w:lineRule="auto"/>
        <w:tabs>
          <w:tab w:leader="none" w:pos="62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a prudent step to preserve cash in this uncertain environment, the Company has temporarily suspended share repurchases through the end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2020 OUTLOOK</w:t>
      </w:r>
      <w:r>
        <w:rPr>
          <w:rFonts w:ascii="Arial" w:cs="Arial" w:eastAsia="Arial" w:hAnsi="Arial"/>
          <w:sz w:val="29"/>
          <w:szCs w:val="29"/>
          <w:color w:val="auto"/>
          <w:vertAlign w:val="superscript"/>
        </w:rPr>
        <w:t>(e)</w:t>
      </w:r>
    </w:p>
    <w:p>
      <w:pPr>
        <w:spacing w:after="0" w:line="112" w:lineRule="exact"/>
        <w:rPr>
          <w:sz w:val="20"/>
          <w:szCs w:val="20"/>
          <w:color w:val="auto"/>
        </w:rPr>
      </w:pPr>
    </w:p>
    <w:p>
      <w:pPr>
        <w:ind w:left="500" w:hanging="239"/>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Total revenue for 2020 is expected to decline between 4% and 5% when compared to full year 2019.</w:t>
      </w:r>
    </w:p>
    <w:p>
      <w:pPr>
        <w:spacing w:after="0" w:line="9" w:lineRule="exact"/>
        <w:rPr>
          <w:rFonts w:ascii="Arial" w:cs="Arial" w:eastAsia="Arial" w:hAnsi="Arial"/>
          <w:sz w:val="18"/>
          <w:szCs w:val="18"/>
          <w:color w:val="auto"/>
        </w:rPr>
      </w:pPr>
    </w:p>
    <w:p>
      <w:pPr>
        <w:jc w:val="both"/>
        <w:ind w:left="540" w:right="1379" w:hanging="279"/>
        <w:spacing w:after="0" w:line="242"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Given the strong performance in the second quarter of 2020 and improved volume outlook, the Company now expects adjusted operating EBITDA margin to be in the range of 28.0% to 28.5%, or</w:t>
      </w:r>
    </w:p>
    <w:p>
      <w:pPr>
        <w:ind w:left="540"/>
        <w:spacing w:after="0" w:line="181" w:lineRule="auto"/>
        <w:rPr>
          <w:sz w:val="20"/>
          <w:szCs w:val="20"/>
          <w:color w:val="auto"/>
        </w:rPr>
      </w:pPr>
      <w:r>
        <w:rPr>
          <w:rFonts w:ascii="Arial" w:cs="Arial" w:eastAsia="Arial" w:hAnsi="Arial"/>
          <w:sz w:val="17"/>
          <w:szCs w:val="17"/>
          <w:color w:val="auto"/>
        </w:rPr>
        <w:t>flat to down 50 basis points on a year-over-year basis.</w:t>
      </w:r>
      <w:r>
        <w:rPr>
          <w:rFonts w:ascii="Arial" w:cs="Arial" w:eastAsia="Arial" w:hAnsi="Arial"/>
          <w:sz w:val="28"/>
          <w:szCs w:val="28"/>
          <w:color w:val="auto"/>
          <w:vertAlign w:val="superscript"/>
        </w:rPr>
        <w:t>(b)</w:t>
      </w:r>
    </w:p>
    <w:p>
      <w:pPr>
        <w:spacing w:after="0" w:line="1" w:lineRule="exact"/>
        <w:rPr>
          <w:sz w:val="20"/>
          <w:szCs w:val="20"/>
          <w:color w:val="auto"/>
        </w:rPr>
      </w:pPr>
    </w:p>
    <w:p>
      <w:pPr>
        <w:jc w:val="both"/>
        <w:ind w:left="540" w:right="1379" w:hanging="279"/>
        <w:spacing w:after="0" w:line="264" w:lineRule="auto"/>
        <w:tabs>
          <w:tab w:leader="none" w:pos="5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Capital expenditures are projected to be between $1.55 and $1.65 billion, and the Company expects to generate free cash flow approaching $2 billion, exclusive of transaction and advisory costs incurred for the acquisition of Advanced Disposal.</w:t>
      </w:r>
      <w:r>
        <w:rPr>
          <w:rFonts w:ascii="Arial" w:cs="Arial" w:eastAsia="Arial" w:hAnsi="Arial"/>
          <w:sz w:val="29"/>
          <w:szCs w:val="29"/>
          <w:color w:val="auto"/>
          <w:vertAlign w:val="superscript"/>
        </w:rPr>
        <w:t>(b)</w:t>
      </w:r>
    </w:p>
    <w:p>
      <w:pPr>
        <w:spacing w:after="0" w:line="42" w:lineRule="exact"/>
        <w:rPr>
          <w:sz w:val="20"/>
          <w:szCs w:val="20"/>
          <w:color w:val="auto"/>
        </w:rPr>
      </w:pPr>
    </w:p>
    <w:p>
      <w:pPr>
        <w:jc w:val="both"/>
        <w:ind w:right="1379"/>
        <w:spacing w:after="0" w:line="238" w:lineRule="auto"/>
        <w:rPr>
          <w:sz w:val="20"/>
          <w:szCs w:val="20"/>
          <w:color w:val="auto"/>
        </w:rPr>
      </w:pPr>
      <w:r>
        <w:rPr>
          <w:rFonts w:ascii="Arial" w:cs="Arial" w:eastAsia="Arial" w:hAnsi="Arial"/>
          <w:sz w:val="18"/>
          <w:szCs w:val="18"/>
          <w:color w:val="auto"/>
        </w:rPr>
        <w:t>Fish concluded, “Despite the challenging backdrop, we’re confident in our ability to continue to meet our commitments to our customers and deliver solid 2020 results. During these unprecedented times, our business model has once again proven its resilience, and we remain focused on using this opportunity and our technology investments to create a differentiated customer experience that puts our customers at the center of everything we do and to increase work place flexibility for our people.”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28" w:lineRule="exact"/>
        <w:rPr>
          <w:sz w:val="20"/>
          <w:szCs w:val="20"/>
          <w:color w:val="auto"/>
        </w:rPr>
      </w:pPr>
    </w:p>
    <w:p>
      <w:pPr>
        <w:ind w:left="540" w:right="1379" w:hanging="279"/>
        <w:spacing w:after="0" w:line="278" w:lineRule="auto"/>
        <w:tabs>
          <w:tab w:leader="none" w:pos="599" w:val="left"/>
        </w:tabs>
        <w:numPr>
          <w:ilvl w:val="0"/>
          <w:numId w:val="120"/>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53" w:lineRule="exact"/>
        <w:rPr>
          <w:rFonts w:ascii="Arial" w:cs="Arial" w:eastAsia="Arial" w:hAnsi="Arial"/>
          <w:sz w:val="14"/>
          <w:szCs w:val="14"/>
          <w:color w:val="auto"/>
        </w:rPr>
      </w:pPr>
    </w:p>
    <w:p>
      <w:pPr>
        <w:jc w:val="both"/>
        <w:ind w:left="540" w:right="1379" w:hanging="279"/>
        <w:spacing w:after="0" w:line="259" w:lineRule="auto"/>
        <w:tabs>
          <w:tab w:leader="none" w:pos="57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Adjusted earnings per diluted share, adjusted net income, adjusted operating expenses, adjusted SG&amp;A expenses, adjusted operating EBITDA and free cash flow are non-GAAP measures. Please see “Non-GAAP Financial Measures” below and the reconciliations in the accompanying schedules for more information.</w:t>
      </w:r>
    </w:p>
    <w:p>
      <w:pPr>
        <w:spacing w:after="0" w:line="167" w:lineRule="exact"/>
        <w:rPr>
          <w:rFonts w:ascii="Arial" w:cs="Arial" w:eastAsia="Arial" w:hAnsi="Arial"/>
          <w:sz w:val="14"/>
          <w:szCs w:val="14"/>
          <w:color w:val="auto"/>
        </w:rPr>
      </w:pPr>
    </w:p>
    <w:p>
      <w:pPr>
        <w:ind w:left="540" w:right="1379" w:hanging="279"/>
        <w:spacing w:after="0" w:line="278" w:lineRule="auto"/>
        <w:tabs>
          <w:tab w:leader="none" w:pos="55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53" w:lineRule="exact"/>
        <w:rPr>
          <w:rFonts w:ascii="Arial" w:cs="Arial" w:eastAsia="Arial" w:hAnsi="Arial"/>
          <w:sz w:val="14"/>
          <w:szCs w:val="14"/>
          <w:color w:val="auto"/>
        </w:rPr>
      </w:pPr>
    </w:p>
    <w:p>
      <w:pPr>
        <w:jc w:val="both"/>
        <w:ind w:left="540" w:right="1379" w:hanging="279"/>
        <w:spacing w:after="0" w:line="246" w:lineRule="auto"/>
        <w:tabs>
          <w:tab w:leader="none" w:pos="495"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 In the first quarter of 2020, the Company reported core price of 5.5%, which was calculated using the old methodology. Core price using the new methodology was 4.2%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408305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19"/>
          </w:cols>
          <w:pgMar w:left="440" w:top="908" w:right="1440" w:bottom="1440" w:gutter="0" w:footer="0" w:header="0"/>
        </w:sectPr>
      </w:pPr>
    </w:p>
    <w:bookmarkStart w:id="130" w:name="page131"/>
    <w:bookmarkEnd w:id="130"/>
    <w:p>
      <w:pPr>
        <w:jc w:val="both"/>
        <w:ind w:left="540" w:right="1379" w:hanging="279"/>
        <w:spacing w:after="0" w:line="259" w:lineRule="auto"/>
        <w:tabs>
          <w:tab w:leader="none" w:pos="545"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Company’s 2020 Outlook excludes (i) transaction and advisory costs incurred in connection with the planned acquisition of Advanced Disposal Services, Inc. and (ii) post-closing financial contributions from the acquisition of Advanced Disposal Services, Inc.</w:t>
      </w:r>
    </w:p>
    <w:p>
      <w:pPr>
        <w:spacing w:after="0" w:line="175" w:lineRule="exact"/>
        <w:rPr>
          <w:sz w:val="20"/>
          <w:szCs w:val="20"/>
          <w:color w:val="auto"/>
        </w:rPr>
      </w:pPr>
    </w:p>
    <w:p>
      <w:pPr>
        <w:jc w:val="both"/>
        <w:ind w:right="1379"/>
        <w:spacing w:after="0"/>
        <w:rPr>
          <w:sz w:val="20"/>
          <w:szCs w:val="20"/>
          <w:color w:val="auto"/>
        </w:rPr>
      </w:pPr>
      <w:r>
        <w:rPr>
          <w:rFonts w:ascii="Arial" w:cs="Arial" w:eastAsia="Arial" w:hAnsi="Arial"/>
          <w:sz w:val="18"/>
          <w:szCs w:val="18"/>
          <w:color w:val="auto"/>
        </w:rPr>
        <w:t>The Company will host a conference call at 10 a.m. (Eastern) today to discuss the second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37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9164328 when prompted by the conference call operator.</w:t>
      </w:r>
    </w:p>
    <w:p>
      <w:pPr>
        <w:spacing w:after="0" w:line="189" w:lineRule="exact"/>
        <w:rPr>
          <w:sz w:val="20"/>
          <w:szCs w:val="20"/>
          <w:color w:val="auto"/>
        </w:rPr>
      </w:pPr>
    </w:p>
    <w:p>
      <w:pPr>
        <w:jc w:val="both"/>
        <w:ind w:right="137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Thursday, August 13, 2020. To access the replay telephonically, please dial (855) 859-2056, or from outside of the United States or Canada dial (404) 537-3406 and use the replay conference ID number 9164328.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37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37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“Update on 2020 Outlook” and all statements regarding future performance or financial results of our business; responses and impacts of COVID-19; future liquidity, leverage ratio and balance sheet strength; future share repurchases; and the pending acquisition of Advanced Disposal Services, Inc. and divestitures to GFL Environmental (together, the “Pending Transactions”) including timing of such closings.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the effects that the announcement of the Pending Transactions may have on the respective businesses; inability to obtain required regulatory or governmental approvals for the Pending Transactions or to obtain such approvals on satisfactory conditions; inability to obtain approval from the stockholders of Advanced Disposal Services, Inc. or satisfy other closing conditions for the Pending Transactions; inability of a party to obtain financing necessary for the Pending Transactions; the occurrence of any event, change or other circumstance that could give rise to the termination of a Pending Transaction and the effects of any such termination; legal proceedings that may be instituted related to a Pending Transaction; unexpected costs, charges or expenses resulting from a Pending Transaction; failure to successfully integrate the acquisition of Advanced Disposal Services, Inc., realize anticipated synergies or obtain the results anticipated from such acquisition;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417830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941" w:right="1440" w:bottom="1440" w:gutter="0" w:footer="0" w:header="0"/>
        </w:sectPr>
      </w:pPr>
    </w:p>
    <w:bookmarkStart w:id="131" w:name="page132"/>
    <w:bookmarkEnd w:id="131"/>
    <w:p>
      <w:pPr>
        <w:jc w:val="both"/>
        <w:ind w:right="1379"/>
        <w:spacing w:after="0" w:line="235" w:lineRule="auto"/>
        <w:rPr>
          <w:sz w:val="20"/>
          <w:szCs w:val="20"/>
          <w:color w:val="auto"/>
        </w:rPr>
      </w:pPr>
      <w:r>
        <w:rPr>
          <w:rFonts w:ascii="Arial" w:cs="Arial" w:eastAsia="Arial" w:hAnsi="Arial"/>
          <w:sz w:val="18"/>
          <w:szCs w:val="18"/>
          <w:color w:val="auto"/>
        </w:rPr>
        <w:t>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and negative outcomes of litigation or governmental proceedings.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37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operating expenses, adjusted SG&amp;A expenses, adjusted operating EBITDA, and free cash flow, as well as projections of operating EBITDA margin and free cash flow for 2020. These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93" w:lineRule="exact"/>
        <w:rPr>
          <w:sz w:val="20"/>
          <w:szCs w:val="20"/>
          <w:color w:val="auto"/>
        </w:rPr>
      </w:pPr>
    </w:p>
    <w:p>
      <w:pPr>
        <w:jc w:val="both"/>
        <w:ind w:right="1379"/>
        <w:spacing w:after="0" w:line="236" w:lineRule="auto"/>
        <w:rPr>
          <w:sz w:val="20"/>
          <w:szCs w:val="20"/>
          <w:color w:val="auto"/>
        </w:rPr>
      </w:pPr>
      <w:r>
        <w:rPr>
          <w:rFonts w:ascii="Arial" w:cs="Arial" w:eastAsia="Arial" w:hAnsi="Arial"/>
          <w:sz w:val="18"/>
          <w:szCs w:val="18"/>
          <w:color w:val="auto"/>
        </w:rPr>
        <w:t>The Company’s non-GAAP results and projections exclude the impact of our planned acquisition of Advanced Disposal Services, Inc. In addition, the Company’s projected full year 2020 operating EBITDA margin is anticipated to exclude the effects of other events or circumstances in 2020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94" w:lineRule="exact"/>
        <w:rPr>
          <w:sz w:val="20"/>
          <w:szCs w:val="20"/>
          <w:color w:val="auto"/>
        </w:rPr>
      </w:pPr>
    </w:p>
    <w:p>
      <w:pPr>
        <w:jc w:val="both"/>
        <w:ind w:right="1379"/>
        <w:spacing w:after="0" w:line="236" w:lineRule="auto"/>
        <w:rPr>
          <w:sz w:val="20"/>
          <w:szCs w:val="20"/>
          <w:color w:val="auto"/>
        </w:rPr>
      </w:pPr>
      <w:r>
        <w:rPr>
          <w:rFonts w:ascii="Arial" w:cs="Arial" w:eastAsia="Arial" w:hAnsi="Arial"/>
          <w:sz w:val="18"/>
          <w:szCs w:val="18"/>
          <w:color w:val="auto"/>
        </w:rPr>
        <w:t>The Company discusses free cash flow, and provide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413385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908" w:right="1440" w:bottom="1440" w:gutter="0" w:footer="0" w:header="0"/>
        </w:sectPr>
      </w:pPr>
    </w:p>
    <w:bookmarkStart w:id="132" w:name="page133"/>
    <w:bookmarkEnd w:id="132"/>
    <w:p>
      <w:pPr>
        <w:jc w:val="both"/>
        <w:ind w:right="1379"/>
        <w:spacing w:after="0" w:line="238"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operating EBITDA margin. Non-GAAP measures should not be considered a substitute for financial measures presented in accordance with GAAP.</w:t>
      </w:r>
    </w:p>
    <w:p>
      <w:pPr>
        <w:spacing w:after="0" w:line="19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443230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19"/>
          </w:cols>
          <w:pgMar w:left="440" w:top="908"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2,443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423.9</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24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rPr>
              <w:t>WASTE MANAGEMENT, INC.</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5"/>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jc w:val="center"/>
              <w:ind w:right="790"/>
              <w:spacing w:after="0"/>
              <w:rPr>
                <w:sz w:val="20"/>
                <w:szCs w:val="20"/>
                <w:color w:val="auto"/>
              </w:rPr>
            </w:pPr>
            <w:r>
              <w:rPr>
                <w:rFonts w:ascii="Arial" w:cs="Arial" w:eastAsia="Arial" w:hAnsi="Arial"/>
                <w:sz w:val="18"/>
                <w:szCs w:val="18"/>
                <w:b w:val="1"/>
                <w:bCs w:val="1"/>
                <w:color w:val="auto"/>
                <w:w w:val="91"/>
              </w:rPr>
              <w:t>(Unaudited)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2,582</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3,190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r>
      <w:tr>
        <w:trPr>
          <w:trHeight w:val="210"/>
        </w:trPr>
        <w:tc>
          <w:tcPr>
            <w:tcW w:w="6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84"/>
              </w:rPr>
              <w:t>5,772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9,598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13,280</w:t>
            </w:r>
          </w:p>
        </w:tc>
        <w:tc>
          <w:tcPr>
            <w:tcW w:w="80" w:type="dxa"/>
            <w:vAlign w:val="bottom"/>
            <w:shd w:val="clear" w:color="auto" w:fill="CCEEFF"/>
          </w:tcPr>
          <w:p>
            <w:pPr>
              <w:spacing w:after="0"/>
              <w:rPr>
                <w:sz w:val="18"/>
                <w:szCs w:val="18"/>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4,356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6,891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4"/>
              </w:rPr>
              <w:t>6,893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668</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729</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775</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195</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117</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w:t>
            </w: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3,971</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Premiums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commercial paper borrowings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Common stock repurchase program</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3,647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183</w:t>
            </w: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40" w:type="dxa"/>
            <w:vAlign w:val="bottom"/>
            <w:gridSpan w:val="11"/>
          </w:tcPr>
          <w:p>
            <w:pPr>
              <w:jc w:val="center"/>
              <w:ind w:left="210"/>
              <w:spacing w:after="0"/>
              <w:rPr>
                <w:sz w:val="20"/>
                <w:szCs w:val="20"/>
                <w:color w:val="auto"/>
              </w:rPr>
            </w:pPr>
            <w:r>
              <w:rPr>
                <w:rFonts w:ascii="Arial" w:cs="Arial" w:eastAsia="Arial" w:hAnsi="Arial"/>
                <w:sz w:val="18"/>
                <w:szCs w:val="18"/>
                <w:b w:val="1"/>
                <w:bCs w:val="1"/>
                <w:color w:val="auto"/>
              </w:rPr>
              <w:t>WASTE MANAGEMENT,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99"/>
              </w:rPr>
              <w:t>SUMMARY DATA SHEET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95"/>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w w:val="97"/>
              </w:rPr>
              <w:t>Operating Revenues by Line of Business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0"/>
          </w:tcPr>
          <w:p>
            <w:pPr>
              <w:ind w:left="2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1,991</w:t>
            </w: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1,307</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1,318</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Other collection</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2,573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4,843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1,761</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880</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839</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Intercompany (a)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(1,562)</w:t>
            </w:r>
          </w:p>
        </w:tc>
        <w:tc>
          <w:tcPr>
            <w:tcW w:w="2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3,946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7,290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15"/>
          </w:tcPr>
          <w:p>
            <w:pPr>
              <w:jc w:val="right"/>
              <w:ind w:right="540"/>
              <w:spacing w:after="0"/>
              <w:rPr>
                <w:sz w:val="20"/>
                <w:szCs w:val="20"/>
                <w:color w:val="auto"/>
              </w:rPr>
            </w:pPr>
            <w:r>
              <w:rPr>
                <w:rFonts w:ascii="Arial" w:cs="Arial" w:eastAsia="Arial" w:hAnsi="Arial"/>
                <w:sz w:val="18"/>
                <w:szCs w:val="18"/>
                <w:b w:val="1"/>
                <w:bCs w:val="1"/>
                <w:color w:val="auto"/>
                <w:w w:val="92"/>
              </w:rPr>
              <w:t>Period-to-Period Change for the Three Months</w:t>
            </w:r>
          </w:p>
        </w:tc>
        <w:tc>
          <w:tcPr>
            <w:tcW w:w="80" w:type="dxa"/>
            <w:vAlign w:val="bottom"/>
          </w:tcPr>
          <w:p>
            <w:pPr>
              <w:spacing w:after="0"/>
              <w:rPr>
                <w:sz w:val="24"/>
                <w:szCs w:val="24"/>
                <w:color w:val="auto"/>
              </w:rPr>
            </w:pPr>
          </w:p>
        </w:tc>
        <w:tc>
          <w:tcPr>
            <w:tcW w:w="4220" w:type="dxa"/>
            <w:vAlign w:val="bottom"/>
            <w:gridSpan w:val="20"/>
          </w:tcPr>
          <w:p>
            <w:pPr>
              <w:jc w:val="right"/>
              <w:ind w:right="560"/>
              <w:spacing w:after="0"/>
              <w:rPr>
                <w:sz w:val="20"/>
                <w:szCs w:val="20"/>
                <w:color w:val="auto"/>
              </w:rPr>
            </w:pPr>
            <w:r>
              <w:rPr>
                <w:rFonts w:ascii="Arial" w:cs="Arial" w:eastAsia="Arial" w:hAnsi="Arial"/>
                <w:sz w:val="18"/>
                <w:szCs w:val="18"/>
                <w:b w:val="1"/>
                <w:bCs w:val="1"/>
                <w:color w:val="auto"/>
                <w:w w:val="97"/>
              </w:rPr>
              <w:t>Period-to-Period Change for the Six Months</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13"/>
          </w:tcPr>
          <w:p>
            <w:pPr>
              <w:jc w:val="right"/>
              <w:ind w:right="1220"/>
              <w:spacing w:after="0"/>
              <w:rPr>
                <w:sz w:val="20"/>
                <w:szCs w:val="20"/>
                <w:color w:val="auto"/>
              </w:rPr>
            </w:pPr>
            <w:r>
              <w:rPr>
                <w:rFonts w:ascii="Arial" w:cs="Arial" w:eastAsia="Arial" w:hAnsi="Arial"/>
                <w:sz w:val="18"/>
                <w:szCs w:val="18"/>
                <w:b w:val="1"/>
                <w:bCs w:val="1"/>
                <w:color w:val="auto"/>
                <w:w w:val="89"/>
              </w:rPr>
              <w:t>Ended June 30, 2020 vs. 2019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16"/>
          </w:tcPr>
          <w:p>
            <w:pPr>
              <w:jc w:val="right"/>
              <w:ind w:right="1140"/>
              <w:spacing w:after="0"/>
              <w:rPr>
                <w:sz w:val="20"/>
                <w:szCs w:val="20"/>
                <w:color w:val="auto"/>
              </w:rPr>
            </w:pPr>
            <w:r>
              <w:rPr>
                <w:rFonts w:ascii="Arial" w:cs="Arial" w:eastAsia="Arial" w:hAnsi="Arial"/>
                <w:sz w:val="18"/>
                <w:szCs w:val="18"/>
                <w:b w:val="1"/>
                <w:bCs w:val="1"/>
                <w:color w:val="auto"/>
                <w:w w:val="89"/>
              </w:rPr>
              <w:t>Ended June 30, 2020 vs. 2019</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1"/>
              </w:rPr>
              <w:t>As a % of</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As a % of</w:t>
            </w:r>
          </w:p>
        </w:tc>
        <w:tc>
          <w:tcPr>
            <w:tcW w:w="320" w:type="dxa"/>
            <w:vAlign w:val="bottom"/>
            <w:gridSpan w:val="2"/>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5"/>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As a % of</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As a % of</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Related</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2"/>
              </w:rPr>
              <w:t>Related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Business(b)</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gridSpan w:val="2"/>
          </w:tcPr>
          <w:p>
            <w:pPr>
              <w:spacing w:after="0"/>
              <w:rPr>
                <w:sz w:val="20"/>
                <w:szCs w:val="20"/>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Company(c)</w:t>
            </w:r>
          </w:p>
        </w:tc>
        <w:tc>
          <w:tcPr>
            <w:tcW w:w="80" w:type="dxa"/>
            <w:vAlign w:val="bottom"/>
          </w:tcPr>
          <w:p>
            <w:pPr>
              <w:spacing w:after="0"/>
              <w:rPr>
                <w:sz w:val="20"/>
                <w:szCs w:val="20"/>
                <w:color w:val="auto"/>
              </w:rPr>
            </w:pPr>
          </w:p>
        </w:tc>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5"/>
              </w:rPr>
              <w:t>Business(b)</w:t>
            </w:r>
          </w:p>
        </w:tc>
        <w:tc>
          <w:tcPr>
            <w:tcW w:w="220" w:type="dxa"/>
            <w:vAlign w:val="bottom"/>
          </w:tcPr>
          <w:p>
            <w:pPr>
              <w:spacing w:after="0"/>
              <w:rPr>
                <w:sz w:val="20"/>
                <w:szCs w:val="20"/>
                <w:color w:val="auto"/>
              </w:rPr>
            </w:pPr>
          </w:p>
        </w:tc>
        <w:tc>
          <w:tcPr>
            <w:tcW w:w="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Company(c)</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Recycling commodities (d)</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 mandated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180"/>
              <w:spacing w:after="0"/>
              <w:rPr>
                <w:sz w:val="20"/>
                <w:szCs w:val="20"/>
                <w:color w:val="auto"/>
              </w:rPr>
            </w:pPr>
            <w:r>
              <w:rPr>
                <w:rFonts w:ascii="Arial" w:cs="Arial" w:eastAsia="Arial" w:hAnsi="Arial"/>
                <w:sz w:val="18"/>
                <w:szCs w:val="18"/>
                <w:color w:val="auto"/>
              </w:rPr>
              <w:t>Total average yield (e)</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(396)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180"/>
              <w:spacing w:after="0"/>
              <w:rPr>
                <w:sz w:val="20"/>
                <w:szCs w:val="20"/>
                <w:color w:val="auto"/>
              </w:rPr>
            </w:pPr>
            <w:r>
              <w:rPr>
                <w:rFonts w:ascii="Arial" w:cs="Arial" w:eastAsia="Arial" w:hAnsi="Arial"/>
                <w:sz w:val="18"/>
                <w:szCs w:val="18"/>
                <w:color w:val="auto"/>
              </w:rPr>
              <w:t>Internal revenue growth</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(387)</w:t>
            </w:r>
          </w:p>
        </w:tc>
        <w:tc>
          <w:tcPr>
            <w:tcW w:w="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(380)</w:t>
            </w:r>
          </w:p>
        </w:tc>
        <w:tc>
          <w:tcPr>
            <w:tcW w:w="220" w:type="dxa"/>
            <w:vAlign w:val="bottom"/>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70"/>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14"/>
          </w:tcPr>
          <w:p>
            <w:pPr>
              <w:jc w:val="center"/>
              <w:ind w:right="80"/>
              <w:spacing w:after="0"/>
              <w:rPr>
                <w:sz w:val="20"/>
                <w:szCs w:val="20"/>
                <w:color w:val="auto"/>
              </w:rPr>
            </w:pPr>
            <w:r>
              <w:rPr>
                <w:rFonts w:ascii="Arial" w:cs="Arial" w:eastAsia="Arial" w:hAnsi="Arial"/>
                <w:sz w:val="18"/>
                <w:szCs w:val="18"/>
                <w:b w:val="1"/>
                <w:bCs w:val="1"/>
                <w:color w:val="auto"/>
                <w:w w:val="91"/>
              </w:rPr>
              <w:t>Period-to-Period Change for the Three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15"/>
          </w:tcPr>
          <w:p>
            <w:pPr>
              <w:jc w:val="center"/>
              <w:ind w:right="500"/>
              <w:spacing w:after="0"/>
              <w:rPr>
                <w:sz w:val="20"/>
                <w:szCs w:val="20"/>
                <w:color w:val="auto"/>
              </w:rPr>
            </w:pPr>
            <w:r>
              <w:rPr>
                <w:rFonts w:ascii="Arial" w:cs="Arial" w:eastAsia="Arial" w:hAnsi="Arial"/>
                <w:sz w:val="18"/>
                <w:szCs w:val="18"/>
                <w:b w:val="1"/>
                <w:bCs w:val="1"/>
                <w:color w:val="auto"/>
                <w:w w:val="90"/>
              </w:rPr>
              <w:t>Period-to-Period Change for the Six</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9"/>
              </w:rPr>
              <w:t>Ended June 30, 2020 vs. 2019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15"/>
          </w:tcPr>
          <w:p>
            <w:pPr>
              <w:jc w:val="center"/>
              <w:ind w:right="500"/>
              <w:spacing w:after="0"/>
              <w:rPr>
                <w:sz w:val="20"/>
                <w:szCs w:val="20"/>
                <w:color w:val="auto"/>
              </w:rPr>
            </w:pPr>
            <w:r>
              <w:rPr>
                <w:rFonts w:ascii="Arial" w:cs="Arial" w:eastAsia="Arial" w:hAnsi="Arial"/>
                <w:sz w:val="18"/>
                <w:szCs w:val="18"/>
                <w:b w:val="1"/>
                <w:bCs w:val="1"/>
                <w:color w:val="auto"/>
                <w:w w:val="88"/>
              </w:rPr>
              <w:t>Ended June 30, 2020 vs. 2019</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88"/>
              </w:rPr>
              <w:t>As a % of Related Business(b)</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80" w:type="dxa"/>
            <w:vAlign w:val="bottom"/>
            <w:tcBorders>
              <w:top w:val="single" w:sz="8" w:color="auto"/>
              <w:bottom w:val="single" w:sz="8" w:color="auto"/>
            </w:tcBorders>
            <w:gridSpan w:val="13"/>
          </w:tcPr>
          <w:p>
            <w:pPr>
              <w:jc w:val="center"/>
              <w:ind w:right="190"/>
              <w:spacing w:after="0"/>
              <w:rPr>
                <w:sz w:val="20"/>
                <w:szCs w:val="20"/>
                <w:color w:val="auto"/>
              </w:rPr>
            </w:pPr>
            <w:r>
              <w:rPr>
                <w:rFonts w:ascii="Arial" w:cs="Arial" w:eastAsia="Arial" w:hAnsi="Arial"/>
                <w:sz w:val="18"/>
                <w:szCs w:val="18"/>
                <w:b w:val="1"/>
                <w:bCs w:val="1"/>
                <w:color w:val="auto"/>
                <w:w w:val="89"/>
              </w:rPr>
              <w:t>As a % of Related Business(b)</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Yield</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Volume</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Yield</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Volume(f)</w:t>
            </w:r>
          </w:p>
        </w:tc>
        <w:tc>
          <w:tcPr>
            <w:tcW w:w="22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7"/>
              </w:rPr>
              <w:t>1.8%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w w:val="91"/>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w w:val="87"/>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w w:val="87"/>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Transfer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ind w:left="100"/>
              <w:spacing w:after="0"/>
              <w:rPr>
                <w:sz w:val="20"/>
                <w:szCs w:val="20"/>
                <w:color w:val="auto"/>
              </w:rPr>
            </w:pPr>
            <w:r>
              <w:rPr>
                <w:rFonts w:ascii="Arial" w:cs="Arial" w:eastAsia="Arial" w:hAnsi="Arial"/>
                <w:sz w:val="18"/>
                <w:szCs w:val="18"/>
                <w:color w:val="auto"/>
                <w:w w:val="87"/>
              </w:rPr>
              <w:t>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collection and disposal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7"/>
              </w:rPr>
              <w:t>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w w:val="91"/>
              </w:rPr>
              <w:t>(10.9)%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6900" w:type="dxa"/>
            <w:vAlign w:val="bottom"/>
            <w:gridSpan w:val="7"/>
          </w:tcPr>
          <w:p>
            <w:pPr>
              <w:jc w:val="center"/>
              <w:ind w:left="425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00" w:type="dxa"/>
            <w:vAlign w:val="bottom"/>
            <w:gridSpan w:val="7"/>
          </w:tcPr>
          <w:p>
            <w:pPr>
              <w:jc w:val="center"/>
              <w:ind w:left="4250"/>
              <w:spacing w:after="0"/>
              <w:rPr>
                <w:sz w:val="20"/>
                <w:szCs w:val="20"/>
                <w:color w:val="auto"/>
              </w:rPr>
            </w:pPr>
            <w:r>
              <w:rPr>
                <w:rFonts w:ascii="Arial" w:cs="Arial" w:eastAsia="Arial" w:hAnsi="Arial"/>
                <w:sz w:val="18"/>
                <w:szCs w:val="18"/>
                <w:b w:val="1"/>
                <w:bCs w:val="1"/>
                <w:color w:val="auto"/>
                <w:w w:val="99"/>
              </w:rPr>
              <w:t>SUMMARY DATA SHEET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1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5"/>
              </w:rPr>
              <w:t>(In Millions)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78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b w:val="1"/>
                <w:bCs w:val="1"/>
                <w:color w:val="auto"/>
              </w:rPr>
              <w:t>Free Cash Flow (a)</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1,621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Arial" w:cs="Arial" w:eastAsia="Arial" w:hAnsi="Arial"/>
                <w:sz w:val="18"/>
                <w:szCs w:val="18"/>
                <w:color w:val="auto"/>
              </w:rPr>
              <w:t>(895)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(1,049)</w:t>
            </w: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Proceeds from divestitures of businesses and other assets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79"/>
              </w:rPr>
              <w:t>741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5"/>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560" w:type="dxa"/>
            <w:vAlign w:val="bottom"/>
            <w:gridSpan w:val="10"/>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68.3%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 net of cash acquired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Cash paid for acquisitions consummated during the period, net of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7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from prior periods, net of cash acquired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4"/>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25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740"/>
              <w:spacing w:after="0"/>
              <w:rPr>
                <w:sz w:val="20"/>
                <w:szCs w:val="20"/>
                <w:color w:val="auto"/>
              </w:rPr>
            </w:pPr>
            <w:r>
              <w:rPr>
                <w:rFonts w:ascii="Arial" w:cs="Arial" w:eastAsia="Arial" w:hAnsi="Arial"/>
                <w:sz w:val="18"/>
                <w:szCs w:val="18"/>
                <w:color w:val="auto"/>
              </w:rPr>
              <w:t>225</w:t>
            </w:r>
          </w:p>
        </w:tc>
        <w:tc>
          <w:tcPr>
            <w:tcW w:w="34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r>
      <w:tr>
        <w:trPr>
          <w:trHeight w:val="210"/>
        </w:trPr>
        <w:tc>
          <w:tcPr>
            <w:tcW w:w="5120" w:type="dxa"/>
            <w:vAlign w:val="bottom"/>
          </w:tcPr>
          <w:p>
            <w:pPr>
              <w:ind w:left="340"/>
              <w:spacing w:after="0"/>
              <w:rPr>
                <w:sz w:val="20"/>
                <w:szCs w:val="20"/>
                <w:color w:val="auto"/>
              </w:rPr>
            </w:pPr>
            <w:r>
              <w:rPr>
                <w:rFonts w:ascii="Arial" w:cs="Arial" w:eastAsia="Arial" w:hAnsi="Arial"/>
                <w:sz w:val="18"/>
                <w:szCs w:val="18"/>
                <w:color w:val="auto"/>
              </w:rPr>
              <w:t>Total landfill amortization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w w:val="79"/>
              </w:rPr>
              <w:t>286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4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w w:val="79"/>
              </w:rPr>
              <w:t>336</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5" w:lineRule="auto"/>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90"/>
              </w:rPr>
              <w:t>June 30, 2020</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Pre-tax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impairments of disposal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414</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b w:val="1"/>
                <w:bCs w:val="1"/>
                <w:color w:val="auto"/>
                <w:w w:val="88"/>
              </w:rPr>
              <w:t>June 30, 2019</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Pre-tax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Income (c)</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Non-cash charges to write-off certain assets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6"/>
              </w:rPr>
              <w:t>(b)</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34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409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40" w:hanging="332"/>
        <w:spacing w:after="0" w:line="258"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ind w:left="340" w:right="60" w:hanging="332"/>
        <w:spacing w:after="0" w:line="250" w:lineRule="auto"/>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While the Company calculates its effective tax rate based on actual dollars, an approximate effective tax rate can be calculated by dividing the Tax Expense amount in the table above by the Pre-tax Income amount. The adjusted effective tax rate was 22.5% and 23.3% for the quarter ended June 30, 2020 and 2019, respectively.</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Pre-tax income for the second quarter of 2019 excludes $1 million related to 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11"/>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11"/>
          </w:tcPr>
          <w:p>
            <w:pPr>
              <w:ind w:left="68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As a % of</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w w:val="88"/>
              </w:rPr>
              <w:t xml:space="preserve">Adjusted </w:t>
            </w:r>
            <w:r>
              <w:rPr>
                <w:rFonts w:ascii="Arial" w:cs="Arial" w:eastAsia="Arial" w:hAnsi="Arial"/>
                <w:sz w:val="18"/>
                <w:szCs w:val="18"/>
                <w:b w:val="1"/>
                <w:bCs w:val="1"/>
                <w:i w:val="1"/>
                <w:iCs w:val="1"/>
                <w:color w:val="auto"/>
                <w:w w:val="88"/>
              </w:rPr>
              <w:t>Operating Expenses and Adjusted Operating Expenses Margin</w:t>
            </w:r>
          </w:p>
        </w:tc>
        <w:tc>
          <w:tcPr>
            <w:tcW w:w="100" w:type="dxa"/>
            <w:vAlign w:val="bottom"/>
          </w:tcPr>
          <w:p>
            <w:pPr>
              <w:spacing w:after="0"/>
              <w:rPr>
                <w:sz w:val="20"/>
                <w:szCs w:val="20"/>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8"/>
              </w:rPr>
              <w:t>Revenues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w w:val="84"/>
              </w:rPr>
              <w:t>3,561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4"/>
            <w:shd w:val="clear" w:color="auto" w:fill="CCEEFF"/>
          </w:tcPr>
          <w:p>
            <w:pPr>
              <w:ind w:left="680"/>
              <w:spacing w:after="0"/>
              <w:rPr>
                <w:sz w:val="20"/>
                <w:szCs w:val="20"/>
                <w:color w:val="auto"/>
              </w:rPr>
            </w:pPr>
            <w:r>
              <w:rPr>
                <w:rFonts w:ascii="Arial" w:cs="Arial" w:eastAsia="Arial" w:hAnsi="Arial"/>
                <w:sz w:val="18"/>
                <w:szCs w:val="18"/>
                <w:b w:val="1"/>
                <w:bCs w:val="1"/>
                <w:color w:val="auto"/>
              </w:rPr>
              <w:t>2,180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61.2%</w:t>
            </w:r>
          </w:p>
        </w:tc>
        <w:tc>
          <w:tcPr>
            <w:tcW w:w="22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2,443</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charges to write-off certain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11"/>
          </w:tcPr>
          <w:p>
            <w:pPr>
              <w:jc w:val="right"/>
              <w:ind w:right="1120"/>
              <w:spacing w:after="0"/>
              <w:rPr>
                <w:sz w:val="20"/>
                <w:szCs w:val="20"/>
                <w:color w:val="auto"/>
              </w:rPr>
            </w:pPr>
            <w:r>
              <w:rPr>
                <w:rFonts w:ascii="Arial" w:cs="Arial" w:eastAsia="Arial" w:hAnsi="Arial"/>
                <w:sz w:val="18"/>
                <w:szCs w:val="18"/>
                <w:b w:val="1"/>
                <w:bCs w:val="1"/>
                <w:color w:val="auto"/>
              </w:rPr>
              <w:t>June 30, 2020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As a % of</w:t>
            </w:r>
          </w:p>
        </w:tc>
        <w:tc>
          <w:tcPr>
            <w:tcW w:w="2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4"/>
              </w:rPr>
              <w:t>Revenues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3"/>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220" w:type="dxa"/>
            <w:vAlign w:val="bottom"/>
            <w:gridSpan w:val="3"/>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SG&amp;A expenses, as reported</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220" w:type="dxa"/>
            <w:vAlign w:val="bottom"/>
            <w:gridSpan w:val="3"/>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40"/>
              <w:spacing w:after="0"/>
              <w:rPr>
                <w:sz w:val="20"/>
                <w:szCs w:val="20"/>
                <w:color w:val="auto"/>
              </w:rPr>
            </w:pPr>
            <w:r>
              <w:rPr>
                <w:rFonts w:ascii="Arial" w:cs="Arial" w:eastAsia="Arial" w:hAnsi="Arial"/>
                <w:sz w:val="18"/>
                <w:szCs w:val="18"/>
                <w:color w:val="auto"/>
              </w:rPr>
              <w:t>Advanced Disposal acquisition-related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Enterprise resource planning system related costs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Adjusted SG&amp;A expenses</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9.9%</w:t>
            </w:r>
          </w:p>
        </w:tc>
        <w:tc>
          <w:tcPr>
            <w:tcW w:w="220" w:type="dxa"/>
            <w:vAlign w:val="bottom"/>
            <w:tcBorders>
              <w:top w:val="single" w:sz="8" w:color="auto"/>
              <w:bottom w:val="single" w:sz="8" w:color="auto"/>
            </w:tcBorders>
            <w:gridSpan w:val="3"/>
          </w:tcPr>
          <w:p>
            <w:pPr>
              <w:jc w:val="right"/>
              <w:ind w:right="89"/>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2020 Projected Free Cash Flow Reconciliation (a)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7"/>
              </w:rPr>
              <w:t>Scenario 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4"/>
              </w:rPr>
              <w:t>Scenario 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(1,650)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0"/>
              </w:rPr>
              <w:t>Proceeds from divestitures of businesses and other assets (net of cash</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divested)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Advanced Disposal acquisition-related costs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Free cash flow (excl. ADS transaction and advisory costs)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-1174115</wp:posOffset>
            </wp:positionV>
            <wp:extent cx="1920240"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20240" cy="29146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-745490</wp:posOffset>
            </wp:positionV>
            <wp:extent cx="192024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20240" cy="27432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-325120</wp:posOffset>
            </wp:positionV>
            <wp:extent cx="192024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20240" cy="146050"/>
                    </a:xfrm>
                    <a:prstGeom prst="rect">
                      <a:avLst/>
                    </a:prstGeom>
                    <a:noFill/>
                  </pic:spPr>
                </pic:pic>
              </a:graphicData>
            </a:graphic>
          </wp:anchor>
        </w:drawing>
      </w:r>
    </w:p>
    <w:p>
      <w:pPr>
        <w:spacing w:after="0" w:line="182" w:lineRule="exact"/>
        <w:rPr>
          <w:sz w:val="20"/>
          <w:szCs w:val="20"/>
          <w:color w:val="auto"/>
        </w:rPr>
      </w:pPr>
    </w:p>
    <w:p>
      <w:pPr>
        <w:ind w:left="380" w:right="360" w:hanging="372"/>
        <w:spacing w:after="0" w:line="279" w:lineRule="auto"/>
        <w:tabs>
          <w:tab w:leader="none" w:pos="380"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2020. The amounts used in the reconciliation are subject to many variables, some of which are not under our control and, therefore, are not necessarily indicative of actual results. The Company's 2020 Outlook excludes (i) transaction and advisory costs incurred in connection with the planned acquisition of Advanced Disposal Services, Inc. and (ii) post-closing financial contributions from the acquisition of Advanced Disposal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lowerRoman"/>
      <w:start w:val="10"/>
    </w:lvl>
  </w:abstractNum>
  <w:abstractNum w:abstractNumId="2">
    <w:nsid w:val="310C50B3"/>
    <w:multiLevelType w:val="hybridMultilevel"/>
    <w:lvl w:ilvl="0">
      <w:lvlJc w:val="left"/>
      <w:lvlText w:val="%1"/>
      <w:numFmt w:val="decimal"/>
      <w:start w:val="104"/>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lowerLetter"/>
      <w:start w:val="1"/>
    </w:lvl>
  </w:abstractNum>
  <w:abstractNum w:abstractNumId="5">
    <w:nsid w:val="25A70BF7"/>
    <w:multiLevelType w:val="hybridMultilevel"/>
    <w:lvl w:ilvl="0">
      <w:lvlJc w:val="left"/>
      <w:lvlText w:val="(%1)"/>
      <w:numFmt w:val="lowerLetter"/>
      <w:start w:val="35"/>
    </w:lvl>
  </w:abstractNum>
  <w:abstractNum w:abstractNumId="6">
    <w:nsid w:val="1DBABF00"/>
    <w:multiLevelType w:val="hybridMultilevel"/>
    <w:lvl w:ilvl="0">
      <w:lvlJc w:val="left"/>
      <w:lvlText w:val="(%1)"/>
      <w:numFmt w:val="lowerLetter"/>
      <w:start w:val="2"/>
    </w:lvl>
  </w:abstractNum>
  <w:abstractNum w:abstractNumId="7">
    <w:nsid w:val="4AD084E9"/>
    <w:multiLevelType w:val="hybridMultilevel"/>
    <w:lvl w:ilvl="0">
      <w:lvlJc w:val="left"/>
      <w:lvlText w:val="(%1)"/>
      <w:numFmt w:val="lowerLetter"/>
      <w:start w:val="9"/>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Roman"/>
      <w:start w:val="1"/>
    </w:lvl>
  </w:abstractNum>
  <w:abstractNum w:abstractNumId="10">
    <w:nsid w:val="5DB70AE5"/>
    <w:multiLevelType w:val="hybridMultilevel"/>
    <w:lvl w:ilvl="0">
      <w:lvlJc w:val="left"/>
      <w:lvlText w:val="(%1)"/>
      <w:numFmt w:val="lowerLetter"/>
      <w:start w:val="4"/>
    </w:lvl>
  </w:abstractNum>
  <w:abstractNum w:abstractNumId="11">
    <w:nsid w:val="100F8FCA"/>
    <w:multiLevelType w:val="hybridMultilevel"/>
    <w:lvl w:ilvl="0">
      <w:lvlJc w:val="left"/>
      <w:lvlText w:val="(%1)"/>
      <w:numFmt w:val="lowerLetter"/>
      <w:start w:val="4"/>
    </w:lvl>
  </w:abstractNum>
  <w:abstractNum w:abstractNumId="12">
    <w:nsid w:val="6590700B"/>
    <w:multiLevelType w:val="hybridMultilevel"/>
    <w:lvl w:ilvl="0">
      <w:lvlJc w:val="left"/>
      <w:lvlText w:val="(%1)"/>
      <w:numFmt w:val="lowerLetter"/>
      <w:start w:val="1"/>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1)"/>
      <w:numFmt w:val="lowerLetter"/>
      <w:start w:val="11"/>
    </w:lvl>
  </w:abstractNum>
  <w:abstractNum w:abstractNumId="15">
    <w:nsid w:val="98A3148"/>
    <w:multiLevelType w:val="hybridMultilevel"/>
    <w:lvl w:ilvl="0">
      <w:lvlJc w:val="left"/>
      <w:lvlText w:val="(%1)"/>
      <w:numFmt w:val="lowerLetter"/>
      <w:start w:val="1"/>
    </w:lvl>
  </w:abstractNum>
  <w:abstractNum w:abstractNumId="16">
    <w:nsid w:val="799D0247"/>
    <w:multiLevelType w:val="hybridMultilevel"/>
    <w:lvl w:ilvl="0">
      <w:lvlJc w:val="left"/>
      <w:lvlText w:val="%1."/>
      <w:numFmt w:val="decimal"/>
      <w:start w:val="2"/>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1)"/>
      <w:numFmt w:val="lowerRoman"/>
      <w:start w:val="2"/>
    </w:lvl>
  </w:abstractNum>
  <w:abstractNum w:abstractNumId="19">
    <w:nsid w:val="168E121F"/>
    <w:multiLevelType w:val="hybridMultilevel"/>
    <w:lvl w:ilvl="0">
      <w:lvlJc w:val="left"/>
      <w:lvlText w:val="(%1)"/>
      <w:numFmt w:val="lowerLetter"/>
      <w:start w:val="2"/>
    </w:lvl>
  </w:abstractNum>
  <w:abstractNum w:abstractNumId="20">
    <w:nsid w:val="1EBA5D23"/>
    <w:multiLevelType w:val="hybridMultilevel"/>
    <w:lvl w:ilvl="0">
      <w:lvlJc w:val="left"/>
      <w:lvlText w:val="(%1)"/>
      <w:numFmt w:val="lowerLetter"/>
      <w:start w:val="2"/>
    </w:lvl>
  </w:abstractNum>
  <w:abstractNum w:abstractNumId="21">
    <w:nsid w:val="661E3F1E"/>
    <w:multiLevelType w:val="hybridMultilevel"/>
    <w:lvl w:ilvl="0">
      <w:lvlJc w:val="left"/>
      <w:lvlText w:val="(%1)"/>
      <w:numFmt w:val="lowerLetter"/>
      <w:start w:val="1"/>
    </w:lvl>
  </w:abstractNum>
  <w:abstractNum w:abstractNumId="22">
    <w:nsid w:val="5DC79EA8"/>
    <w:multiLevelType w:val="hybridMultilevel"/>
    <w:lvl w:ilvl="0">
      <w:lvlJc w:val="left"/>
      <w:lvlText w:val="(%1)"/>
      <w:numFmt w:val="lowerLetter"/>
      <w:start w:val="1"/>
    </w:lvl>
  </w:abstractNum>
  <w:abstractNum w:abstractNumId="23">
    <w:nsid w:val="540A471C"/>
    <w:multiLevelType w:val="hybridMultilevel"/>
    <w:lvl w:ilvl="0">
      <w:lvlJc w:val="left"/>
      <w:lvlText w:val="(%1)"/>
      <w:numFmt w:val="lowerLetter"/>
      <w:start w:val="2"/>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1"/>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1"/>
    </w:lvl>
  </w:abstractNum>
  <w:abstractNum w:abstractNumId="28">
    <w:nsid w:val="11447B7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
    <w:nsid w:val="42963E5A"/>
    <w:multiLevelType w:val="hybridMultilevel"/>
    <w:lvl w:ilvl="0">
      <w:lvlJc w:val="left"/>
      <w:lvlText w:val="%1"/>
      <w:numFmt w:val="lowerLetter"/>
      <w:start w:val="1"/>
    </w:lvl>
    <w:lvl w:ilvl="1">
      <w:lvlJc w:val="left"/>
      <w:lvlText w:val="(%2)"/>
      <w:numFmt w:val="lowerRoman"/>
      <w:start w:val="3"/>
    </w:lvl>
  </w:abstractNum>
  <w:abstractNum w:abstractNumId="30">
    <w:nsid w:val="A0382C5"/>
    <w:multiLevelType w:val="hybridMultilevel"/>
    <w:lvl w:ilvl="0">
      <w:lvlJc w:val="left"/>
      <w:lvlText w:val="(%1)"/>
      <w:numFmt w:val="lowerLetter"/>
      <w:start w:val="3"/>
    </w:lvl>
    <w:lvl w:ilvl="1">
      <w:lvlJc w:val="left"/>
      <w:lvlText w:val="%2"/>
      <w:numFmt w:val="lowerRoman"/>
      <w:start w:val="1"/>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lowerLetter"/>
      <w:start w:val="2"/>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3"/>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Roman"/>
      <w:start w:val="1"/>
    </w:lvl>
  </w:abstractNum>
  <w:abstractNum w:abstractNumId="37">
    <w:nsid w:val="6A5EE64"/>
    <w:multiLevelType w:val="hybridMultilevel"/>
    <w:lvl w:ilvl="0">
      <w:lvlJc w:val="left"/>
      <w:lvlText w:val="%1."/>
      <w:numFmt w:val="decimal"/>
      <w:start w:val="4"/>
    </w:lvl>
    <w:lvl w:ilvl="1">
      <w:lvlJc w:val="left"/>
      <w:lvlText w:val="(%2)"/>
      <w:numFmt w:val="lowerLetter"/>
      <w:start w:val="1"/>
    </w:lvl>
  </w:abstractNum>
  <w:abstractNum w:abstractNumId="38">
    <w:nsid w:val="14330624"/>
    <w:multiLevelType w:val="hybridMultilevel"/>
    <w:lvl w:ilvl="0">
      <w:lvlJc w:val="left"/>
      <w:lvlText w:val="(%1)"/>
      <w:numFmt w:val="lowerLetter"/>
      <w:start w:val="3"/>
    </w:lvl>
  </w:abstractNum>
  <w:abstractNum w:abstractNumId="39">
    <w:nsid w:val="7FFFCA11"/>
    <w:multiLevelType w:val="hybridMultilevel"/>
    <w:lvl w:ilvl="0">
      <w:lvlJc w:val="left"/>
      <w:lvlText w:val="(%1)"/>
      <w:numFmt w:val="lowerLetter"/>
      <w:start w:val="1"/>
    </w:lvl>
  </w:abstractNum>
  <w:abstractNum w:abstractNumId="40">
    <w:nsid w:val="1A27709E"/>
    <w:multiLevelType w:val="hybridMultilevel"/>
    <w:lvl w:ilvl="0">
      <w:lvlJc w:val="left"/>
      <w:lvlText w:val="%1"/>
      <w:numFmt w:val="lowerLetter"/>
      <w:start w:val="1"/>
    </w:lvl>
    <w:lvl w:ilvl="1">
      <w:lvlJc w:val="left"/>
      <w:lvlText w:val="(%2)"/>
      <w:numFmt w:val="lowerLetter"/>
      <w:start w:val="1"/>
    </w:lvl>
  </w:abstractNum>
  <w:abstractNum w:abstractNumId="41">
    <w:nsid w:val="71EA1109"/>
    <w:multiLevelType w:val="hybridMultilevel"/>
    <w:lvl w:ilvl="0">
      <w:lvlJc w:val="left"/>
      <w:lvlText w:val="(%1)"/>
      <w:numFmt w:val="lowerLetter"/>
      <w:start w:val="9"/>
    </w:lvl>
    <w:lvl w:ilvl="1">
      <w:lvlJc w:val="left"/>
      <w:lvlText w:val="%2"/>
      <w:numFmt w:val="lowerLetter"/>
      <w:start w:val="1"/>
    </w:lvl>
  </w:abstractNum>
  <w:abstractNum w:abstractNumId="42">
    <w:nsid w:val="100F59DC"/>
    <w:multiLevelType w:val="hybridMultilevel"/>
    <w:lvl w:ilvl="0">
      <w:lvlJc w:val="left"/>
      <w:lvlText w:val="%1"/>
      <w:numFmt w:val="lowerLetter"/>
      <w:start w:val="1"/>
    </w:lvl>
    <w:lvl w:ilvl="1">
      <w:lvlJc w:val="left"/>
      <w:lvlText w:val="(%2)"/>
      <w:numFmt w:val="lowerLetter"/>
      <w:start w:val="3"/>
    </w:lvl>
  </w:abstractNum>
  <w:abstractNum w:abstractNumId="43">
    <w:nsid w:val="7FB7E0AA"/>
    <w:multiLevelType w:val="hybridMultilevel"/>
    <w:lvl w:ilvl="0">
      <w:lvlJc w:val="left"/>
      <w:lvlText w:val="(%1)"/>
      <w:numFmt w:val="lowerLetter"/>
      <w:start w:val="61"/>
    </w:lvl>
    <w:lvl w:ilvl="1">
      <w:lvlJc w:val="left"/>
      <w:lvlText w:val="%2"/>
      <w:numFmt w:val="lowerLetter"/>
      <w:start w:val="1"/>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decimal"/>
      <w:start w:val="7"/>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3"/>
    </w:lvl>
  </w:abstractNum>
  <w:abstractNum w:abstractNumId="48">
    <w:nsid w:val="76272110"/>
    <w:multiLevelType w:val="hybridMultilevel"/>
    <w:lvl w:ilvl="0">
      <w:lvlJc w:val="left"/>
      <w:lvlText w:val="(%1)"/>
      <w:numFmt w:val="lowerRoman"/>
      <w:start w:val="3"/>
    </w:lvl>
  </w:abstractNum>
  <w:abstractNum w:abstractNumId="49">
    <w:nsid w:val="4C04A8AF"/>
    <w:multiLevelType w:val="hybridMultilevel"/>
    <w:lvl w:ilvl="0">
      <w:lvlJc w:val="left"/>
      <w:lvlText w:val="(%1)"/>
      <w:numFmt w:val="lowerRoman"/>
      <w:start w:val="1"/>
    </w:lvl>
  </w:abstractNum>
  <w:abstractNum w:abstractNumId="50">
    <w:nsid w:val="1716703B"/>
    <w:multiLevelType w:val="hybridMultilevel"/>
    <w:lvl w:ilvl="0">
      <w:lvlJc w:val="left"/>
      <w:lvlText w:val="(%1)"/>
      <w:numFmt w:val="lowerRoman"/>
      <w:start w:val="3"/>
    </w:lvl>
  </w:abstractNum>
  <w:abstractNum w:abstractNumId="51">
    <w:nsid w:val="14E17E33"/>
    <w:multiLevelType w:val="hybridMultilevel"/>
    <w:lvl w:ilvl="0">
      <w:lvlJc w:val="left"/>
      <w:lvlText w:val="%1."/>
      <w:numFmt w:val="decimal"/>
      <w:start w:val="8"/>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1"/>
    </w:lvl>
    <w:lvl w:ilvl="1">
      <w:lvlJc w:val="left"/>
      <w:lvlText w:val="(%2)"/>
      <w:numFmt w:val="lowerLetter"/>
      <w:start w:val="1"/>
    </w:lvl>
  </w:abstractNum>
  <w:abstractNum w:abstractNumId="54">
    <w:nsid w:val="68EBC550"/>
    <w:multiLevelType w:val="hybridMultilevel"/>
    <w:lvl w:ilvl="0">
      <w:lvlJc w:val="left"/>
      <w:lvlText w:val="(%1)"/>
      <w:numFmt w:val="lowerLetter"/>
      <w:start w:val="35"/>
    </w:lvl>
    <w:lvl w:ilvl="1">
      <w:lvlJc w:val="left"/>
      <w:lvlText w:val="%2"/>
      <w:numFmt w:val="lowerLetter"/>
      <w:start w:val="1"/>
    </w:lvl>
  </w:abstractNum>
  <w:abstractNum w:abstractNumId="55">
    <w:nsid w:val="2DF6D648"/>
    <w:multiLevelType w:val="hybridMultilevel"/>
    <w:lvl w:ilvl="0">
      <w:lvlJc w:val="left"/>
      <w:lvlText w:val="(%1)"/>
      <w:numFmt w:val="lowerLetter"/>
      <w:start w:val="2"/>
    </w:lvl>
  </w:abstractNum>
  <w:abstractNum w:abstractNumId="56">
    <w:nsid w:val="46B7D447"/>
    <w:multiLevelType w:val="hybridMultilevel"/>
    <w:lvl w:ilvl="0">
      <w:lvlJc w:val="left"/>
      <w:lvlText w:val="%1."/>
      <w:numFmt w:val="decimal"/>
      <w:start w:val="9"/>
    </w:lvl>
  </w:abstractNum>
  <w:abstractNum w:abstractNumId="57">
    <w:nsid w:val="4A2AC315"/>
    <w:multiLevelType w:val="hybridMultilevel"/>
    <w:lvl w:ilvl="0">
      <w:lvlJc w:val="left"/>
      <w:lvlText w:val="%1."/>
      <w:numFmt w:val="decimal"/>
      <w:start w:val="10"/>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decimal"/>
      <w:start w:val="11"/>
    </w:lvl>
  </w:abstractNum>
  <w:abstractNum w:abstractNumId="61">
    <w:nsid w:val="43F18422"/>
    <w:multiLevelType w:val="hybridMultilevel"/>
    <w:lvl w:ilvl="0">
      <w:lvlJc w:val="left"/>
      <w:lvlText w:val="%1."/>
      <w:numFmt w:val="decimal"/>
      <w:start w:val="12"/>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8"/>
    </w:lvl>
  </w:abstractNum>
  <w:abstractNum w:abstractNumId="64">
    <w:nsid w:val="7F01579B"/>
    <w:multiLevelType w:val="hybridMultilevel"/>
    <w:lvl w:ilvl="0">
      <w:lvlJc w:val="left"/>
      <w:lvlText w:val="%1."/>
      <w:numFmt w:val="decimal"/>
      <w:start w:val="13"/>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1"/>
    </w:lvl>
  </w:abstractNum>
  <w:abstractNum w:abstractNumId="67">
    <w:nsid w:val="5FB8370B"/>
    <w:multiLevelType w:val="hybridMultilevel"/>
    <w:lvl w:ilvl="0">
      <w:lvlJc w:val="left"/>
      <w:lvlText w:val="%1."/>
      <w:numFmt w:val="decimal"/>
      <w:start w:val="16"/>
    </w:lvl>
  </w:abstractNum>
  <w:abstractNum w:abstractNumId="68">
    <w:nsid w:val="50801EE1"/>
    <w:multiLevelType w:val="hybridMultilevel"/>
    <w:lvl w:ilvl="0">
      <w:lvlJc w:val="left"/>
      <w:lvlText w:val="%1."/>
      <w:numFmt w:val="decimal"/>
      <w:start w:val="18"/>
    </w:lvl>
  </w:abstractNum>
  <w:abstractNum w:abstractNumId="69">
    <w:nsid w:val="488AC1A"/>
    <w:multiLevelType w:val="hybridMultilevel"/>
    <w:lvl w:ilvl="0">
      <w:lvlJc w:val="left"/>
      <w:lvlText w:val="%1."/>
      <w:numFmt w:val="decimal"/>
      <w:start w:val="19"/>
    </w:lvl>
  </w:abstractNum>
  <w:abstractNum w:abstractNumId="70">
    <w:nsid w:val="5FB8011C"/>
    <w:multiLevelType w:val="hybridMultilevel"/>
    <w:lvl w:ilvl="0">
      <w:lvlJc w:val="left"/>
      <w:lvlText w:val="%1."/>
      <w:numFmt w:val="decimal"/>
      <w:start w:val="20"/>
    </w:lvl>
  </w:abstractNum>
  <w:abstractNum w:abstractNumId="71">
    <w:nsid w:val="6AA78F7F"/>
    <w:multiLevelType w:val="hybridMultilevel"/>
    <w:lvl w:ilvl="0">
      <w:lvlJc w:val="left"/>
      <w:lvlText w:val="%1."/>
      <w:numFmt w:val="decimal"/>
      <w:start w:val="21"/>
    </w:lvl>
  </w:abstractNum>
  <w:abstractNum w:abstractNumId="72">
    <w:nsid w:val="7672BD23"/>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73">
    <w:nsid w:val="6FC75AF8"/>
    <w:multiLevelType w:val="hybridMultilevel"/>
    <w:lvl w:ilvl="0">
      <w:lvlJc w:val="left"/>
      <w:lvlText w:val="(%1)"/>
      <w:numFmt w:val="lowerLetter"/>
      <w:start w:val="2"/>
    </w:lvl>
  </w:abstractNum>
  <w:abstractNum w:abstractNumId="74">
    <w:nsid w:val="6A5F7029"/>
    <w:multiLevelType w:val="hybridMultilevel"/>
    <w:lvl w:ilvl="0">
      <w:lvlJc w:val="left"/>
      <w:lvlText w:val="(%1)"/>
      <w:numFmt w:val="lowerLetter"/>
      <w:start w:val="4"/>
    </w:lvl>
  </w:abstractNum>
  <w:abstractNum w:abstractNumId="75">
    <w:nsid w:val="7D5E18F8"/>
    <w:multiLevelType w:val="hybridMultilevel"/>
    <w:lvl w:ilvl="0">
      <w:lvlJc w:val="left"/>
      <w:lvlText w:val="%1"/>
      <w:numFmt w:val="decimal"/>
      <w:start w:val="1"/>
    </w:lvl>
    <w:lvl w:ilvl="1">
      <w:lvlJc w:val="left"/>
      <w:lvlText w:val="(%2)"/>
      <w:numFmt w:val="lowerLetter"/>
      <w:start w:val="6"/>
    </w:lvl>
  </w:abstractNum>
  <w:abstractNum w:abstractNumId="76">
    <w:nsid w:val="5F3534A4"/>
    <w:multiLevelType w:val="hybridMultilevel"/>
    <w:lvl w:ilvl="0">
      <w:lvlJc w:val="left"/>
      <w:lvlText w:val="%1."/>
      <w:numFmt w:val="decimal"/>
      <w:start w:val="23"/>
    </w:lvl>
    <w:lvl w:ilvl="1">
      <w:lvlJc w:val="left"/>
      <w:lvlText w:val="%2"/>
      <w:numFmt w:val="lowerLetter"/>
      <w:start w:val="1"/>
    </w:lvl>
  </w:abstractNum>
  <w:abstractNum w:abstractNumId="77">
    <w:nsid w:val="73A1821B"/>
    <w:multiLevelType w:val="hybridMultilevel"/>
    <w:lvl w:ilvl="0">
      <w:lvlJc w:val="left"/>
      <w:lvlText w:val="%1."/>
      <w:numFmt w:val="decimal"/>
      <w:start w:val="26"/>
    </w:lvl>
  </w:abstractNum>
  <w:abstractNum w:abstractNumId="78">
    <w:nsid w:val="7DE67713"/>
    <w:multiLevelType w:val="hybridMultilevel"/>
    <w:lvl w:ilvl="0">
      <w:lvlJc w:val="left"/>
      <w:lvlText w:val="(%1)"/>
      <w:numFmt w:val="lowerLetter"/>
      <w:start w:val="2"/>
    </w:lvl>
  </w:abstractNum>
  <w:abstractNum w:abstractNumId="79">
    <w:nsid w:val="555C55B5"/>
    <w:multiLevelType w:val="hybridMultilevel"/>
    <w:lvl w:ilvl="0">
      <w:lvlJc w:val="left"/>
      <w:lvlText w:val="(%1)"/>
      <w:numFmt w:val="lowerLetter"/>
      <w:start w:val="1"/>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5"/>
    </w:lvl>
  </w:abstractNum>
  <w:abstractNum w:abstractNumId="82">
    <w:nsid w:val="6A3DD3E8"/>
    <w:multiLevelType w:val="hybridMultilevel"/>
    <w:lvl w:ilvl="0">
      <w:lvlJc w:val="left"/>
      <w:lvlText w:val="%1."/>
      <w:numFmt w:val="decimal"/>
      <w:start w:val="29"/>
    </w:lvl>
    <w:lvl w:ilvl="1">
      <w:lvlJc w:val="left"/>
      <w:lvlText w:val="(%2)"/>
      <w:numFmt w:val="lowerLetter"/>
      <w:start w:val="1"/>
    </w:lvl>
  </w:abstractNum>
  <w:abstractNum w:abstractNumId="83">
    <w:nsid w:val="71C91298"/>
    <w:multiLevelType w:val="hybridMultilevel"/>
    <w:lvl w:ilvl="0">
      <w:lvlJc w:val="left"/>
      <w:lvlText w:val="%1."/>
      <w:numFmt w:val="decimal"/>
      <w:start w:val="31"/>
    </w:lvl>
  </w:abstractNum>
  <w:abstractNum w:abstractNumId="84">
    <w:nsid w:val="9DAF632"/>
    <w:multiLevelType w:val="hybridMultilevel"/>
    <w:lvl w:ilvl="0">
      <w:lvlJc w:val="left"/>
      <w:lvlText w:val="%1."/>
      <w:numFmt w:val="decimal"/>
      <w:start w:val="34"/>
    </w:lvl>
  </w:abstractNum>
  <w:abstractNum w:abstractNumId="85">
    <w:nsid w:val="53299938"/>
    <w:multiLevelType w:val="hybridMultilevel"/>
    <w:lvl w:ilvl="0">
      <w:lvlJc w:val="left"/>
      <w:lvlText w:val="%1."/>
      <w:numFmt w:val="decimal"/>
      <w:start w:val="36"/>
    </w:lvl>
  </w:abstractNum>
  <w:abstractNum w:abstractNumId="86">
    <w:nsid w:val="1FBFE8E0"/>
    <w:multiLevelType w:val="hybridMultilevel"/>
    <w:lvl w:ilvl="0">
      <w:lvlJc w:val="left"/>
      <w:lvlText w:val="%1."/>
      <w:numFmt w:val="decimal"/>
      <w:start w:val="37"/>
    </w:lvl>
  </w:abstractNum>
  <w:abstractNum w:abstractNumId="87">
    <w:nsid w:val="5092CA79"/>
    <w:multiLevelType w:val="hybridMultilevel"/>
    <w:lvl w:ilvl="0">
      <w:lvlJc w:val="left"/>
      <w:lvlText w:val="1"/>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1)"/>
      <w:numFmt w:val="lowerRoman"/>
      <w:start w:val="3"/>
    </w:lvl>
  </w:abstractNum>
  <w:abstractNum w:abstractNumId="90">
    <w:nsid w:val="288F1A34"/>
    <w:multiLevelType w:val="hybridMultilevel"/>
    <w:lvl w:ilvl="0">
      <w:lvlJc w:val="left"/>
      <w:lvlText w:val="2"/>
      <w:numFmt w:val="bullet"/>
      <w:start w:val="1"/>
    </w:lvl>
  </w:abstractNum>
  <w:abstractNum w:abstractNumId="91">
    <w:nsid w:val="2A155DBC"/>
    <w:multiLevelType w:val="hybridMultilevel"/>
    <w:lvl w:ilvl="0">
      <w:lvlJc w:val="left"/>
      <w:lvlText w:val="3"/>
      <w:numFmt w:val="bullet"/>
      <w:start w:val="1"/>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4"/>
      <w:numFmt w:val="bullet"/>
      <w:start w:val="1"/>
    </w:lvl>
  </w:abstractNum>
  <w:abstractNum w:abstractNumId="94">
    <w:nsid w:val="51088277"/>
    <w:multiLevelType w:val="hybridMultilevel"/>
    <w:lvl w:ilvl="0">
      <w:lvlJc w:val="left"/>
      <w:lvlText w:val="5"/>
      <w:numFmt w:val="bullet"/>
      <w:start w:val="1"/>
    </w:lvl>
  </w:abstractNum>
  <w:abstractNum w:abstractNumId="95">
    <w:nsid w:val="1CA0C5FA"/>
    <w:multiLevelType w:val="hybridMultilevel"/>
    <w:lvl w:ilvl="0">
      <w:lvlJc w:val="left"/>
      <w:lvlText w:val="%1."/>
      <w:numFmt w:val="decimal"/>
      <w:start w:val="4"/>
    </w:lvl>
  </w:abstractNum>
  <w:abstractNum w:abstractNumId="96">
    <w:nsid w:val="53584BCB"/>
    <w:multiLevelType w:val="hybridMultilevel"/>
    <w:lvl w:ilvl="0">
      <w:lvlJc w:val="left"/>
      <w:lvlText w:val="8"/>
      <w:numFmt w:val="bullet"/>
      <w:start w:val="1"/>
    </w:lvl>
  </w:abstractNum>
  <w:abstractNum w:abstractNumId="97">
    <w:nsid w:val="415E286C"/>
    <w:multiLevelType w:val="hybridMultilevel"/>
    <w:lvl w:ilvl="0">
      <w:lvlJc w:val="left"/>
      <w:lvlText w:val="9"/>
      <w:numFmt w:val="bullet"/>
      <w:start w:val="1"/>
    </w:lvl>
  </w:abstractNum>
  <w:abstractNum w:abstractNumId="98">
    <w:nsid w:val="7C58FD05"/>
    <w:multiLevelType w:val="hybridMultilevel"/>
    <w:lvl w:ilvl="0">
      <w:lvlJc w:val="left"/>
      <w:lvlText w:val="%1"/>
      <w:numFmt w:val="decimal"/>
      <w:start w:val="10"/>
    </w:lvl>
  </w:abstractNum>
  <w:abstractNum w:abstractNumId="99">
    <w:nsid w:val="23D86AAC"/>
    <w:multiLevelType w:val="hybridMultilevel"/>
    <w:lvl w:ilvl="0">
      <w:lvlJc w:val="left"/>
      <w:lvlText w:val="%1"/>
      <w:numFmt w:val="decimal"/>
      <w:start w:val="14"/>
    </w:lvl>
  </w:abstractNum>
  <w:abstractNum w:abstractNumId="100">
    <w:nsid w:val="45E6D486"/>
    <w:multiLevelType w:val="hybridMultilevel"/>
    <w:lvl w:ilvl="0">
      <w:lvlJc w:val="left"/>
      <w:lvlText w:val="%1"/>
      <w:numFmt w:val="decimal"/>
      <w:start w:val="16"/>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lowerRoman"/>
      <w:start w:val="4"/>
    </w:lvl>
  </w:abstractNum>
  <w:abstractNum w:abstractNumId="103">
    <w:nsid w:val="3C5991AA"/>
    <w:multiLevelType w:val="hybridMultilevel"/>
    <w:lvl w:ilvl="0">
      <w:lvlJc w:val="left"/>
      <w:lvlText w:val="%1."/>
      <w:numFmt w:val="decimal"/>
      <w:start w:val="2"/>
    </w:lvl>
  </w:abstractNum>
  <w:abstractNum w:abstractNumId="104">
    <w:nsid w:val="4BD8591A"/>
    <w:multiLevelType w:val="hybridMultilevel"/>
    <w:lvl w:ilvl="0">
      <w:lvlJc w:val="left"/>
      <w:lvlText w:val="%1."/>
      <w:numFmt w:val="decimal"/>
      <w:start w:val="3"/>
    </w:lvl>
  </w:abstractNum>
  <w:abstractNum w:abstractNumId="105">
    <w:nsid w:val="78DF6A55"/>
    <w:multiLevelType w:val="hybridMultilevel"/>
    <w:lvl w:ilvl="0">
      <w:lvlJc w:val="left"/>
      <w:lvlText w:val="%1."/>
      <w:numFmt w:val="upperLetter"/>
      <w:start w:val="9"/>
    </w:lvl>
  </w:abstractNum>
  <w:abstractNum w:abstractNumId="106">
    <w:nsid w:val="39B7AAA2"/>
    <w:multiLevelType w:val="hybridMultilevel"/>
    <w:lvl w:ilvl="0">
      <w:lvlJc w:val="left"/>
      <w:lvlText w:val="%1."/>
      <w:numFmt w:val="upperLetter"/>
      <w:start w:val="35"/>
    </w:lvl>
  </w:abstractNum>
  <w:abstractNum w:abstractNumId="107">
    <w:nsid w:val="2B0D8DBE"/>
    <w:multiLevelType w:val="hybridMultilevel"/>
    <w:lvl w:ilvl="0">
      <w:lvlJc w:val="left"/>
      <w:lvlText w:val="(%1)"/>
      <w:numFmt w:val="lowerRoman"/>
      <w:start w:val="3"/>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
      <w:numFmt w:val="bullet"/>
      <w:start w:val="1"/>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lowerLetter"/>
      <w:start w:val="5"/>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1)"/>
      <w:numFmt w:val="lowerLetter"/>
      <w:start w:val="1"/>
    </w:lvl>
  </w:abstractNum>
  <w:abstractNum w:abstractNumId="123">
    <w:nsid w:val="34FD6B4F"/>
    <w:multiLevelType w:val="hybridMultilevel"/>
    <w:lvl w:ilvl="0">
      <w:lvlJc w:val="left"/>
      <w:lvlText w:val="(%1)"/>
      <w:numFmt w:val="lowerLetter"/>
      <w:start w:val="1"/>
    </w:lvl>
  </w:abstractNum>
  <w:abstractNum w:abstractNumId="124">
    <w:nsid w:val="5915FF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2020-07-30T06:26:32Z</dcterms:created>
  <dcterms:modified xsi:type="dcterms:W3CDTF">2020-07-30T06:26:32Z</dcterms:modified>
</cp:coreProperties>
</file>