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Guarantor: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Maturity: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Underwriting Discount: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Redemption Provisions: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Settlement: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CUSIP:</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September 5, 2012 relating to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September 5, 2012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to Prospectus dated September 22, 2009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333-162059</w:t>
      </w:r>
    </w:p>
    <w:p>
      <w:pPr>
        <w:spacing w:after="0" w:line="78" w:lineRule="exact"/>
        <w:rPr>
          <w:sz w:val="24"/>
          <w:szCs w:val="24"/>
          <w:color w:val="auto"/>
        </w:rPr>
      </w:pPr>
    </w:p>
    <w:p>
      <w:pPr>
        <w:jc w:val="center"/>
        <w:ind w:right="4560"/>
        <w:spacing w:after="0"/>
        <w:rPr>
          <w:sz w:val="20"/>
          <w:szCs w:val="20"/>
          <w:color w:val="auto"/>
        </w:rPr>
      </w:pPr>
      <w:r>
        <w:rPr>
          <w:rFonts w:ascii="Arial" w:cs="Arial" w:eastAsia="Arial" w:hAnsi="Arial"/>
          <w:sz w:val="18"/>
          <w:szCs w:val="18"/>
          <w:b w:val="1"/>
          <w:bCs w:val="1"/>
          <w:color w:val="auto"/>
        </w:rPr>
        <w:t>Final Pricing Term Sheet</w:t>
      </w:r>
    </w:p>
    <w:p>
      <w:pPr>
        <w:spacing w:after="0" w:line="21" w:lineRule="exact"/>
        <w:rPr>
          <w:sz w:val="24"/>
          <w:szCs w:val="24"/>
          <w:color w:val="auto"/>
        </w:rPr>
      </w:pPr>
    </w:p>
    <w:p>
      <w:pPr>
        <w:jc w:val="center"/>
        <w:ind w:right="4560"/>
        <w:spacing w:after="0"/>
        <w:rPr>
          <w:sz w:val="20"/>
          <w:szCs w:val="20"/>
          <w:color w:val="auto"/>
        </w:rPr>
      </w:pPr>
      <w:r>
        <w:rPr>
          <w:rFonts w:ascii="Arial" w:cs="Arial" w:eastAsia="Arial" w:hAnsi="Arial"/>
          <w:sz w:val="15"/>
          <w:szCs w:val="15"/>
          <w:b w:val="1"/>
          <w:bCs w:val="1"/>
          <w:color w:val="auto"/>
        </w:rPr>
        <w:t>2.900% Senior Notes due 2022</w:t>
      </w:r>
    </w:p>
    <w:p>
      <w:pPr>
        <w:spacing w:after="0" w:line="118"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Waste Management, Inc.</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Waste Management Holdings, Inc.</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$500,000,000</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September 15, 2022</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2.900%</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99.681% of face amount</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0.65%</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1.625% due August 15, 2022</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1.35%</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100-11, 1.587%</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2.937%</w:t>
      </w:r>
    </w:p>
    <w:p>
      <w:pPr>
        <w:spacing w:after="0" w:line="117" w:lineRule="exact"/>
        <w:rPr>
          <w:sz w:val="24"/>
          <w:szCs w:val="24"/>
          <w:color w:val="auto"/>
        </w:rPr>
      </w:pPr>
    </w:p>
    <w:p>
      <w:pPr>
        <w:ind w:left="1380" w:right="220"/>
        <w:spacing w:after="0" w:line="268" w:lineRule="auto"/>
        <w:rPr>
          <w:sz w:val="20"/>
          <w:szCs w:val="20"/>
          <w:color w:val="auto"/>
        </w:rPr>
      </w:pPr>
      <w:r>
        <w:rPr>
          <w:rFonts w:ascii="Arial" w:cs="Arial" w:eastAsia="Arial" w:hAnsi="Arial"/>
          <w:sz w:val="18"/>
          <w:szCs w:val="18"/>
          <w:color w:val="auto"/>
        </w:rPr>
        <w:t>Semi-annually on March 15 and September 15, commencing on March 15, 2013.</w:t>
      </w:r>
    </w:p>
    <w:p>
      <w:pPr>
        <w:spacing w:after="0" w:line="78" w:lineRule="exact"/>
        <w:rPr>
          <w:sz w:val="24"/>
          <w:szCs w:val="24"/>
          <w:color w:val="auto"/>
        </w:rPr>
      </w:pPr>
    </w:p>
    <w:p>
      <w:pPr>
        <w:ind w:left="1380" w:right="220"/>
        <w:spacing w:after="0" w:line="312" w:lineRule="auto"/>
        <w:rPr>
          <w:sz w:val="20"/>
          <w:szCs w:val="20"/>
          <w:color w:val="auto"/>
        </w:rPr>
      </w:pPr>
      <w:r>
        <w:rPr>
          <w:rFonts w:ascii="Arial" w:cs="Arial" w:eastAsia="Arial" w:hAnsi="Arial"/>
          <w:sz w:val="15"/>
          <w:szCs w:val="15"/>
          <w:color w:val="auto"/>
        </w:rPr>
        <w:t>Redeemable at any time prior to June 15, 2022 (three months prior to the maturity date), in whole or from time to time in part, at the option of the Company, at a make whole redemption price using the applicable Treasury rate plus 20 basis points (as defined and described in further detail in the Prospectus Supplement). Redeemable on or after June 15, 2022 (three months prior to the maturity date), in whole or from time to time in part, at the option of the Company, at a price of 100% plus accrued interest.</w:t>
      </w:r>
    </w:p>
    <w:p>
      <w:pPr>
        <w:spacing w:after="0" w:line="51"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T+5; September 12, 2012</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94106LAY5</w:t>
      </w:r>
    </w:p>
    <w:p>
      <w:pPr>
        <w:sectPr>
          <w:pgSz w:w="11900" w:h="16838" w:orient="portrait"/>
          <w:cols w:equalWidth="0" w:num="2">
            <w:col w:w="3860" w:space="720"/>
            <w:col w:w="6840"/>
          </w:cols>
          <w:pgMar w:left="240" w:top="239"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Joint Book-Running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-288290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Incorporated</w:t>
      </w:r>
    </w:p>
    <w:p>
      <w:pPr>
        <w:spacing w:after="0" w:line="124" w:lineRule="exact"/>
        <w:rPr>
          <w:sz w:val="20"/>
          <w:szCs w:val="20"/>
          <w:color w:val="auto"/>
        </w:rPr>
      </w:pPr>
    </w:p>
    <w:p>
      <w:pPr>
        <w:sectPr>
          <w:pgSz w:w="11900" w:h="16838" w:orient="portrait"/>
          <w:cols w:equalWidth="0" w:num="2">
            <w:col w:w="5240" w:space="720"/>
            <w:col w:w="5440"/>
          </w:cols>
          <w:pgMar w:left="240" w:top="388" w:right="259" w:bottom="1440" w:gutter="0" w:footer="0" w:header="0"/>
        </w:sectPr>
      </w:pPr>
    </w:p>
    <w:p>
      <w:pPr>
        <w:spacing w:after="0"/>
        <w:rPr>
          <w:sz w:val="20"/>
          <w:szCs w:val="20"/>
          <w:color w:val="auto"/>
        </w:rPr>
      </w:pPr>
      <w:r>
        <w:rPr>
          <w:rFonts w:ascii="Arial" w:cs="Arial" w:eastAsia="Arial" w:hAnsi="Arial"/>
          <w:sz w:val="15"/>
          <w:szCs w:val="15"/>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Goldman, Sachs &amp; Co.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U.S. Bancorp Investments, Inc.</w:t>
      </w:r>
    </w:p>
    <w:p>
      <w:pPr>
        <w:spacing w:after="0" w:line="159" w:lineRule="exact"/>
        <w:rPr>
          <w:sz w:val="20"/>
          <w:szCs w:val="20"/>
          <w:color w:val="auto"/>
        </w:rPr>
      </w:pPr>
    </w:p>
    <w:p>
      <w:pPr>
        <w:sectPr>
          <w:pgSz w:w="11900" w:h="16838" w:orient="portrait"/>
          <w:cols w:equalWidth="0" w:num="2">
            <w:col w:w="5240" w:space="720"/>
            <w:col w:w="5440"/>
          </w:cols>
          <w:pgMar w:left="240" w:top="388" w:right="259" w:bottom="1440" w:gutter="0" w:footer="0" w:header="0"/>
          <w:type w:val="continuous"/>
        </w:sectPr>
      </w:pPr>
    </w:p>
    <w:p>
      <w:pPr>
        <w:spacing w:after="0"/>
        <w:rPr>
          <w:sz w:val="20"/>
          <w:szCs w:val="20"/>
          <w:color w:val="auto"/>
        </w:rPr>
      </w:pPr>
      <w:r>
        <w:rPr>
          <w:rFonts w:ascii="Arial" w:cs="Arial" w:eastAsia="Arial" w:hAnsi="Arial"/>
          <w:sz w:val="16"/>
          <w:szCs w:val="16"/>
          <w:color w:val="auto"/>
        </w:rPr>
        <w:t>Anticipated 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Moody’s: Baa3 (Stable)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S&amp;P: BBB (Stable)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Fitch: BBB (Stable)</w:t>
      </w:r>
    </w:p>
    <w:p>
      <w:pPr>
        <w:spacing w:after="0" w:line="97" w:lineRule="exact"/>
        <w:rPr>
          <w:sz w:val="20"/>
          <w:szCs w:val="20"/>
          <w:color w:val="auto"/>
        </w:rPr>
      </w:pPr>
    </w:p>
    <w:p>
      <w:pPr>
        <w:sectPr>
          <w:pgSz w:w="11900" w:h="16838" w:orient="portrait"/>
          <w:cols w:equalWidth="0" w:num="2">
            <w:col w:w="5240" w:space="720"/>
            <w:col w:w="5440"/>
          </w:cols>
          <w:pgMar w:left="240" w:top="388" w:right="259" w:bottom="1440" w:gutter="0" w:footer="0" w:header="0"/>
          <w:type w:val="continuous"/>
        </w:sect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9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Barclays Capital Inc. toll-free at (888) 603-5847 or by emailing barclaysprospectus@broadridge.com; (2) BNP Paribas Securities Corp. toll-free at</w:t>
      </w:r>
    </w:p>
    <w:p>
      <w:pPr>
        <w:spacing w:after="0" w:line="2" w:lineRule="exact"/>
        <w:rPr>
          <w:sz w:val="20"/>
          <w:szCs w:val="20"/>
          <w:color w:val="auto"/>
        </w:rPr>
      </w:pPr>
    </w:p>
    <w:p>
      <w:pPr>
        <w:jc w:val="both"/>
        <w:ind w:right="120" w:firstLine="8"/>
        <w:spacing w:after="0" w:line="302"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854-5674; or (3) Merrill Lynch, Pierce, Fenner &amp; Smith Incorporated toll-free at (800) 294-1322. Any disclaimers or other notices that may appear below are not applicable to this communication and should be disregarded. Such disclaimers were automatically generated as a result of this communication being sent via email or another communication system.</w:t>
      </w:r>
    </w:p>
    <w:sectPr>
      <w:pgSz w:w="11900" w:h="16838" w:orient="portrait"/>
      <w:cols w:equalWidth="0" w:num="1">
        <w:col w:w="11400"/>
      </w:cols>
      <w:pgMar w:left="240" w:top="388"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0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2019-12-09T08:48:32Z</dcterms:created>
  <dcterms:modified xsi:type="dcterms:W3CDTF">2019-12-09T08:48:32Z</dcterms:modified>
</cp:coreProperties>
</file>