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7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930" w:right="4319" w:hanging="1930"/>
        <w:spacing w:after="0" w:line="235" w:lineRule="auto"/>
        <w:tabs>
          <w:tab w:leader="none" w:pos="131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AND EXCHANGE ACT OF 1934</w:t>
      </w:r>
    </w:p>
    <w:p>
      <w:pPr>
        <w:spacing w:after="0" w:line="170"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150" w:right="4139" w:hanging="1150"/>
        <w:spacing w:after="0" w:line="235" w:lineRule="auto"/>
        <w:tabs>
          <w:tab w:leader="none" w:pos="-61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AND EXCHANGE ACT OF 1934</w:t>
      </w:r>
    </w:p>
    <w:p>
      <w:pPr>
        <w:spacing w:after="0" w:line="170" w:lineRule="exact"/>
        <w:rPr>
          <w:sz w:val="24"/>
          <w:szCs w:val="24"/>
          <w:color w:val="auto"/>
        </w:rPr>
      </w:pPr>
    </w:p>
    <w:p>
      <w:pPr>
        <w:ind w:left="1150"/>
        <w:spacing w:after="0"/>
        <w:tabs>
          <w:tab w:leader="none" w:pos="4749"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3"/>
          <w:szCs w:val="13"/>
          <w:color w:val="auto"/>
        </w:rPr>
        <w:t>TO</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1-12154</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tbl>
      <w:tblPr>
        <w:tblLayout w:type="fixed"/>
        <w:tblInd w:w="170" w:type="dxa"/>
        <w:tblCellMar>
          <w:top w:w="0" w:type="dxa"/>
          <w:left w:w="0" w:type="dxa"/>
          <w:bottom w:w="0" w:type="dxa"/>
          <w:right w:w="0" w:type="dxa"/>
        </w:tblCellMar>
      </w:tblPr>
      <w:tr>
        <w:trPr>
          <w:trHeight w:val="170"/>
        </w:trPr>
        <w:tc>
          <w:tcPr>
            <w:tcW w:w="4460" w:type="dxa"/>
            <w:vAlign w:val="bottom"/>
            <w:gridSpan w:val="2"/>
          </w:tcPr>
          <w:p>
            <w:pPr>
              <w:jc w:val="right"/>
              <w:ind w:right="2267"/>
              <w:spacing w:after="0"/>
              <w:rPr>
                <w:sz w:val="20"/>
                <w:szCs w:val="20"/>
                <w:color w:val="auto"/>
              </w:rPr>
            </w:pPr>
            <w:r>
              <w:rPr>
                <w:rFonts w:ascii="Courier New" w:cs="Courier New" w:eastAsia="Courier New" w:hAnsi="Courier New"/>
                <w:sz w:val="15"/>
                <w:szCs w:val="15"/>
                <w:color w:val="auto"/>
              </w:rPr>
              <w:t>DELAWARE</w:t>
            </w:r>
          </w:p>
        </w:tc>
        <w:tc>
          <w:tcPr>
            <w:tcW w:w="2600" w:type="dxa"/>
            <w:vAlign w:val="bottom"/>
          </w:tcPr>
          <w:p>
            <w:pPr>
              <w:jc w:val="center"/>
              <w:ind w:left="927"/>
              <w:spacing w:after="0"/>
              <w:rPr>
                <w:sz w:val="20"/>
                <w:szCs w:val="20"/>
                <w:color w:val="auto"/>
              </w:rPr>
            </w:pPr>
            <w:r>
              <w:rPr>
                <w:rFonts w:ascii="Courier New" w:cs="Courier New" w:eastAsia="Courier New" w:hAnsi="Courier New"/>
                <w:sz w:val="15"/>
                <w:szCs w:val="15"/>
                <w:color w:val="auto"/>
                <w:w w:val="97"/>
              </w:rPr>
              <w:t>73-1309529</w:t>
            </w:r>
          </w:p>
        </w:tc>
      </w:tr>
      <w:tr>
        <w:trPr>
          <w:trHeight w:val="170"/>
        </w:trPr>
        <w:tc>
          <w:tcPr>
            <w:tcW w:w="4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(State or other jurisdiction of</w:t>
            </w:r>
          </w:p>
        </w:tc>
        <w:tc>
          <w:tcPr>
            <w:tcW w:w="260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8"/>
              </w:rPr>
              <w:t>(I.R.S. employer</w:t>
            </w:r>
          </w:p>
        </w:tc>
      </w:tr>
      <w:tr>
        <w:trPr>
          <w:trHeight w:val="170"/>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or</w:t>
            </w:r>
          </w:p>
        </w:tc>
        <w:tc>
          <w:tcPr>
            <w:tcW w:w="2560" w:type="dxa"/>
            <w:vAlign w:val="bottom"/>
          </w:tcPr>
          <w:p>
            <w:pPr>
              <w:jc w:val="right"/>
              <w:ind w:right="1287"/>
              <w:spacing w:after="0"/>
              <w:rPr>
                <w:sz w:val="20"/>
                <w:szCs w:val="20"/>
                <w:color w:val="auto"/>
              </w:rPr>
            </w:pPr>
            <w:r>
              <w:rPr>
                <w:rFonts w:ascii="Courier New" w:cs="Courier New" w:eastAsia="Courier New" w:hAnsi="Courier New"/>
                <w:sz w:val="15"/>
                <w:szCs w:val="15"/>
                <w:color w:val="auto"/>
              </w:rPr>
              <w:t>organization)</w:t>
            </w:r>
          </w:p>
        </w:tc>
        <w:tc>
          <w:tcPr>
            <w:tcW w:w="26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8"/>
              </w:rPr>
              <w:t>identification no.)</w:t>
            </w:r>
          </w:p>
        </w:tc>
      </w:tr>
      <w:tr>
        <w:trPr>
          <w:trHeight w:val="339"/>
        </w:trPr>
        <w:tc>
          <w:tcPr>
            <w:tcW w:w="4460" w:type="dxa"/>
            <w:vAlign w:val="bottom"/>
            <w:gridSpan w:val="2"/>
          </w:tcPr>
          <w:p>
            <w:pPr>
              <w:jc w:val="right"/>
              <w:ind w:right="1287"/>
              <w:spacing w:after="0"/>
              <w:rPr>
                <w:sz w:val="20"/>
                <w:szCs w:val="20"/>
                <w:color w:val="auto"/>
              </w:rPr>
            </w:pPr>
            <w:r>
              <w:rPr>
                <w:rFonts w:ascii="Courier New" w:cs="Courier New" w:eastAsia="Courier New" w:hAnsi="Courier New"/>
                <w:sz w:val="15"/>
                <w:szCs w:val="15"/>
                <w:color w:val="auto"/>
              </w:rPr>
              <w:t>1001 FANNIN STREET, SUITE 4000</w:t>
            </w:r>
          </w:p>
        </w:tc>
        <w:tc>
          <w:tcPr>
            <w:tcW w:w="2600" w:type="dxa"/>
            <w:vAlign w:val="bottom"/>
          </w:tcPr>
          <w:p>
            <w:pPr>
              <w:spacing w:after="0"/>
              <w:rPr>
                <w:sz w:val="24"/>
                <w:szCs w:val="24"/>
                <w:color w:val="auto"/>
              </w:rPr>
            </w:pPr>
          </w:p>
        </w:tc>
      </w:tr>
      <w:tr>
        <w:trPr>
          <w:trHeight w:val="170"/>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HOUSTON,</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TEXAS</w:t>
            </w:r>
          </w:p>
        </w:tc>
        <w:tc>
          <w:tcPr>
            <w:tcW w:w="2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77002</w:t>
            </w:r>
          </w:p>
        </w:tc>
      </w:tr>
      <w:tr>
        <w:trPr>
          <w:trHeight w:val="170"/>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w w:val="97"/>
              </w:rPr>
              <w:t>(Address of principal</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offices)</w:t>
            </w:r>
          </w:p>
        </w:tc>
        <w:tc>
          <w:tcPr>
            <w:tcW w:w="2600" w:type="dxa"/>
            <w:vAlign w:val="bottom"/>
          </w:tcPr>
          <w:p>
            <w:pPr>
              <w:jc w:val="center"/>
              <w:ind w:left="927"/>
              <w:spacing w:after="0"/>
              <w:rPr>
                <w:sz w:val="20"/>
                <w:szCs w:val="20"/>
                <w:color w:val="auto"/>
              </w:rPr>
            </w:pPr>
            <w:r>
              <w:rPr>
                <w:rFonts w:ascii="Courier New" w:cs="Courier New" w:eastAsia="Courier New" w:hAnsi="Courier New"/>
                <w:sz w:val="15"/>
                <w:szCs w:val="15"/>
                <w:color w:val="auto"/>
                <w:w w:val="97"/>
              </w:rPr>
              <w:t>(Zip code)</w:t>
            </w:r>
          </w:p>
        </w:tc>
      </w:tr>
    </w:tbl>
    <w:p>
      <w:pPr>
        <w:spacing w:after="0" w:line="339"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Registrant's telephone number, including area code: (713) 512-6200</w:t>
      </w: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226" w:right="1440" w:bottom="628" w:gutter="0" w:footer="0" w:header="0"/>
        </w:sectPr>
      </w:pPr>
    </w:p>
    <w:p>
      <w:pPr>
        <w:spacing w:after="0" w:line="200" w:lineRule="exact"/>
        <w:rPr>
          <w:sz w:val="24"/>
          <w:szCs w:val="24"/>
          <w:color w:val="auto"/>
        </w:rPr>
      </w:pPr>
    </w:p>
    <w:p>
      <w:pPr>
        <w:spacing w:after="0" w:line="314" w:lineRule="exact"/>
        <w:rPr>
          <w:sz w:val="24"/>
          <w:szCs w:val="24"/>
          <w:color w:val="auto"/>
        </w:rPr>
      </w:pPr>
    </w:p>
    <w:p>
      <w:pPr>
        <w:ind w:left="1230"/>
        <w:spacing w:after="0"/>
        <w:rPr>
          <w:sz w:val="20"/>
          <w:szCs w:val="20"/>
          <w:color w:val="auto"/>
        </w:rPr>
      </w:pPr>
      <w:r>
        <w:rPr>
          <w:rFonts w:ascii="Courier New" w:cs="Courier New" w:eastAsia="Courier New" w:hAnsi="Courier New"/>
          <w:sz w:val="14"/>
          <w:szCs w:val="14"/>
          <w:color w:val="auto"/>
        </w:rPr>
        <w:t>TITLE OF EACH CLASS</w:t>
      </w:r>
    </w:p>
    <w:p>
      <w:pPr>
        <w:spacing w:after="0" w:line="11" w:lineRule="exact"/>
        <w:rPr>
          <w:sz w:val="24"/>
          <w:szCs w:val="24"/>
          <w:color w:val="auto"/>
        </w:rPr>
      </w:pPr>
    </w:p>
    <w:p>
      <w:pPr>
        <w:ind w:left="12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EXCHANGE ON WHICH REGISTERED</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310" w:space="720"/>
            <w:col w:w="5199"/>
          </w:cols>
          <w:pgMar w:left="230" w:top="226" w:right="1440" w:bottom="628"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Common Stock, $.01 par value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4% Convertible Subordinated Debentures due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69" w:lineRule="exact"/>
        <w:rPr>
          <w:sz w:val="24"/>
          <w:szCs w:val="24"/>
          <w:color w:val="auto"/>
        </w:rPr>
      </w:pPr>
    </w:p>
    <w:p>
      <w:pPr>
        <w:sectPr>
          <w:pgSz w:w="11900" w:h="16838" w:orient="portrait"/>
          <w:cols w:equalWidth="0" w:num="2">
            <w:col w:w="4930" w:space="720"/>
            <w:col w:w="4579"/>
          </w:cols>
          <w:pgMar w:left="230" w:top="226" w:right="1440" w:bottom="628" w:gutter="0" w:footer="0" w:header="0"/>
          <w:type w:val="continuous"/>
        </w:sectPr>
      </w:pPr>
    </w:p>
    <w:p>
      <w:pPr>
        <w:spacing w:after="0" w:line="144"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ind w:left="1490"/>
        <w:spacing w:after="0"/>
        <w:rPr>
          <w:sz w:val="20"/>
          <w:szCs w:val="20"/>
          <w:color w:val="auto"/>
        </w:rPr>
      </w:pPr>
      <w:r>
        <w:rPr>
          <w:rFonts w:ascii="Courier New" w:cs="Courier New" w:eastAsia="Courier New" w:hAnsi="Courier New"/>
          <w:sz w:val="15"/>
          <w:szCs w:val="15"/>
          <w:color w:val="auto"/>
        </w:rPr>
        <w:t>5.75% Convertible Subordinated Notes due 2005</w:t>
      </w:r>
    </w:p>
    <w:p>
      <w:pPr>
        <w:spacing w:after="0" w:line="174"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439" w:firstLine="441"/>
        <w:spacing w:after="0" w:line="238"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8, 2001, was approximately $16,902,407,699. The aggregate market value was computed by using the closing price of the common stock as of that date on the New York Stock Exchange. (For purposes of calculating this amount only, all directors and executive officers of the registrant have been treated as affiliates.)</w:t>
      </w:r>
    </w:p>
    <w:p>
      <w:pPr>
        <w:spacing w:after="0" w:line="176" w:lineRule="exact"/>
        <w:rPr>
          <w:sz w:val="24"/>
          <w:szCs w:val="24"/>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March 8, 2001, was 624,244,514 (excluding treasury shares of 5,377,308).</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29"/>
          </w:cols>
          <w:pgMar w:left="230" w:top="226" w:right="1440" w:bottom="628"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DOCUMENT</w:t>
      </w:r>
    </w:p>
    <w:p>
      <w:pPr>
        <w:spacing w:after="0" w:line="5" w:lineRule="exact"/>
        <w:rPr>
          <w:sz w:val="24"/>
          <w:szCs w:val="24"/>
          <w:color w:val="auto"/>
        </w:rPr>
      </w:pPr>
    </w:p>
    <w:p>
      <w:pPr>
        <w:ind w:left="167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INCORPORATED AS TO</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650" w:space="720"/>
            <w:col w:w="4859"/>
          </w:cols>
          <w:pgMar w:left="230" w:top="226" w:right="1440" w:bottom="628" w:gutter="0" w:footer="0" w:header="0"/>
          <w:type w:val="continuous"/>
        </w:sectPr>
      </w:pPr>
    </w:p>
    <w:p>
      <w:pPr>
        <w:jc w:val="center"/>
        <w:ind w:right="1110"/>
        <w:spacing w:after="0"/>
        <w:rPr>
          <w:sz w:val="20"/>
          <w:szCs w:val="20"/>
          <w:color w:val="auto"/>
        </w:rPr>
      </w:pPr>
      <w:r>
        <w:rPr>
          <w:rFonts w:ascii="Courier New" w:cs="Courier New" w:eastAsia="Courier New" w:hAnsi="Courier New"/>
          <w:sz w:val="15"/>
          <w:szCs w:val="15"/>
          <w:color w:val="auto"/>
        </w:rPr>
        <w:t>Proxy Statement for the</w:t>
      </w:r>
    </w:p>
    <w:p>
      <w:pPr>
        <w:spacing w:after="0" w:line="5" w:lineRule="exact"/>
        <w:rPr>
          <w:sz w:val="24"/>
          <w:szCs w:val="24"/>
          <w:color w:val="auto"/>
        </w:rPr>
      </w:pPr>
    </w:p>
    <w:p>
      <w:pPr>
        <w:jc w:val="center"/>
        <w:ind w:right="1110"/>
        <w:spacing w:after="0"/>
        <w:rPr>
          <w:sz w:val="20"/>
          <w:szCs w:val="20"/>
          <w:color w:val="auto"/>
        </w:rPr>
      </w:pPr>
      <w:r>
        <w:rPr>
          <w:rFonts w:ascii="Courier New" w:cs="Courier New" w:eastAsia="Courier New" w:hAnsi="Courier New"/>
          <w:sz w:val="14"/>
          <w:szCs w:val="14"/>
          <w:color w:val="auto"/>
        </w:rPr>
        <w:t>2001 Annual Meeting of Stockholders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200" w:lineRule="exact"/>
        <w:rPr>
          <w:sz w:val="24"/>
          <w:szCs w:val="24"/>
          <w:color w:val="auto"/>
        </w:rPr>
      </w:pPr>
    </w:p>
    <w:p>
      <w:pPr>
        <w:sectPr>
          <w:pgSz w:w="11900" w:h="16838" w:orient="portrait"/>
          <w:cols w:equalWidth="0" w:num="2">
            <w:col w:w="5090" w:space="720"/>
            <w:col w:w="4419"/>
          </w:cols>
          <w:pgMar w:left="230" w:top="226" w:right="1440" w:bottom="628" w:gutter="0" w:footer="0" w:header="0"/>
          <w:type w:val="continuous"/>
        </w:sectPr>
      </w:pPr>
    </w:p>
    <w:p>
      <w:pPr>
        <w:spacing w:after="0" w:line="150"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26" w:right="1440" w:bottom="628" w:gutter="0" w:footer="0" w:header="0"/>
          <w:type w:val="continuous"/>
        </w:sectPr>
      </w:pPr>
    </w:p>
    <w:bookmarkStart w:id="1" w:name="page2"/>
    <w:bookmarkEnd w:id="1"/>
    <w:p>
      <w:pPr>
        <w:ind w:left="10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560" w:type="dxa"/>
            <w:vAlign w:val="bottom"/>
          </w:tcPr>
          <w:p>
            <w:pPr>
              <w:ind w:left="1720"/>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14"/>
                <w:szCs w:val="14"/>
                <w:color w:val="auto"/>
              </w:rPr>
            </w:pPr>
          </w:p>
        </w:tc>
      </w:tr>
      <w:tr>
        <w:trPr>
          <w:trHeight w:val="678"/>
        </w:trPr>
        <w:tc>
          <w:tcPr>
            <w:tcW w:w="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8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40" w:type="dxa"/>
            <w:vAlign w:val="bottom"/>
          </w:tcPr>
          <w:p>
            <w:pPr>
              <w:spacing w:after="0"/>
              <w:rPr>
                <w:sz w:val="24"/>
                <w:szCs w:val="24"/>
                <w:color w:val="auto"/>
              </w:rPr>
            </w:pPr>
          </w:p>
        </w:tc>
        <w:tc>
          <w:tcPr>
            <w:tcW w:w="5560" w:type="dxa"/>
            <w:vAlign w:val="bottom"/>
          </w:tcPr>
          <w:p>
            <w:pPr>
              <w:ind w:left="2340"/>
              <w:spacing w:after="0"/>
              <w:rPr>
                <w:sz w:val="20"/>
                <w:szCs w:val="20"/>
                <w:color w:val="auto"/>
              </w:rPr>
            </w:pPr>
            <w:r>
              <w:rPr>
                <w:rFonts w:ascii="Courier New" w:cs="Courier New" w:eastAsia="Courier New" w:hAnsi="Courier New"/>
                <w:sz w:val="15"/>
                <w:szCs w:val="15"/>
                <w:color w:val="auto"/>
              </w:rPr>
              <w:t>PART I</w:t>
            </w:r>
          </w:p>
        </w:tc>
        <w:tc>
          <w:tcPr>
            <w:tcW w:w="480" w:type="dxa"/>
            <w:vAlign w:val="bottom"/>
          </w:tcPr>
          <w:p>
            <w:pPr>
              <w:spacing w:after="0"/>
              <w:rPr>
                <w:sz w:val="24"/>
                <w:szCs w:val="24"/>
                <w:color w:val="auto"/>
              </w:rPr>
            </w:pP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Business....................................................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Properties..................................................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Legal Proceedings...........................................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Submission of Matters to a Vote of Security Holders.........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339"/>
        </w:trPr>
        <w:tc>
          <w:tcPr>
            <w:tcW w:w="840" w:type="dxa"/>
            <w:vAlign w:val="bottom"/>
          </w:tcPr>
          <w:p>
            <w:pPr>
              <w:spacing w:after="0"/>
              <w:rPr>
                <w:sz w:val="24"/>
                <w:szCs w:val="24"/>
                <w:color w:val="auto"/>
              </w:rPr>
            </w:pPr>
          </w:p>
        </w:tc>
        <w:tc>
          <w:tcPr>
            <w:tcW w:w="5560" w:type="dxa"/>
            <w:vAlign w:val="bottom"/>
          </w:tcPr>
          <w:p>
            <w:pPr>
              <w:ind w:left="2260"/>
              <w:spacing w:after="0"/>
              <w:rPr>
                <w:sz w:val="20"/>
                <w:szCs w:val="20"/>
                <w:color w:val="auto"/>
              </w:rPr>
            </w:pPr>
            <w:r>
              <w:rPr>
                <w:rFonts w:ascii="Courier New" w:cs="Courier New" w:eastAsia="Courier New" w:hAnsi="Courier New"/>
                <w:sz w:val="15"/>
                <w:szCs w:val="15"/>
                <w:color w:val="auto"/>
              </w:rPr>
              <w:t>PART II</w:t>
            </w:r>
          </w:p>
        </w:tc>
        <w:tc>
          <w:tcPr>
            <w:tcW w:w="480" w:type="dxa"/>
            <w:vAlign w:val="bottom"/>
          </w:tcPr>
          <w:p>
            <w:pPr>
              <w:spacing w:after="0"/>
              <w:rPr>
                <w:sz w:val="24"/>
                <w:szCs w:val="24"/>
                <w:color w:val="auto"/>
              </w:rPr>
            </w:pP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480" w:type="dxa"/>
            <w:vAlign w:val="bottom"/>
          </w:tcPr>
          <w:p>
            <w:pPr>
              <w:spacing w:after="0"/>
              <w:rPr>
                <w:sz w:val="24"/>
                <w:szCs w:val="24"/>
                <w:color w:val="auto"/>
              </w:rPr>
            </w:pPr>
          </w:p>
        </w:tc>
      </w:tr>
      <w:tr>
        <w:trPr>
          <w:trHeight w:val="170"/>
        </w:trPr>
        <w:tc>
          <w:tcPr>
            <w:tcW w:w="84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Stockholder Matters.........................................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Selected Financial Data.....................................</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80" w:type="dxa"/>
            <w:vAlign w:val="bottom"/>
          </w:tcPr>
          <w:p>
            <w:pPr>
              <w:spacing w:after="0"/>
              <w:rPr>
                <w:sz w:val="14"/>
                <w:szCs w:val="14"/>
                <w:color w:val="auto"/>
              </w:rPr>
            </w:pPr>
          </w:p>
        </w:tc>
      </w:tr>
      <w:tr>
        <w:trPr>
          <w:trHeight w:val="170"/>
        </w:trPr>
        <w:tc>
          <w:tcPr>
            <w:tcW w:w="84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and Results of Operations...................................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Quantitative and Qualitative Disclosure About Market Risk...</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Financial Statements and Supplementary Data.................</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480" w:type="dxa"/>
            <w:vAlign w:val="bottom"/>
          </w:tcPr>
          <w:p>
            <w:pPr>
              <w:spacing w:after="0"/>
              <w:rPr>
                <w:sz w:val="14"/>
                <w:szCs w:val="14"/>
                <w:color w:val="auto"/>
              </w:rPr>
            </w:pPr>
          </w:p>
        </w:tc>
      </w:tr>
      <w:tr>
        <w:trPr>
          <w:trHeight w:val="170"/>
        </w:trPr>
        <w:tc>
          <w:tcPr>
            <w:tcW w:w="84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and Financial Disclosures...................................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r>
      <w:tr>
        <w:trPr>
          <w:trHeight w:val="339"/>
        </w:trPr>
        <w:tc>
          <w:tcPr>
            <w:tcW w:w="840" w:type="dxa"/>
            <w:vAlign w:val="bottom"/>
          </w:tcPr>
          <w:p>
            <w:pPr>
              <w:spacing w:after="0"/>
              <w:rPr>
                <w:sz w:val="24"/>
                <w:szCs w:val="24"/>
                <w:color w:val="auto"/>
              </w:rPr>
            </w:pPr>
          </w:p>
        </w:tc>
        <w:tc>
          <w:tcPr>
            <w:tcW w:w="5560" w:type="dxa"/>
            <w:vAlign w:val="bottom"/>
          </w:tcPr>
          <w:p>
            <w:pPr>
              <w:ind w:left="2260"/>
              <w:spacing w:after="0"/>
              <w:rPr>
                <w:sz w:val="20"/>
                <w:szCs w:val="20"/>
                <w:color w:val="auto"/>
              </w:rPr>
            </w:pPr>
            <w:r>
              <w:rPr>
                <w:rFonts w:ascii="Courier New" w:cs="Courier New" w:eastAsia="Courier New" w:hAnsi="Courier New"/>
                <w:sz w:val="15"/>
                <w:szCs w:val="15"/>
                <w:color w:val="auto"/>
              </w:rPr>
              <w:t>PART III</w:t>
            </w:r>
          </w:p>
        </w:tc>
        <w:tc>
          <w:tcPr>
            <w:tcW w:w="480" w:type="dxa"/>
            <w:vAlign w:val="bottom"/>
          </w:tcPr>
          <w:p>
            <w:pPr>
              <w:spacing w:after="0"/>
              <w:rPr>
                <w:sz w:val="24"/>
                <w:szCs w:val="24"/>
                <w:color w:val="auto"/>
              </w:rPr>
            </w:pP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Directors and Executive Officers of the Registrant..........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Compensation......................................</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80" w:type="dxa"/>
            <w:vAlign w:val="bottom"/>
          </w:tcPr>
          <w:p>
            <w:pPr>
              <w:spacing w:after="0"/>
              <w:rPr>
                <w:sz w:val="14"/>
                <w:szCs w:val="14"/>
                <w:color w:val="auto"/>
              </w:rPr>
            </w:pPr>
          </w:p>
        </w:tc>
      </w:tr>
      <w:tr>
        <w:trPr>
          <w:trHeight w:val="170"/>
        </w:trPr>
        <w:tc>
          <w:tcPr>
            <w:tcW w:w="84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Management..................................................</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Certain Relationships and Related Transactions..............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r>
      <w:tr>
        <w:trPr>
          <w:trHeight w:val="339"/>
        </w:trPr>
        <w:tc>
          <w:tcPr>
            <w:tcW w:w="840" w:type="dxa"/>
            <w:vAlign w:val="bottom"/>
          </w:tcPr>
          <w:p>
            <w:pPr>
              <w:spacing w:after="0"/>
              <w:rPr>
                <w:sz w:val="24"/>
                <w:szCs w:val="24"/>
                <w:color w:val="auto"/>
              </w:rPr>
            </w:pPr>
          </w:p>
        </w:tc>
        <w:tc>
          <w:tcPr>
            <w:tcW w:w="5560" w:type="dxa"/>
            <w:vAlign w:val="bottom"/>
          </w:tcPr>
          <w:p>
            <w:pPr>
              <w:ind w:left="2260"/>
              <w:spacing w:after="0"/>
              <w:rPr>
                <w:sz w:val="20"/>
                <w:szCs w:val="20"/>
                <w:color w:val="auto"/>
              </w:rPr>
            </w:pPr>
            <w:r>
              <w:rPr>
                <w:rFonts w:ascii="Courier New" w:cs="Courier New" w:eastAsia="Courier New" w:hAnsi="Courier New"/>
                <w:sz w:val="15"/>
                <w:szCs w:val="15"/>
                <w:color w:val="auto"/>
              </w:rPr>
              <w:t>PART IV</w:t>
            </w:r>
          </w:p>
        </w:tc>
        <w:tc>
          <w:tcPr>
            <w:tcW w:w="480" w:type="dxa"/>
            <w:vAlign w:val="bottom"/>
          </w:tcPr>
          <w:p>
            <w:pPr>
              <w:spacing w:after="0"/>
              <w:rPr>
                <w:sz w:val="24"/>
                <w:szCs w:val="24"/>
                <w:color w:val="auto"/>
              </w:rPr>
            </w:pPr>
          </w:p>
        </w:tc>
      </w:tr>
      <w:tr>
        <w:trPr>
          <w:trHeight w:val="339"/>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Financial Statement Schedules, Exhibits, and Reports on Form</w:t>
            </w:r>
          </w:p>
        </w:tc>
        <w:tc>
          <w:tcPr>
            <w:tcW w:w="480" w:type="dxa"/>
            <w:vAlign w:val="bottom"/>
          </w:tcPr>
          <w:p>
            <w:pPr>
              <w:spacing w:after="0"/>
              <w:rPr>
                <w:sz w:val="24"/>
                <w:szCs w:val="24"/>
                <w:color w:val="auto"/>
              </w:rPr>
            </w:pPr>
          </w:p>
        </w:tc>
      </w:tr>
      <w:tr>
        <w:trPr>
          <w:trHeight w:val="170"/>
        </w:trPr>
        <w:tc>
          <w:tcPr>
            <w:tcW w:w="84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5"/>
                <w:szCs w:val="15"/>
                <w:color w:val="auto"/>
                <w:w w:val="99"/>
              </w:rPr>
              <w:t>8-K.........................................................</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r>
    </w:tbl>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059"/>
          </w:cols>
          <w:pgMar w:left="40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Waste Management, Inc. is one of the largest publicly-owned companies providing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markets. During 2000, none of our customers accounted for more than 5% of our operating revenue. We employed approximately 57,000 people as of December 31, 2000.</w:t>
      </w:r>
    </w:p>
    <w:p>
      <w:pPr>
        <w:spacing w:after="0" w:line="167"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Company was incorporated in Oklahoma in 1987 under the name "USA Waste Services, Inc." and was reincorporated as a Delaware company in 1995. In 1998, we merged with Waste Management, Inc., who became our 100% owned subsidiary and whose name we changed to Waste Management Holdings, Inc., or "WM Holdings." At the same time, we changed our name to Waste Management, Inc. When the terms "Waste Management," "WMI," the "Company," or "we" are used in this document, those terms are being used to refer to Waste Management, Inc., its subsidiaries, affiliates and predecessors, unless the context requires otherwise. The Company's principal executive offices are located at 1001 Fannin Street, Suite 4000, Houston, Texas 77002. Our telephone number at that address is (713)</w:t>
      </w:r>
    </w:p>
    <w:p>
      <w:pPr>
        <w:spacing w:after="0" w:line="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512-6200. Our stock is traded on the New York Stock Exchange under the symbol "WMI."</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past years, the waste management industry went through a period of significant consolidation. Through acquisitions, we grew from a regional provider of solid waste collection, transfer and disposal services to a national and international provider of solid waste services as well as recycling, portable sanitation, industrial cleaning, hazardous waste management and radioactive waste management services. We also became a leading developer of facilities for, and a provider of services to, the waste-to-energy and waste-fuel powered independent power markets. By year end 1998, we were operating throughout the United States, in Canada, Mexico, throughout Europe, the Pacific Rim, South America and in other select international markets.</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1999, the Company announced a strategic plan focused on emphasizing internal growth and focusing on our core business -- North American solid waste management services. As part of the plan, beginning in 1999 and throughout 2000, we sold the majority of our international operations and certain of our non-integrated North American solid waste operations. We also have sold, or announced agreements to sell, most of our non-solid waste operations, including our: low-level and other radioactive waste operations; organic residuals operations; industrial services and hazardous waste treatment operations; and independent power plants. The proceeds from the sales were used to repay a portion of our debt. More information about these sales and our debt repayments can be found in Notes 4 and 7 to the consolidated financial statements.</w:t>
      </w:r>
    </w:p>
    <w:p>
      <w:pPr>
        <w:spacing w:after="0" w:line="16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Also as part of the plan, we began other initiatives in 1999 that continued through 2000, including:</w:t>
      </w:r>
    </w:p>
    <w:p>
      <w:pPr>
        <w:spacing w:after="0" w:line="176" w:lineRule="exact"/>
        <w:rPr>
          <w:sz w:val="20"/>
          <w:szCs w:val="20"/>
          <w:color w:val="auto"/>
        </w:rPr>
      </w:pPr>
    </w:p>
    <w:p>
      <w:pPr>
        <w:ind w:left="600" w:right="3179" w:hanging="169"/>
        <w:spacing w:after="0" w:line="237"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Linking our information technology initiatives to our business strategy and rolling out new software systems that give our employees better tools to do their jobs;</w:t>
      </w:r>
    </w:p>
    <w:p>
      <w:pPr>
        <w:spacing w:after="0" w:line="174"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standard policies and procedures, and increasing the flow of communication in an effort to streamline our business and bring more discipline and accountability, but at the same time maintain decentralized operations, so that authority is still close to the customer; and</w:t>
      </w:r>
    </w:p>
    <w:p>
      <w:pPr>
        <w:spacing w:after="0" w:line="178" w:lineRule="exact"/>
        <w:rPr>
          <w:rFonts w:ascii="Courier New" w:cs="Courier New" w:eastAsia="Courier New" w:hAnsi="Courier New"/>
          <w:sz w:val="15"/>
          <w:szCs w:val="15"/>
          <w:color w:val="auto"/>
        </w:rPr>
      </w:pPr>
    </w:p>
    <w:p>
      <w:pPr>
        <w:ind w:left="600" w:right="3699" w:hanging="169"/>
        <w:spacing w:after="0" w:line="235"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Restoring a capital expenditure policy that focuses on the internal growth rather than the external growth of the Company.</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We plan to continue focusing on internal growth and profits as opposed to external growth, or growth through acquisitions. We believe that there remain opportunities to expand our services through acquisitions of businesses and operations that can be effectively integrated with our operations, and will pursue those opportunities when available. However, our goal is to refocus on our core business of North American solid</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waste management and build a stronger company by continuing to find new ways to increase efficiency, improve productivity and achieve greater profitability.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table below shows for each of the three years in the three-year period ended December 31, 2000 the total revenues (in millions) contributed by our principal lines of business. More information about the results of operations for our principal lines of business is included in Note 15 to the consolidated financial statements.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w w:val="96"/>
              </w:rPr>
              <w:t>YEARS ENDED DECEMBER 31,</w:t>
            </w:r>
          </w:p>
        </w:tc>
      </w:tr>
      <w:tr>
        <w:trPr>
          <w:trHeight w:val="170"/>
        </w:trPr>
        <w:tc>
          <w:tcPr>
            <w:tcW w:w="5020" w:type="dxa"/>
            <w:vAlign w:val="bottom"/>
          </w:tcPr>
          <w:p>
            <w:pPr>
              <w:spacing w:after="0"/>
              <w:rPr>
                <w:sz w:val="14"/>
                <w:szCs w:val="14"/>
                <w:color w:val="auto"/>
              </w:rPr>
            </w:pPr>
          </w:p>
        </w:tc>
        <w:tc>
          <w:tcPr>
            <w:tcW w:w="25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2000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0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97"/>
              </w:rPr>
              <w:t>North American Solid Waste: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Collection............................................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7,675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$ 7,553</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$ 6,964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Disposal..............................................</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3,267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3,169</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Transfer..............................................</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Recycling and other...................................</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653</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Intercompany..........................................</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(2,022)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(1,696)</w:t>
            </w:r>
          </w:p>
        </w:tc>
      </w:tr>
      <w:tr>
        <w:trPr>
          <w:trHeight w:val="170"/>
        </w:trPr>
        <w:tc>
          <w:tcPr>
            <w:tcW w:w="50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11,218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10,685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10,144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WM International........................................</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Non-solid waste.........................................</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948</w:t>
            </w:r>
          </w:p>
        </w:tc>
      </w:tr>
      <w:tr>
        <w:trPr>
          <w:trHeight w:val="170"/>
        </w:trPr>
        <w:tc>
          <w:tcPr>
            <w:tcW w:w="50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12,492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$13,127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$12,626</w:t>
            </w:r>
          </w:p>
        </w:tc>
      </w:tr>
      <w:tr>
        <w:trPr>
          <w:trHeight w:val="170"/>
        </w:trPr>
        <w:tc>
          <w:tcPr>
            <w:tcW w:w="502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North American Solid Waste</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Company's North American solid waste, or "NASW," operations are comprised of six geographic operating Areas with similar economic characteristics. The services provided by the NASW Areas include collection, transfer, disposal (solid waste landfills, hazardous waste landfills and waste-to-energy facilities), recycling and other services in the United States, Canada and Mexico.</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Collection. Collection involves picking up and transporting waste from where it was generated to a transfer station or site of disposal. Depending on the type of customer being served, we generally provide collection services under one of two types of arrangements:</w:t>
      </w:r>
    </w:p>
    <w:p>
      <w:pPr>
        <w:spacing w:after="0" w:line="176" w:lineRule="exact"/>
        <w:rPr>
          <w:sz w:val="20"/>
          <w:szCs w:val="20"/>
          <w:color w:val="auto"/>
        </w:rPr>
      </w:pPr>
    </w:p>
    <w:p>
      <w:pPr>
        <w:ind w:left="600" w:right="3259" w:hanging="169"/>
        <w:spacing w:after="0" w:line="257" w:lineRule="auto"/>
        <w:tabs>
          <w:tab w:leader="none" w:pos="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commercial and industrial collection services, there is generally a one to three-year service agreement. The fees under the agreements are determined by factors such as collection frequency, type of collection equipment furnished by the Company, type and volume or weight of the waste collected, the distance to the disposal facility, labor cost and cost of disposal. As part of the service, we provide steel containers to most of the commercial and industrial customers to store their solid waste. The containers range in size from one to 45 cubic yards and are designed so that they can be lifted mechanically and either emptied into a truck's compaction hopper or directly into a disposal site. By using containers, we can service most of our commercial and industrial customers with trucks operated by only one employee.</w:t>
      </w:r>
    </w:p>
    <w:p>
      <w:pPr>
        <w:spacing w:after="0" w:line="165" w:lineRule="exact"/>
        <w:rPr>
          <w:rFonts w:ascii="Courier New" w:cs="Courier New" w:eastAsia="Courier New" w:hAnsi="Courier New"/>
          <w:sz w:val="14"/>
          <w:szCs w:val="14"/>
          <w:color w:val="auto"/>
        </w:rPr>
      </w:pPr>
    </w:p>
    <w:p>
      <w:pPr>
        <w:ind w:left="600" w:right="3359" w:hanging="169"/>
        <w:spacing w:after="0" w:line="238" w:lineRule="auto"/>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most residential collection services, there is a contract with, or franchise granted by, a municipality or regional authority that has granted the Company the exclusive right to service all or a portion of the homes in that jurisdiction. These contracts or franchises are typically for one to five years, but can sometimes be much longer. The fees for residential collection are either paid by the authorities from their tax revenues or service charges, or are paid directly by the residents receiving the service.</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Transfer Stations. A transfer station is a facility located near residential and commercial collection routes where solid waste is received from trucks and then transferred to and compacted in large, specially constructed containers for transportation to disposal sites. Fees at transfer stations are usually based on the type and volume or weight of the waste transferred and the transportation distance to the disposal site. At</w:t>
      </w:r>
    </w:p>
    <w:p>
      <w:pPr>
        <w:sectPr>
          <w:pgSz w:w="11900" w:h="16838" w:orient="portrait"/>
          <w:cols w:equalWidth="0" w:num="1">
            <w:col w:w="10219"/>
          </w:cols>
          <w:pgMar w:left="240" w:top="283" w:right="1440" w:bottom="1440" w:gutter="0" w:footer="0" w:header="0"/>
        </w:sectPr>
      </w:pPr>
    </w:p>
    <w:p>
      <w:pPr>
        <w:spacing w:after="0" w:line="176"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3"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December 31, 2000, we operated approximately 300 transfer stations in North America. There are two main reasons for using transfer stations:</w:t>
      </w:r>
    </w:p>
    <w:p>
      <w:pPr>
        <w:spacing w:after="0" w:line="176" w:lineRule="exact"/>
        <w:rPr>
          <w:sz w:val="20"/>
          <w:szCs w:val="20"/>
          <w:color w:val="auto"/>
        </w:rPr>
      </w:pPr>
    </w:p>
    <w:p>
      <w:pPr>
        <w:ind w:left="600" w:right="3179" w:hanging="169"/>
        <w:spacing w:after="0" w:line="237" w:lineRule="auto"/>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use reduces the costs associated with transporting waste to final disposal sites. This is because consolidating and compacting the waste increases the density of the waste, allowing more waste to be transported in one trip. The consolidation of the waste therefore also improves the use of collection personnel and equipment.</w:t>
      </w:r>
    </w:p>
    <w:p>
      <w:pPr>
        <w:spacing w:after="0" w:line="178"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transfer stations can also help us internalize disposal costs. Internalization means we are able to pay ourselves, rather than a third party, the fees charged to dispose of waste we picked up. This is because a greater percentage of the waste we collect can be efficiently disposed of at one of our own disposal sites, rather than having to use one owned by a third party.</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Disposal. Landfills are the main depository for solid waste in North America. Solid waste landfills are located on land with geological and hydrological properties that limit the possibility of water pollution, and are operated under prescribed procedures. Currently, solid waste landfills must be designed, permitted, operated and closed in compliance with federal, state and local regulations pursuant to Subtitle D of the Resource Conservation and Recovery Act of 1976, as amended ("RCRA"). The operation of a solid waste landfill includes excavation, construction of liners and final caps, continuous spreading and compacting of waste, and covering of waste with earth or other inert material at least once a day. These operations are carefully planned to maintain sanitary conditions and to ensure the best possible use of the airspace and prepare the site so it can ultimately be used for other purposes.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Access to a disposal facility, such as a solid waste landfill, is a necessity for all solid waste management companies. While access can be obtained to disposal facilities owned or operated by unaffiliated third parties, we believe it is usually preferable for our collection operations to use disposal facilities that we own or operate. That way, access can be assured on favorable terms, and the Company achieves greater internalization, or pays itself instead of a third party. The fees charged at disposal facilities, which are known as "tipping fees," are based on market factors and the type and weight or volume of solid waste deposited and the type and size of the vehicles used in the transportation of the waste.</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also operate 5 secure hazardous waste landfills in the United States. Under RCRA, all hazardous waste landfills must be permitted by the federal government, and all of ours have obtained such permits. These landfills must also comply with certain operating standards, and our hazardous waste landfills have received the permits and approvals needed to accept hazardous waste, although some of them can only accept certain kinds of hazardous waste. Only hazardous waste in a stable, solid form which meets applicable regulatory requirements can be deposited in our secure disposal cells. Additionally, our hazardous waste landfills are sited, constructed and operated in a manner designed to provide long-term containment of the waste.</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Additionally, hazardous waste sometimes can be treated before disposal. Generally, these treatments involve the separation or removal of solid materials from liquids and chemical treatments that involve the transformation of wastes into inert materials. The Company operates a hazardous waste facility at which it isolates treated hazardous wastes in liquid form by injection into deep wells that have been drilled in rock formations far below the base of fresh water to a point that is separated by other substantial geological confining layers.</w:t>
      </w:r>
    </w:p>
    <w:p>
      <w:pPr>
        <w:spacing w:after="0" w:line="16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We owned or operated 305 solid waste and hazardous landfills at December 31, 2000. The tonnage volume that we received in 2000 is shown below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OF SITES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TONS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TONS PER DAY</w:t>
            </w:r>
          </w:p>
        </w:tc>
      </w:tr>
      <w:tr>
        <w:trPr>
          <w:trHeight w:val="170"/>
        </w:trPr>
        <w:tc>
          <w:tcPr>
            <w:tcW w:w="46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Solid waste.........................................</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119,676</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440</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Hazardous...........................................</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1,794</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w:t>
            </w:r>
          </w:p>
        </w:tc>
      </w:tr>
      <w:tr>
        <w:trPr>
          <w:trHeight w:val="170"/>
        </w:trPr>
        <w:tc>
          <w:tcPr>
            <w:tcW w:w="46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121,470</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447</w:t>
            </w:r>
          </w:p>
        </w:tc>
      </w:tr>
      <w:tr>
        <w:trPr>
          <w:trHeight w:val="170"/>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Closed during 2000..................................</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w:t>
            </w:r>
          </w:p>
        </w:tc>
        <w:tc>
          <w:tcPr>
            <w:tcW w:w="120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Sold during 2000....................................</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1,851</w:t>
            </w:r>
          </w:p>
        </w:tc>
        <w:tc>
          <w:tcPr>
            <w:tcW w:w="120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123,519</w:t>
            </w:r>
          </w:p>
        </w:tc>
        <w:tc>
          <w:tcPr>
            <w:tcW w:w="120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Based on remaining permitted capacity as of December 31, 2000 and projected annual disposal volumes, the average remaining landfill life for these landfills was approximately 18 years. When based on remaining permitted capacity and probable expansion capacity, the average remaining landfill life for these landfills was approximately 29 years. For the Company's operating landfills as of December 31, 2000, the expected remaining airspace capacity in cubic yards and the expected remaining landfill gate tons is shown below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PROBABLE</w:t>
            </w:r>
          </w:p>
        </w:tc>
        <w:tc>
          <w:tcPr>
            <w:tcW w:w="9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PERMITTED</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EXPANSION</w:t>
            </w:r>
          </w:p>
        </w:tc>
        <w:tc>
          <w:tcPr>
            <w:tcW w:w="9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8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Remaining</w:t>
            </w:r>
          </w:p>
        </w:tc>
        <w:tc>
          <w:tcPr>
            <w:tcW w:w="3840" w:type="dxa"/>
            <w:vAlign w:val="bottom"/>
          </w:tcPr>
          <w:p>
            <w:pPr>
              <w:ind w:left="60"/>
              <w:spacing w:after="0"/>
              <w:rPr>
                <w:sz w:val="20"/>
                <w:szCs w:val="20"/>
                <w:color w:val="auto"/>
              </w:rPr>
            </w:pPr>
            <w:r>
              <w:rPr>
                <w:rFonts w:ascii="Courier New" w:cs="Courier New" w:eastAsia="Courier New" w:hAnsi="Courier New"/>
                <w:sz w:val="15"/>
                <w:szCs w:val="15"/>
                <w:color w:val="auto"/>
                <w:w w:val="99"/>
              </w:rPr>
              <w:t>cubic yards...............................</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3,068,114</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1,835,985</w:t>
            </w:r>
          </w:p>
        </w:tc>
        <w:tc>
          <w:tcPr>
            <w:tcW w:w="9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4,904,099</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Remaining</w:t>
            </w:r>
          </w:p>
        </w:tc>
        <w:tc>
          <w:tcPr>
            <w:tcW w:w="3840" w:type="dxa"/>
            <w:vAlign w:val="bottom"/>
          </w:tcPr>
          <w:p>
            <w:pPr>
              <w:ind w:left="60"/>
              <w:spacing w:after="0"/>
              <w:rPr>
                <w:sz w:val="20"/>
                <w:szCs w:val="20"/>
                <w:color w:val="auto"/>
              </w:rPr>
            </w:pPr>
            <w:r>
              <w:rPr>
                <w:rFonts w:ascii="Courier New" w:cs="Courier New" w:eastAsia="Courier New" w:hAnsi="Courier New"/>
                <w:sz w:val="15"/>
                <w:szCs w:val="15"/>
                <w:color w:val="auto"/>
                <w:w w:val="99"/>
              </w:rPr>
              <w:t>tonnage...................................</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2,446,683</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1,477,775</w:t>
            </w:r>
          </w:p>
        </w:tc>
        <w:tc>
          <w:tcPr>
            <w:tcW w:w="9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3,924,458</w:t>
            </w:r>
          </w:p>
        </w:tc>
      </w:tr>
    </w:tbl>
    <w:p>
      <w:pPr>
        <w:spacing w:after="0" w:line="34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estimated operating lives, based on remaining permitted and probable expansion capacity and projected annual disposal volume, in years, as of December 31, 2000,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0 TO 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 TO 10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 TO 20</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21 TO 40</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41+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Owned/operated through lease....................</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73</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76</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Contracts, primarily with municipalities........</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19</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10</w:t>
            </w:r>
          </w:p>
        </w:tc>
        <w:tc>
          <w:tcPr>
            <w:tcW w:w="520" w:type="dxa"/>
            <w:vAlign w:val="bottom"/>
          </w:tcPr>
          <w:p>
            <w:pPr>
              <w:ind w:left="220"/>
              <w:spacing w:after="0"/>
              <w:rPr>
                <w:sz w:val="20"/>
                <w:szCs w:val="20"/>
                <w:color w:val="auto"/>
              </w:rPr>
            </w:pPr>
            <w:r>
              <w:rPr>
                <w:rFonts w:ascii="Courier New" w:cs="Courier New" w:eastAsia="Courier New" w:hAnsi="Courier New"/>
                <w:sz w:val="15"/>
                <w:szCs w:val="15"/>
                <w:color w:val="auto"/>
              </w:rPr>
              <w:t>6</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70"/>
        </w:trPr>
        <w:tc>
          <w:tcPr>
            <w:tcW w:w="4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52</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83</w:t>
            </w:r>
          </w:p>
        </w:tc>
        <w:tc>
          <w:tcPr>
            <w:tcW w:w="520" w:type="dxa"/>
            <w:vAlign w:val="bottom"/>
          </w:tcPr>
          <w:p>
            <w:pPr>
              <w:ind w:left="140"/>
              <w:spacing w:after="0"/>
              <w:rPr>
                <w:sz w:val="20"/>
                <w:szCs w:val="20"/>
                <w:color w:val="auto"/>
              </w:rPr>
            </w:pPr>
            <w:r>
              <w:rPr>
                <w:rFonts w:ascii="Courier New" w:cs="Courier New" w:eastAsia="Courier New" w:hAnsi="Courier New"/>
                <w:sz w:val="15"/>
                <w:szCs w:val="15"/>
                <w:color w:val="auto"/>
              </w:rPr>
              <w:t>82</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w:t>
            </w: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the ordinary course of business, we apply for and generally receive landfill airspace expansions prior to reaching permitted capacities and we generally receive operating contract renewals prior to the end of disposal site operating agreements.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Recycling. The Company provides recycling services in the United States and Canada through its Recycle America(R), Recycle Canada(R) and other programs. Recycling involves the removal of reusable materials from the waste stream for processing and sale or other disposition for use in various applications. Participating commercial and industrial operations use containers to separate recyclable paper, glass, plastic and metal wastes for collection, processing and sale by the Company. Fees are determined by such considerations as competition, frequency of collection, type and volume or weight of the recyclable material, degree of processing required, distance the recyclable material must be transported and value of the recyclable material.</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our residential solid waste collection services, we engage in curbside collection of recyclable materials from residences in the United States and Canada. Curbside recycling services generally involve the collection of recyclable paper, glass, plastic and metal waste materials, which may be separated by residents into different waste containers or commingled with other recyclable materials. The recyclable materials are then typically deposited at a local materials recovery facility ("MRF"), where they are sorted and processed for sale. We operate over 190 MRFs for the receipt and processing of recyclable materials. Our processing of recyclable materials includes separating recyclable materials according to type and baling or otherwise preparing the separated materials for sale.</w:t>
      </w:r>
    </w:p>
    <w:p>
      <w:pPr>
        <w:sectPr>
          <w:pgSz w:w="11900" w:h="16838" w:orient="portrait"/>
          <w:cols w:equalWidth="0" w:num="1">
            <w:col w:w="10219"/>
          </w:cols>
          <w:pgMar w:left="240" w:top="283" w:right="1440" w:bottom="1440" w:gutter="0" w:footer="0" w:header="0"/>
        </w:sectPr>
      </w:pPr>
    </w:p>
    <w:p>
      <w:pPr>
        <w:spacing w:after="0" w:line="181"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3"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Other. We operate and own 16 waste-to-energy facilities in the United States. Our waste-to-energy projects are capable of processing up to 23,750 tons of solid waste per day. The heat from this combustion process is converted into high-pressure steam, which typically is used to generate electricity for sale to public utility companies under long-term contracts.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66 of our owned or operated solid waste landfill facilities, we are engaged in methane gas recovery operations. These operations involve the installation of a gas collection system into a solid waste landfill facility. Through the gas collection system, gas generated by decomposing solid waste is collected and transported to a gas-processing facility at the landfill site. Through physical and chemical processes, methane gas is separated from contaminants. The processed methane gas is then generally either sold directly to industrial users or to an affiliate of the Company which uses it as a fuel to power electricity generators. Electricity generated by these facilities is sold, usually to public utilities or industrial customers under long-term sales contracts, often under terms or conditions which are subject to approval by regulatory authorities.</w:t>
      </w:r>
    </w:p>
    <w:p>
      <w:pPr>
        <w:spacing w:after="0" w:line="182"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We rent and service portable restroom facilities to municipalities and commercial customers under the name Port-o-let(R), and provide street and parking lot sweeping services.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also provide in-plant services, or "IPS," which is an outsourcing of our employees to provide full service waste management to customers at their plants. Because we have vertically integrated waste management operations, we are able to provide customers with full management of their waste, including choosing the right sized containers, finding recycling opportunities, minimizing their waste, and transporting and disposing of their waste.</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WM International</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international, or "WM International," operations include all of our operations outside of North America. The WM International operations include the collection and transportation of solid, hazardous and medical wastes and recyclable materials and the treatment and disposal of recyclable materials. Also included are the operation of solid and hazardous waste landfills, municipal and hazardous waste incinerators, water and waste water treatment facilities, hazardous waste treatment facilities, waste-fuel powered independent power facilities, and the construction of treatment or disposal facilities for third parties.</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discussed above, part of our 1999 strategic plan was to divest all of our WM International operations. As of December 31, 2000, all of our WM International operations had been divested except for certain operations in Sweden and our operations in Argentina and Israel. These operations are expected to be sold in 2001.</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Non-Solid Waste Services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non-solid waste operations include all hazardous waste management and other North American non-solid waste services (except for hazardous waste landfills, which are included in NASW operations), including low-level and other radioactive waste services, geosynthetic manufacturing and installation services and independent power projects. Hazardous waste management services include the collection, transfer and treatment of hazardous waste. The Company's low-level and other radioactive waste services generally consist of disposal, processing and various other special services related to these types of waste. Additionally, the Company provides hazardous, radioactive and mixed waste program and facilities management services. The geosynthetic manufacturing and installation services generally involve the making and installing of landfill liners. Finally, the services included in the Company's independent power projects are the operation and, in some cases the ownership, of independent power projects that either cogenerate electricity and thermal energy or generate electricity alone for sale to customers, including public utilities and industrial customers.</w:t>
      </w:r>
    </w:p>
    <w:p>
      <w:pPr>
        <w:spacing w:after="0" w:line="18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These operations are considered "non-core," since they are not part of our NASW operations. Therefore, as discussed above, as part of the 1999 strategic plan, we sold all of these operations other than the geosynthetic manufacturing and installation services and independent power projects in 2000. However, we expect to sell these operations in 2001.</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solid waste industry is very competitive. The competition we encounter is from a number of publicly-held companies, locally-owned private solid waste services companies, and large commercial and industrial companies handling their own waste collection or disposal operations. We also have competition from municipalities and other regional government authorities with respect to residential and commercial solid waste collection and solid waste landfills. The municipalities and other regional governmental authorities can sometimes offer lower direct charges to the customer for the same service by subsidizing the cost of services through the use of tax revenues and tax-exempt financing.</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costs, disposal costs, and collection fees vary widely throughout the geographic areas in which we operate. The prices that we charge are determined locally, and typically vary by the volume, type of waste collected, treatment requirements, risks involved in the handling or disposing of waste, frequency of collections, distance to final disposal sites, labor costs and amount and type of equipment furnished to the customer. Intense competition is encountered for both quality of service and pricing. From time to time, competitors may reduce the price of their services and accept lower profit margins in an effort to expand or maintain market share or to successfully obtain competitively bid contracts.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At December 31, 2000, the Company had approximately 57,000 full-time employees, of which approximately 8,000 were employed in clerical, administrative, and sales positions, 3,000 in management, and the balance in collection, disposal, transfer station and other operations. Approximately 15,000 of our employees are covered by collective bargaining agreements. The Company has not experienced a significant work stoppage, and management considers its employee relations to be good.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AND FINANCIAL ASSURANCE OBLIGATIONS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carry a broad range of insurance coverages, including general liability, automobile liability, real and personal property, workers' compensation, directors' and officers' liability, environmental impairment liability, and other coverages we believe are customary to the industry. Except as discussed in the "Legal Proceedings" section of this report, we do not expect the impact of any known casualty, property, environmental insurance or other contingency to be material to our financial condition, results of operations or cash flows.</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Through December 31, 2000, we have not experienced any difficulty in obtaining insurance. However, if we were unable to obtain adequate insurance in the future, or decided to operate without insurance, any partially or completely uninsured claim against the Company, if successful and of sufficient magnitude, could have a material adverse effect upon our financial condition, results of operations or cash flows. Additionally, our continued access to casualty and pollution legal liability insurance with sufficient limits at acceptable terms is an important aspect of obtaining revenue-producing waste service contracts.</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Municipal and governmental waste management contracts typically require performance bonds or bank letters of credit to secure performance. We are also required to provide financial assurance for the final closure and post-closure obligations with respect to our landfills. We establish financial assurance in different ways, depending on the jurisdiction, including escrow-type accounts funded by revenues during the operational life of a facility, letters of credit from third parties, surety bonds and traditional insurance. However, we also establish financial assurance through "captive insurance" which is insurance provided by our wholly-owned, but independent, regulated insurance company subsidiary, National Guaranty Insurance Company ("NGIC"). NGIC is authorized to write up to $925 million in insurance policies or surety bonds for our final closure and post-closure requirements. When the use of NGIC is not acceptable, we have other alternatives as mentioned above.</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of December 31, 2000, we had provided letters of credit of approximately $1.7 billion, surety bonds of approximately $2.8 billion and insurance policies of approximately $900 million to municipalities, customers and regulatory authorities supporting tax-exempt bonds, performance of landfill final closure and post-closure requirements, insurance contracts, municipal contracts and financial guarantee obligations. We have not experienced difficulty in obtaining financial assurance for our current operations. However, continued</w:t>
      </w:r>
    </w:p>
    <w:p>
      <w:pPr>
        <w:spacing w:after="0" w:line="16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availability of surety bonds, letters of credit and insurance policies in sufficient amounts at acceptable rates is an important aspect of obtaining additional tax-exempt financing, municipal collection contracts and obtaining or retaining disposal site or transfer station operating permits.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business is subject to extensive and evolving federal, state, local and foreign environmental, health, safety, and transportation laws and regulations. These regulations are administered by the EPA in the United States, various other federal, state, and local environmental, zoning, transportation, land use, health, and safety agencies in the United States and various other agencies outside of the United States. Many of these agencies regularly examine the Company's operations to monitor compliance with these laws and regulations.</w:t>
      </w:r>
    </w:p>
    <w:p>
      <w:pPr>
        <w:spacing w:after="0" w:line="16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Governmental authorities have the power to enforce compliance with these laws and regulations and to obtain injunctions or impose civil or criminal penalties in case of violations.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Because the major component of our business is the collection and disposal of solid waste in an environmentally sound manner, a significant amount of our capital expenditures are related, either directly or indirectly, to environmental protection measures, including compliance with federal, state and local provisions that have been enacted or adopted regulating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landfill or transfer station, we must often spend considerable time, effort and money to obtain required permits and approvals. There can not be any assurances that we will be able to obtain governmental approvals needed. Once obtained, operating permits are subject to modification and revocation by the issuing agency. Compliance with these and any future regulatory requirements could require the Company to make significant capital and operating expenditures. However, most of these expenditures are made in the normal course of business and do not place us at any competitive disadvantage.</w:t>
      </w:r>
    </w:p>
    <w:p>
      <w:pPr>
        <w:spacing w:after="0" w:line="187"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primary United States federal statutes affecting the Company's business are summarized below:</w:t>
      </w:r>
    </w:p>
    <w:p>
      <w:pPr>
        <w:spacing w:after="0" w:line="176" w:lineRule="exact"/>
        <w:rPr>
          <w:sz w:val="20"/>
          <w:szCs w:val="20"/>
          <w:color w:val="auto"/>
        </w:rPr>
      </w:pPr>
    </w:p>
    <w:p>
      <w:pPr>
        <w:ind w:left="600" w:right="3179" w:hanging="169"/>
        <w:spacing w:after="0" w:line="238"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RCRA, regulates the handling, transportation and disposal of hazardous and non-hazardous wastes and delegates authority to states to develop programs to ensure the safe disposal of solid wastes.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The Company could incur costs in complying with these standards; however, we do not believe that such costs would have a material adverse effect on our operations. From time to time, the Company may incur costs in complying with these standards in the ordinary course of its operations; however all of the Company's planned landfill expansions will be engineered to meet or exceed applicable Subtitle D requirements.</w:t>
      </w:r>
    </w:p>
    <w:p>
      <w:pPr>
        <w:spacing w:after="0" w:line="183"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Comprehensive Environmental Response, Compensation and Liability Act of 1980, as amended ("CERCLA"), provides for the cleanup of sites from which there is a release or threatened release of a hazardous substance into the environment. CERCLA's primary means for accomplishing remediation of such problems is to impose liability for cleanup of disposal sites on current owners and operators, former owners and operators at the time of disposal as well as the generators of the waste and the transporters who select the disposal site. Liability under CERCLA is not dependent on the intentional disposal of hazardous wastes. It can be based upon the release or threatened release even as a result of lawful, unintentional and non-negligent action, of any one of the more than 700 "hazardous substances" listed by the EPA, even in very small quantities.</w:t>
      </w:r>
    </w:p>
    <w:p>
      <w:pPr>
        <w:spacing w:after="0" w:line="182" w:lineRule="exact"/>
        <w:rPr>
          <w:rFonts w:ascii="Courier New" w:cs="Courier New" w:eastAsia="Courier New" w:hAnsi="Courier New"/>
          <w:sz w:val="15"/>
          <w:szCs w:val="15"/>
          <w:color w:val="auto"/>
        </w:rPr>
      </w:pPr>
    </w:p>
    <w:p>
      <w:pPr>
        <w:ind w:left="600" w:right="3259" w:hanging="169"/>
        <w:spacing w:after="0" w:line="238"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Water Pollution Control Act of 1972 (the "Clean Water Act"), establishes rules for regulating the discharge of pollutants into streams, rivers, groundwater, or other surface waters from a variety of sources, including solid waste disposal sites. If run-off from the Company's operations may be discharged into surface waters, the Clean Water Act requires us to apply for and obtain discharge</w:t>
      </w:r>
    </w:p>
    <w:p>
      <w:pPr>
        <w:sectPr>
          <w:pgSz w:w="11900" w:h="16838" w:orient="portrait"/>
          <w:cols w:equalWidth="0" w:num="1">
            <w:col w:w="10219"/>
          </w:cols>
          <w:pgMar w:left="240" w:top="283" w:right="1440" w:bottom="1440" w:gutter="0" w:footer="0" w:header="0"/>
        </w:sectPr>
      </w:pPr>
    </w:p>
    <w:p>
      <w:pPr>
        <w:spacing w:after="0" w:line="176"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3"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left="600" w:right="3179"/>
        <w:spacing w:after="0" w:line="257" w:lineRule="auto"/>
        <w:rPr>
          <w:sz w:val="20"/>
          <w:szCs w:val="20"/>
          <w:color w:val="auto"/>
        </w:rPr>
      </w:pPr>
      <w:r>
        <w:rPr>
          <w:rFonts w:ascii="Courier New" w:cs="Courier New" w:eastAsia="Courier New" w:hAnsi="Courier New"/>
          <w:sz w:val="14"/>
          <w:szCs w:val="14"/>
          <w:color w:val="auto"/>
        </w:rPr>
        <w:t>permits, conduct sampling and monitoring, and, under certain circumstances, reduce the quantity of pollutants in those discharges. In 1990, the EPA issued additional rules under the Clean Water Act, which establish standards for management of storm water runoff from landfills and which require landfills to obtain storm water discharge permits. In addition, if a landfill or a transfer station discharges wastewater through a sewage system to a publicly owned treatment works, the facility must comply with discharge limits imposed by the treatment works. Also, if development of a landfill may alter or affect "wetlands," a permit may have to be obtained before such development could commence. This requirement is likely to affect the construction or expansion of many landfill sites. The Clean Waster Act provides for civil, criminal and administrative penalties for violations of its provisions.</w:t>
      </w:r>
    </w:p>
    <w:p>
      <w:pPr>
        <w:spacing w:after="0" w:line="165" w:lineRule="exact"/>
        <w:rPr>
          <w:sz w:val="20"/>
          <w:szCs w:val="20"/>
          <w:color w:val="auto"/>
        </w:rPr>
      </w:pPr>
    </w:p>
    <w:p>
      <w:pPr>
        <w:ind w:left="600" w:right="3179" w:hanging="169"/>
        <w:spacing w:after="0" w:line="257" w:lineRule="auto"/>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Clean Air Act of 1970, as amended (the "Clean Air Act"), provides for increased federal, state and local regulation of the emission of air pollutants. The EPA has applied the Clean Air Act to certain of our operations, including solid waste landfills and waste collection vehicles. Additionally, in 1996, the EPA issued new emission guidelines for solid waste landfills. These regulations impose limits on air emissions from solid waste landfills. These guidelines, along with the new permitting programs established under the recent Clean Air Act amendments, will likely subject solid waste landfills to significant new permitting requirements and, in some instances, require installation of methane gas recovery systems to reduce emissions to allowable limits. However, the costs of compliance with Clean Air Act permitting and emission control requirements are not anticipated to have a material adverse effect on the Company. At 66 of our facilities, methane gas is recovered and used to power electricity production facilities.</w:t>
      </w:r>
    </w:p>
    <w:p>
      <w:pPr>
        <w:spacing w:after="0" w:line="164" w:lineRule="exact"/>
        <w:rPr>
          <w:rFonts w:ascii="Courier New" w:cs="Courier New" w:eastAsia="Courier New" w:hAnsi="Courier New"/>
          <w:sz w:val="14"/>
          <w:szCs w:val="14"/>
          <w:color w:val="auto"/>
        </w:rPr>
      </w:pPr>
    </w:p>
    <w:p>
      <w:pPr>
        <w:ind w:left="600" w:right="3179" w:hanging="169"/>
        <w:spacing w:after="0" w:line="238"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record keeping, disclosures and procedural requirements. Various standards for notices of hazards, safety in excavation and demolition work, and the handling of asbestos, may apply to our operations.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There are also various state and local regulations that affect our operations. Generally, states have their own laws and regulations that are sometimes more strict than comparable federal laws and regulations governing solid waste disposal, water and air pollution, releases and cleanup of hazardous substances and liability for such matters. Additionally, our collection and landfill operations could be affected by the trend toward requiring the development of waste reduction and recycling programs. Legislative and regulatory measures to either require or encourage waste reduction at the source and waste recycling have also been considered by the United States Congress and the EPA.</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was unconstitutional. However, from time to time, the United States Congress has considered legislation authorizing states to adopt regulations, restrictions, or taxes on the importation of out-of-state or out-of-jurisdiction waste. These congressional efforts have been unsuccessful.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the Company's solid waste management services.</w:t>
      </w:r>
    </w:p>
    <w:p>
      <w:pPr>
        <w:spacing w:after="0" w:line="18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Many states and local jurisdictions have enacted "fitness" laws that allow the agencies that have jurisdiction over waste services contracts or permits to deny or revoke these contracts or permits based on the applicant or permit holder's compliance history. Some states and local jurisdictions go further and consider the compliance history of the parent, subsidiaries or affiliated companies, in addition to the applicant or permit</w:t>
      </w: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FACTORS INFLUENCING FUTURE RESULTS AND ACCURACY OF FORWARD-LOOKING STATEMENTS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When we use words like "may," "believe," "expect," "anticipate," "should," "estimate," "project," "plan," their opposites and similar expressions, the Company is making forward-looking statements. These expressions are most often used in statements relating to business plans, strategies, anticipated benefits or projections about the anticipated revenues, earnings or other aspects of our operating results. We make these statements in an effort to keep stockholders and the public informed about our business and have based these forward-looking statements on our current expectations about future events. You should view such statements with caution. These statements are not guarantees of future performance or events. As noted elsewhere in this report, all phases of our business are subject to uncertainties, risks and other influences, many of which the Company has no control over. Additionally, any of these factors, either alone or taken together, could have a material adverse effect on the Company and could change whether any forward-looking statement ultimately turns out to be true.</w:t>
      </w:r>
    </w:p>
    <w:p>
      <w:pPr>
        <w:spacing w:after="0" w:line="18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Outlined below are some of the risks that the Company faces and that could affect our business and financial statements for 2001 and beyond. However, they are not the only risks that the Company faces. There may be additional risks that we do not presently know or that we currently believe are immaterial which could also impair our business.</w:t>
      </w:r>
    </w:p>
    <w:p>
      <w:pPr>
        <w:spacing w:after="0" w:line="17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We Face Uncertainties Relating to Pending Litigation and Investigations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On three different occasions during July and August 1999, we lowered our expected earnings per share for the three months ended June 30, 1999. Additionally, in February 1998, Waste Management Holdings announced restatements of its prior-period financial statements.</w:t>
      </w:r>
    </w:p>
    <w:p>
      <w:pPr>
        <w:spacing w:after="0" w:line="176"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More than 30 lawsuits that claim to be based on our 1999 announcements have been filed against us and some of our current and former officers and directors. These lawsuits, which have been consolidated into one action, assert various claims under the federal securities laws, including claims that (i) the projections we made about our June 30, 1999 earnings were false and misleading,</w:t>
      </w:r>
    </w:p>
    <w:p>
      <w:pPr>
        <w:spacing w:after="0" w:line="2" w:lineRule="exact"/>
        <w:rPr>
          <w:sz w:val="20"/>
          <w:szCs w:val="20"/>
          <w:color w:val="auto"/>
        </w:rPr>
      </w:pPr>
    </w:p>
    <w:p>
      <w:pPr>
        <w:ind w:left="10" w:right="3179" w:hanging="10"/>
        <w:spacing w:after="0" w:line="238"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failed to disclose information about our earnings projections that would have been important to purchasers of our stock, (iii) we made further misrepresentations after July 29,1999 about our operations and finances, resulting in the Company taking a pre-tax charge of $1.76 billion in the third quarter of 1999, and (iv) we made false or misleading representations in the registration statement and prospectus filed with the SEC in connection with our July 1998 acquisition of WM Holdings. The plaintiffs also claim that certain of our current and former officers and directors sold their common stock during times when they knew the price was artificially inflated by the alleged misstatements and omissions.</w:t>
      </w:r>
    </w:p>
    <w:p>
      <w:pPr>
        <w:spacing w:after="0" w:line="180"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Additionally, individuals who sold their businesses to us, WM Holdings or other companies we later acquired have filed lawsuits against us and WM Holdings alleging various claims, including fraud, breach of contract, breach of warranty, overvaluation of the stock they received and other claims similar to those included in the class action described above.</w:t>
      </w:r>
    </w:p>
    <w:p>
      <w:pPr>
        <w:spacing w:after="0" w:line="17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Other lawsuits relating to the facts described above, including derivative actions, have been filed against Waste Management Holdings and us. We recently announced a proposed settlement, which is subject to court approval, with respect to the derivative suit against WM Holdings relating to the February 1998 restatement of earnings, as well as claims by former officers of WM Holdings for retirement and other benefits withheld by us.</w:t>
      </w:r>
    </w:p>
    <w:p>
      <w:pPr>
        <w:spacing w:after="0" w:line="176" w:lineRule="exact"/>
        <w:rPr>
          <w:sz w:val="20"/>
          <w:szCs w:val="20"/>
          <w:color w:val="auto"/>
        </w:rPr>
      </w:pPr>
    </w:p>
    <w:p>
      <w:pPr>
        <w:ind w:left="10" w:right="3259" w:firstLine="441"/>
        <w:spacing w:after="0" w:line="259" w:lineRule="auto"/>
        <w:rPr>
          <w:sz w:val="20"/>
          <w:szCs w:val="20"/>
          <w:color w:val="auto"/>
        </w:rPr>
      </w:pPr>
      <w:r>
        <w:rPr>
          <w:rFonts w:ascii="Courier New" w:cs="Courier New" w:eastAsia="Courier New" w:hAnsi="Courier New"/>
          <w:sz w:val="14"/>
          <w:szCs w:val="14"/>
          <w:color w:val="auto"/>
        </w:rPr>
        <w:t>The SEC has commenced a formal investigation against WM Holdings with respect to its previously filed financial statements for the years 1991 and earlier through 1997, and the NYSE has notified us that it is reviewing transactions in our common stock before our July 6, 1999 earnings announcement.</w:t>
      </w:r>
    </w:p>
    <w:p>
      <w:pPr>
        <w:spacing w:after="0" w:line="15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We and our subsidiaries are also currently involved in other civil litigation and governmental proceedings relating to the conduct of our business.</w:t>
      </w:r>
    </w:p>
    <w:p>
      <w:pPr>
        <w:spacing w:after="0" w:line="15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We do not believe it is feasible to predict or determine the outcome or resolution of any of these proceedings or investigations. In addition, the timing of the final resolutions to these matters is uncertain. The possible outcomes or resolutions to these matters or any new litigation or governmental proceedings could include judgments against us or settlements and could require substantial payments by us. We believe that adverse outcomes or any other resolution, such as settlements, could have a material adverse effect on our financial condition, results of operations and cash flows.</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We Could Be Liable For Environmental Damages Resulting From Our Operations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176" w:lineRule="exact"/>
        <w:rPr>
          <w:sz w:val="20"/>
          <w:szCs w:val="20"/>
          <w:color w:val="auto"/>
        </w:rPr>
      </w:pPr>
    </w:p>
    <w:p>
      <w:pPr>
        <w:ind w:left="600" w:right="3359" w:hanging="169"/>
        <w:spacing w:after="0" w:line="237" w:lineRule="auto"/>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76" w:lineRule="exact"/>
        <w:rPr>
          <w:rFonts w:ascii="Courier New" w:cs="Courier New" w:eastAsia="Courier New" w:hAnsi="Courier New"/>
          <w:sz w:val="15"/>
          <w:szCs w:val="15"/>
          <w:color w:val="auto"/>
        </w:rPr>
      </w:pPr>
    </w:p>
    <w:p>
      <w:pPr>
        <w:ind w:left="600" w:right="3359" w:hanging="169"/>
        <w:spacing w:after="0" w:line="259" w:lineRule="auto"/>
        <w:tabs>
          <w:tab w:leader="none" w:pos="6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63"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adverse outcome of one or more of these proceedings could have a material adverse effect on our financial condition, results of operations and cash flows.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successful, we may incur fines, penalties or other sanctions that could have a material adverse effect on our financial condition, results of operations and cash flows.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our insurance coverage for environmental liability, if we were to incur liability for environmental damage, such liability could have a material adverse effect on our financial condition, results of operations and cash flows.</w:t>
      </w:r>
    </w:p>
    <w:p>
      <w:pPr>
        <w:spacing w:after="0" w:line="177" w:lineRule="exact"/>
        <w:rPr>
          <w:sz w:val="20"/>
          <w:szCs w:val="20"/>
          <w:color w:val="auto"/>
        </w:rPr>
      </w:pPr>
    </w:p>
    <w:p>
      <w:pPr>
        <w:ind w:left="160" w:right="3259"/>
        <w:spacing w:after="0" w:line="235" w:lineRule="auto"/>
        <w:rPr>
          <w:sz w:val="20"/>
          <w:szCs w:val="20"/>
          <w:color w:val="auto"/>
        </w:rPr>
      </w:pPr>
      <w:r>
        <w:rPr>
          <w:rFonts w:ascii="Courier New" w:cs="Courier New" w:eastAsia="Courier New" w:hAnsi="Courier New"/>
          <w:sz w:val="15"/>
          <w:szCs w:val="15"/>
          <w:color w:val="auto"/>
        </w:rPr>
        <w:t>Governmental Regulations May Restrict Our Operations Or Increase Our Costs Of Operations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Stringent government regulations at the federal, state and local level in the United States and in other countries in which we have operations have a substantial impact on our business. A large number of complex laws, rules, orders and interpretations govern environmental protection, health, safety, land use, zoning,</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transportation and related matters. Among other things, they may restrict our operations and adversely affect our financial condition, results of operations and cash flows by imposing conditions such as:</w:t>
      </w:r>
    </w:p>
    <w:p>
      <w:pPr>
        <w:spacing w:after="0" w:line="175" w:lineRule="exact"/>
        <w:rPr>
          <w:sz w:val="20"/>
          <w:szCs w:val="20"/>
          <w:color w:val="auto"/>
        </w:rPr>
      </w:pPr>
    </w:p>
    <w:p>
      <w:pPr>
        <w:ind w:left="600" w:right="3879" w:hanging="169"/>
        <w:spacing w:after="0" w:line="237"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siting and construction of new waste disposal, transfer or processing facilities or the expansion of existing facilities;</w:t>
      </w:r>
    </w:p>
    <w:p>
      <w:pPr>
        <w:spacing w:after="0" w:line="174"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and regulations on collection and disposal prices, rates and volumes;</w:t>
      </w:r>
    </w:p>
    <w:p>
      <w:pPr>
        <w:spacing w:after="0" w:line="175"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or bans on disposal or transportation of out-of-state waste or certain categories of waste; or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mandates regarding the disposal of solid waste.</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We Face Potential Difficulties In Continuing To Expand And Manage Our Growth</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made a number of acquisitions, some of them substantial, and continue to pursue operations that can be effectively integrated with our existing operations. Our future financial results and prospects depend in part on our ability to successfully manage and improve the operating efficiencies and productivity of these acquired operations. In particular, whether the anticipated benefits of acquired operations are ultimately achieved will depend on a number of factors, including our ability to achieve administrative cost savings, rationalization of collection routes, insurance and bonding cost reductions, general economies of scale, and our ability, generally, to capitalize on our asset base and strategic position. Moreover, our ability to operate successfully will depend on a number of factors, including competition from other waste management companies, availability of working capital, ability to maintain margins on existing or acquired operations, and the management of costs in a changing regulatory environment.</w:t>
      </w:r>
    </w:p>
    <w:p>
      <w:pPr>
        <w:spacing w:after="0" w:line="18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Our future and past acquisitions involve certain other potential risks, including:</w:t>
      </w:r>
    </w:p>
    <w:p>
      <w:pPr>
        <w:spacing w:after="0" w:line="176" w:lineRule="exact"/>
        <w:rPr>
          <w:sz w:val="20"/>
          <w:szCs w:val="20"/>
          <w:color w:val="auto"/>
        </w:rPr>
      </w:pPr>
    </w:p>
    <w:p>
      <w:pPr>
        <w:ind w:left="600" w:right="3359" w:hanging="169"/>
        <w:spacing w:after="0" w:line="235" w:lineRule="auto"/>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failure to accurately assess all of the pre-existing liabilities of acquired companies;</w:t>
      </w:r>
    </w:p>
    <w:p>
      <w:pPr>
        <w:spacing w:after="0" w:line="175"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difficulties in successfully integrating the operations of acquired companies with our existing operations;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and uncertainties regarding government-forced divestitures;</w:t>
      </w:r>
    </w:p>
    <w:p>
      <w:pPr>
        <w:spacing w:after="0" w:line="174" w:lineRule="exact"/>
        <w:rPr>
          <w:rFonts w:ascii="Courier New" w:cs="Courier New" w:eastAsia="Courier New" w:hAnsi="Courier New"/>
          <w:sz w:val="15"/>
          <w:szCs w:val="15"/>
          <w:color w:val="auto"/>
        </w:rPr>
      </w:pPr>
    </w:p>
    <w:p>
      <w:pPr>
        <w:ind w:left="600" w:right="3879" w:hanging="169"/>
        <w:spacing w:after="0" w:line="235" w:lineRule="auto"/>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restraints imposed by federal and state agencies regarding market concentration and competitor behavior;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lack of attractive acquisition opportunities;</w:t>
      </w:r>
    </w:p>
    <w:p>
      <w:pPr>
        <w:spacing w:after="0" w:line="174" w:lineRule="exact"/>
        <w:rPr>
          <w:rFonts w:ascii="Courier New" w:cs="Courier New" w:eastAsia="Courier New" w:hAnsi="Courier New"/>
          <w:sz w:val="15"/>
          <w:szCs w:val="15"/>
          <w:color w:val="auto"/>
        </w:rPr>
      </w:pPr>
    </w:p>
    <w:p>
      <w:pPr>
        <w:ind w:left="600" w:right="3879" w:hanging="169"/>
        <w:spacing w:after="0" w:line="235" w:lineRule="auto"/>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obtain the capital required to finance potential acquisitions on satisfactory terms;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businesses we acquire not proving profitable; and</w:t>
      </w:r>
    </w:p>
    <w:p>
      <w:pPr>
        <w:spacing w:after="0" w:line="174" w:lineRule="exact"/>
        <w:rPr>
          <w:rFonts w:ascii="Courier New" w:cs="Courier New" w:eastAsia="Courier New" w:hAnsi="Courier New"/>
          <w:sz w:val="15"/>
          <w:szCs w:val="15"/>
          <w:color w:val="auto"/>
        </w:rPr>
      </w:pPr>
    </w:p>
    <w:p>
      <w:pPr>
        <w:ind w:left="600" w:right="3799" w:hanging="169"/>
        <w:spacing w:after="0" w:line="235" w:lineRule="auto"/>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incurring additional indebtedness or issuing additional equity securities as a result of future acquisitions.</w:t>
      </w:r>
    </w:p>
    <w:p>
      <w:pPr>
        <w:spacing w:after="0" w:line="176" w:lineRule="exact"/>
        <w:rPr>
          <w:sz w:val="20"/>
          <w:szCs w:val="20"/>
          <w:color w:val="auto"/>
        </w:rPr>
      </w:pPr>
    </w:p>
    <w:p>
      <w:pPr>
        <w:ind w:left="160" w:right="3259"/>
        <w:spacing w:after="0" w:line="235" w:lineRule="auto"/>
        <w:rPr>
          <w:sz w:val="20"/>
          <w:szCs w:val="20"/>
          <w:color w:val="auto"/>
        </w:rPr>
      </w:pPr>
      <w:r>
        <w:rPr>
          <w:rFonts w:ascii="Courier New" w:cs="Courier New" w:eastAsia="Courier New" w:hAnsi="Courier New"/>
          <w:sz w:val="15"/>
          <w:szCs w:val="15"/>
          <w:color w:val="auto"/>
        </w:rPr>
        <w:t>Our Accounting Policies Concerning Unamortized Capitalized Expenditures Could Result In A Material Charge Against Our Earnings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w:t>
      </w:r>
    </w:p>
    <w:p>
      <w:pPr>
        <w:sectPr>
          <w:pgSz w:w="11900" w:h="16838" w:orient="portrait"/>
          <w:cols w:equalWidth="0" w:num="1">
            <w:col w:w="10219"/>
          </w:cols>
          <w:pgMar w:left="240" w:top="283" w:right="1440" w:bottom="1440" w:gutter="0" w:footer="0" w:header="0"/>
        </w:sectPr>
      </w:pP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w:t>
      </w:r>
    </w:p>
    <w:p>
      <w:pPr>
        <w:spacing w:after="0" w:line="180" w:lineRule="exact"/>
        <w:rPr>
          <w:sz w:val="20"/>
          <w:szCs w:val="20"/>
          <w:color w:val="auto"/>
        </w:rPr>
      </w:pPr>
    </w:p>
    <w:p>
      <w:pPr>
        <w:ind w:left="160" w:right="3799"/>
        <w:spacing w:after="0" w:line="237" w:lineRule="auto"/>
        <w:rPr>
          <w:sz w:val="20"/>
          <w:szCs w:val="20"/>
          <w:color w:val="auto"/>
        </w:rPr>
      </w:pPr>
      <w:r>
        <w:rPr>
          <w:rFonts w:ascii="Courier New" w:cs="Courier New" w:eastAsia="Courier New" w:hAnsi="Courier New"/>
          <w:sz w:val="15"/>
          <w:szCs w:val="15"/>
          <w:color w:val="auto"/>
        </w:rPr>
        <w:t>The Development And Acceptance Of Alternatives To Landfill Disposal And Waste-To-Energy Facilities Could Reduce Our Ability To Operate At Full Capacity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79" w:lineRule="exact"/>
        <w:rPr>
          <w:sz w:val="20"/>
          <w:szCs w:val="20"/>
          <w:color w:val="auto"/>
        </w:rPr>
      </w:pPr>
    </w:p>
    <w:p>
      <w:pPr>
        <w:ind w:left="160" w:right="3619"/>
        <w:spacing w:after="0" w:line="235" w:lineRule="auto"/>
        <w:rPr>
          <w:sz w:val="20"/>
          <w:szCs w:val="20"/>
          <w:color w:val="auto"/>
        </w:rPr>
      </w:pPr>
      <w:r>
        <w:rPr>
          <w:rFonts w:ascii="Courier New" w:cs="Courier New" w:eastAsia="Courier New" w:hAnsi="Courier New"/>
          <w:sz w:val="15"/>
          <w:szCs w:val="15"/>
          <w:color w:val="auto"/>
        </w:rPr>
        <w:t>Our Business Is Seasonal In Nature And Our Revenues And Results Vary From Quarter To Quarter</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67" w:lineRule="exact"/>
        <w:rPr>
          <w:sz w:val="20"/>
          <w:szCs w:val="20"/>
          <w:color w:val="auto"/>
        </w:rPr>
      </w:pPr>
    </w:p>
    <w:p>
      <w:pPr>
        <w:ind w:left="160" w:right="3879"/>
        <w:spacing w:after="0" w:line="235" w:lineRule="auto"/>
        <w:rPr>
          <w:sz w:val="20"/>
          <w:szCs w:val="20"/>
          <w:color w:val="auto"/>
        </w:rPr>
      </w:pPr>
      <w:r>
        <w:rPr>
          <w:rFonts w:ascii="Courier New" w:cs="Courier New" w:eastAsia="Courier New" w:hAnsi="Courier New"/>
          <w:sz w:val="15"/>
          <w:szCs w:val="15"/>
          <w:color w:val="auto"/>
        </w:rPr>
        <w:t>Fluctuations In The Price Of Recyclable Materials Affect Our Operating Revenues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Recyclable materials that we process for sale include paper, plastics, aluminum and other commodities which are subject to significant price fluctuations. These fluctuations will affect our future operating revenues and income.</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Intense Competition Could Reduce Our Profitability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We May Need Additional Capital If Our Cash Flow Is Less Than Expected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currently expect to generate sufficient cash flow from our operations in 2001 to cover our anticipated cash needs for capital expenditures, acquisitions and other cash expenditures. If our cash flow from operations during 2001 is less than currently expected, or our capital requirements increase, either due to strategic decisions or otherwise, we may elect to incur further indebtedness or issue equity securities to cover any additional capital needs. However, we cannot guarantee that we will be successful in obtaining additional capital on acceptable terms.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credit facilities require us to comply with certain financial ratios. If our cash flows are less than expected or our capital requirements are more than expected, we may not be in compliance with the ratios. This would result in a default under our credit agreements. If there were a default, we may not be able to get waivers or amendments to our credit facilities, and the lenders could choose to declare all outstanding borrowings due and payable. If that happened, there can be no assurances that we could fully repay the</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amounts due. Since we are partially dependent on our credit facilities to fund borrowing needs, any default would have a material adverse effect on our consolidated financial condition and results of operation.</w:t>
      </w:r>
    </w:p>
    <w:p>
      <w:pPr>
        <w:spacing w:after="0" w:line="175" w:lineRule="exact"/>
        <w:rPr>
          <w:sz w:val="20"/>
          <w:szCs w:val="20"/>
          <w:color w:val="auto"/>
        </w:rPr>
      </w:pPr>
    </w:p>
    <w:p>
      <w:pPr>
        <w:ind w:left="160" w:right="3619"/>
        <w:spacing w:after="0" w:line="235" w:lineRule="auto"/>
        <w:rPr>
          <w:sz w:val="20"/>
          <w:szCs w:val="20"/>
          <w:color w:val="auto"/>
        </w:rPr>
      </w:pPr>
      <w:r>
        <w:rPr>
          <w:rFonts w:ascii="Courier New" w:cs="Courier New" w:eastAsia="Courier New" w:hAnsi="Courier New"/>
          <w:sz w:val="15"/>
          <w:szCs w:val="15"/>
          <w:color w:val="auto"/>
        </w:rPr>
        <w:t>Efforts by Labor Unions to Organize our Employees Could Divert Management Attention and Increase our Operating Expenses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past, labor unions have made attempts to organize our employees, and these efforts may continue in the future. Certain groups of our employees have chosen to be represented by unions, and we have negotiated collective bargaining agreements with some of the groups. We cannot predict which, if any, groups of employees may seek union representation in the future or the outcome of collective bargaining. The negotiation of these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 our operating expenses could increase significantly.</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Fluctuations in Fuel Costs Could Affect our Operating Expenses and Results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price and supply of fuel is unpredictable and fluctuates based on events outside our control, including geopolitical developments, supply and demand for oil &amp; gas, actions by OPEC and other oil &amp; gas producers, war and unrest in oil producing countries, regional production patterns and environmental concerns. Because fuel is needed to run our fleet of trucks, price escalations or reductions in the supply of fuel could increase our operating expenses and have a negative impact on net income. In the past, we have implemented a fuel surcharge to off-set fuel increase costs. However, we are not always able to pass through the increased fuel costs due to the terms of certain customers' contracts.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We Face Risks Relating to General Economic Conditions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face risks related to general economic and market conditions, including the potential impact of any economic slowdown, recession, interest rate fluctuation or other adverse external economic conditions. Negative general economic conditions could materially adversely affect our financial condition, results of operation and cash flows.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We May Encounter Difficulties Deploying Our Enterprise Software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are currently in the process of deploying enterprise-wide software systems that will replace our current financial, human resources and payroll systems. These systems may initially contain errors or cause other problems that could adversely affect, or even temporarily disrupt, all or a portion of our operations or the stability of our accounting systems until resolved. We are still in the preliminary stages of the financial system conversion, the completion of which is expected to occur no earlier than the end of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Our principal executive offices are in Houston, Texas, where we lease approximately 396,000 square feet under leasing arrangements expiring at various times through 2010. We also have field-based administrative offices in California, Illinois, Pennsylvania, New Hampshire, Georgia and Ontario, Canada.</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Our principal property and equipment consist of land (primarily landfills, transfer stations and bases for collection operations), buildings, waste treatment or processing facilities (other than landfills) and vehicles and equipment. We own or lease real property in most locations where we have operations and we have operations in all states and the District of Columbia, other than Montana and Wyoming.</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December 31, 2000, of the 305 Company operated landfills, we owned and operated through lease agreements 259 active sites in North America. These sites control approximately 121,000 acres of land, including approximately 30,000 permitted acres and approximately 7,000 acres we consider to be probable expansion acreage for landfill use. Additionally, we operate 46 landfills through contractual agreements,</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primarily with municipalities. At December 31, 2000, in North American we operated approximately 300 transfer stations and over 190 MRFs. We also owned, or operated through agreements, 16 waste-to-energy facilities in North America as of December 31, 2000.</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believe that our vehicles, equipment, and operating properties are adequately maintained and adequate for our current operations. However, we expect to continue to make investments in additional equipment and property for expansion, for replacement of assets, and in connection with future acquisitions. For more information, see the "Management's Discussion and Analysis of Financial Condition and Results of Operations" section in this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799" w:firstLine="441"/>
        <w:spacing w:after="0" w:line="265" w:lineRule="auto"/>
        <w:rPr>
          <w:sz w:val="20"/>
          <w:szCs w:val="20"/>
          <w:color w:val="auto"/>
        </w:rPr>
      </w:pPr>
      <w:r>
        <w:rPr>
          <w:rFonts w:ascii="Courier New" w:cs="Courier New" w:eastAsia="Courier New" w:hAnsi="Courier New"/>
          <w:sz w:val="14"/>
          <w:szCs w:val="14"/>
          <w:color w:val="auto"/>
        </w:rPr>
        <w:t>Information regarding our legal proceedings can be found under the "Litigation" section in Note 19 to the consolidated financial statements.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We did not submit any matters to a vote of our stockholders during the fourth quarter of 2000.</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Our common stock is traded on the New York Stock Exchange ("NYSE") under the symbol "WMI." The following table sets forth the range of the high and low per share sales prices for our common stock as reported on the NYSE Composite Tape.</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$41.88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44.75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55.44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18.13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13.31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17.12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17.31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 (through March 8, 2001).....................</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$22.52</w:t>
            </w:r>
          </w:p>
        </w:tc>
      </w:tr>
    </w:tbl>
    <w:p>
      <w:pPr>
        <w:spacing w:after="0" w:line="344"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March 8, 2001, the closing sale price as reported on the NYSE was $27.15 per share. The number of holders of record of our common stock at March 8, 2001, was 31,501.</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of December 31, 2000, due to current credit agreements, our ability to pay dividends and repurchase capital stock was limited to $369 million, of which no more than $25 million may be paid for dividends. We declared and paid cash dividends of $0.01 per share, or approximately $6 million during each of 1999 and 2000. See Note 11 to the consolidated financial statements.</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information below was derived from the audited consolidated financial statements included in this report and in reports we have previously filed with the SEC. This information should be read together with those financial statements and the notes to the financial statements. For more information regarding this financial data, see the "Management's Discussion and Analysis" section also included in this report.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7"/>
              </w:rPr>
              <w:t>YEARS ENDED DECEMBER 31,</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430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2000</w:t>
            </w:r>
          </w:p>
        </w:tc>
        <w:tc>
          <w:tcPr>
            <w:tcW w:w="160" w:type="dxa"/>
            <w:vAlign w:val="bottom"/>
          </w:tcPr>
          <w:p>
            <w:pPr>
              <w:spacing w:after="0"/>
              <w:rPr>
                <w:sz w:val="14"/>
                <w:szCs w:val="14"/>
                <w:color w:val="auto"/>
              </w:rPr>
            </w:pP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1998</w:t>
            </w: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14"/>
                <w:szCs w:val="14"/>
                <w:color w:val="auto"/>
              </w:rPr>
            </w:pP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1996</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gridSpan w:val="9"/>
          </w:tcPr>
          <w:p>
            <w:pPr>
              <w:jc w:val="right"/>
              <w:ind w:right="367"/>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$12,492</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$13,127</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$12,626</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$11,972</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$10,999</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shown below)..........................................</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7,538</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8,269</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7,283</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7,482</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6,564</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1,738</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1,920</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1,333</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1,438</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1,316</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1,429</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1,614</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1,499</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1,392</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1,264</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Merger and acquisition related costs....................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1,807</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Asset impairments and unusual items.....................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749</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864</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1,771</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 net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minority interest.......................................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11,454</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12,587</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12,786</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12,206</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9,801</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from operations.............................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1,038</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1,198</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(748)</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(682)</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Minority interest.......................................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income, net.......................................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(717)</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(703)</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(540)</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(700)</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774</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Provision for income taxes................................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(767)</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(1,026)</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from discontinued operations................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Extraordinary item........................................</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Accounting change.........................................</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income (loss).........................................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Continuing operations...................................</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(0.16)</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(0.64)</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(1.31)</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0.54</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Discontinued operations.................................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Extraordinary item......................................</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 change.......................................</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(0.16)</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(0.65)</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(1.32)</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Continuing operations...................................</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(0.16)</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(0.64)</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(1.31)</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0.53</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Discontinued operations.................................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Extraordinary item......................................</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Accounting change.......................................</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(0.16)</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(0.65)</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(1.32)</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0.04</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dividends per common share...........................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0.57</w:t>
            </w:r>
          </w:p>
        </w:tc>
      </w:tr>
      <w:tr>
        <w:trPr>
          <w:trHeight w:val="170"/>
        </w:trPr>
        <w:tc>
          <w:tcPr>
            <w:tcW w:w="52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Working capital (deficit).................................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(480)</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$(1,269)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(412)</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Intangible assets, net....................................</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5,193</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5,356</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6,250</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4,848</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4,681</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Total assets..............................................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18,565</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22,681</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22,882</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20,156</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20,728</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debt, including current maturities..............</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8,485</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11,498</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11,732</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9,480</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9,065</w:t>
            </w:r>
          </w:p>
        </w:tc>
      </w:tr>
      <w:tr>
        <w:trPr>
          <w:trHeight w:val="170"/>
        </w:trPr>
        <w:tc>
          <w:tcPr>
            <w:tcW w:w="5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Stockholders' equity......................................</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4,801</w:t>
            </w:r>
          </w:p>
        </w:tc>
        <w:tc>
          <w:tcPr>
            <w:tcW w:w="1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4,402</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4,372</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3,855</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5,202</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Below is a discussion of our operations for the three years ended December 31, 2000. This discussion should be read together with the consolidated financial statements and the notes to the consolidated financial statements.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When we use words like "may," "believes," "expects," "anticipates," "should," "estimate," "project," "plan," their opposites and similar expressions, the Company is making forward-looking statements. These expressions are most often used in statements relating to business plans, strategies, anticipated benefits or projections about the anticipated revenues, earnings or other aspects of our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As noted elsewhere in this report, all phases of our business are subject to uncertainties, risks and other influences, many of which the Company has no control over. Additionally, any of these factors, either alone or taken together, could have a material adverse effect on the Company and could change whether any forward-looking statement ultimately turns out to be true.</w:t>
      </w:r>
    </w:p>
    <w:p>
      <w:pPr>
        <w:spacing w:after="0" w:line="18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Outlined below are some of the risks that the Company faces and that could affect our business and financial statements for 2001 and beyond. However, they are not the only risks that the Company faces. There may be additional risks that we do not presently know or that we currently believe are immaterial which could also impair our business. For more information, see the "Factors Influencing Future Results and Accuracy of Forward Looking Statements" section of this report.</w:t>
      </w:r>
    </w:p>
    <w:p>
      <w:pPr>
        <w:spacing w:after="0" w:line="171" w:lineRule="exact"/>
        <w:rPr>
          <w:sz w:val="20"/>
          <w:szCs w:val="20"/>
          <w:color w:val="auto"/>
        </w:rPr>
      </w:pPr>
    </w:p>
    <w:p>
      <w:pPr>
        <w:ind w:left="600" w:hanging="169"/>
        <w:spacing w:after="0"/>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outcome of litigation or investigations;</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changes in our estimates of site remediation requirements, final closure and post-closure obligations, compliance and other audits and regulatory developments;</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76" w:lineRule="exact"/>
        <w:rPr>
          <w:rFonts w:ascii="Courier New" w:cs="Courier New" w:eastAsia="Courier New" w:hAnsi="Courier New"/>
          <w:sz w:val="15"/>
          <w:szCs w:val="15"/>
          <w:color w:val="auto"/>
        </w:rPr>
      </w:pPr>
    </w:p>
    <w:p>
      <w:pPr>
        <w:ind w:left="600" w:right="3799" w:hanging="169"/>
        <w:spacing w:after="0" w:line="235"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limitations or bans on disposal or transportation of out-of-state waste or certain categories of waste;</w:t>
      </w:r>
    </w:p>
    <w:p>
      <w:pPr>
        <w:spacing w:after="0" w:line="175" w:lineRule="exact"/>
        <w:rPr>
          <w:rFonts w:ascii="Courier New" w:cs="Courier New" w:eastAsia="Courier New" w:hAnsi="Courier New"/>
          <w:sz w:val="15"/>
          <w:szCs w:val="15"/>
          <w:color w:val="auto"/>
        </w:rPr>
      </w:pPr>
    </w:p>
    <w:p>
      <w:pPr>
        <w:ind w:left="600" w:right="3439" w:hanging="169"/>
        <w:spacing w:after="0" w:line="265" w:lineRule="auto"/>
        <w:tabs>
          <w:tab w:leader="none" w:pos="6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improve the productivity of acquired operations and use our asset base and strategic position to operate more efficiently;</w:t>
      </w:r>
    </w:p>
    <w:p>
      <w:pPr>
        <w:spacing w:after="0" w:line="158" w:lineRule="exact"/>
        <w:rPr>
          <w:rFonts w:ascii="Courier New" w:cs="Courier New" w:eastAsia="Courier New" w:hAnsi="Courier New"/>
          <w:sz w:val="14"/>
          <w:szCs w:val="14"/>
          <w:color w:val="auto"/>
        </w:rPr>
      </w:pPr>
    </w:p>
    <w:p>
      <w:pPr>
        <w:jc w:val="both"/>
        <w:ind w:left="600" w:right="3359" w:hanging="169"/>
        <w:spacing w:after="0" w:line="237"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accurately assess all of the pre-existing liabilities of companies we have acquired and to successfully integrate the operations of acquired companies with our existing operations;</w:t>
      </w:r>
    </w:p>
    <w:p>
      <w:pPr>
        <w:spacing w:after="0" w:line="174"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charges against earnings for certain shut down operations and uncompleted acquisitions or development or expansion projects;</w:t>
      </w:r>
    </w:p>
    <w:p>
      <w:pPr>
        <w:spacing w:after="0" w:line="175"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6"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the weather has on our quarter to quarter results, as well as the effect of extremely harsh weather on our operations;</w:t>
      </w:r>
    </w:p>
    <w:p>
      <w:pPr>
        <w:spacing w:after="0" w:line="175"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price fluctuations of recyclable materials processed by the Company;</w:t>
      </w:r>
    </w:p>
    <w:p>
      <w:pPr>
        <w:spacing w:after="0" w:line="175" w:lineRule="exact"/>
        <w:rPr>
          <w:rFonts w:ascii="Courier New" w:cs="Courier New" w:eastAsia="Courier New" w:hAnsi="Courier New"/>
          <w:sz w:val="15"/>
          <w:szCs w:val="15"/>
          <w:color w:val="auto"/>
        </w:rPr>
      </w:pPr>
    </w:p>
    <w:p>
      <w:pPr>
        <w:ind w:left="600" w:right="3439" w:hanging="169"/>
        <w:spacing w:after="0" w:line="237"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left="600" w:right="3179" w:hanging="169"/>
        <w:spacing w:after="0" w:line="237"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defaults under our credit agreements if cash flows are less than we expect or capital expenditures are more than we expect, and the possibility that we can not obtain additional capital on acceptable terms if needed;</w:t>
      </w:r>
    </w:p>
    <w:p>
      <w:pPr>
        <w:spacing w:after="0" w:line="176" w:lineRule="exact"/>
        <w:rPr>
          <w:rFonts w:ascii="Courier New" w:cs="Courier New" w:eastAsia="Courier New" w:hAnsi="Courier New"/>
          <w:sz w:val="15"/>
          <w:szCs w:val="15"/>
          <w:color w:val="auto"/>
        </w:rPr>
      </w:pPr>
    </w:p>
    <w:p>
      <w:pPr>
        <w:ind w:left="600" w:right="3259" w:hanging="169"/>
        <w:spacing w:after="0" w:line="265" w:lineRule="auto"/>
        <w:tabs>
          <w:tab w:leader="none" w:pos="6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diversions of management's attention and increases in operating expenses due to efforts by labor unions to organize our employees;</w:t>
      </w:r>
    </w:p>
    <w:p>
      <w:pPr>
        <w:spacing w:after="0" w:line="158" w:lineRule="exact"/>
        <w:rPr>
          <w:rFonts w:ascii="Courier New" w:cs="Courier New" w:eastAsia="Courier New" w:hAnsi="Courier New"/>
          <w:sz w:val="14"/>
          <w:szCs w:val="14"/>
          <w:color w:val="auto"/>
        </w:rPr>
      </w:pPr>
    </w:p>
    <w:p>
      <w:pPr>
        <w:ind w:left="600" w:right="3359" w:hanging="169"/>
        <w:spacing w:after="0" w:line="235"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increases in operating expenses due to fuel price increases or fuel supply shortages;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general economic conditions; and</w:t>
      </w:r>
    </w:p>
    <w:p>
      <w:pPr>
        <w:spacing w:after="0" w:line="174" w:lineRule="exact"/>
        <w:rPr>
          <w:rFonts w:ascii="Courier New" w:cs="Courier New" w:eastAsia="Courier New" w:hAnsi="Courier New"/>
          <w:sz w:val="15"/>
          <w:szCs w:val="15"/>
          <w:color w:val="auto"/>
        </w:rPr>
      </w:pPr>
    </w:p>
    <w:p>
      <w:pPr>
        <w:ind w:left="600" w:right="3699" w:hanging="169"/>
        <w:spacing w:after="0" w:line="235"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deploy our new enterprise-wide software systems.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Strategic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1999, the Company announced a strategic plan focused on emphasizing internal growth and focusing on our core business -- North American solid waste management services. As part of the plan, beginning in 1999 and throughout 2000, we sold the majority of our international operations and certain of our non-integrated North American solid waste operations. We also have sold, or announced agreements to sell, almost all of our non-core operations, including our: low-level and other radioactive waste operations; organic residuals operations, industrial services, hazardous waste treatment operations and independent power plants. The proceeds from the sales were used to repay a portion of our debt.</w:t>
      </w:r>
    </w:p>
    <w:p>
      <w:pPr>
        <w:spacing w:after="0" w:line="180"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Also as part of the plan, the Company began other initiatives in 1999 that continued through 2000, including:</w:t>
      </w:r>
    </w:p>
    <w:p>
      <w:pPr>
        <w:spacing w:after="0" w:line="176" w:lineRule="exact"/>
        <w:rPr>
          <w:sz w:val="20"/>
          <w:szCs w:val="20"/>
          <w:color w:val="auto"/>
        </w:rPr>
      </w:pPr>
    </w:p>
    <w:p>
      <w:pPr>
        <w:ind w:left="600" w:right="3179" w:hanging="169"/>
        <w:spacing w:after="0" w:line="237" w:lineRule="auto"/>
        <w:tabs>
          <w:tab w:leader="none" w:pos="6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Linking our information technology initiatives to our business strategy and rolling out new software systems that give our employees better tools to do their jobs;</w:t>
      </w:r>
    </w:p>
    <w:p>
      <w:pPr>
        <w:spacing w:after="0" w:line="174"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standard policies and procedures, and increasing the flow of communication in an effort to streamline our business and bring more discipline and accountability, but at the same time maintain decentralized operations, so that authority is still close to the customer; and</w:t>
      </w:r>
    </w:p>
    <w:p>
      <w:pPr>
        <w:spacing w:after="0" w:line="178" w:lineRule="exact"/>
        <w:rPr>
          <w:rFonts w:ascii="Courier New" w:cs="Courier New" w:eastAsia="Courier New" w:hAnsi="Courier New"/>
          <w:sz w:val="15"/>
          <w:szCs w:val="15"/>
          <w:color w:val="auto"/>
        </w:rPr>
      </w:pPr>
    </w:p>
    <w:p>
      <w:pPr>
        <w:ind w:left="600" w:right="3699" w:hanging="169"/>
        <w:spacing w:after="0" w:line="235" w:lineRule="auto"/>
        <w:tabs>
          <w:tab w:leader="none" w:pos="6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Restoring a capital expenditure policy that focuses on the internal growth rather than the external growth of the Company.</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1999 Accounting Charges and Adjustments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1999, the Company initiated a comprehensive internal review of its accounting records, systems, processes and controls at the direction of its Board of Directors. As discussed below, and in Note 2 to the consolidated financial statements, the Company experienced significant difficulty in the integration and conversion of information and accounting systems subsequent to the Company, then known as USA Waste Services, Inc., completing its merger with WM Holdings, which was accounted for as a pooling of interests (the "WM Holdings Merger"). As a result of these systems and process issues, and other issues raised during the 1999 accounting review, certain charges and adjustments were recorded, as discussed below. The review was completed in time such that the Company was able to record related adjustments in its financial statements for the quarter ended September 30, 1999. The amounts recorded by the Company as a result of the review had a material effect on its financial statements for the year ended December 31, 1999. The</w:t>
      </w:r>
    </w:p>
    <w:p>
      <w:pPr>
        <w:spacing w:after="0" w:line="1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right="4060"/>
        <w:spacing w:after="0" w:line="235" w:lineRule="auto"/>
        <w:rPr>
          <w:sz w:val="20"/>
          <w:szCs w:val="20"/>
          <w:color w:val="auto"/>
        </w:rPr>
      </w:pPr>
      <w:r>
        <w:rPr>
          <w:rFonts w:ascii="Courier New" w:cs="Courier New" w:eastAsia="Courier New" w:hAnsi="Courier New"/>
          <w:sz w:val="15"/>
          <w:szCs w:val="15"/>
          <w:color w:val="auto"/>
        </w:rPr>
        <w:t>following is a summary of charges attributable to this review which were recorded for the quarter ended September 30, 1999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Held-for-sale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Increase to allowance for doubtful accounts and other</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Asset impairments (excluding held-for-sale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Insurance reserves and other insurance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Legal, severance and consulting accruals....................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Merger and acquisition related costs........................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charges and adjustments, including:</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 reconciliations...................................</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348</w:t>
            </w: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contract reserve adjustments.........................</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environmental liabilities.....................</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637</w:t>
            </w:r>
          </w:p>
        </w:tc>
      </w:tr>
      <w:tr>
        <w:trPr>
          <w:trHeight w:val="170"/>
        </w:trPr>
        <w:tc>
          <w:tcPr>
            <w:tcW w:w="536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Impact of charges before income tax benefit.................</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 benefit..........................................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0"/>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After-tax charges...........................................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$1,226</w:t>
            </w:r>
          </w:p>
        </w:tc>
      </w:tr>
      <w:tr>
        <w:trPr>
          <w:trHeight w:val="170"/>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440" w:firstLine="441"/>
        <w:spacing w:after="0" w:line="237" w:lineRule="auto"/>
        <w:rPr>
          <w:sz w:val="20"/>
          <w:szCs w:val="20"/>
          <w:color w:val="auto"/>
        </w:rPr>
      </w:pPr>
      <w:r>
        <w:rPr>
          <w:rFonts w:ascii="Courier New" w:cs="Courier New" w:eastAsia="Courier New" w:hAnsi="Courier New"/>
          <w:sz w:val="15"/>
          <w:szCs w:val="15"/>
          <w:color w:val="auto"/>
        </w:rPr>
        <w:t>The charges described above, which include both recurring and nonrecurring items that have been aggregated for this presentation, are reflected in the Company's financial statements for the year ended December 31, 1999, as follows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ALLOWANCE</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FOR</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DOUBTFUL</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ACCOUNTS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INSURANCE</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LEGAL,</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AND OTHER</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RESERVES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SEVERANCE</w:t>
            </w:r>
          </w:p>
        </w:tc>
        <w:tc>
          <w:tcPr>
            <w:tcW w:w="1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MERGER AND</w:t>
            </w:r>
          </w:p>
        </w:tc>
      </w:tr>
      <w:tr>
        <w:trPr>
          <w:trHeight w:val="170"/>
        </w:trPr>
        <w:tc>
          <w:tcPr>
            <w:tcW w:w="31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HELD-FOR-</w:t>
            </w:r>
          </w:p>
        </w:tc>
        <w:tc>
          <w:tcPr>
            <w:tcW w:w="300" w:type="dxa"/>
            <w:vAlign w:val="bottom"/>
          </w:tcPr>
          <w:p>
            <w:pPr>
              <w:spacing w:after="0"/>
              <w:rPr>
                <w:sz w:val="14"/>
                <w:szCs w:val="14"/>
                <w:color w:val="auto"/>
              </w:rPr>
            </w:pPr>
          </w:p>
        </w:tc>
        <w:tc>
          <w:tcPr>
            <w:tcW w:w="10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ACCOUNTS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AND OTHER</w:t>
            </w:r>
          </w:p>
        </w:tc>
        <w:tc>
          <w:tcPr>
            <w:tcW w:w="2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AND</w:t>
            </w:r>
          </w:p>
        </w:tc>
        <w:tc>
          <w:tcPr>
            <w:tcW w:w="112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ACQUISITION</w:t>
            </w: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SALE</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RECEIVABLE</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OTHER ASSET</w:t>
            </w: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INSURANCE</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CONSULTING</w:t>
            </w:r>
          </w:p>
        </w:tc>
        <w:tc>
          <w:tcPr>
            <w:tcW w:w="320" w:type="dxa"/>
            <w:vAlign w:val="bottom"/>
          </w:tcPr>
          <w:p>
            <w:pPr>
              <w:spacing w:after="0"/>
              <w:rPr>
                <w:sz w:val="14"/>
                <w:szCs w:val="14"/>
                <w:color w:val="auto"/>
              </w:rPr>
            </w:pPr>
          </w:p>
        </w:tc>
        <w:tc>
          <w:tcPr>
            <w:tcW w:w="8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RELATED</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ADJUSTMENTS</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ADJUSTMENTS</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IMPAIRMENTS</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ACCRUALS</w:t>
            </w:r>
          </w:p>
        </w:tc>
        <w:tc>
          <w:tcPr>
            <w:tcW w:w="320" w:type="dxa"/>
            <w:vAlign w:val="bottom"/>
          </w:tcPr>
          <w:p>
            <w:pPr>
              <w:spacing w:after="0"/>
              <w:rPr>
                <w:sz w:val="14"/>
                <w:szCs w:val="14"/>
                <w:color w:val="auto"/>
              </w:rPr>
            </w:pPr>
          </w:p>
        </w:tc>
        <w:tc>
          <w:tcPr>
            <w:tcW w:w="80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COSTS</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Operating (exclusive of</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shown below)....................</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General and administrative........</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168</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Depreciation and amortization.....</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Merger and acquisition related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costs...........................</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Asset impairments and unusual</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items...........................</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414</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414</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168</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from operations...............</w:t>
            </w:r>
          </w:p>
        </w:tc>
        <w:tc>
          <w:tcPr>
            <w:tcW w:w="26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(414)</w:t>
            </w: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w:t>
            </w:r>
          </w:p>
        </w:tc>
        <w:tc>
          <w:tcPr>
            <w:tcW w:w="44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w:t>
            </w:r>
          </w:p>
        </w:tc>
        <w:tc>
          <w:tcPr>
            <w:tcW w:w="5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w:t>
            </w:r>
          </w:p>
        </w:tc>
        <w:tc>
          <w:tcPr>
            <w:tcW w:w="3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Interest expense..................</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Interest income...................</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Minority interest.................</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Other income (expense)............</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Loss before income taxes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extraordinary items...............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Benefit from income taxes..........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TOTAL</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OTHER</w:t>
            </w:r>
          </w:p>
        </w:tc>
        <w:tc>
          <w:tcPr>
            <w:tcW w:w="300" w:type="dxa"/>
            <w:vAlign w:val="bottom"/>
          </w:tcPr>
          <w:p>
            <w:pPr>
              <w:spacing w:after="0"/>
              <w:rPr>
                <w:sz w:val="14"/>
                <w:szCs w:val="1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(INCLUDES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CHARGES</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RECURRING AND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AND</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NON-RECURRING</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ADJUSTMENTS</w:t>
            </w:r>
          </w:p>
        </w:tc>
        <w:tc>
          <w:tcPr>
            <w:tcW w:w="300" w:type="dxa"/>
            <w:vAlign w:val="bottom"/>
          </w:tcPr>
          <w:p>
            <w:pPr>
              <w:spacing w:after="0"/>
              <w:rPr>
                <w:sz w:val="14"/>
                <w:szCs w:val="14"/>
                <w:color w:val="auto"/>
              </w:rPr>
            </w:pPr>
          </w:p>
        </w:tc>
        <w:tc>
          <w:tcPr>
            <w:tcW w:w="10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ITEMS)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Operating (exclusive of</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shown below)....................</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General and administrative........</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403</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Depreciation and amortization.....</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Merger and acquisition related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costs...........................</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Asset impairments and unusual</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items...........................</w:t>
            </w:r>
          </w:p>
        </w:tc>
        <w:tc>
          <w:tcPr>
            <w:tcW w:w="26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679</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ectPr>
          <w:pgSz w:w="11900" w:h="16838" w:orient="portrait"/>
          <w:cols w:equalWidth="0" w:num="1">
            <w:col w:w="10400"/>
          </w:cols>
          <w:pgMar w:left="240" w:top="283" w:right="125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658</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1,740</w:t>
            </w:r>
          </w:p>
        </w:tc>
      </w:tr>
      <w:tr>
        <w:trPr>
          <w:trHeight w:val="170"/>
        </w:trPr>
        <w:tc>
          <w:tcPr>
            <w:tcW w:w="320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Loss from operations...............</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(1,771)</w:t>
            </w:r>
          </w:p>
        </w:tc>
      </w:tr>
      <w:tr>
        <w:trPr>
          <w:trHeight w:val="170"/>
        </w:trPr>
        <w:tc>
          <w:tcPr>
            <w:tcW w:w="320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Interest expense..................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Interest income...................</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Minority interest.................</w:t>
            </w: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Other income (expense)............</w:t>
            </w: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320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320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Loss before income taxes and</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extraordinary items...............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(637)</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(1,763)</w:t>
            </w:r>
          </w:p>
        </w:tc>
      </w:tr>
      <w:tr>
        <w:trPr>
          <w:trHeight w:val="170"/>
        </w:trPr>
        <w:tc>
          <w:tcPr>
            <w:tcW w:w="3200" w:type="dxa"/>
            <w:vAlign w:val="bottom"/>
          </w:tcPr>
          <w:p>
            <w:pPr>
              <w:spacing w:after="0"/>
              <w:rPr>
                <w:sz w:val="14"/>
                <w:szCs w:val="14"/>
                <w:color w:val="auto"/>
              </w:rPr>
            </w:pP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Benefit from income taxes..........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537</w:t>
            </w:r>
          </w:p>
        </w:tc>
      </w:tr>
      <w:tr>
        <w:trPr>
          <w:trHeight w:val="170"/>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loss...........................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(1,226)</w:t>
            </w:r>
          </w:p>
        </w:tc>
      </w:tr>
      <w:tr>
        <w:trPr>
          <w:trHeight w:val="170"/>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18</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Subsequent to the completion of the accounting review, and in conjunction with the process of preparing its monthly financial statements during the fourth quarter of 1999 and its financial statements at December 31, 1999, additional adjustments attributable to the reconciliation of intercompany accounts, cash, accounts receivable, fixed assets, accounts payable and certain other accounts were recorded.</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Company recorded significant adjustments in the third and fourth quarters of 1999, certain of which affect periods prior to these quarters. Accordingly, the Company, after consultation with its independent public accountants, concluded that its internal controls for the preparation of interim financial information did not provide an adequate basis for its independent public accountants to complete reviews of the quarterly financial data for the quarters during 1999. The Company believes that certain charges that were recorded in the third and fourth quarters of 1999 may relate to individual prior periods; however, the Company does not have sufficient information to identify all specific charges attributable to prior periods. If identification of all specific charges attributable to individual prior periods was possible, the Company believes that the reported results of operations presented in Note 21 to the consolidated financial statements for the third and fourth quarters of 1999 would have been favorably impacted, and the reported results of operations for the first and second quarters of 1999 would have been adversely impacted. The Company concluded, based on its quantitative and qualitative analysis of available information, after consultation with its independent public accountants, that it did not have, nor was it able to obtain, sufficient information to conclude what amount of the charges relate to any individual prior year, although qualitative analysis indicates that these charges are principally related to 1999. Accordingly, the Company has concluded that these charges were appropriately reflected in the 1999 annual financial statements.</w:t>
      </w:r>
    </w:p>
    <w:p>
      <w:pPr>
        <w:spacing w:after="0" w:line="34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believes that the processes it used for the preparation of its quarterly 2000 interim financial statements have improved. In addition, the Company has committed substantial resources to mitigate the previously identified control weaknesses. Management believes these efforts have enabled the Company to produce timely and reliable interim financial statements during 2000.</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See Note 2 to the consolidated financial statements included elsewhere herein for additional discussion.</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millions) and percentages for the various statements of operations line items.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0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PERIOD TO PERIOD CHANGE</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45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YEARS ENDED</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YEARS ENDED</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23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DECEMBER 31, 2000 AND</w:t>
            </w:r>
          </w:p>
        </w:tc>
        <w:tc>
          <w:tcPr>
            <w:tcW w:w="21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DECEMBER 31, 1999 AND</w:t>
            </w:r>
          </w:p>
        </w:tc>
      </w:t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4"/>
              </w:rPr>
              <w:t>1999</w:t>
            </w:r>
          </w:p>
        </w:tc>
        <w:tc>
          <w:tcPr>
            <w:tcW w:w="40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1"/>
              </w:rPr>
              <w:t>----------------------</w:t>
            </w:r>
          </w:p>
        </w:tc>
        <w:tc>
          <w:tcPr>
            <w:tcW w:w="146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(635)</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501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Operating (exclusive of depreciation and</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shown below)....................</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986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587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115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and acquisition related costs............</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(1,762)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(97.5)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 impairments and unusual items.............</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(14.5)</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(1,133)</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w:t>
            </w:r>
          </w:p>
        </w:tc>
        <w:tc>
          <w:tcPr>
            <w:tcW w:w="4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operations.....................</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498</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92.2</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700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437.5</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(12.9)</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and other income, net..................</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(40.7)</w:t>
            </w:r>
          </w:p>
        </w:tc>
        <w:tc>
          <w:tcPr>
            <w:tcW w:w="4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(45.2)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(30.2)</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484</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296.9</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537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80.2</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246.3</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before extraordinary item....................</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75.4</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372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item................................</w:t>
            </w:r>
          </w:p>
        </w:tc>
        <w:tc>
          <w:tcPr>
            <w:tcW w:w="2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400" w:type="dxa"/>
            <w:vAlign w:val="bottom"/>
          </w:tcPr>
          <w:p>
            <w:pPr>
              <w:spacing w:after="0"/>
              <w:rPr>
                <w:sz w:val="14"/>
                <w:szCs w:val="14"/>
                <w:color w:val="auto"/>
              </w:rPr>
            </w:pP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373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0"/>
        </w:trPr>
        <w:tc>
          <w:tcPr>
            <w:tcW w:w="4480" w:type="dxa"/>
            <w:vAlign w:val="bottom"/>
          </w:tcPr>
          <w:p>
            <w:pPr>
              <w:spacing w:after="0"/>
              <w:rPr>
                <w:sz w:val="14"/>
                <w:szCs w:val="14"/>
                <w:color w:val="auto"/>
              </w:rPr>
            </w:pP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c>
          <w:tcPr>
            <w:tcW w:w="164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bl>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Management's Discussion and Analysis --</w:t>
      </w:r>
    </w:p>
    <w:p>
      <w:pPr>
        <w:ind w:left="1760"/>
        <w:spacing w:after="0"/>
        <w:rPr>
          <w:sz w:val="20"/>
          <w:szCs w:val="20"/>
          <w:color w:val="auto"/>
        </w:rPr>
      </w:pPr>
      <w:r>
        <w:rPr>
          <w:rFonts w:ascii="Courier New" w:cs="Courier New" w:eastAsia="Courier New" w:hAnsi="Courier New"/>
          <w:sz w:val="15"/>
          <w:szCs w:val="15"/>
          <w:color w:val="auto"/>
        </w:rPr>
        <w:t>1999 Accounting Charges and Adjustments.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statements of operations line items bear to operating revenues: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4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280" w:type="dxa"/>
            <w:vAlign w:val="bottom"/>
          </w:tcPr>
          <w:p>
            <w:pPr>
              <w:spacing w:after="0"/>
              <w:rPr>
                <w:sz w:val="14"/>
                <w:szCs w:val="14"/>
                <w:color w:val="auto"/>
              </w:rPr>
            </w:pPr>
          </w:p>
        </w:tc>
        <w:tc>
          <w:tcPr>
            <w:tcW w:w="24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100.0%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shown below).........................................</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60.4</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63.0</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57.7</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General and administrative..............................</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13.9</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14.6</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 and amortization...........................</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12.3</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Merger and acquisition related costs....................</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14.3</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Asset impairments and unusual items.....................</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91.7</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95.9</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101.3</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(loss) from operations.............................</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expense........................................</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Interest and other income, net..........................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Minority interest.......................................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extraordinary</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item....................................................</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Provision for income taxes................................</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Loss before extraordinary item............................</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Extraordinary item........................................</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loss..................................................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0"/>
        </w:trPr>
        <w:tc>
          <w:tcPr>
            <w:tcW w:w="5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5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See Management's Discussion and Analysis</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280" w:type="dxa"/>
            <w:vAlign w:val="bottom"/>
          </w:tcPr>
          <w:p>
            <w:pPr>
              <w:jc w:val="right"/>
              <w:spacing w:after="0"/>
              <w:rPr>
                <w:sz w:val="20"/>
                <w:szCs w:val="20"/>
                <w:color w:val="auto"/>
              </w:rPr>
            </w:pPr>
            <w:r>
              <w:rPr>
                <w:rFonts w:ascii="Courier New" w:cs="Courier New" w:eastAsia="Courier New" w:hAnsi="Courier New"/>
                <w:sz w:val="15"/>
                <w:szCs w:val="15"/>
                <w:color w:val="auto"/>
              </w:rPr>
              <w:t>1999 Accounting Charges and Adjustments.</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528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21</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YEARS ENDED DECEMBER 31, 2000</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Operating Revenues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Operating revenues for 2000 were $12.5 billion, compared with $13.1 billion in 1999 and $12.6 billion in 1998. The higher revenues in 1999 reflect acquisitions of solid waste businesses in North America. The decrease in revenues in 2000 is primarily due to the divestitures of WM International and non-solid waste operations during the year.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revenues by reportable segment (in millions):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OPERATING REVENUES</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[PERFORMANCE GRAPH]</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NASW operating revenue mix (in millions):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OPERATING REVENUES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[PERFORMANCE GRAPH]</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NASW operating revenues increased in 2000 from 1999 primarily due to internal growth of comparable operations of 1.4% (or $150 million) from pricing increases and 2.5% (or $267 million) from volume increases. During the first half of 2000, the pricing in the recyclable materials markets favorably impacted</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overall pricing increases. However, during the second half of 2000 the recyclable materials market experienced a significant downturn that offset the improvements experienced earlier in the year. Additionally, the Company implemented a fuel surcharge in March 2000 to mitigate the significant increase in the cost of fuel. Excluding the impact of price increases in the commodity markets for recyclable materials, and the fuel surcharge that was implemented, there was a price increase of 0.6% in 2000 compared to 1999. Acquisitions of NASW businesses during 2000 and the full year effect of acquisitions that were completed in 1999 accounted for an increase in operating revenues of approximately $286 million for 2000, as compared to 1999. The primary offset to the increase in operating revenues was the divestiture of certain non-integrated NASW operations. However, the foreign currency fluctuations with the Canadian dollar also negatively impacted operating revenues during 2000.</w:t>
      </w:r>
    </w:p>
    <w:p>
      <w:pPr>
        <w:spacing w:after="0" w:line="16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NASW operating revenues in 1999 were lower than expected due to substantial difficulties in the integration of operations after the mergers with WM Holdings on July 16, 1998 and Eastern Environmental Services on December 31, 1998, including the information systems (particularly the billing systems) and related work flow. In 1999, the Company experienced significant difficulty in the conversion from the WM Holdings' information systems to the systems currently in use, resulting in delays and errors, particularly with the billing systems, including delays in submitting bills to customers and errors in both computing and delivering bills. Staffing levels were insufficient to address customer complaints and disputes and did not support timely follow-up with customers. Billing system issues initially became evident in the second quarter of 1999 as receivable aging levels rose. At that time, management believed that the increase in receivables was a short-term issue, receivables would return to historical levels once the billing system conversions were complete and there was not a significant collectability issue with its recorded receivables. In connection with the 1999 accounting review, it was concluded that certain of these accounts had deteriorated to the point that they may be uncollectable, and therefore, a significant increase in the allowance for doubtful accounts was recorded in the third quarter of 1999. These events also contributed a higher than usual provision for uncollectable accounts in the fourth quarter of 1999. Beginning in the third quarter of 1999, resources dedicated to receivable collection efforts were increased on both a temporary and permanent basis and the billing systems began to stabilize. In 2000, the Company was successful in collecting certain accounts that were reserved for in 1999.</w:t>
      </w:r>
    </w:p>
    <w:p>
      <w:pPr>
        <w:spacing w:after="0" w:line="34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Acquisitions of NASW business during 1999 and the full year effect of acquisitions which were completed in 1998 accounted for an increase in operating revenues of approximately $616 million for 1999, as compared to 1998. NASW operating revenues also increased from internal growth of comparable operations of 2.6% for 1999, as compared to 1998. The Company believes that its internal revenue growth in 1999 was detrimentally affected by certain inflexibilities in its pricing strategy and the lack of responsiveness of that strategy to localized competitive conditions, resulting in lost customers and volumes. Offsetting the increase in operating revenues were divestitures of NASW businesses with revenues of approximately $290 million, as well as other business factors that comprised the remaining differences, including the foreign currency fluctuations with the Canadian dollar.</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operating revenues from the WM International operations increased from 1998 to 1999 by approximately 7.6%. This increase was primarily due to acquisitions of businesses, primarily in Denmark and Australia. However, in 2000, WM International operating revenue decreased as the Company began selling its WM International operations on a country by country basis. As of December 31, 2000, the Company had certain operations in Sweden, and also operated outside of North America in Argentina and Israel.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Operating revenues for the non-solid waste services decreased from 1998 to</w:t>
      </w:r>
    </w:p>
    <w:p>
      <w:pPr>
        <w:spacing w:after="0" w:line="11"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2000 due to divestitures of several non-core businesses. Non-solid waste operating revenues are expected to decrease in 2001 because the Company is actively marketing for sale the remaining non-solid waste operations.</w:t>
      </w:r>
    </w:p>
    <w:p>
      <w:pPr>
        <w:spacing w:after="0" w:line="175" w:lineRule="exact"/>
        <w:rPr>
          <w:sz w:val="20"/>
          <w:szCs w:val="20"/>
          <w:color w:val="auto"/>
        </w:rPr>
      </w:pPr>
    </w:p>
    <w:p>
      <w:pPr>
        <w:ind w:left="160" w:right="3179"/>
        <w:spacing w:after="0" w:line="235"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6"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Operating costs and expenses decreased $731 million or 8.8% for 2000, as compared to 1999, and increased $986 million or 13.5% for 1999, as compared to 1998. As a percentage of operating revenues, operating costs and expenses increased from 57.7% in 1998 to 63.0% in 1999 and were 60.4% in 2000.</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From 1998 to 2000, operating costs and expenses as a percentage of operating revenues fluctuated from period to period, primarily due to the effects of the Company's integration plan adopted in connection with the WM Holdings Merger in July 1998. See "Operating Revenues" above.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1998, soon after the merger with WM Holdings, the Company experienced reductions, both in amount and as a percentage of operating revenues, in its operating costs and expenses as a result of the reductions in employee headcount and the elimination of excess operating assets that were either sold or abandoned pursuant to the merger integration plan. The Company believes that the reductions in employee headcount and the disposition of excess operating assets resulted in short-term cost efficiencies in 1998.</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1999, the Company continued the implementation of its merger integration plan. However, due to the breadth and comprehensive nature of the changes the Company attempted to implement in the first half of 1999, the Company was unable to sustain the effectiveness of the plan. Operating costs and expenses increased significantly as a percentage of revenues in second half of 1999 and throughout 2000 because the short-term cost reductions experienced in 1998 could not be sustained in 1999 due to the operational difficulties encountered by the Company. However, in the second half of 2000, the Company started reviewing its procurement practices and started developing more standardized operating procedures and expects operating costs and expenses as a percentage of operating revenues to decrease in 2001.</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its ongoing operations, the Company reviews its liability requirements for remediation and other environmental matters based on an analysis of, among other things, the regulatory context surrounding landfills, site-specific environmental issues and remaining airspace capacity in light of changes to operational efficiencies. Accordingly, revisions to remediation liability requirements may result in upward or downward adjustments to income from operations in any given period. Adjustments for final closure and post-closure estimates are accounted for prospectively over the remaining capacity of the operating landfill. The impact of revisions to remedial environmental and other similar liabilities resulted in reductions of operating costs and expenses as a percentage of revenues in the amount of 0.5% and 0.9% in 1999 and 1998, respectively.</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5" w:lineRule="exact"/>
        <w:rPr>
          <w:sz w:val="20"/>
          <w:szCs w:val="20"/>
          <w:color w:val="auto"/>
        </w:rPr>
      </w:pPr>
    </w:p>
    <w:p>
      <w:pPr>
        <w:ind w:right="3539" w:firstLine="441"/>
        <w:spacing w:after="0" w:line="259" w:lineRule="auto"/>
        <w:rPr>
          <w:sz w:val="20"/>
          <w:szCs w:val="20"/>
          <w:color w:val="auto"/>
        </w:rPr>
      </w:pPr>
      <w:r>
        <w:rPr>
          <w:rFonts w:ascii="Courier New" w:cs="Courier New" w:eastAsia="Courier New" w:hAnsi="Courier New"/>
          <w:sz w:val="14"/>
          <w:szCs w:val="14"/>
          <w:color w:val="auto"/>
        </w:rPr>
        <w:t>General and administrative expenses decreased $182 million or 9.5% from 1999 to 2000 and increased $587 million or 44.0% from 1998 to 1999. As a percentage of operating revenues, the Company's general and administrative expense was 13.9% for 2000, 14.6% for 1999 and 10.6% for 1998.</w:t>
      </w:r>
    </w:p>
    <w:p>
      <w:pPr>
        <w:spacing w:after="0" w:line="163"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As discussed above, the Company believes it experienced short-term cost reductions related to the elimination of duplicate corporate administrative functions from the merger with WM Holdings in 1998 and the first half of 1999. However, in the second half of 1999 and into early 2000, those cost reductions were substantially offset by the effect of difficulties encountered by the Company in integrating the operations of WM Holdings. A major component of the increased costs was increased administrative costs in field operations to perform billing, collection and other administrative functions.</w:t>
      </w:r>
    </w:p>
    <w:p>
      <w:pPr>
        <w:spacing w:after="0" w:line="167"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In 2000, particularly the first half, the Company incurred significant costs in professional accounting and process improvement consulting services related to process improvement initiatives and accounting assistance that began as part of the 1999 accounting review. By the second half of 2000, the Company had stabilized its accounting systems and completed its process improvement initiatives, significantly reducing the ongoing need for these consulting services. Additionally, the Company incurred significant consulting costs in</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2000 related to the future implementation of new enterprise information systems, the need for which was identified as part of the Company's 1999 strategic plan discussed above. In 2000, the Company incurred approximately $196 million related to professional accounting and process improvement consulting services and consulting services related to the future implementation of new enterprise information systems. In 2000, the Company also incurred approximately $51 million related to its efforts to divest operations, to improve its billing systems and verify its customer base, and for legal fees related to certain shareholder litigation and other SEC matters. As discussed in "Operating Revenues" above, the Company was successful in collecting certain accounts that were reserved for in 1999. Collection of those accounts favorably impacted the Company's provision for bad debt in 2000. The Company recorded provisions for bad debts of $14 million and $268 million in 2000 and 1999, respectively. The Company also experienced permanent staffing increases at the corporate office in 2000</w:t>
      </w:r>
    </w:p>
    <w:p>
      <w:pPr>
        <w:sectPr>
          <w:pgSz w:w="11900" w:h="16838" w:orient="portrait"/>
          <w:cols w:equalWidth="0" w:num="1">
            <w:col w:w="10219"/>
          </w:cols>
          <w:pgMar w:left="240" w:top="283" w:right="1440" w:bottom="1440" w:gutter="0" w:footer="0" w:header="0"/>
        </w:sectPr>
      </w:pPr>
    </w:p>
    <w:p>
      <w:pPr>
        <w:spacing w:after="0" w:line="1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particularly in the area of information systems and corporate accounting and finance. The Company expects that advances in its information systems and business processes will result in better information for making operational and strategic decisions as well as permanent reductions in field administrative costs in future periods.</w:t>
      </w:r>
    </w:p>
    <w:p>
      <w:pPr>
        <w:spacing w:after="0" w:line="17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General and administrative expenses for 1999 included $403 million in adjustments resulting from the 1999 accounting review, some of which are recurring in nature and should be expected in future periods. These significant adjustments include an increase of $168 million relative to the allowance for doubtful accounts and include $63 million in costs for insurance adjustments, accounting, legal and other professional services. These costs are primarily related to litigation and investigations conducted by the Company in 1999. See discussion in "Operating Revenues" and "Operating Costs and Expenses" above, of the Company's substantial difficulties in integrating the operations of WM Holdings subsequent to the WM Holdings Merger.</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Depreciation and amortization expense decreased $185 million or 11.5% in 2000, and increased $115 million or 7.7% in 1999, as compared to 1998. As a percentage of operating revenues, depreciation and amortization expense was 11.4% in 2000, 12.3% in 1999 and 11.9% in 1998.</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decrease in depreciation and amortization expense as a percentage of operating revenues in 2000 compared to 1999 is primarily due to the suspension of depreciation in 2000 on fixed assets related to certain operations which were held-for-sale and the depreciation and amortization expense that was recorded in 1999 related to operations classified as held-for-sale in the fourth quarter of 1999 and divested in 2000. The depreciation suspension for 2000 for these held-for-sale operations prior to those operations being sold was $99 million, or 0.8% of operating revenues. The depreciation suspended in 1999 for operations held-for-sale, which all occurred in the fourth quarter of 1999, was $46 million, or 0.3% of operating revenues. However, these decreases in depreciation and amortization expense were partially offset by increased landfill airspace amortization in 2000 due to an increase in disposal volumes at the Company's landfills. Additionally, for 2000, the Company experienced higher airspace amortization expense as compared to the prior years, due to higher airspace amortization rates as a result of its more stringent set of criteria for evaluating the probability of obtaining airspace expansions which was effective as of the third quarter of 1999. The increase in depreciation and amortization expense in 1999 as compared to 1998, after considering the suspension of depreciation for held-for-sale operations in 1999, is primarily a result of the Company's acquisition activity in 1999 and the full year impact of acquisitions in 1998.</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Merger and Acquisition Related Costs, Asset Impairments and Unusual Items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2000, 1999 and 1998, the Company had significant charges related to merger and acquisition related costs and asset impairments and unusual items. In 1998, these charges primarily related to the Company's merger integration plans and related business reviews associated with the mergers with WM Holdings and Eastern Environmental Services. The merger integration plans included significant employee severance costs, restructuring costs, transaction costs and changes in certain employee benefit programs, as well as charges for businesses to be sold and assets to be abandoned. The 1998 business review included charges for losses on contractual commitments and changes in estimates on the ultimate losses for certain legal and environmental issues and related costs. In 1999, these charges were primarily identified in the 1999 accounting review or resulted from the Company's strategic plan discussed above. In 2000, these costs were primarily due to the sale of most of the Company's WM International operations as part of the Company's strategic plan and the termination of the WM Holding's defined benefit pension plan. See Notes 4, 13 and 16 to the consolidated financial statements.</w:t>
      </w:r>
    </w:p>
    <w:p>
      <w:pPr>
        <w:spacing w:after="0" w:line="32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decrease in interest expense in 2000, as compared to 1999, is primarily due to the net debt reduction in 2000 from proceeds related to the Company's divestiture program and cash flows from operations. The increase in interest expense in 1999, as compared to 1998, is due to higher average levels of outstanding</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indebtedness during the respective years and also a decline in the Company's public credit rating, which began in the last six months of 1999 and caused the Company to increase its use of more costly bank credit facilities instead of the previously used commercial paper. Also contributing to period to period changes in interest expense is the offsetting decrease in the amount of interest that the Company has capitalized during these years. The Company capitalized interest of $22 million, $34 million and $42 million for 2000, 1999 and 1998, respectively.</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Provision for Income Taxes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recorded a provision for income taxes of $418 million, $232 million and $67 million for 2000, 1999 and 1998, respectively, resulting in an effective income tax rate of 130.2%, 142.3% and 9.6% for each of the three years, respectively. The difference in federal income taxes computed at the federal statutory rate and reported income taxes for these years is primarily due to state and local income taxes, non-deductible costs related to acquired intangibles, non-deductible costs associated with the impairment and divestiture of certain businesses and other 1999 charges and adjustments as discussed in Note 2 to the consolidated financial statements, and the cost associated with remitting the earnings of certain foreign subsidiaries, which are no longer permanently reinvested. Excluding non-deductible held-for-sale impairment charges associated with certain businesses, non-deductible losses on the divestiture of assets that closed during the period and other unusual items, the Company's tax provision would have been 40.9% of pre-tax income for 2000.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 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to the Company at the time, including the incurrence of debt and the issuance of its common stock. In August 1999, the Company announced a strategic plan that included the sale of its WM International operations, its non-core operations and selected NASW operations. The proceeds from these dispositions, which were primarily realized in 2000, were used for debt repayment. At both December 31, 2000 and March 8, 2001, the Company has unused and available credit capacity under its bank credit facilities of $1.3 billion. The Company believes that these levels of credit capacity are sufficient to meet its ongoing operating requirements.</w:t>
      </w:r>
    </w:p>
    <w:p>
      <w:pPr>
        <w:spacing w:after="0" w:line="187"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following is a summary of the Company's cash flows statements for the years ended December 31, 2000, 1999 and 1998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8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gridSpan w:val="2"/>
          </w:tcPr>
          <w:p>
            <w:pPr>
              <w:spacing w:after="0"/>
              <w:rPr>
                <w:sz w:val="20"/>
                <w:szCs w:val="20"/>
                <w:color w:val="auto"/>
              </w:rPr>
            </w:pPr>
            <w:r>
              <w:rPr>
                <w:rFonts w:ascii="Courier New" w:cs="Courier New" w:eastAsia="Courier New" w:hAnsi="Courier New"/>
                <w:sz w:val="15"/>
                <w:szCs w:val="15"/>
                <w:color w:val="auto"/>
                <w:w w:val="99"/>
              </w:rPr>
              <w:t>Operating activities....................................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$ 2,125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$ 1,689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$ 1,502</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Investing</w:t>
            </w:r>
          </w:p>
        </w:tc>
        <w:tc>
          <w:tcPr>
            <w:tcW w:w="4200" w:type="dxa"/>
            <w:vAlign w:val="bottom"/>
          </w:tcPr>
          <w:p>
            <w:pPr>
              <w:ind w:left="60"/>
              <w:spacing w:after="0"/>
              <w:rPr>
                <w:sz w:val="20"/>
                <w:szCs w:val="20"/>
                <w:color w:val="auto"/>
              </w:rPr>
            </w:pPr>
            <w:r>
              <w:rPr>
                <w:rFonts w:ascii="Courier New" w:cs="Courier New" w:eastAsia="Courier New" w:hAnsi="Courier New"/>
                <w:sz w:val="15"/>
                <w:szCs w:val="15"/>
                <w:color w:val="auto"/>
                <w:w w:val="99"/>
              </w:rPr>
              <w:t>activities....................................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(4,555)</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Financing</w:t>
            </w:r>
          </w:p>
        </w:tc>
        <w:tc>
          <w:tcPr>
            <w:tcW w:w="4200" w:type="dxa"/>
            <w:vAlign w:val="bottom"/>
          </w:tcPr>
          <w:p>
            <w:pPr>
              <w:ind w:left="60"/>
              <w:spacing w:after="0"/>
              <w:rPr>
                <w:sz w:val="20"/>
                <w:szCs w:val="20"/>
                <w:color w:val="auto"/>
              </w:rPr>
            </w:pPr>
            <w:r>
              <w:rPr>
                <w:rFonts w:ascii="Courier New" w:cs="Courier New" w:eastAsia="Courier New" w:hAnsi="Courier New"/>
                <w:sz w:val="15"/>
                <w:szCs w:val="15"/>
                <w:color w:val="auto"/>
                <w:w w:val="99"/>
              </w:rPr>
              <w:t>activities....................................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2,956</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1999 and 1998, cash flows from operations were negatively impacted by the implementation of Company's merger integration plans for the mergers with WM Holdings and Eastern Environmental Services, and the subsequent operational and administrative difficulties discussed above. In 1998, the Company spent approximately $3.6 billion on the acquisition of businesses and outstanding minority interest positions, as well as approximately $1.7 billion on capital expenditures. These investing activities in 1998 were primarily funded by cash flows from operations, net debt borrowings of approximately $2.0 billion, proceeds from sales of assets of approximately $545 million and proceeds from the sale of common and treasury stock of approximately $945 million. In 1999, the Company spent approximately $1.3 billion on acquisitions of businesses and approximately $1.3 billion on capital expenditures. These investing activities were funded by cash flows from operations, net debt borrowings of approximately $259 million and proceeds from the sale of assets of approximately $651 million.</w:t>
      </w:r>
    </w:p>
    <w:p>
      <w:pPr>
        <w:spacing w:after="0" w:line="15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29" w:name="page30"/>
    <w:bookmarkEnd w:id="29"/>
    <w:p>
      <w:pPr>
        <w:ind w:left="27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2000, cash flows from operations were impacted by several factors that the Company considers to be unusual, including costs for professional accounting fees and consulting activities associated with stabilizing and improving the accounting systems and developing new enterprise information systems discussed above. The following summary of free cash flows has been prepared to highlight and facilitate understanding of the primary cash flow elements. It is not intended to replace the consolidated statement of cash flows for 2000, which was prepared in accordance with generally accepted accounting principles. Adjusted free cash flow in the table below, which is not a measure of financial performance in accordance with generally accepted accounting principles, is defined as cash flows from operations less capital expenditures and then adjusted for certain cash flow activity that the Company considers as unusual for the year (in millions).</w:t>
      </w:r>
    </w:p>
    <w:p>
      <w:pPr>
        <w:spacing w:after="0" w:line="200" w:lineRule="exact"/>
        <w:rPr>
          <w:sz w:val="20"/>
          <w:szCs w:val="20"/>
          <w:color w:val="auto"/>
        </w:rPr>
      </w:pP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EBITDA(a)...................................................</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$ 3,216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paid...............................................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Taxes paid..................................................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acquisitions and divestitures, and other..................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operating activities...................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Capital expenditures........................................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Free cash flow..............................................</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 refund................................................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Payments for terminating the WM Holdings' defined benefit</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pension plan...........................................</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Accounting and consulting services........................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Litigation settlements....................................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Reimbursement for late allocation of employee stock</w:t>
            </w: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purchase plan shares...................................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Adjusted free cash flow.....................................</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$ 1,083</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179" w:hanging="450"/>
        <w:spacing w:after="0" w:line="258" w:lineRule="auto"/>
        <w:tabs>
          <w:tab w:leader="none" w:pos="4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is defined as income from operations excluding depreciation and amortization, merger and acquisition related costs and asset impairments and unusual items.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64"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Consistent with the strategic initiative discussed above, in 2000 the Company had a net debt reduction of approximately $3.3 billion funded through its divestiture program and cash flows from operations.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Under the terms of the Company's $1.5 billion syndicated loan facility (the "Syndicated Facility") and its $1.4 billion senior revolving credit facility (the "Credit Facility"), the Company is obligated to repay the borrowings under the facilities with the cash proceeds received from the strategic plan divestitures. The Company was required to use all of the first $1.5 billion of net proceeds from the divestitures to repay indebtedness, which it has done. Additionally, the Company is required to use 50% of the additional cash proceeds greater than $1.5 billion and up to $2.5 billion from divestitures to repay the indebtedness under the Syndicated and Credit Facilities. As of December 31, 2000, the Company had received cash proceeds of approximately $2.5 billion from its divestitures, approximately $175 million of which was used to repay the Company's Eurocurrency facilities in the second quarter of 2000, approximately $100 million was used for repayment of divestiture subsidiary debts and the remainder of which has been used to repay indebtedness under the bank credit facilities.</w:t>
      </w:r>
    </w:p>
    <w:p>
      <w:pPr>
        <w:spacing w:after="0" w:line="18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On July 17, 1998, the Company issued $600 million of 6 1/8% mandatorily tendered senior notes, due July 15, 2011. This debt instrument is subject to certain mandatory tender features as described in the indenture, which may require the purchase by the Company of a portion of or all of the outstanding notes on July 15, 2001. The Company intends to either refinance these notes or use borrowings available under the Syndicated Facility and/or the Credit Facility in the event it must purchase the notes on July 15, 2001. Accordingly, these borrowings have been classified as long-term at December 31, 2000.</w:t>
      </w:r>
    </w:p>
    <w:p>
      <w:pPr>
        <w:sectPr>
          <w:pgSz w:w="11900" w:h="16838" w:orient="portrait"/>
          <w:cols w:equalWidth="0" w:num="1">
            <w:col w:w="10229"/>
          </w:cols>
          <w:pgMar w:left="230" w:top="283" w:right="1440" w:bottom="1440" w:gutter="0" w:footer="0" w:header="0"/>
        </w:sectPr>
      </w:pPr>
    </w:p>
    <w:p>
      <w:pPr>
        <w:spacing w:after="0" w:line="16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28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February of 2001 the Company issued $600 million of 7 3/8% senior unsecured notes due August 1, 2010. Interest is payable semi-annually on February 1 and August 1. The net proceeds from the sale of the notes are approximately $593 million, after deducting discounts to the underwriters and estimated expenses of the offering. The Company intends to use the net proceeds, together with cash on hand, to repay in full the $200 million principal amount outstanding under the 6% Senior Notes due May 15, 2001, the $200 million principal amount outstanding under the 6.70% Senior Notes due May 1, 2001, and the $200 million principal amount outstanding under the 7 1/8% Senior Notes due June 15, 2001. Pending application of the proceeds as described, the proceeds will be invested temporarily in short-term investments or be used to reduce short-term borrowings.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proposed a settlement to resolve a consolidated derivative action pending in the Chancery Court of the State of Delaware. The derivative action was brought against several former officers and directors of Waste Management Holdings and seeks, among other things, reimbursement of those monies expended by Waste Management Holdings and the Company in resolving all claims brought against WM Holdings arising out of its February 1998 restatement of earnings. The terms of the settlement include a payment to the Company of $15 million by certain of WM Holdings' insurance carriers and the complete resolution of all pending claims for retirement benefits between certain former officers of WM Holdings and the Company. The resolution of the actions for retirement benefits involves the release by the former executives who brought claims against the company for certain amounts otherwise owing under the retirement plans. The total benefits to the Company from the settlement of the derivative case is approximately $23 million.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material financial commitments for the costs associated with its future obligations for final closure, which is the closure of the landfills and the capping of the final uncapped areas of the landfills, and for post-closure of the landfills it operates or for which it is otherwise responsible. The final closure and post-closure liabilities are charged to expense as airspace is consumed such that the present value of total estimated final closure and post-closure cost will be accrued for each landfill at the time each site discontinues accepting waste and is closed. The Company has also established procedures to evaluate its potential remedial liabilities at closed sites which it owns or operated, or to which it transported waste, including 79 sites listed on the EPA's National Priority List ("NPL"). The majority of situations involving NPL sites relate to allegations that subsidiaries of the Company (or their predecessors) transported waste to the facilities in question, often prior to the acquisition of such subsidiaries by the Company. In instances in which the Company has concluded that it is probable that a liability has been incurred, an accrual has been recorded in the financial statements.</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have a material adverse impact on the Company's financial statements.</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While the precise amount of these future costs cannot be determined with certainty, the Company has estimated that the aggregate cost of environmental liabilities as of December 31, 2000 is approximately $2.8 billion. As of December 31, 2000 and 1999, the Company had recorded liabilities of $613 million and $600 million, respectively, for the present value of final closure and post-closure costs of disposal facilities. The</w:t>
      </w:r>
    </w:p>
    <w:p>
      <w:pPr>
        <w:ind w:left="35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difference between the final closure and post-closure costs accrued at December 31, 2000, and the total present value of estimated costs represents final closure and post-closure costs that will be accrued and charged to expense as airspace is consumed such that the total present value of estimated final closure and post-closure costs to be incurred will be fully accrued for each landfill at the time each site discontinues accepting waste and is closed. The average landfill final closure and post-closure expense, on a per ton basis, for the 305 landfills operating at December 31, 2000 was $0.30 per ton. As of December 31, 2000 and 1999, the Company had recorded liabilities of $349 million and $377 million, respectively, for the present value of remediation costs of disposal facilities. For fiscal 2001, we expect to spend approximately $153 million for our final closure, post-closure and remediation expenditures.</w:t>
      </w:r>
    </w:p>
    <w:p>
      <w:pPr>
        <w:spacing w:after="0" w:line="16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As of December 31, 2000, the Company also expects to incur approximately $6.9 billion related to future construction activities during the remaining operating lives of the disposal sites, which are capitalized as incurred and expensed over the useful lives of the disposal sites as airspace is consumed. The average landfill airspace amortization cost per ton for the 305 landfills operating at December 31, 2000 was $3.84 per ton.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Company's operating revenues tend to be somewhat lower in the winter months, which corresponds with the Company's first and fourth quarters. This is primarily attributable to the facts that (i) the volume of waste relating to construction and demolition activities tends to increase in the spring and summer months and (ii) the volume of industrial and residential waste in certain regions where the Company operates tends to decrease during the winter months.</w:t>
      </w:r>
    </w:p>
    <w:p>
      <w:pPr>
        <w:spacing w:after="0" w:line="164"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 believes that inflation has not had, and is not expected to have, any material adverse effect on the results of operations in the near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Statement of Financial Accounting Standards ("SFAS") No. 133, "Accounting for Derivative Instruments and Hedging Activities," as amended by SFAS No. 138, "Accounting for Certain Derivative Instruments and Certain Hedging Activities -- an Amendment of FASB Statement No. 133," and SFAS No. 137, "Accounting for Derivative Instruments and Hedging Activities -- Deferral of the Effective Date of FASB Statement No. 133 -- an Amendment of FASB Statement No. 133," which deferred the effective date of SFAS 133 to fiscal years beginning after June 15, 2000, is effective for the Company as of January 1, 2001. SFAS No. 133, as amended, establishes accounting and reporting standards requiring that all derivative instruments, including certain derivative instruments embedded in other contracts, be recorded as either assets or liabilities measured at fair value. SFAS 133, as amended, requires that changes in the derivative's fair value be recognized currently in earnings unless specific hedge accounting criteria are met. The accounting for changes in the fair value of a derivative depends on the intended use of the derivative and the resulting designation. The Company adopted SFAS 133 on January 1, 2001. As of January 1, 2001, the cumulative effect of such change in accounting for derivative instruments to fair value is expected to result in a gain, net of taxes of approximately $2 million in the first quarter of 2001.</w:t>
      </w:r>
    </w:p>
    <w:p>
      <w:pPr>
        <w:spacing w:after="0" w:line="33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December 1999, the SEC released Staff Accounting Bulletin No. 101, "Revenue Recognition" ("SAB No. 101"). SAB No. 101 provides registrants guidance on the recognition, presentation and disclosure of revenue in financial statements and was required to be adopted by the Company in the fourth quarter of 2000. Since our policies were already compliant with SAB No. 101, no material changes to revenue recognition occurred.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 ABOUT MARKET RISK.</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the normal course of business, the Company is exposed to market risk, including changes in interest rates, currency exchange rates, certain commodity prices and certain equity prices. From time to time, the Company and certain of its subsidiaries use derivatives to manage some portion of these risks. The derivatives used are simple agreements that provide for payments based on the notional amount, with no multipliers or leverage. All derivatives are related to actual or anticipated exposures of transactions of the Company. While</w:t>
      </w:r>
    </w:p>
    <w:p>
      <w:pPr>
        <w:ind w:left="3520"/>
        <w:spacing w:after="0" w:line="235" w:lineRule="auto"/>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 is exposed to credit risk in the event of non-performance by counterparties to derivatives, in all cases such counterparties are highly rated financial institutions and the Company does not anticipate non-performance. The Company does not hold or issue derivative financial instruments for trading purposes. The Company monitors its derivative positions by regularly evaluating the positions at market and by performing sensitivity analyses.</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performed sensitivity analyses to determine how market rate changes will affect the fair value of the Company's market risk sensitive derivatives and related positions. Such an analysis is inherently limited in that it represents a singular, hypothetical set of assumptions. Actual market movements may vary significantly from the Company's assumptions. The effects of such market movements may also directly or indirectly affect the Company's assumptions and its rights and obligations not covered by sensitivity analysis. Fair value sensitivity is not necessarily indicative of the ultimate cash flow or earnings effect on the Company from the assumed market rate movements.</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Interest Rate Exposure. The Company's exposure to market risk for changes in interest rates relates primarily to the Company's debt obligations, which are mainly denominated in U.S. dollars. In addition, interest rate swaps are generally used to either lock-in or limit the variability in the interest expense of certain floating rate debt obligations or to manage the mix of fixed and floating rate debt obligations. An instantaneous, one percentage point increase in interest rates across all maturities and applicable yield curves would increase the fair value of the Company's combined debt and interest rate swap positions at December 31, 2000 and 1999 by approximately $403 million and $443 million, respectively. This analysis does not reflect the effect that declining interest rates would have on other items such as pension liabilities, nor the favorable impact they would have on interest expense and cash payments for interest. Since a significant portion of the Company's debt is at fixed rates, changes in market interest rates would not significantly impact operating results until and unless such debt would need to be refinanced at maturity.</w:t>
      </w:r>
    </w:p>
    <w:p>
      <w:pPr>
        <w:spacing w:after="0" w:line="16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Currency Rate Exposure. The Company incurred exchange rate risk from borrowings denominated in foreign currencies at December 31, 1999. An instantaneous, ten percent increase in foreign exchange rates would have decreased the fair value of the Company's foreign currency borrowings by approximately $43 million. The Company had no foreign currency borrowings at December 31, 2000.</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Commodities Price Exposure. The Company markets recycled paper products such as old newspaper ("ONP") and old corrugated containers ("OCC"). The Company started entering into financial swaps in 1999 in an effort to mitigate the risk of recyclable paper price fluctuations. Under its financial swap agreements, the Company transfers a floating market price for a fixed price for a fixed period of time. The two parties agree to use a market index as an indicator of the market price during the term of the swap. An instantaneous ten percent increase in this commodity at December 31, 2000 and 1999 creates an exposure risk of approximately $7 million and $50,000, respectively. The increase in exposure risk from 1999 to 2000 is attributable to the greater number of financial swap agreements that were outstanding at the end of the respective periods. All of the Company's waste paper hedges are cash settled on a monthly basis with the counterparty.</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Equity Price Exposure. The Company is also subject to equity price exposure from Company debt issues that are convertible into the Company's common stock. These debt issues had an aggregate carrying value of $566 million and $962 million as of December 2000 and 1999, respectively. An instantaneous, ten percent decrease in the Company's stock price on December 31, 2000 and 1999, would increase the fair value of the Company's convertible debt by approximately $11 million and $12 million, respectively.</w:t>
      </w:r>
    </w:p>
    <w:p>
      <w:pPr>
        <w:spacing w:after="0" w:line="177" w:lineRule="exact"/>
        <w:rPr>
          <w:sz w:val="20"/>
          <w:szCs w:val="20"/>
          <w:color w:val="auto"/>
        </w:rPr>
      </w:pPr>
    </w:p>
    <w:p>
      <w:pPr>
        <w:ind w:right="3539" w:firstLine="441"/>
        <w:spacing w:after="0" w:line="265" w:lineRule="auto"/>
        <w:rPr>
          <w:sz w:val="20"/>
          <w:szCs w:val="20"/>
          <w:color w:val="auto"/>
        </w:rPr>
      </w:pPr>
      <w:r>
        <w:rPr>
          <w:rFonts w:ascii="Courier New" w:cs="Courier New" w:eastAsia="Courier New" w:hAnsi="Courier New"/>
          <w:sz w:val="14"/>
          <w:szCs w:val="14"/>
          <w:color w:val="auto"/>
        </w:rPr>
        <w:t>See Notes 3 and 10 to the consolidated financial statements for further discussion of the use of and accounting for derivative instruments.</w:t>
      </w:r>
    </w:p>
    <w:p>
      <w:pPr>
        <w:spacing w:after="0" w:line="15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ind w:left="3160"/>
              <w:spacing w:after="0"/>
              <w:rPr>
                <w:sz w:val="20"/>
                <w:szCs w:val="20"/>
                <w:color w:val="auto"/>
              </w:rPr>
            </w:pPr>
            <w:r>
              <w:rPr>
                <w:rFonts w:ascii="Courier New" w:cs="Courier New" w:eastAsia="Courier New" w:hAnsi="Courier New"/>
                <w:sz w:val="15"/>
                <w:szCs w:val="15"/>
                <w:color w:val="auto"/>
              </w:rPr>
              <w:t>INDEX TO</w:t>
            </w:r>
          </w:p>
        </w:tc>
        <w:tc>
          <w:tcPr>
            <w:tcW w:w="440" w:type="dxa"/>
            <w:vAlign w:val="bottom"/>
          </w:tcPr>
          <w:p>
            <w:pPr>
              <w:spacing w:after="0"/>
              <w:rPr>
                <w:sz w:val="14"/>
                <w:szCs w:val="14"/>
                <w:color w:val="auto"/>
              </w:rPr>
            </w:pPr>
          </w:p>
        </w:tc>
      </w:tr>
      <w:tr>
        <w:trPr>
          <w:trHeight w:val="170"/>
        </w:trPr>
        <w:tc>
          <w:tcPr>
            <w:tcW w:w="5360" w:type="dxa"/>
            <w:vAlign w:val="bottom"/>
          </w:tcPr>
          <w:p>
            <w:pPr>
              <w:ind w:left="2020"/>
              <w:spacing w:after="0"/>
              <w:rPr>
                <w:sz w:val="20"/>
                <w:szCs w:val="20"/>
                <w:color w:val="auto"/>
              </w:rPr>
            </w:pPr>
            <w:r>
              <w:rPr>
                <w:rFonts w:ascii="Courier New" w:cs="Courier New" w:eastAsia="Courier New" w:hAnsi="Courier New"/>
                <w:sz w:val="15"/>
                <w:szCs w:val="15"/>
                <w:color w:val="auto"/>
              </w:rPr>
              <w:t>CONSOLIDATED FINANCIAL STATEMENTS</w:t>
            </w:r>
          </w:p>
        </w:tc>
        <w:tc>
          <w:tcPr>
            <w:tcW w:w="44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5360" w:type="dxa"/>
            <w:vAlign w:val="bottom"/>
          </w:tcPr>
          <w:p>
            <w:pPr>
              <w:spacing w:after="0"/>
              <w:rPr>
                <w:sz w:val="14"/>
                <w:szCs w:val="14"/>
                <w:color w:val="auto"/>
              </w:rPr>
            </w:pP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Report of Independent Public Accountants....................</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2000 and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1999......................................................</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33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December 31, 2000, 1999 and 1998..........................</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34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December 31, 2000, 1999 and 1998..........................</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35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Years Ended December 31, 2000, 1999 and 1998..............</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36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37</w:t>
            </w:r>
          </w:p>
        </w:tc>
      </w:tr>
      <w:tr>
        <w:trPr>
          <w:trHeight w:val="509"/>
        </w:trPr>
        <w:tc>
          <w:tcPr>
            <w:tcW w:w="5360" w:type="dxa"/>
            <w:vAlign w:val="bottom"/>
          </w:tcPr>
          <w:p>
            <w:pPr>
              <w:ind w:left="3520"/>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 Waste Management, Inc.:</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Waste Management, Inc. and subsidiaries (the "Company"), a Delaware corporation, as of December 31, 2000 and 1999, and the related consolidated statements of operations, cash flows and stockholders' equity for each of the years in the three-year period ended December 31, 2000. These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selected quarterly financial data included in Note 21 contains information that we did not audit, and, accordingly, we do not express an opinion on that data. We attempted, but were unable, to review the quarterly financial data for the interim periods within 1999 in accordance with standards established by the American Institute of Certified Public Accountants because we believe that the Company's internal controls for the preparation of interim financial information did not provide an adequate basis to enable us to complete such a review.</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Waste Management, Inc. and subsidiaries as of December 31, 2000 and 1999, and the results of their operations and their cash flows for each of the years in the three-year period ended December 31, 2000, in conformity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7, 2001</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79"/>
        <w:spacing w:after="0"/>
        <w:rPr>
          <w:sz w:val="20"/>
          <w:szCs w:val="20"/>
          <w:color w:val="auto"/>
        </w:rPr>
      </w:pPr>
      <w:r>
        <w:rPr>
          <w:rFonts w:ascii="Courier New" w:cs="Courier New" w:eastAsia="Courier New" w:hAnsi="Courier New"/>
          <w:sz w:val="15"/>
          <w:szCs w:val="15"/>
          <w:color w:val="auto"/>
        </w:rPr>
        <w:t>(IN MILLIONS, EXCEPT SHARE AND PAR VALUE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360" w:type="dxa"/>
            <w:vAlign w:val="bottom"/>
          </w:tcPr>
          <w:p>
            <w:pPr>
              <w:spacing w:after="0"/>
              <w:rPr>
                <w:sz w:val="14"/>
                <w:szCs w:val="14"/>
                <w:color w:val="auto"/>
              </w:rPr>
            </w:pPr>
          </w:p>
        </w:tc>
        <w:tc>
          <w:tcPr>
            <w:tcW w:w="16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of $128 and $289, respectively................</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and other receivables...............................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Parts and supplies........................................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Operations held-for-sale..................................</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3,536</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2,457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6,221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and equipment, net.................................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10,126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Goodwill, net...............................................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5,046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intangible assets, net................................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$18,565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$22,681</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$ 1,063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Operations held-for-sale..................................</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1,408</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7,490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 less current maturities.....................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8,372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8,399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income taxes.......................................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Environmental liabilities...................................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liabilities...........................................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815</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13,749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18,271</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 in subsidiaries...........................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authorized; 629,621,821 and 627,283,618 shares issued,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4,497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Restricted stock unearned compensation....................</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Treasury stock at cost, 6,971,560 and 73,709 shares,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Employee stock benefit trust at market, 0 and 7,892,612</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 respectively...................................</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4,801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4,402</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 and stockholders' equity........</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$18,565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$22,681</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OPERATIONS</w:t>
      </w:r>
    </w:p>
    <w:p>
      <w:pPr>
        <w:jc w:val="center"/>
        <w:ind w:right="3279"/>
        <w:spacing w:after="0"/>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5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360" w:type="dxa"/>
            <w:vAlign w:val="bottom"/>
          </w:tcPr>
          <w:p>
            <w:pPr>
              <w:spacing w:after="0"/>
              <w:rPr>
                <w:sz w:val="14"/>
                <w:szCs w:val="14"/>
                <w:color w:val="auto"/>
              </w:rPr>
            </w:pPr>
          </w:p>
        </w:tc>
        <w:tc>
          <w:tcPr>
            <w:tcW w:w="25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Operating revenues..........................................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$12,492</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$13,127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$12,626</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shown below)...........................................</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7,538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8,269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7,283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1,738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1,429</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and acquisition related costs......................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 impairments and unusual items.......................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749</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864</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11,454</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12,587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12,786</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operations...............................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1,038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 net.........................................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(540)</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 and extraordinary item....</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before extraordinary item..............................</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loss on refinancing or retirement of debt, net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income tax of $2 in 1999 and $3 in 1998................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(771)</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before extraordinary item............................</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(1.31)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(1.32)</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before extraordinary item............................</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(0.64)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(1.31)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(0.16)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(0.65)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(1.32)</w:t>
            </w:r>
          </w:p>
        </w:tc>
      </w:tr>
      <w:tr>
        <w:trPr>
          <w:trHeight w:val="170"/>
        </w:trPr>
        <w:tc>
          <w:tcPr>
            <w:tcW w:w="536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27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7"/>
              </w:rPr>
              <w:t>YEARS ENDED DECEMBER 31,</w:t>
            </w:r>
          </w:p>
        </w:tc>
      </w:tr>
      <w:tr>
        <w:trPr>
          <w:trHeight w:val="170"/>
        </w:trPr>
        <w:tc>
          <w:tcPr>
            <w:tcW w:w="5360" w:type="dxa"/>
            <w:vAlign w:val="bottom"/>
          </w:tcPr>
          <w:p>
            <w:pPr>
              <w:spacing w:after="0"/>
              <w:rPr>
                <w:sz w:val="14"/>
                <w:szCs w:val="14"/>
                <w:color w:val="auto"/>
              </w:rPr>
            </w:pPr>
          </w:p>
        </w:tc>
        <w:tc>
          <w:tcPr>
            <w:tcW w:w="25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Provision for bad debts.................................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268</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1,429</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1,614</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1,499</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Deferred income tax provision (benefit).................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Net gain on disposal of assets..........................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Effect of merger costs, asset impairments and unusual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749</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575</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acquisitions and divestitures: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283</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revenues and other liabilities.................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operating activities...................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2,125</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1,689</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1,502</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(1,289)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(1,946)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(1,313)</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(1,327)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(1,651)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divestitures of businesses, net of cash</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divested, and other sales of assets.....................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2,552</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651</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investments.........................................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 of minority interests.........................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(1,673)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(used in) investing activities.........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1,072</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(2,017)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(4,555)</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New borrowings............................................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4,246</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Debt repayments...........................................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(3,597)</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(3,987)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(4,407)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Sale of treasury stock....................................</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 of common stock options and warrants.............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176</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(3,279)</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426</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2,956</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181</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276</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 receivable from sale of assets.....................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Conversion of subordinated debt to common stock.........</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263</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Acquisitions of businesses and development projects: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 incurred or assumed.......................</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357</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w:t>
            </w:r>
          </w:p>
        </w:tc>
      </w:tr>
    </w:tbl>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STOCKHOLDERS' EQUITY</w:t>
      </w:r>
    </w:p>
    <w:p>
      <w:pPr>
        <w:jc w:val="center"/>
        <w:ind w:right="3279"/>
        <w:spacing w:after="0"/>
        <w:rPr>
          <w:sz w:val="20"/>
          <w:szCs w:val="20"/>
          <w:color w:val="auto"/>
        </w:rPr>
      </w:pPr>
      <w:r>
        <w:rPr>
          <w:rFonts w:ascii="Courier New" w:cs="Courier New" w:eastAsia="Courier New" w:hAnsi="Courier New"/>
          <w:sz w:val="15"/>
          <w:szCs w:val="15"/>
          <w:color w:val="auto"/>
        </w:rPr>
        <w:t>(IN MILLIONS, EXCEPT SHARES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5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5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9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RESTRICTED STOCK</w:t>
            </w: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PAID-IN</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RETAINED</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w:t>
            </w:r>
          </w:p>
        </w:tc>
        <w:tc>
          <w:tcPr>
            <w:tcW w:w="15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UNEARNED</w:t>
            </w:r>
          </w:p>
        </w:tc>
      </w:tr>
      <w:tr>
        <w:trPr>
          <w:trHeight w:val="170"/>
        </w:trPr>
        <w:tc>
          <w:tcPr>
            <w:tcW w:w="3160" w:type="dxa"/>
            <w:vAlign w:val="bottom"/>
          </w:tcPr>
          <w:p>
            <w:pPr>
              <w:spacing w:after="0"/>
              <w:rPr>
                <w:sz w:val="14"/>
                <w:szCs w:val="14"/>
                <w:color w:val="auto"/>
              </w:rPr>
            </w:pPr>
          </w:p>
        </w:tc>
        <w:tc>
          <w:tcPr>
            <w:tcW w:w="16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EARNINGS</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(LOSS)</w:t>
            </w:r>
          </w:p>
        </w:tc>
        <w:tc>
          <w:tcPr>
            <w:tcW w:w="15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COMPENSATION</w:t>
            </w:r>
          </w:p>
        </w:tc>
      </w:tr>
      <w:tr>
        <w:trPr>
          <w:trHeight w:val="170"/>
        </w:trPr>
        <w:tc>
          <w:tcPr>
            <w:tcW w:w="3160" w:type="dxa"/>
            <w:vAlign w:val="bottom"/>
          </w:tcPr>
          <w:p>
            <w:pPr>
              <w:spacing w:after="0"/>
              <w:rPr>
                <w:sz w:val="14"/>
                <w:szCs w:val="14"/>
                <w:color w:val="auto"/>
              </w:rPr>
            </w:pPr>
          </w:p>
        </w:tc>
        <w:tc>
          <w:tcPr>
            <w:tcW w:w="16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AMOUNT</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BALANCE, JANUARY 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598,678</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$3,874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$1,938</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(771)</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Cash dividends.....................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stock options and warrants, and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grants of restricted stock</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(including tax benefit)...........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4,410</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restricted stock, net of reversals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on forfeited shares...............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Reversals of unearned compensation</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upon cancellation of restricted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stock.............................</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Accelerated vesting of restricted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due to WM Holdings Merger...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for</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acquisitions......................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7,611</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180</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in public</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offerings.........................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5,204</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Put rights on WM Holdings employee</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options, net of taxes.......</w:t>
            </w:r>
          </w:p>
        </w:tc>
        <w:tc>
          <w:tcPr>
            <w:tcW w:w="98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 to market value.....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adjustment, net of taxes of $47...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foreign currency statements....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Sale of treasury stock.............</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Cancellation of treasury stock.....</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(13,300)</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Change in Eastern fiscal year......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3,900</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Conversion of WTI stock options....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1,805</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608,308</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$4,092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$1,067</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$(421)</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w:t>
            </w: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(398)</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Cash dividends.....................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stock options and warrants, and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grants of restricted stock</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(including tax benefit)...........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8,431</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Unearned compensation related to</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issuance of restricted stock to</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employees.........................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265</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for</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acquisitions......................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458</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for conversion</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subordinated debt..............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8,984</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 to market value.....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adjustment, net of taxes of $37...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foreign currency statements....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(76)</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838</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1999.........</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627,284</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$4,440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663</w:t>
            </w:r>
          </w:p>
        </w:tc>
        <w:tc>
          <w:tcPr>
            <w:tcW w:w="14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(4)</w:t>
            </w: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Cash dividends.....................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stock options and warrants, and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grants of restricted stock</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(including tax benefit)...........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restricted stock..................</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(purchased) in</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connection with litigation</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settlements.......................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1,364</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 to market value.....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adjustment, net of taxes of $92...</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130</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of foreign currency statements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including effects of</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divestitures......................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307</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3" w:right="1440"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Termination of employee stock</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benefit trust.....................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DECEMBER 31, 2000.........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629,622</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$4,497</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560</w:t>
            </w: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w:t>
            </w:r>
          </w:p>
        </w:tc>
      </w:tr>
      <w:tr>
        <w:trPr>
          <w:trHeight w:val="170"/>
        </w:trPr>
        <w:tc>
          <w:tcPr>
            <w:tcW w:w="31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EMPLOYEE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COMPREHENSIVE</w:t>
            </w:r>
          </w:p>
        </w:tc>
      </w:tr>
      <w:tr>
        <w:trPr>
          <w:trHeight w:val="170"/>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INCOME</w:t>
            </w:r>
          </w:p>
        </w:tc>
      </w:tr>
      <w:tr>
        <w:trPr>
          <w:trHeight w:val="170"/>
        </w:trPr>
        <w:tc>
          <w:tcPr>
            <w:tcW w:w="3160" w:type="dxa"/>
            <w:vAlign w:val="bottom"/>
          </w:tcPr>
          <w:p>
            <w:pPr>
              <w:spacing w:after="0"/>
              <w:rPr>
                <w:sz w:val="14"/>
                <w:szCs w:val="14"/>
                <w:color w:val="auto"/>
              </w:rPr>
            </w:pPr>
          </w:p>
        </w:tc>
        <w:tc>
          <w:tcPr>
            <w:tcW w:w="17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TREASURY STOCK</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BENEFIT TRUST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(LOSS)</w:t>
            </w:r>
          </w:p>
        </w:tc>
      </w:tr>
      <w:tr>
        <w:trPr>
          <w:trHeight w:val="170"/>
        </w:trPr>
        <w:tc>
          <w:tcPr>
            <w:tcW w:w="316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3"/>
              </w:rPr>
              <w:t>-----------------</w:t>
            </w:r>
          </w:p>
        </w:tc>
        <w:tc>
          <w:tcPr>
            <w:tcW w:w="660" w:type="dxa"/>
            <w:vAlign w:val="bottom"/>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2"/>
              </w:rPr>
              <w:t>AMOUNT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BALANCE, JANUARY 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34,239</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$(1,369)</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$(299)</w:t>
            </w:r>
          </w:p>
        </w:tc>
        <w:tc>
          <w:tcPr>
            <w:tcW w:w="128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(771)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Cash dividends.....................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Dividends paid to employee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stock options and warrants, and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grants of restricted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(including tax benefit)...........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(1,695)</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restricted stock, net of reversals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on forfeited shares...............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Reversals of unearned compensation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upon cancellation of restricted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stock.............................</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Accelerated vesting of restricted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due to WM Holdings Merger...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for</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acquisitions......................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in public</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offerings.........................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Put rights on WM Holdings employee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stock options, net of taxes.......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 to market value.....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adjustment, net of taxes of $47...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foreign currency statements....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Sale of treasury stock.............</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(19,180)</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725</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Cancellation of treasury stock.....</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(13,300)</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566</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Change in Eastern fiscal year......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Conversion of WTI stock options....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1998.........</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$(368)</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(909)</w:t>
            </w: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(398)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Cash dividends.....................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stock options and warrants, and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grants of restricted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(including tax benefit)...........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Unearned compensation related to</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issuance of restricted stock to</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employees.........................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for</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acquisitions......................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for conversion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subordinated debt..............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 to market value.....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232</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adjustment, net of taxes of $37...</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foreign currency statements....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w:t>
            </w:r>
          </w:p>
        </w:tc>
        <w:tc>
          <w:tcPr>
            <w:tcW w:w="12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1999.........</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$(136)</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(540)</w:t>
            </w:r>
          </w:p>
        </w:tc>
      </w:tr>
      <w:tr>
        <w:trPr>
          <w:trHeight w:val="170"/>
        </w:trPr>
        <w:tc>
          <w:tcPr>
            <w:tcW w:w="31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(97)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Cash dividends.....................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upon exercise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of stock options and warrants, and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grants of restricted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(including tax benefit)...........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(1,078)</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Earned compensation related to</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restricted stock..................</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Common stock issued (purchased) in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connection with litigation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settlements.......................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w:t>
            </w:r>
          </w:p>
        </w:tc>
        <w:tc>
          <w:tcPr>
            <w:tcW w:w="12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Adjustment of employee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 to market value.....</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adjustment, net of taxes of $92...</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of foreign currency statements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rPr>
              <w:t>including effects of</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divestitures......................</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Termination of employee stock</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160" w:type="dxa"/>
            <w:vAlign w:val="bottom"/>
          </w:tcPr>
          <w:p>
            <w:pPr>
              <w:ind w:left="80"/>
              <w:spacing w:after="0"/>
              <w:rPr>
                <w:sz w:val="20"/>
                <w:szCs w:val="20"/>
                <w:color w:val="auto"/>
              </w:rPr>
            </w:pPr>
            <w:r>
              <w:rPr>
                <w:rFonts w:ascii="Courier New" w:cs="Courier New" w:eastAsia="Courier New" w:hAnsi="Courier New"/>
                <w:sz w:val="15"/>
                <w:szCs w:val="15"/>
                <w:color w:val="auto"/>
                <w:w w:val="99"/>
              </w:rPr>
              <w:t>benefit trust.....................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7,893</w:t>
            </w:r>
          </w:p>
        </w:tc>
        <w:tc>
          <w:tcPr>
            <w:tcW w:w="12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spacing w:after="0"/>
              <w:rPr>
                <w:sz w:val="14"/>
                <w:szCs w:val="14"/>
                <w:color w:val="auto"/>
              </w:rPr>
            </w:pPr>
          </w:p>
        </w:tc>
      </w:tr>
    </w:tbl>
    <w:p>
      <w:pPr>
        <w:sectPr>
          <w:pgSz w:w="11900" w:h="16838" w:orient="portrait"/>
          <w:cols w:equalWidth="0" w:num="1">
            <w:col w:w="10219"/>
          </w:cols>
          <w:pgMar w:left="240" w:top="136" w:right="1440"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6,972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(133)</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340</w:t>
            </w:r>
          </w:p>
        </w:tc>
      </w:tr>
      <w:tr>
        <w:trPr>
          <w:trHeight w:val="170"/>
        </w:trPr>
        <w:tc>
          <w:tcPr>
            <w:tcW w:w="316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ind w:left="35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13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1580"/>
        <w:spacing w:after="0"/>
        <w:rPr>
          <w:sz w:val="20"/>
          <w:szCs w:val="20"/>
          <w:color w:val="auto"/>
        </w:rPr>
      </w:pPr>
      <w:r>
        <w:rPr>
          <w:rFonts w:ascii="Courier New" w:cs="Courier New" w:eastAsia="Courier New" w:hAnsi="Courier New"/>
          <w:sz w:val="15"/>
          <w:szCs w:val="15"/>
          <w:color w:val="auto"/>
        </w:rPr>
        <w:t>YEARS ENDED DECEMBER 31, 2000, 1999 AND 1998</w:t>
      </w:r>
    </w:p>
    <w:p>
      <w:pPr>
        <w:ind w:left="158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BUSINESS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Business -- Waste Management, Inc. and Subsidiaries ("Waste Management" or the "Company") is one of the largest publicly-owned companies providing integrated waste services in North America. Through its subsidiaries, the Company provides collection, transfer, recycling and resource recovery, and disposal services. The Company is also a leading developer, operator and owner of waste-to-energy facilities in the United States. The Company also had similar operations internationally ("WM International"). As discussed in Notes 4 and 20, pursuant to the Company's strategic plan, the Company has divested most of its WM International operations at December 31, 2000 and is actively marketing to sell its remaining WM International operations, which are considered to be held-for-sale. The Company's other reportable segment consists of non-solid waste management services, which are aggregated as a single segment for this reporting presentation. The non-solid waste management segment includes hazardous waste services (other than hazardous waste landfills) such as chemical waste management services, the Company's independent power projects, and other non-solid waste services that are provided to commercial, industrial and government customers. As discussed in Notes 4 and 20, the Company's non-solid waste management segment includes business lines that have been divested or are being actively marketed and are considered to be held-for-sale.</w:t>
      </w:r>
    </w:p>
    <w:p>
      <w:pPr>
        <w:spacing w:after="0" w:line="33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WM Holdings Merger -- On July 16, 1998, the Company, then known as USA Waste Services, Inc., completed a merger with Waste Management Holdings, Inc. ("WM Holdings"), which was accounted for as a pooling of interests (the "WM Holdings Merger"). WM Holdings was previously the largest publicly traded solid waste company in the United States, providing integrated solid waste management and hazardous waste management services in North America and comprehensive waste management and related services, including solid and hazardous waste management services, internationally. At the effective time of the WM Holdings Merger, the Company changed its name to "Waste Management, Inc."</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Eastern Merger -- On December 31, 1998, the Company completed a merger with Eastern Environmental Services, Inc. ("Eastern"), which was accounted for as a pooling of interests (the "Eastern Merger").</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1999 ACCOUNTING CHARGES AND ADJUSTMENTS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During 1999, the Company initiated a comprehensive internal review of its accounting records, systems, processes and controls at the direction of its Board of Directors. As discussed below, the Company experienced significant difficulty in the integration and conversion of information and accounting systems subsequent to the WM Holdings Merger, including certain financial systems and its billing systems. As a result of these systems and process issues, and other issues raised during the 1999 accounting review, certain charges and adjustments were recorded, as discussed below. The review was completed in time such that the Company was able to record related adjustments in its financial statements for the quarter ended September 30, 1999. The amounts recorded by the Company as a result of the review had a material effect on its financial statements for the year ended December 31, 1999. The following is a summary of charges attributable to this review which were recorded for the quarter ended September 30, 1999:</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Held-for-sale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Increase to allowance for doubtful accounts and other</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Asset impairments (excluding held-for-sale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Insurance reserves and other insurance adjustments..........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Legal, severance and consulting accruals....................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Merger and acquisition related costs........................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charges and adjustments, including:</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 reconciliations...................................</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348</w:t>
            </w: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contract reserve adjustments.........................</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Increases in environmental liabilities....................</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637</w:t>
            </w:r>
          </w:p>
        </w:tc>
      </w:tr>
      <w:tr>
        <w:trPr>
          <w:trHeight w:val="170"/>
        </w:trPr>
        <w:tc>
          <w:tcPr>
            <w:tcW w:w="536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Impact of charges before income tax benefit.................</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 benefit..........................................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0"/>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After-tax charges...........................................</w:t>
            </w: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$1,226</w:t>
            </w:r>
          </w:p>
        </w:tc>
      </w:tr>
      <w:tr>
        <w:trPr>
          <w:trHeight w:val="170"/>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August 1999, the Company's Board of Directors adopted a strategic plan that includes the divestiture of its WM International operations and certain other businesses. (See Note 15, "Segment and Related Information" and Note 20, "Operations Held-for-Sale" for further discussion of the Company's WM International operations). Based primarily on preliminary bids from interested parties, these and certain other assets which were identified as held-for-sale during the third quarter of 1999 were written down to fair value less cost to sell in accordance with Statement of Financial Accounting Standards ("SFAS") No. 121, Accounting for the Impairment of Long-Lived Assets and for Long-Lived Assets to be Disposed Of, resulting in a pre-tax charge of approximately $414 at September 30, 1999. These assets were considered to be held-for-use for periods prior to the third quarter of 1999 and did not meet the criteria for impairment recognition as a "held-for-use" asset, and therefore, were not considered impaired for periods prior to the third quarter of 1999. The assets which were identified as held-for-sale and subject to adjustment include, among others, the Company's WM International operations, the Company's nuclear services disposal site operations and certain North American solid waste, or "NASW," operations that were not essential parts of the Company's network. Revisions to the third quarter estimates were required due to revisions in estimated proceeds and certain changes in business plans during the fourth quarter of 1999, as further discussed in Note 16, "Asset Impairments and Unusual Items". See Note 4 for discussion on operations that have been divested in the year 2000 or announced to be divested in the near future.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1999, subsequent to the WM Holdings Merger, the Company experienced significant difficulty in the conversion from the WM Holdings' information systems to the systems currently in use, resulting in delays and errors, particularly with respect to the Company's billing systems, including delays in submitting bills to</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customers and errors in both computing and delivering bills. Staffing levels were insufficient to address customer complaints and disputes and did not support timely follow-up with customers. Billing system issues initially became evident in the second quarter of 1999 as receivable aging levels continued to rise. At that time, management believed that the increase in receivables was a short-term issue, receivables would return to historical levels once the billing system conversions were complete and there was not a significant collectability issue with its recorded receivables. In connection with the 1999 accounting review, the Company concluded that certain of these accounts had deteriorated to the point that they may be uncollectable, and therefore, recorded an increase in the allowance for doubtful accounts in the third quarter of 1999. Beginning in the third quarter of 1999, the Company increased its resources dedicated to receivable collection efforts. In addition, the Company performed a review of notes and other receivable-related balances in connection with this review. Taken together, the Company recorded receivable-related pre-tax charges of $212 in the third quarter of 1999.</w:t>
      </w:r>
    </w:p>
    <w:p>
      <w:pPr>
        <w:spacing w:after="0" w:line="18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During the review, the Company recorded asset impairments of $178 related to several landfill sites and certain other operating assets in the third quarter of 1999. Included in the amount is $76 relating to the abandonment or closure of facilities resulting from the Company's recent business decisions regarding optimal operating strategies in specific markets in which the Company operates, or consideration of other new facts and circumstances during the review. Also included in the amount is $40, which is primarily the result of permit denials and other regulatory problems in the third quarter of 1999, which is one of the many types of facts and circumstances that may from time to time trigger impairments, and which may occasionally overlap with other triggering events or result in abandonment or closure. The Company performs a comprehensive, centrally coordinated review of its North American landfills on an annual basis. During the third quarter of 1999, that review included an evaluation of potential landfill expansion projects, with a newly refined and more stringent set of criteria for evaluating the probability of obtaining expansions to existing sites, which had the effect of excluding certain expansions that met the Company's previous criteria. For further discussion on this criteria, refer to Note 3.</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exclusion of these expansions due to the more stringent criteria and related business judgements regarding probable success of obtaining expansions, increased depreciation and amortization and the provision for final closure and post-closure costs (included in operating expense). Impairments resulting from the application of these new stringent criteria and resulting from other facts and circumstances comprise the remaining $62 of impairments included in the $178 of impairments disclosed above.</w:t>
      </w:r>
    </w:p>
    <w:p>
      <w:pPr>
        <w:spacing w:after="0" w:line="17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historically estimated its insurance-related liabilities for its ongoing programs based on an analysis of insurance claims submitted for reimbursement, plus an estimate for liabilities incurred as of the balance sheet date, but not yet reported to the Company. This is the estimation method that had been used by WM Holdings prior to the WM Holdings Merger, and was continued by the Company for that pool of pre-merger WM Holdings' claims. In connection with this review, the Company evaluated the adequacy of its self-insurance liabilities and changed the manner in which it estimates its insurance-related liabilities for its ongoing property and casualty insurance programs. Both of these approaches result in acceptable estimates, but during the review the Company noted that the actuarially determined estimates using a fully-developed method provided a better estimate of the ultimate costs of the claims than a claims made plus incurred but not reported method. Accordingly, in the third quarter of 1999, the Company began estimating all insurance-related liabilities based on actuarially determined estimates of ultimate losses. This change in estimate resulted in an increased pre-tax expense of $44 for the third quarter of 1999. In addition, the Company increased its insurance-related liabilities based on its assessment of current and expected claims activities and unfavorable claims experience, resulting in an additional pre-tax charge of $104 in the third quarter of 1999.</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recorded pre-tax charges related to legal, severance and consulting costs incurred in the third quarter of 1999, including increases in legal reserves and related charges of $96, principally related to increases in legal reserves in response to developments in various legal proceedings brought against</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WM Holdings by former shareholders of that company in connection with its restatement of earnings in February 1998. These legal developments caused the Company to evaluate the numerous shareholder cases filed against WM Holdings and to reassess their range of exposure. Additionally, the charges included $25 related to severance costs, principally for executives who left the Company in the third quarter of 1999, and $21 of consulting costs related primarily to the accounting review and related matters.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recorded $32 of merger and acquisition related costs during the third quarter of 1999, which consisted of $13 related to a third quarter purchase business combination and $19 related to the costs incurred by the Company related to the WM Holdings and the Eastern Mergers which are required to be expensed as incurred.</w:t>
      </w:r>
    </w:p>
    <w:p>
      <w:pPr>
        <w:spacing w:after="0" w:line="178"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Company's results of operations for 1999 reflect pre-tax charges of approximately $348 recorded in the third quarter 1999 attributable to the reconciliation of intercompany accounts, cash, accounts receivable, fixed asset, accounts payable and certain other accounts at the Company's operating districts and other locations resulting from the 1999 accounting review. The Company's third quarter accounting review included a detailed review of substantially all of the districts' and other locations' financial and accounting records. That work necessitated a number of adjustments affecting transactions related to the current period and to periods prior to the quarter ended September 30, 1999 involving many different accounts. Although some portion of the charges of $348 may relate to a number of periods, the Company does not have sufficient information to identify all specific charges attributable to individual prior periods. Furthermore, producing the required information to perform such an identification of these charges would be cost prohibitive and disruptive to operations. In connection with the preparation of its third quarter of 1999 financial statements, the Company concluded that, based on its quantitative and qualitative analysis of available information, and after consultation with its independent public accountants, it did not have, nor was it able to obtain, sufficient information to conclude what amount of charges relate to any individual prior year, although qualitative analysis indicated that these charges were principally related to 1999. Accordingly, the Company concluded that these charges are appropriately reflected in the 1999 annual financial statements.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evaluated significant contracts under which it provides services. As a result of that review, the Company recorded a pre-tax provision of $49 related to contracts which were determined to be in a loss position, including revisions to previously established reserves based on new facts and circumstances.</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increased its estimate by $33 of the ultimate costs required for final closure and post-closure obligations at certain landfills which were either closed or near final closure. That increase, and provisions related to various other environmental matters, totaled $49 as a result of the 1999 accounting review.</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to the charges described above, the Company recorded additional pre-tax charges of $191 as a result of the 1999 accounting review. These additional charges involved many different issues at all levels of the Company, including, for example, adjustments to reserves for specific business disputes, adjustments of over- or under- accruals not described elsewhere herein, and numerous other items.</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jc w:val="center"/>
        <w:ind w:right="448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4480" w:firstLine="441"/>
        <w:spacing w:after="0" w:line="260" w:lineRule="auto"/>
        <w:rPr>
          <w:sz w:val="20"/>
          <w:szCs w:val="20"/>
          <w:color w:val="auto"/>
        </w:rPr>
      </w:pPr>
      <w:r>
        <w:rPr>
          <w:rFonts w:ascii="Courier New" w:cs="Courier New" w:eastAsia="Courier New" w:hAnsi="Courier New"/>
          <w:sz w:val="14"/>
          <w:szCs w:val="14"/>
          <w:color w:val="auto"/>
        </w:rPr>
        <w:t>The charges described above, which include both recurring and nonrecurring items that have been aggregated for this presentation, are reflected in the Company's financial statements for the year ended December 31, 1999, as follows:</w:t>
      </w:r>
    </w:p>
    <w:p>
      <w:pPr>
        <w:sectPr>
          <w:pgSz w:w="11900" w:h="16838" w:orient="portrait"/>
          <w:cols w:equalWidth="0" w:num="1">
            <w:col w:w="11520"/>
          </w:cols>
          <w:pgMar w:left="240" w:top="283"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HELD-FOR-</w:t>
      </w:r>
    </w:p>
    <w:p>
      <w:pPr>
        <w:ind w:left="3160"/>
        <w:spacing w:after="0"/>
        <w:rPr>
          <w:sz w:val="20"/>
          <w:szCs w:val="20"/>
          <w:color w:val="auto"/>
        </w:rPr>
      </w:pPr>
      <w:r>
        <w:rPr>
          <w:rFonts w:ascii="Courier New" w:cs="Courier New" w:eastAsia="Courier New" w:hAnsi="Courier New"/>
          <w:sz w:val="15"/>
          <w:szCs w:val="15"/>
          <w:color w:val="auto"/>
        </w:rPr>
        <w:t>SALE</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ADJUSTMENTS</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ALLOWANCE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DOUBTFUL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ACCOUNTS</w:t>
      </w:r>
    </w:p>
    <w:p>
      <w:pPr>
        <w:ind w:left="80"/>
        <w:spacing w:after="0"/>
        <w:rPr>
          <w:sz w:val="20"/>
          <w:szCs w:val="20"/>
          <w:color w:val="auto"/>
        </w:rPr>
      </w:pPr>
      <w:r>
        <w:rPr>
          <w:rFonts w:ascii="Courier New" w:cs="Courier New" w:eastAsia="Courier New" w:hAnsi="Courier New"/>
          <w:sz w:val="15"/>
          <w:szCs w:val="15"/>
          <w:color w:val="auto"/>
        </w:rPr>
        <w:t>AND OTHER</w:t>
      </w:r>
    </w:p>
    <w:p>
      <w:pPr>
        <w:ind w:left="160"/>
        <w:spacing w:after="0"/>
        <w:rPr>
          <w:sz w:val="20"/>
          <w:szCs w:val="20"/>
          <w:color w:val="auto"/>
        </w:rPr>
      </w:pPr>
      <w:r>
        <w:rPr>
          <w:rFonts w:ascii="Courier New" w:cs="Courier New" w:eastAsia="Courier New" w:hAnsi="Courier New"/>
          <w:sz w:val="15"/>
          <w:szCs w:val="15"/>
          <w:color w:val="auto"/>
        </w:rPr>
        <w:t>ACCOUNTS</w:t>
      </w:r>
    </w:p>
    <w:p>
      <w:pPr>
        <w:ind w:left="80"/>
        <w:spacing w:after="0" w:line="238" w:lineRule="auto"/>
        <w:rPr>
          <w:sz w:val="20"/>
          <w:szCs w:val="20"/>
          <w:color w:val="auto"/>
        </w:rPr>
      </w:pPr>
      <w:r>
        <w:rPr>
          <w:rFonts w:ascii="Courier New" w:cs="Courier New" w:eastAsia="Courier New" w:hAnsi="Courier New"/>
          <w:sz w:val="15"/>
          <w:szCs w:val="15"/>
          <w:color w:val="auto"/>
        </w:rPr>
        <w:t>RECEIVABLE</w:t>
      </w:r>
    </w:p>
    <w:p>
      <w:pPr>
        <w:spacing w:after="0"/>
        <w:rPr>
          <w:sz w:val="20"/>
          <w:szCs w:val="20"/>
          <w:color w:val="auto"/>
        </w:rPr>
      </w:pPr>
      <w:r>
        <w:rPr>
          <w:rFonts w:ascii="Courier New" w:cs="Courier New" w:eastAsia="Courier New" w:hAnsi="Courier New"/>
          <w:sz w:val="15"/>
          <w:szCs w:val="15"/>
          <w:color w:val="auto"/>
        </w:rPr>
        <w:t>ADJUSTMENTS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OTHER</w:t>
      </w:r>
    </w:p>
    <w:p>
      <w:pPr>
        <w:jc w:val="center"/>
        <w:spacing w:after="0"/>
        <w:rPr>
          <w:sz w:val="20"/>
          <w:szCs w:val="20"/>
          <w:color w:val="auto"/>
        </w:rPr>
      </w:pPr>
      <w:r>
        <w:rPr>
          <w:rFonts w:ascii="Courier New" w:cs="Courier New" w:eastAsia="Courier New" w:hAnsi="Courier New"/>
          <w:sz w:val="15"/>
          <w:szCs w:val="15"/>
          <w:color w:val="auto"/>
        </w:rPr>
        <w:t>ASSET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IMPAIRMENTS</w:t>
      </w:r>
    </w:p>
    <w:p>
      <w:pPr>
        <w:spacing w:after="0" w:line="1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INSURANCE</w:t>
      </w:r>
    </w:p>
    <w:p>
      <w:pPr>
        <w:ind w:left="100"/>
        <w:spacing w:after="0"/>
        <w:rPr>
          <w:sz w:val="20"/>
          <w:szCs w:val="20"/>
          <w:color w:val="auto"/>
        </w:rPr>
      </w:pPr>
      <w:r>
        <w:rPr>
          <w:rFonts w:ascii="Courier New" w:cs="Courier New" w:eastAsia="Courier New" w:hAnsi="Courier New"/>
          <w:sz w:val="15"/>
          <w:szCs w:val="15"/>
          <w:color w:val="auto"/>
        </w:rPr>
        <w:t>RESERVES</w:t>
      </w:r>
    </w:p>
    <w:p>
      <w:pPr>
        <w:ind w:left="100"/>
        <w:spacing w:after="0"/>
        <w:rPr>
          <w:sz w:val="20"/>
          <w:szCs w:val="20"/>
          <w:color w:val="auto"/>
        </w:rPr>
      </w:pPr>
      <w:r>
        <w:rPr>
          <w:rFonts w:ascii="Courier New" w:cs="Courier New" w:eastAsia="Courier New" w:hAnsi="Courier New"/>
          <w:sz w:val="15"/>
          <w:szCs w:val="15"/>
          <w:color w:val="auto"/>
        </w:rPr>
        <w:t>AND OTHER</w:t>
      </w:r>
    </w:p>
    <w:p>
      <w:pPr>
        <w:ind w:left="100"/>
        <w:spacing w:after="0" w:line="238" w:lineRule="auto"/>
        <w:rPr>
          <w:sz w:val="20"/>
          <w:szCs w:val="20"/>
          <w:color w:val="auto"/>
        </w:rPr>
      </w:pPr>
      <w:r>
        <w:rPr>
          <w:rFonts w:ascii="Courier New" w:cs="Courier New" w:eastAsia="Courier New" w:hAnsi="Courier New"/>
          <w:sz w:val="15"/>
          <w:szCs w:val="15"/>
          <w:color w:val="auto"/>
        </w:rPr>
        <w:t>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LEGAL,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AND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CONSULTING</w:t>
      </w:r>
    </w:p>
    <w:p>
      <w:pPr>
        <w:ind w:left="180"/>
        <w:spacing w:after="0"/>
        <w:rPr>
          <w:sz w:val="20"/>
          <w:szCs w:val="20"/>
          <w:color w:val="auto"/>
        </w:rPr>
      </w:pPr>
      <w:r>
        <w:rPr>
          <w:rFonts w:ascii="Courier New" w:cs="Courier New" w:eastAsia="Courier New" w:hAnsi="Courier New"/>
          <w:sz w:val="15"/>
          <w:szCs w:val="15"/>
          <w:color w:val="auto"/>
        </w:rPr>
        <w:t>ACCRUALS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MERGER</w:t>
      </w:r>
    </w:p>
    <w:p>
      <w:pPr>
        <w:jc w:val="center"/>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ACQUISITION</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RELATED</w:t>
      </w:r>
    </w:p>
    <w:p>
      <w:pPr>
        <w:jc w:val="center"/>
        <w:spacing w:after="0"/>
        <w:rPr>
          <w:sz w:val="20"/>
          <w:szCs w:val="20"/>
          <w:color w:val="auto"/>
        </w:rPr>
      </w:pPr>
      <w:r>
        <w:rPr>
          <w:rFonts w:ascii="Courier New" w:cs="Courier New" w:eastAsia="Courier New" w:hAnsi="Courier New"/>
          <w:sz w:val="15"/>
          <w:szCs w:val="15"/>
          <w:color w:val="auto"/>
        </w:rPr>
        <w:t>COSTS</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OTHER</w:t>
      </w:r>
    </w:p>
    <w:p>
      <w:pPr>
        <w:jc w:val="center"/>
        <w:ind w:right="-19"/>
        <w:spacing w:after="0"/>
        <w:rPr>
          <w:sz w:val="20"/>
          <w:szCs w:val="20"/>
          <w:color w:val="auto"/>
        </w:rPr>
      </w:pPr>
      <w:r>
        <w:rPr>
          <w:rFonts w:ascii="Courier New" w:cs="Courier New" w:eastAsia="Courier New" w:hAnsi="Courier New"/>
          <w:sz w:val="15"/>
          <w:szCs w:val="15"/>
          <w:color w:val="auto"/>
        </w:rPr>
        <w:t>CHARGES</w:t>
      </w:r>
    </w:p>
    <w:p>
      <w:pPr>
        <w:jc w:val="center"/>
        <w:ind w:right="-19"/>
        <w:spacing w:after="0"/>
        <w:rPr>
          <w:sz w:val="20"/>
          <w:szCs w:val="20"/>
          <w:color w:val="auto"/>
        </w:rPr>
      </w:pPr>
      <w:r>
        <w:rPr>
          <w:rFonts w:ascii="Courier New" w:cs="Courier New" w:eastAsia="Courier New" w:hAnsi="Courier New"/>
          <w:sz w:val="15"/>
          <w:szCs w:val="15"/>
          <w:color w:val="auto"/>
        </w:rPr>
        <w:t>AND</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ADJUSTMENTS</w:t>
      </w:r>
    </w:p>
    <w:p>
      <w:pPr>
        <w:spacing w:after="0" w:line="1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7">
            <w:col w:w="3860" w:space="280"/>
            <w:col w:w="1060" w:space="260"/>
            <w:col w:w="960" w:space="260"/>
            <w:col w:w="980" w:space="260"/>
            <w:col w:w="1140" w:space="280"/>
            <w:col w:w="960" w:space="260"/>
            <w:col w:w="960"/>
          </w:cols>
          <w:pgMar w:left="240" w:top="283" w:right="139"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ectPr>
          <w:pgSz w:w="11900" w:h="16838" w:orient="portrait"/>
          <w:cols w:equalWidth="0" w:num="8">
            <w:col w:w="2720" w:space="440"/>
            <w:col w:w="520" w:space="720"/>
            <w:col w:w="600" w:space="720"/>
            <w:col w:w="520" w:space="720"/>
            <w:col w:w="600" w:space="720"/>
            <w:col w:w="600" w:space="720"/>
            <w:col w:w="520" w:space="720"/>
            <w:col w:w="680"/>
          </w:cols>
          <w:pgMar w:left="240" w:top="28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Operating (exclusive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depreciation and</w:t>
      </w:r>
    </w:p>
    <w:p>
      <w:pPr>
        <w:sectPr>
          <w:pgSz w:w="11900" w:h="16838" w:orient="portrait"/>
          <w:cols w:equalWidth="0" w:num="1">
            <w:col w:w="11520"/>
          </w:cols>
          <w:pgMar w:left="240" w:top="283" w:right="139" w:bottom="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 shown below)...</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General and 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20"/>
        <w:spacing w:after="0"/>
        <w:rPr>
          <w:sz w:val="20"/>
          <w:szCs w:val="20"/>
          <w:color w:val="auto"/>
        </w:rPr>
      </w:pPr>
      <w:r>
        <w:rPr>
          <w:rFonts w:ascii="Courier New" w:cs="Courier New" w:eastAsia="Courier New" w:hAnsi="Courier New"/>
          <w:sz w:val="14"/>
          <w:szCs w:val="14"/>
          <w:color w:val="auto"/>
        </w:rPr>
        <w:t>143</w:t>
      </w:r>
    </w:p>
    <w:p>
      <w:pPr>
        <w:spacing w:after="0" w:line="5"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423</w:t>
      </w:r>
    </w:p>
    <w:p>
      <w:pPr>
        <w:spacing w:after="0"/>
        <w:rPr>
          <w:sz w:val="20"/>
          <w:szCs w:val="20"/>
          <w:color w:val="auto"/>
        </w:rPr>
      </w:pPr>
      <w:r>
        <w:rPr>
          <w:rFonts w:ascii="Courier New" w:cs="Courier New" w:eastAsia="Courier New" w:hAnsi="Courier New"/>
          <w:sz w:val="15"/>
          <w:szCs w:val="15"/>
          <w:color w:val="auto"/>
        </w:rPr>
        <w:t>172</w:t>
      </w:r>
    </w:p>
    <w:p>
      <w:pPr>
        <w:spacing w:after="0" w:line="4" w:lineRule="exact"/>
        <w:rPr>
          <w:sz w:val="20"/>
          <w:szCs w:val="20"/>
          <w:color w:val="auto"/>
        </w:rPr>
      </w:pPr>
    </w:p>
    <w:p>
      <w:pPr>
        <w:sectPr>
          <w:pgSz w:w="11900" w:h="16838" w:orient="portrait"/>
          <w:cols w:equalWidth="0" w:num="8">
            <w:col w:w="2720" w:space="700"/>
            <w:col w:w="440" w:space="720"/>
            <w:col w:w="680" w:space="720"/>
            <w:col w:w="440" w:space="720"/>
            <w:col w:w="680" w:space="720"/>
            <w:col w:w="600" w:space="720"/>
            <w:col w:w="420" w:space="720"/>
            <w:col w:w="520"/>
          </w:cols>
          <w:pgMar w:left="240" w:top="283" w:right="139" w:bottom="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Depreciation and</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60</w:t>
      </w:r>
    </w:p>
    <w:p>
      <w:pPr>
        <w:spacing w:after="0" w:line="5" w:lineRule="exact"/>
        <w:rPr>
          <w:sz w:val="20"/>
          <w:szCs w:val="20"/>
          <w:color w:val="auto"/>
        </w:rPr>
      </w:pPr>
    </w:p>
    <w:p>
      <w:pPr>
        <w:sectPr>
          <w:pgSz w:w="11900" w:h="16838" w:orient="portrait"/>
          <w:cols w:equalWidth="0" w:num="8">
            <w:col w:w="2720" w:space="700"/>
            <w:col w:w="520" w:space="720"/>
            <w:col w:w="600" w:space="720"/>
            <w:col w:w="520" w:space="720"/>
            <w:col w:w="600" w:space="720"/>
            <w:col w:w="600" w:space="720"/>
            <w:col w:w="520" w:space="720"/>
            <w:col w:w="420"/>
          </w:cols>
          <w:pgMar w:left="240" w:top="283" w:right="139" w:bottom="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Merger and acquisition related</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8">
            <w:col w:w="2720" w:space="700"/>
            <w:col w:w="520" w:space="720"/>
            <w:col w:w="600" w:space="720"/>
            <w:col w:w="520" w:space="720"/>
            <w:col w:w="600" w:space="720"/>
            <w:col w:w="600" w:space="720"/>
            <w:col w:w="520" w:space="720"/>
            <w:col w:w="420"/>
          </w:cols>
          <w:pgMar w:left="240" w:top="283" w:right="139" w:bottom="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Asset impairments and unusual</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items.......................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from operations...........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414</w:t>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414</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168</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178</w:t>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178</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148</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84</w:t>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142</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32</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3</w:t>
      </w:r>
    </w:p>
    <w:p>
      <w:pPr>
        <w:spacing w:after="0"/>
        <w:rPr>
          <w:sz w:val="20"/>
          <w:szCs w:val="20"/>
          <w:color w:val="auto"/>
        </w:rPr>
      </w:pPr>
      <w:r>
        <w:rPr>
          <w:rFonts w:ascii="Courier New" w:cs="Courier New" w:eastAsia="Courier New" w:hAnsi="Courier New"/>
          <w:sz w:val="15"/>
          <w:szCs w:val="15"/>
          <w:color w:val="auto"/>
        </w:rPr>
        <w:t>-----</w:t>
      </w:r>
    </w:p>
    <w:p>
      <w:pPr>
        <w:ind w:left="160"/>
        <w:spacing w:after="0"/>
        <w:rPr>
          <w:sz w:val="20"/>
          <w:szCs w:val="20"/>
          <w:color w:val="auto"/>
        </w:rPr>
      </w:pPr>
      <w:r>
        <w:rPr>
          <w:rFonts w:ascii="Courier New" w:cs="Courier New" w:eastAsia="Courier New" w:hAnsi="Courier New"/>
          <w:sz w:val="15"/>
          <w:szCs w:val="15"/>
          <w:color w:val="auto"/>
        </w:rPr>
        <w:t>658</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(645)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8">
            <w:col w:w="2720" w:space="440"/>
            <w:col w:w="540" w:space="700"/>
            <w:col w:w="600" w:space="720"/>
            <w:col w:w="520" w:space="720"/>
            <w:col w:w="600" w:space="720"/>
            <w:col w:w="600" w:space="720"/>
            <w:col w:w="520" w:space="720"/>
            <w:col w:w="680"/>
          </w:cols>
          <w:pgMar w:left="240" w:top="283"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income (expense)</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Interest expense..............</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Interest income...............</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Minority interest.............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Other income (expense)........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1"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w:t>
      </w:r>
    </w:p>
    <w:p>
      <w:pPr>
        <w:jc w:val="right"/>
        <w:ind w:right="160"/>
        <w:spacing w:after="0"/>
        <w:rPr>
          <w:sz w:val="20"/>
          <w:szCs w:val="20"/>
          <w:color w:val="auto"/>
        </w:rPr>
      </w:pPr>
      <w:r>
        <w:rPr>
          <w:rFonts w:ascii="Courier New" w:cs="Courier New" w:eastAsia="Courier New" w:hAnsi="Courier New"/>
          <w:sz w:val="15"/>
          <w:szCs w:val="15"/>
          <w:color w:val="auto"/>
        </w:rPr>
        <w:t>--</w:t>
      </w:r>
    </w:p>
    <w:p>
      <w:pPr>
        <w:jc w:val="right"/>
        <w:ind w:right="160"/>
        <w:spacing w:after="0"/>
        <w:rPr>
          <w:sz w:val="20"/>
          <w:szCs w:val="20"/>
          <w:color w:val="auto"/>
        </w:rPr>
      </w:pPr>
      <w:r>
        <w:rPr>
          <w:rFonts w:ascii="Courier New" w:cs="Courier New" w:eastAsia="Courier New" w:hAnsi="Courier New"/>
          <w:sz w:val="15"/>
          <w:szCs w:val="15"/>
          <w:color w:val="auto"/>
        </w:rPr>
        <w:t>--</w:t>
      </w:r>
    </w:p>
    <w:p>
      <w:pPr>
        <w:jc w:val="right"/>
        <w:ind w:right="1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w:t>
      </w:r>
    </w:p>
    <w:p>
      <w:pPr>
        <w:ind w:left="260"/>
        <w:spacing w:after="0"/>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w:t>
      </w:r>
    </w:p>
    <w:p>
      <w:pPr>
        <w:ind w:left="260"/>
        <w:spacing w:after="0"/>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260"/>
        <w:spacing w:after="0"/>
        <w:tabs>
          <w:tab w:leader="none" w:pos="1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w:t>
      </w:r>
    </w:p>
    <w:p>
      <w:pPr>
        <w:spacing w:after="0" w:line="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260"/>
        <w:spacing w:after="0"/>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w:t>
      </w:r>
    </w:p>
    <w:p>
      <w:pPr>
        <w:spacing w:after="0"/>
        <w:tabs>
          <w:tab w:leader="none" w:pos="1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6">
            <w:col w:w="2720" w:space="440"/>
            <w:col w:w="520" w:space="720"/>
            <w:col w:w="600" w:space="720"/>
            <w:col w:w="1840" w:space="720"/>
            <w:col w:w="600" w:space="720"/>
            <w:col w:w="1920"/>
          </w:cols>
          <w:pgMar w:left="240" w:top="283"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before income taxes and</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extraordinary items...........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$(414)</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8">
            <w:col w:w="2720" w:space="440"/>
            <w:col w:w="540" w:space="700"/>
            <w:col w:w="600" w:space="720"/>
            <w:col w:w="520" w:space="720"/>
            <w:col w:w="600" w:space="720"/>
            <w:col w:w="600" w:space="720"/>
            <w:col w:w="520" w:space="720"/>
            <w:col w:w="680"/>
          </w:cols>
          <w:pgMar w:left="240" w:top="28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Benefit from income taxes......</w:t>
      </w:r>
    </w:p>
    <w:p>
      <w:pPr>
        <w:spacing w:after="0" w:line="238" w:lineRule="auto"/>
        <w:rPr>
          <w:sz w:val="20"/>
          <w:szCs w:val="20"/>
          <w:color w:val="auto"/>
        </w:rPr>
      </w:pPr>
      <w:r>
        <w:rPr>
          <w:rFonts w:ascii="Courier New" w:cs="Courier New" w:eastAsia="Courier New" w:hAnsi="Courier New"/>
          <w:sz w:val="15"/>
          <w:szCs w:val="15"/>
          <w:color w:val="auto"/>
        </w:rPr>
        <w:t>Net loss.......................</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TOTAL</w:t>
      </w:r>
    </w:p>
    <w:p>
      <w:pPr>
        <w:ind w:left="3080"/>
        <w:spacing w:after="0"/>
        <w:rPr>
          <w:sz w:val="20"/>
          <w:szCs w:val="20"/>
          <w:color w:val="auto"/>
        </w:rPr>
      </w:pPr>
      <w:r>
        <w:rPr>
          <w:rFonts w:ascii="Courier New" w:cs="Courier New" w:eastAsia="Courier New" w:hAnsi="Courier New"/>
          <w:sz w:val="15"/>
          <w:szCs w:val="15"/>
          <w:color w:val="auto"/>
        </w:rPr>
        <w:t>(INCLUDES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RECURRING AND</w:t>
      </w:r>
    </w:p>
    <w:p>
      <w:pPr>
        <w:spacing w:after="0" w:line="1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NON-RECURRING</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ITEMS)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20"/>
          </w:cols>
          <w:pgMar w:left="240" w:top="283" w:right="139" w:bottom="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2720" w:space="440"/>
            <w:col w:w="8360"/>
          </w:cols>
          <w:pgMar w:left="240" w:top="28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Operating (exclusive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depreciation and</w:t>
      </w:r>
    </w:p>
    <w:p>
      <w:pPr>
        <w:sectPr>
          <w:pgSz w:w="11900" w:h="16838" w:orient="portrait"/>
          <w:cols w:equalWidth="0" w:num="1">
            <w:col w:w="11520"/>
          </w:cols>
          <w:pgMar w:left="240" w:top="283" w:right="139" w:bottom="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 shown below)...</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General and 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403</w:t>
      </w:r>
    </w:p>
    <w:p>
      <w:pPr>
        <w:spacing w:after="0" w:line="11" w:lineRule="exact"/>
        <w:rPr>
          <w:sz w:val="20"/>
          <w:szCs w:val="20"/>
          <w:color w:val="auto"/>
        </w:rPr>
      </w:pPr>
    </w:p>
    <w:p>
      <w:pPr>
        <w:sectPr>
          <w:pgSz w:w="11900" w:h="16838" w:orient="portrait"/>
          <w:cols w:equalWidth="0" w:num="2">
            <w:col w:w="2800" w:space="720"/>
            <w:col w:w="8000"/>
          </w:cols>
          <w:pgMar w:left="240" w:top="283" w:right="139" w:bottom="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Depreciation and</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60</w:t>
      </w:r>
    </w:p>
    <w:p>
      <w:pPr>
        <w:spacing w:after="0" w:line="5" w:lineRule="exact"/>
        <w:rPr>
          <w:sz w:val="20"/>
          <w:szCs w:val="20"/>
          <w:color w:val="auto"/>
        </w:rPr>
      </w:pPr>
    </w:p>
    <w:p>
      <w:pPr>
        <w:sectPr>
          <w:pgSz w:w="11900" w:h="16838" w:orient="portrait"/>
          <w:cols w:equalWidth="0" w:num="2">
            <w:col w:w="2880" w:space="720"/>
            <w:col w:w="7920"/>
          </w:cols>
          <w:pgMar w:left="240" w:top="283" w:right="139" w:bottom="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Merger and acquisition related</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sectPr>
          <w:pgSz w:w="11900" w:h="16838" w:orient="portrait"/>
          <w:cols w:equalWidth="0" w:num="2">
            <w:col w:w="2880" w:space="720"/>
            <w:col w:w="7920"/>
          </w:cols>
          <w:pgMar w:left="240" w:top="283" w:right="139" w:bottom="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Asset impairments and unusual</w:t>
      </w:r>
    </w:p>
    <w:p>
      <w:pPr>
        <w:sectPr>
          <w:pgSz w:w="11900" w:h="16838" w:orient="portrait"/>
          <w:cols w:equalWidth="0" w:num="1">
            <w:col w:w="11520"/>
          </w:cols>
          <w:pgMar w:left="240" w:top="283" w:right="139" w:bottom="0" w:gutter="0" w:footer="0" w:header="0"/>
          <w:type w:val="continuous"/>
        </w:sectPr>
      </w:pPr>
    </w:p>
    <w:p>
      <w:pPr>
        <w:spacing w:after="0" w:line="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items.......................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from operations...........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679</w:t>
      </w:r>
    </w:p>
    <w:p>
      <w:pPr>
        <w:spacing w:after="0"/>
        <w:rPr>
          <w:sz w:val="20"/>
          <w:szCs w:val="20"/>
          <w:color w:val="auto"/>
        </w:rPr>
      </w:pPr>
      <w:r>
        <w:rPr>
          <w:rFonts w:ascii="Courier New" w:cs="Courier New" w:eastAsia="Courier New" w:hAnsi="Courier New"/>
          <w:sz w:val="15"/>
          <w:szCs w:val="15"/>
          <w:color w:val="auto"/>
        </w:rPr>
        <w:t>-------</w:t>
      </w:r>
    </w:p>
    <w:p>
      <w:pPr>
        <w:ind w:left="180"/>
        <w:spacing w:after="0"/>
        <w:rPr>
          <w:sz w:val="20"/>
          <w:szCs w:val="20"/>
          <w:color w:val="auto"/>
        </w:rPr>
      </w:pPr>
      <w:r>
        <w:rPr>
          <w:rFonts w:ascii="Courier New" w:cs="Courier New" w:eastAsia="Courier New" w:hAnsi="Courier New"/>
          <w:sz w:val="15"/>
          <w:szCs w:val="15"/>
          <w:color w:val="auto"/>
        </w:rPr>
        <w:t>1,740</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(1,771)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2720" w:space="440"/>
            <w:col w:w="8360"/>
          </w:cols>
          <w:pgMar w:left="240" w:top="28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Interest expense..............</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Interest income...............</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Minority interest.............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Other income (expense)........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w:t>
      </w:r>
    </w:p>
    <w:p>
      <w:pPr>
        <w:ind w:left="440"/>
        <w:spacing w:after="0"/>
        <w:rPr>
          <w:sz w:val="20"/>
          <w:szCs w:val="20"/>
          <w:color w:val="auto"/>
        </w:rPr>
      </w:pPr>
      <w:r>
        <w:rPr>
          <w:rFonts w:ascii="Courier New" w:cs="Courier New" w:eastAsia="Courier New" w:hAnsi="Courier New"/>
          <w:sz w:val="15"/>
          <w:szCs w:val="15"/>
          <w:color w:val="auto"/>
        </w:rPr>
        <w:t>13</w:t>
      </w:r>
    </w:p>
    <w:p>
      <w:pPr>
        <w:ind w:left="4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540"/>
        <w:spacing w:after="0"/>
        <w:rPr>
          <w:sz w:val="20"/>
          <w:szCs w:val="20"/>
          <w:color w:val="auto"/>
        </w:rPr>
      </w:pPr>
      <w:r>
        <w:rPr>
          <w:rFonts w:ascii="Courier New" w:cs="Courier New" w:eastAsia="Courier New" w:hAnsi="Courier New"/>
          <w:sz w:val="15"/>
          <w:szCs w:val="15"/>
          <w:color w:val="auto"/>
        </w:rPr>
        <w:t>8</w:t>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2">
            <w:col w:w="2720" w:space="440"/>
            <w:col w:w="8360"/>
          </w:cols>
          <w:pgMar w:left="240" w:top="283" w:right="139" w:bottom="0" w:gutter="0" w:footer="0" w:header="0"/>
          <w:type w:val="continuous"/>
        </w:sectPr>
      </w:pPr>
    </w:p>
    <w:p>
      <w:pPr>
        <w:spacing w:after="0" w:line="344" w:lineRule="auto"/>
        <w:rPr>
          <w:sz w:val="20"/>
          <w:szCs w:val="20"/>
          <w:color w:val="auto"/>
        </w:rPr>
      </w:pPr>
      <w:r>
        <w:rPr>
          <w:rFonts w:ascii="Courier New" w:cs="Courier New" w:eastAsia="Courier New" w:hAnsi="Courier New"/>
          <w:sz w:val="14"/>
          <w:szCs w:val="14"/>
          <w:color w:val="auto"/>
        </w:rPr>
        <w:t>Loss before income taxes and extraordinary items........... Benefit from income taxes...... Net loss.......................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(1,763)</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537</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720" w:space="440"/>
            <w:col w:w="8360"/>
          </w:cols>
          <w:pgMar w:left="240" w:top="283" w:right="139" w:bottom="0" w:gutter="0" w:footer="0" w:header="0"/>
          <w:type w:val="continuous"/>
        </w:sectPr>
      </w:pPr>
    </w:p>
    <w:p>
      <w:pPr>
        <w:spacing w:after="0" w:line="144" w:lineRule="exact"/>
        <w:rPr>
          <w:sz w:val="20"/>
          <w:szCs w:val="20"/>
          <w:color w:val="auto"/>
        </w:rPr>
      </w:pPr>
    </w:p>
    <w:p>
      <w:pPr>
        <w:ind w:right="4480" w:firstLine="441"/>
        <w:spacing w:after="0" w:line="265" w:lineRule="auto"/>
        <w:rPr>
          <w:sz w:val="20"/>
          <w:szCs w:val="20"/>
          <w:color w:val="auto"/>
        </w:rPr>
      </w:pPr>
      <w:r>
        <w:rPr>
          <w:rFonts w:ascii="Courier New" w:cs="Courier New" w:eastAsia="Courier New" w:hAnsi="Courier New"/>
          <w:sz w:val="14"/>
          <w:szCs w:val="14"/>
          <w:color w:val="auto"/>
        </w:rPr>
        <w:t>Subsequent to the completion of the accounting review, and in conjunction with the process of preparing its monthly financial statements during the fourth</w:t>
      </w:r>
    </w:p>
    <w:p>
      <w:pPr>
        <w:sectPr>
          <w:pgSz w:w="11900" w:h="16838" w:orient="portrait"/>
          <w:cols w:equalWidth="0" w:num="1">
            <w:col w:w="11520"/>
          </w:cols>
          <w:pgMar w:left="240" w:top="283" w:right="139" w:bottom="0" w:gutter="0" w:footer="0" w:header="0"/>
          <w:type w:val="continuous"/>
        </w:sectPr>
      </w:pPr>
    </w:p>
    <w:bookmarkStart w:id="46" w:name="page47"/>
    <w:bookmarkEnd w:id="46"/>
    <w:p>
      <w:pPr>
        <w:jc w:val="both"/>
        <w:ind w:right="3359"/>
        <w:spacing w:after="0" w:line="237" w:lineRule="auto"/>
        <w:rPr>
          <w:sz w:val="20"/>
          <w:szCs w:val="20"/>
          <w:color w:val="auto"/>
        </w:rPr>
      </w:pPr>
      <w:r>
        <w:rPr>
          <w:rFonts w:ascii="Courier New" w:cs="Courier New" w:eastAsia="Courier New" w:hAnsi="Courier New"/>
          <w:sz w:val="15"/>
          <w:szCs w:val="15"/>
          <w:color w:val="auto"/>
        </w:rPr>
        <w:t>quarter of 1999 and its financial statements at December 31, 1999, additional adjustments attributable to the reconciliation of intercompany accounts, cash, accounts receivable, fixed assets, accounts payable and certain other accounts were recorded.</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recorded significant adjustments in the third and fourth quarters of 1999, certain of which affected periods prior to these quarters. Accordingly, the Company, after consultation with its independent public accountants, concluded that its internal controls for the preparation of interim financial information did not provide an adequate basis for its independent public accountants to complete reviews of the quarterly financial data for the quarters during 1999. The Company believes that certain charges that were recorded in the third and fourth quarters of 1999 may relate to individual prior periods; however, the Company does not have sufficient information to identify all specific charges attributable to prior periods. If identification of all specific charges attributable to individual prior periods was possible, the Company believes that the reported results of operations presented in Note 21 to the financial statements for the third and fourth quarters of 1999 would have been favorably impacted, and the reported results of operations for the first and second quarters of 1999 would have been adversely impacted. In connection with the preparation of its third quarter financial statements, the Company concluded, based on its quantitative and qualitative analysis of available information, after consultation with its independent public accountants, that it did not have, nor was it able to obtain, sufficient information to conclude what amount of the charges relate to any individual prior year, although</w:t>
      </w:r>
    </w:p>
    <w:p>
      <w:pPr>
        <w:spacing w:after="0" w:line="32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14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qualitative analysis indicates that these charges were principally related to 1999. Accordingly, the Company concluded that these charges were appropriately reflected in the 1999 annual financial statements.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believes that the processes it used for the preparation of its</w:t>
      </w:r>
    </w:p>
    <w:p>
      <w:pPr>
        <w:spacing w:after="0" w:line="11"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2000 interim financial statements have improved. In addition, the Company has committed substantial resources to mitigate the previously identified control weaknesses. Management believes these efforts enabled the Company to produce timely and reliable interim financial statements for quarters during 2000.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SUMMARY OF SIGNIFICANT ACCOUNTING POLICIES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has a controlling interest are consolidated for financial reporting purposes. Investments in affiliated entities in which the Company does not have a controlling interest are accounted for under either the equity method or cost method of accounting, as appropriate.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Use of estimates -- The preparation of the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w:t>
      </w:r>
    </w:p>
    <w:p>
      <w:pPr>
        <w:spacing w:after="0" w:line="181"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Reclassifications -- Certain reclassifications have been made to prior year amounts in the financial statements in order to conform to the current year presentation.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Concentrations of credit risk -- Financial instruments that potentially subject the Company to concentrations of credit risk consist primarily of cash and cash equivalents and accounts receivable. The Company places its cash and cash equivalents with high quality financial institutions and limits the amount of credit exposure with any one institution. Concentrations of credit risk with respect to accounts receivable are limited because a large number of geographically diverse customers comprise the Company's customer base, thus spreading the trade credit risk. At December 31, 2000 and 1999, no single group or customer represents greater than 10% of total accounts receivable. The Company controls credit risk through credit evaluations, credit limits, and monitoring procedures. The Company performs credit evaluations for commercial and industrial customers and performs ongoing credit evaluations of its customers, but generally does not require collateral to support accounts receivable.</w:t>
      </w:r>
    </w:p>
    <w:p>
      <w:pPr>
        <w:spacing w:after="0" w:line="184"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Operations held-for-sale -- It is the Company's policy to classify the businesses that the Company is marketing for sale and the portfolio of real estate that the Company considers surplus and is marketing for sale, as operations held-for-sale. The carrying values of these assets are written down to fair value, less costs to sell. These charges are based on estimates and certain contingencies that could materially differ from the actual results and resolution of any such contingencies. The Company discontinues depreciation on fixed assets for businesses that are classified as held-for-sale.</w:t>
      </w:r>
    </w:p>
    <w:p>
      <w:pPr>
        <w:spacing w:after="0" w:line="167"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Property and equipment -- Property and equipment are recorded at cost. Except for the Company's waste-to-energy and independent power facilities, expenditures for major additions and improvements are</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capitalized, while minor replacements, maintenance and repairs are charged to expense as incurred. At the Company's waste-to-energy and independent power facilities, the Company accrues for major maintenance expenditures. Such accruals are based upon planned maintenance expenditures and are classified as current or non-current liabilities based on the expected timing of the expenditures.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When property and equipment are retired, sold, or otherwise disposed of, the cost and accumulated depreciation are removed from the accounts and any resulting gain or loss is included in the results of operations as increases or offsets to operating expense for the respective period. Depreciation is provided over the estimated useful lives of the related assets using the straight-line method. The Company assumes no salvage value for its depreciable North American fixed assets. The estimated useful lives for significant property and equipment categories are as follows (in years):</w:t>
      </w:r>
    </w:p>
    <w:p>
      <w:pPr>
        <w:spacing w:after="0" w:line="200" w:lineRule="exact"/>
        <w:rPr>
          <w:sz w:val="20"/>
          <w:szCs w:val="20"/>
          <w:color w:val="auto"/>
        </w:rPr>
      </w:pPr>
    </w:p>
    <w:p>
      <w:pPr>
        <w:spacing w:after="0" w:line="311"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USEFUL LIVES</w:t>
      </w:r>
    </w:p>
    <w:p>
      <w:pPr>
        <w:ind w:left="5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9"/>
                <w:szCs w:val="9"/>
                <w:color w:val="auto"/>
                <w:w w:val="75"/>
              </w:rPr>
              <w:t>Vehicles....................................................</w:t>
            </w:r>
          </w:p>
        </w:tc>
        <w:tc>
          <w:tcPr>
            <w:tcW w:w="296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to 10</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Machinery and</w:t>
            </w:r>
          </w:p>
        </w:tc>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equipment.....................................</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to 20</w:t>
            </w:r>
          </w:p>
        </w:tc>
      </w:tr>
      <w:tr>
        <w:trPr>
          <w:trHeight w:val="170"/>
        </w:trPr>
        <w:tc>
          <w:tcPr>
            <w:tcW w:w="5420" w:type="dxa"/>
            <w:vAlign w:val="bottom"/>
            <w:gridSpan w:val="3"/>
          </w:tcPr>
          <w:p>
            <w:pPr>
              <w:spacing w:after="0"/>
              <w:rPr>
                <w:sz w:val="20"/>
                <w:szCs w:val="20"/>
                <w:color w:val="auto"/>
              </w:rPr>
            </w:pPr>
            <w:r>
              <w:rPr>
                <w:rFonts w:ascii="Courier New" w:cs="Courier New" w:eastAsia="Courier New" w:hAnsi="Courier New"/>
                <w:sz w:val="15"/>
                <w:szCs w:val="15"/>
                <w:color w:val="auto"/>
                <w:w w:val="99"/>
              </w:rPr>
              <w:t>Commercial and roll-off containers..........................</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to 12</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Buildings and</w:t>
            </w:r>
          </w:p>
        </w:tc>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improvements..................................</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w w:val="88"/>
              </w:rPr>
              <w:t>10</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to 40</w:t>
            </w:r>
          </w:p>
        </w:tc>
      </w:tr>
      <w:tr>
        <w:trPr>
          <w:trHeight w:val="170"/>
        </w:trPr>
        <w:tc>
          <w:tcPr>
            <w:tcW w:w="5420" w:type="dxa"/>
            <w:vAlign w:val="bottom"/>
            <w:gridSpan w:val="3"/>
          </w:tcPr>
          <w:p>
            <w:pPr>
              <w:spacing w:after="0"/>
              <w:rPr>
                <w:sz w:val="20"/>
                <w:szCs w:val="20"/>
                <w:color w:val="auto"/>
              </w:rPr>
            </w:pPr>
            <w:r>
              <w:rPr>
                <w:rFonts w:ascii="Courier New" w:cs="Courier New" w:eastAsia="Courier New" w:hAnsi="Courier New"/>
                <w:sz w:val="15"/>
                <w:szCs w:val="15"/>
                <w:color w:val="auto"/>
                <w:w w:val="99"/>
              </w:rPr>
              <w:t>Waste-to-energy facilities..................................</w:t>
            </w:r>
          </w:p>
        </w:tc>
        <w:tc>
          <w:tcPr>
            <w:tcW w:w="30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r>
      <w:tr>
        <w:trPr>
          <w:trHeight w:val="509"/>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Landfill</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accounting --</w:t>
            </w:r>
          </w:p>
        </w:tc>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w w:val="97"/>
              </w:rPr>
              <w:t>Capitalizable landfill site costs are</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recorded at</w:t>
            </w:r>
          </w:p>
        </w:tc>
      </w:tr>
    </w:tbl>
    <w:p>
      <w:pPr>
        <w:spacing w:after="0" w:line="5" w:lineRule="exact"/>
        <w:rPr>
          <w:sz w:val="20"/>
          <w:szCs w:val="20"/>
          <w:color w:val="auto"/>
        </w:rPr>
      </w:pPr>
    </w:p>
    <w:p>
      <w:pPr>
        <w:ind w:right="3539"/>
        <w:spacing w:after="0" w:line="238" w:lineRule="auto"/>
        <w:rPr>
          <w:sz w:val="20"/>
          <w:szCs w:val="20"/>
          <w:color w:val="auto"/>
        </w:rPr>
      </w:pPr>
      <w:r>
        <w:rPr>
          <w:rFonts w:ascii="Courier New" w:cs="Courier New" w:eastAsia="Courier New" w:hAnsi="Courier New"/>
          <w:sz w:val="15"/>
          <w:szCs w:val="15"/>
          <w:color w:val="auto"/>
        </w:rPr>
        <w:t>cost. Recorded costs, net of recorded amortization, are added to estimated projected costs to determine the amount to be amortized over the remaining estimated useful life of a site. Amortization is recorded on a units of consumption basis, typically applying cost as a rate per ton. Landfill site costs are amortized to expected net realizable value upon final closure of a landfill.</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difference between the present value of a landfill's estimated total final closure and post-closure costs and amounts accrued to date is accrued prospectively on a units of consumption basis, typically by applying a rate per ton over the remaining capacity of the landfill. The present value of final closure and post-closure costs are fully accrued for each landfill once the site discontinues accepting waste.</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remaining capacity of a landfill is determined by the unutilized permitted airspace and expansion airspace when the success of obtaining such expansion permit is considered probable.</w:t>
      </w:r>
    </w:p>
    <w:p>
      <w:pPr>
        <w:spacing w:after="0" w:line="175"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Effective as of the third quarter of 1999, the Company applied a more stringent set of criteria for evaluating the probability of obtaining an expansion permit to landfill airspace at existing sites, which is as follows:</w:t>
      </w:r>
    </w:p>
    <w:p>
      <w:pPr>
        <w:spacing w:after="0" w:line="163" w:lineRule="exact"/>
        <w:rPr>
          <w:sz w:val="20"/>
          <w:szCs w:val="20"/>
          <w:color w:val="auto"/>
        </w:rPr>
      </w:pPr>
    </w:p>
    <w:p>
      <w:pPr>
        <w:ind w:left="600" w:right="3539" w:hanging="169"/>
        <w:spacing w:after="0" w:line="235"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are actively working to obtain land use and local and state approvals for an expansion of an existing landfill;</w:t>
      </w:r>
    </w:p>
    <w:p>
      <w:pPr>
        <w:spacing w:after="0" w:line="175"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176"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landfill owners or the Company have a legal right to use or obtain land to be included in the expansion plan;</w:t>
      </w:r>
    </w:p>
    <w:p>
      <w:pPr>
        <w:spacing w:after="0" w:line="175"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significant known technical, legal, community, business, or political restrictions or issues that could impair the success of such expansion;</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600" w:right="3359" w:hanging="169"/>
        <w:spacing w:after="0" w:line="265" w:lineRule="auto"/>
        <w:tabs>
          <w:tab w:leader="none" w:pos="6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analysis has been completed, and the results demonstrate that the expansion has a positive financial and operational impact; and</w:t>
      </w:r>
    </w:p>
    <w:p>
      <w:pPr>
        <w:spacing w:after="0" w:line="158" w:lineRule="exact"/>
        <w:rPr>
          <w:rFonts w:ascii="Courier New" w:cs="Courier New" w:eastAsia="Courier New" w:hAnsi="Courier New"/>
          <w:sz w:val="14"/>
          <w:szCs w:val="14"/>
          <w:color w:val="auto"/>
        </w:rPr>
      </w:pPr>
    </w:p>
    <w:p>
      <w:pPr>
        <w:ind w:left="600" w:right="3699" w:hanging="169"/>
        <w:spacing w:after="0" w:line="265" w:lineRule="auto"/>
        <w:tabs>
          <w:tab w:leader="none" w:pos="6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Airspace and related costs, including additional final closure and post-closure costs, have been estimated based on conceptual design.</w:t>
      </w:r>
    </w:p>
    <w:p>
      <w:pPr>
        <w:spacing w:after="0" w:line="15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Additionally, to include airspace from an expansion effort, the expansion permit application must generally be expected to be submitted within one year, and the expansion permit must be expected to be received within two to five years. Exceptions to these criteria must be approved through a landfill-specific approval process that includes an approval from the Company's Chief Financial Officer and review by the Audit Committee of the Board of Directors. Of the 94 landfill sites with expansions at December 31, 2000, 25 landfill locations required the Company's Chief Financial Officer to approve the exception to the criteria. These exceptions were generally due to opposition to expansion efforts that could impede the expansion project and due to permit application processes beyond the one-year limit, which in most cases were due to state-specific permitting procedures. Generally, the Company has been successful in receiving approvals for expansions pursued; however, there can be no assurance that the Company will be successful in obtaining landfill expansions in the future.</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disposal volumes are affected by seasonality and competitive factors, airspace amortization varies between fiscal quarters due to change in volumes of waste disposal at the Company's landfills. Airspace amortization is also affected by changes in engineering costs and estimates.</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Business combinations -- For those business combinations accounted for under the pooling of interests method, the financial statements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if, and when, information regarding contingencies becomes available to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The Company does not believe potential differences between its fair value estimates and actual fair values are material.</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 certain business combinations, the Company agrees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Goodwill and other intangible assets -- Goodwill is the excess of cost over net assets of acquired businesses. Goodwill is amortized on a straight-line basis over a period not greater than 40 years commencing on the dates of the respective acquisitions. Other intangible assets consist primarily of customer lists, covenants not-to-compete, licenses and permits. Other intangible assets are recorded at cost and amortized on a straight-line basis. Customer lists are generally amortized over five to seven years. Covenants not-to-compete are amortized over the term of the agreement, which is generally three to five years. Licenses, permits and contracts are amortized over the shorter of the definitive terms of the related agreements or 40 years.</w:t>
      </w:r>
    </w:p>
    <w:p>
      <w:pPr>
        <w:spacing w:after="0" w:line="16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Restricted funds held by trustees -- Restricted funds held by trustees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and $167 at December 31, 2000 and 1999, respectively, are included in other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non-current assets and consist principally of funds deposited in connection with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landfill final closure and post-closure obligations, insurance escrow deposits,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amounts held for landfill and other construction arising from industrial</w:t>
      </w:r>
    </w:p>
    <w:p>
      <w:pPr>
        <w:spacing w:after="0"/>
        <w:rPr>
          <w:sz w:val="20"/>
          <w:szCs w:val="20"/>
          <w:color w:val="auto"/>
        </w:rPr>
      </w:pPr>
      <w:r>
        <w:rPr>
          <w:rFonts w:ascii="Courier New" w:cs="Courier New" w:eastAsia="Courier New" w:hAnsi="Courier New"/>
          <w:sz w:val="15"/>
          <w:szCs w:val="15"/>
          <w:color w:val="auto"/>
        </w:rPr>
        <w:t>revenue financings. These amounts are principally invested in fixed income</w:t>
      </w:r>
    </w:p>
    <w:p>
      <w:pPr>
        <w:spacing w:after="0"/>
        <w:rPr>
          <w:sz w:val="20"/>
          <w:szCs w:val="20"/>
          <w:color w:val="auto"/>
        </w:rPr>
      </w:pPr>
      <w:r>
        <w:rPr>
          <w:rFonts w:ascii="Courier New" w:cs="Courier New" w:eastAsia="Courier New" w:hAnsi="Courier New"/>
          <w:sz w:val="15"/>
          <w:szCs w:val="15"/>
          <w:color w:val="auto"/>
        </w:rPr>
        <w:t>securities of federal, state and local governmental entities and financial</w:t>
      </w:r>
    </w:p>
    <w:p>
      <w:pPr>
        <w:spacing w:after="0" w:line="238" w:lineRule="auto"/>
        <w:rPr>
          <w:sz w:val="20"/>
          <w:szCs w:val="20"/>
          <w:color w:val="auto"/>
        </w:rPr>
      </w:pPr>
      <w:r>
        <w:rPr>
          <w:rFonts w:ascii="Courier New" w:cs="Courier New" w:eastAsia="Courier New" w:hAnsi="Courier New"/>
          <w:sz w:val="15"/>
          <w:szCs w:val="15"/>
          <w:color w:val="auto"/>
        </w:rPr>
        <w:t>institutions.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Long-lived assets -- Long-lived assets consist primarily of property and equipment, goodwill and other intangible assets. The recoverability of long-lived assets is evaluated periodically at the operating unit level by an analysis of operating results and consideration of other significant events or changes in the business environment. If an operating unit has indications of possible impairment, such as current operating losses, the Company will evaluate whether impairment exists on the basis of undiscounted expected future cash flows from operations for the remaining amortization period. If an impairment loss exists, the carrying amount of the related long-lived assets is reduced to its estimated fair value.</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Income taxes -- Deferred income taxes are determined based on the difference between the financial reporting and tax bases of assets and liabilities.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Foreign currency -- The functional currency of the majority of the Company's foreign operations is the local currency of the country in which the Company operates. Adjustments resulting from the translation of financial information are included in comprehensive income.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Revenue recognition -- The Company recognizes revenues on service contracts as services are provided. Amounts billed and collected prior to services being performed are included in deferred revenues. Results from long-term contracts involving a substantial construction component are recorded on the percentage-of-completion basis. Changes in project performance and conditions, estimated profitability and final contract settlements may result in future revisions to long-term construction contract costs and income.</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Loss contracts -- The Company reviews its revenue producing contracts in the ordinary course of business to determine if the direct costs, exclusive of any non-variable costs, to service the contractual arrangements exceed the revenues to be produced by the contract. Any resulting net loss over the life of the contract is expensed at the time of such determination.</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Derivative financial instruments -- From time to time, the Company uses derivatives to manage interest rate risk. The Company's policy is to use derivatives for risk management purposes only, which includes maintaining the ratio between the Company's fixed and floating rate debt obligations that management deems appropriate, and prohibits entering into such contracts for trading purposes. The Company enters into derivatives only with counterparties (primarily financial institutions) which have substantial financial wherewithal to minimize credit risk. The amount of gains or losses from the use of derivative financial instruments has not been and is not expected to be material to the Company's financial statements.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December 31, 2000 and 1999, the Company engaged in hedging of recyclable paper price risk. Instruments accounted for as hedges must be effective at managing risk associated with the exposure being hedged and must be designated as a hedge at the inception of the contract. Accordingly, changes in market values or cash flows of hedge instruments must have a high degree of inverse correlation with changes in market values or cash flows of the underlying hedged items. Derivatives that meet the hedge criteria are accounted for under the deferral or accrual method.</w:t>
      </w:r>
    </w:p>
    <w:p>
      <w:pPr>
        <w:spacing w:after="0" w:line="17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3" w:right="1440" w:bottom="1440" w:gutter="0" w:footer="0" w:header="0"/>
        </w:sectPr>
      </w:pPr>
    </w:p>
    <w:bookmarkStart w:id="51" w:name="page52"/>
    <w:bookmarkEnd w:id="51"/>
    <w:p>
      <w:pPr>
        <w:ind w:left="270"/>
        <w:spacing w:after="0"/>
        <w:rPr>
          <w:sz w:val="20"/>
          <w:szCs w:val="20"/>
          <w:color w:val="auto"/>
        </w:rPr>
      </w:pPr>
      <w:r>
        <w:rPr>
          <w:rFonts w:ascii="Courier New" w:cs="Courier New" w:eastAsia="Courier New" w:hAnsi="Courier New"/>
          <w:sz w:val="15"/>
          <w:szCs w:val="15"/>
          <w:color w:val="auto"/>
        </w:rPr>
        <w:t>48</w:t>
      </w: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Capitalized interest -- Interest is capitalized on certain projects under development including landfill projects and probable landfill expansion projects, and on certain assets under construction, including operating landfills and waste-to-energy facilities. The capitalization of interest for operating landfills is based on the costs incurred on discrete cell construction projects, plus an allocated portion of the common site costs. The common site costs include the development costs of a landfill project or the purchase price of an operating landfill, and the ongoing infrastructure costs benefiting the lifecycle of the landfill. Cell construction costs include the construction of cell liners and final capping during the operating life of the site. During 2000, 1999 and 1998, total interest costs were $770, $804 and $724, respectively, of which $22, $34 and $42 were capitalized as landfill costs in property and equipment, respectively.</w:t>
      </w:r>
    </w:p>
    <w:p>
      <w:pPr>
        <w:spacing w:after="0" w:line="183" w:lineRule="exact"/>
        <w:rPr>
          <w:sz w:val="20"/>
          <w:szCs w:val="20"/>
          <w:color w:val="auto"/>
        </w:rPr>
      </w:pPr>
    </w:p>
    <w:p>
      <w:pPr>
        <w:ind w:left="170" w:right="6619" w:hanging="170"/>
        <w:spacing w:after="0" w:line="471" w:lineRule="auto"/>
        <w:tabs>
          <w:tab w:leader="none" w:pos="25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 AND DIVESTITURES Purchase Acquisitions</w:t>
      </w:r>
    </w:p>
    <w:p>
      <w:pPr>
        <w:spacing w:after="0" w:line="11"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During 2000 and 1999, the Company consummated over 70 and 240 acquisitions, respectively, that were accounted for under the purchase method of accounting. The total cost of acquisitions was approximately $234 and $1,372 for 2000 and 1999, respectively, which included cash paid, common stock issued and debt assumed.</w:t>
      </w:r>
    </w:p>
    <w:p>
      <w:pPr>
        <w:spacing w:after="0" w:line="17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Pooling of Interests Transactions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Under the terms of the 1998 Eastern Merger, the Company issued 0.6406 of a share of its common stock (approximately 24.5 million shares in total) for each share of Eastern's outstanding common stock. Under the terms of the 1998 WM Holdings Merger, the Company issued 0.725 of a share of its common stock (approximately 354.0 million shares in total) for each share of WM Holdings outstanding common stock.</w:t>
      </w:r>
    </w:p>
    <w:p>
      <w:pPr>
        <w:spacing w:after="0" w:line="176"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In 2000, no merger costs were recorded. In 1999, the Company incurred $45 in merger costs primarily related to the WM Holdings Merger and the Eastern Merger. The table below reflects merger cost charges in 1998 related to the WM Holdings Merger and the Eastern Merger.</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WM HOLDINGS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EASTERN</w:t>
            </w:r>
          </w:p>
        </w:tc>
      </w:t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Transaction or deal costs, primarily professional fees and</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filing fees...............................................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Employee severance, separation and transitional costs.......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324</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Restructuring charges relating to the consolidation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relocation of operations, and the transition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implementation of information systems.....................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Estimated loss on the sale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Assets to comply with governmental orders.................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255</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Duplicate facilities and related leasehold improvements...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189</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Duplicate revenue producing assets........................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Provision for the abandonment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Revenue producing assets..................................</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Non-revenue producing assets, consisting of landfill</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projects and leasehold improvements which were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determined to be duplicative assets from the related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merger.................................................</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263</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Other assets, consisting primarily of computer hardware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and software costs which have no future value..........</w:t>
            </w:r>
          </w:p>
        </w:tc>
        <w:tc>
          <w:tcPr>
            <w:tcW w:w="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1,625</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w:t>
            </w:r>
          </w:p>
        </w:tc>
      </w:t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Merger and acquisition related costs include estimates for anticipated losses from the sales of assets pursuant to governmental orders and other asset divestiture plans. These anticipated losses were estimated</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283" w:right="1440" w:bottom="1440" w:gutter="0" w:footer="0" w:header="0"/>
        </w:sectPr>
      </w:pPr>
    </w:p>
    <w:bookmarkStart w:id="52" w:name="page53"/>
    <w:bookmarkEnd w:id="52"/>
    <w:p>
      <w:pPr>
        <w:ind w:left="270"/>
        <w:spacing w:after="0"/>
        <w:rPr>
          <w:sz w:val="20"/>
          <w:szCs w:val="20"/>
          <w:color w:val="auto"/>
        </w:rPr>
      </w:pPr>
      <w:r>
        <w:rPr>
          <w:rFonts w:ascii="Courier New" w:cs="Courier New" w:eastAsia="Courier New" w:hAnsi="Courier New"/>
          <w:sz w:val="15"/>
          <w:szCs w:val="15"/>
          <w:color w:val="auto"/>
        </w:rPr>
        <w:t>49</w:t>
      </w: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based on the Company's assessment of relevant facts and circumstances, including consideration of the various provisions of asset sale agreements. During the second quarter of 1999, the Company resolved an outstanding contingency regarding its governmentally-ordered sale of assets to Republic Services, Inc., which reduced the previously reported loss on that sale by approximately $80. Offsetting this amount in the same quarter, the Company (i) consummated its sale of 51% of its non-land disposal hazardous waste operations and on-site industrial cleaning services to Vivendi S.A. which resulted in losses of approximately $79 greater than previously estimated; (ii) increased its anticipated losses by approximately $14 related to the assets required to be sold pursuant to the Eastern Merger; and (iii) decreased other anticipated losses by approximately $13.</w:t>
      </w:r>
    </w:p>
    <w:p>
      <w:pPr>
        <w:spacing w:after="0" w:line="182"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Furthermore, the Company recorded certain unusual charges of $864 in 1998 that were primarily, yet indirectly, related to the WM Holdings Merger. See Note 16.</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Divestitures</w:t>
      </w:r>
    </w:p>
    <w:p>
      <w:pPr>
        <w:spacing w:after="0" w:line="175" w:lineRule="exact"/>
        <w:rPr>
          <w:sz w:val="20"/>
          <w:szCs w:val="20"/>
          <w:color w:val="auto"/>
        </w:rPr>
      </w:pPr>
    </w:p>
    <w:p>
      <w:pPr>
        <w:ind w:left="10" w:right="3259" w:firstLine="441"/>
        <w:spacing w:after="0" w:line="259" w:lineRule="auto"/>
        <w:rPr>
          <w:sz w:val="20"/>
          <w:szCs w:val="20"/>
          <w:color w:val="auto"/>
        </w:rPr>
      </w:pPr>
      <w:r>
        <w:rPr>
          <w:rFonts w:ascii="Courier New" w:cs="Courier New" w:eastAsia="Courier New" w:hAnsi="Courier New"/>
          <w:sz w:val="14"/>
          <w:szCs w:val="14"/>
          <w:color w:val="auto"/>
        </w:rPr>
        <w:t>The Company's 1999 strategic plan included marketing for sale its WM International operations, its domestic non-solid waste operations and selected NASW operations. Note 20 discusses the remaining operations held-for-sale which the Company believes will be divested prior to December 31, 2001.</w:t>
      </w:r>
    </w:p>
    <w:p>
      <w:pPr>
        <w:spacing w:after="0" w:line="163"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The following is a summary of the significant divestitures the Company has completed as of December 31, 2000 by segment:</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2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APPROXIMATE SALE PRICE</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WM International............................................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7"/>
              </w:rPr>
              <w:t>1,910(a)</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Non-solid waste.............................................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439(a)</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NASW........................................................</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310(b)</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 sales price includes cash proceeds and assumed debt.</w:t>
      </w:r>
    </w:p>
    <w:p>
      <w:pPr>
        <w:spacing w:after="0" w:line="5" w:lineRule="exact"/>
        <w:rPr>
          <w:rFonts w:ascii="Courier New" w:cs="Courier New" w:eastAsia="Courier New" w:hAnsi="Courier New"/>
          <w:sz w:val="15"/>
          <w:szCs w:val="15"/>
          <w:color w:val="auto"/>
        </w:rPr>
      </w:pPr>
    </w:p>
    <w:p>
      <w:pPr>
        <w:ind w:left="350" w:right="3619" w:hanging="350"/>
        <w:spacing w:after="0" w:line="235" w:lineRule="auto"/>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 sales price includes cash proceeds, notes receivables and a long-term prepaid disposal agreement.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PROPERTY AND EQUIPMENT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Property and equipment at December 31, consisted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704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Landfills...................................................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7,548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7,305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Vehicles....................................................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3,019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Machinery and equipment.....................................</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2,118</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Containers..................................................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2,043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Buildings and improvements..................................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1,337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Furniture and fixtures......................................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16,985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16,469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Less accumulated landfill airspace amortization.............</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(2,698)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on other property and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equipment.................................................</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(4,161)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10,126</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$10,304</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Depreciation and amortization expense for property and equipment for 2000, 1999 and 1998 was $1,210, $1,344 and $1,337, respectively.</w:t>
      </w:r>
    </w:p>
    <w:p>
      <w:pPr>
        <w:spacing w:after="0" w:line="176" w:lineRule="exact"/>
        <w:rPr>
          <w:sz w:val="20"/>
          <w:szCs w:val="20"/>
          <w:color w:val="auto"/>
        </w:rPr>
      </w:pPr>
    </w:p>
    <w:p>
      <w:pPr>
        <w:ind w:left="10" w:right="3179" w:firstLine="441"/>
        <w:spacing w:after="0" w:line="259" w:lineRule="auto"/>
        <w:rPr>
          <w:sz w:val="20"/>
          <w:szCs w:val="20"/>
          <w:color w:val="auto"/>
        </w:rPr>
      </w:pPr>
      <w:r>
        <w:rPr>
          <w:rFonts w:ascii="Courier New" w:cs="Courier New" w:eastAsia="Courier New" w:hAnsi="Courier New"/>
          <w:sz w:val="14"/>
          <w:szCs w:val="14"/>
          <w:color w:val="auto"/>
        </w:rPr>
        <w:t>The exclusion of certain landfill expansions from the airspace amortization estimates due to more stringent criteria (see Note 3) and related business judgements regarding probable success increased depreciation and amortization expense and the provision for final closure and post-closure (included in</w:t>
      </w:r>
    </w:p>
    <w:p>
      <w:pPr>
        <w:sectPr>
          <w:pgSz w:w="11900" w:h="16838" w:orient="portrait"/>
          <w:cols w:equalWidth="0" w:num="1">
            <w:col w:w="10229"/>
          </w:cols>
          <w:pgMar w:left="230" w:top="283" w:right="1440" w:bottom="1440" w:gutter="0" w:footer="0" w:header="0"/>
        </w:sectPr>
      </w:pPr>
    </w:p>
    <w:p>
      <w:pPr>
        <w:spacing w:after="0" w:line="157"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283"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operating expenses) in the second half of 1999 and in 2000. The exclusions of these expansions also resulted in the Company recognizing $33 in landfill impairments in the third quarter of 1999 (see Note 2).</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Rental expense for leased properties was $186, $189 and $195 during 2000, 1999 and 1998, respectively. These amounts primarily include rents under long-term leases and rents charged as a percentage of revenue, but are exclusive of financing leases which are capitalized for accounting purposes. Payments due during the next five years and thereafter on long-term rental obligations are as follows:</w:t>
      </w:r>
    </w:p>
    <w:p>
      <w:pPr>
        <w:spacing w:after="0" w:line="200" w:lineRule="exact"/>
        <w:rPr>
          <w:sz w:val="20"/>
          <w:szCs w:val="20"/>
          <w:color w:val="auto"/>
        </w:rPr>
      </w:pPr>
    </w:p>
    <w:p>
      <w:pPr>
        <w:spacing w:after="0" w:line="309" w:lineRule="exact"/>
        <w:rPr>
          <w:sz w:val="20"/>
          <w:szCs w:val="20"/>
          <w:color w:val="auto"/>
        </w:rPr>
      </w:pPr>
    </w:p>
    <w:p>
      <w:pPr>
        <w:ind w:left="2200"/>
        <w:spacing w:after="0"/>
        <w:tabs>
          <w:tab w:leader="none" w:pos="2800" w:val="left"/>
          <w:tab w:leader="none" w:pos="3400" w:val="left"/>
          <w:tab w:leader="none" w:pos="4020" w:val="left"/>
          <w:tab w:leader="none" w:pos="4640" w:val="left"/>
          <w:tab w:leader="none" w:pos="52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tab/>
        <w:t>2003</w:t>
        <w:tab/>
        <w:t>2004</w:t>
        <w:tab/>
        <w:t>2005</w:t>
      </w:r>
      <w:r>
        <w:rPr>
          <w:sz w:val="20"/>
          <w:szCs w:val="20"/>
          <w:color w:val="auto"/>
        </w:rPr>
        <w:tab/>
      </w:r>
      <w:r>
        <w:rPr>
          <w:rFonts w:ascii="Courier New" w:cs="Courier New" w:eastAsia="Courier New" w:hAnsi="Courier New"/>
          <w:sz w:val="14"/>
          <w:szCs w:val="14"/>
          <w:color w:val="auto"/>
        </w:rPr>
        <w:t>THEREAFTER</w:t>
      </w:r>
    </w:p>
    <w:p>
      <w:pPr>
        <w:ind w:left="2820" w:hanging="626"/>
        <w:spacing w:after="0"/>
        <w:tabs>
          <w:tab w:leader="none" w:pos="28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69" w:lineRule="exact"/>
        <w:rPr>
          <w:sz w:val="20"/>
          <w:szCs w:val="20"/>
          <w:color w:val="auto"/>
        </w:rPr>
      </w:pPr>
    </w:p>
    <w:p>
      <w:pPr>
        <w:ind w:left="2200"/>
        <w:spacing w:after="0"/>
        <w:tabs>
          <w:tab w:leader="none" w:pos="2800" w:val="left"/>
          <w:tab w:leader="none" w:pos="3400" w:val="left"/>
          <w:tab w:leader="none" w:pos="4020" w:val="left"/>
          <w:tab w:leader="none" w:pos="4640" w:val="left"/>
          <w:tab w:leader="none" w:pos="5520"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$115</w:t>
        <w:tab/>
        <w:t>$104</w:t>
        <w:tab/>
        <w:t>$106</w:t>
        <w:tab/>
        <w:t>$106</w:t>
      </w:r>
      <w:r>
        <w:rPr>
          <w:sz w:val="20"/>
          <w:szCs w:val="20"/>
          <w:color w:val="auto"/>
        </w:rPr>
        <w:tab/>
      </w:r>
      <w:r>
        <w:rPr>
          <w:rFonts w:ascii="Courier New" w:cs="Courier New" w:eastAsia="Courier New" w:hAnsi="Courier New"/>
          <w:sz w:val="15"/>
          <w:szCs w:val="15"/>
          <w:color w:val="auto"/>
        </w:rPr>
        <w:t>$317</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GOODWILL AND OTHER INTANGIBLE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Goodwill at December 31, consisted of the following: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2000</w:t>
            </w:r>
          </w:p>
        </w:tc>
        <w:tc>
          <w:tcPr>
            <w:tcW w:w="22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1999</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Goodwill....................................................</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$5,795</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$5,813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Less accumulated amortization...............................</w:t>
            </w:r>
          </w:p>
        </w:tc>
        <w:tc>
          <w:tcPr>
            <w:tcW w:w="18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$5,046</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$5,186</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Other intangible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Less accumulated amortization...............................</w:t>
            </w:r>
          </w:p>
        </w:tc>
        <w:tc>
          <w:tcPr>
            <w:tcW w:w="18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Amortization expense for goodwill and other intangible assets was $219, $270 and $162 for 2000, 1999 and 1998,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LONG-TERM DEBT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December 31, consisted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2000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Bank credit facilities......................................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$ 2,250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Commercial paper, average interest of 5.5% in 1999..........</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Senior notes and debentures, interest of 6% to 8 3/4%</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through 2029..............................................</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6,307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6,750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4% Convertible subordinated notes due 2002..................</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5.75% Convertible subordinated notes due 2005...............</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Tax-exempt and project bonds, principal payable in periodic</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installments, maturing through 2029, fixed and variable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 rates ranging from 4.38% to 9.38% at 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1,260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Installment loans, notes payable, and other, interest to</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14.25%, maturing through 2015.............................</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0"/>
        </w:trPr>
        <w:tc>
          <w:tcPr>
            <w:tcW w:w="536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8,485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$11,498</w:t>
            </w:r>
          </w:p>
        </w:tc>
      </w:tr>
      <w:tr>
        <w:trPr>
          <w:trHeight w:val="170"/>
        </w:trPr>
        <w:tc>
          <w:tcPr>
            <w:tcW w:w="536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Maturities of long-term debt for the next five years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2640" w:type="dxa"/>
        <w:tblCellMar>
          <w:top w:w="0" w:type="dxa"/>
          <w:left w:w="0" w:type="dxa"/>
          <w:bottom w:w="0" w:type="dxa"/>
          <w:right w:w="0" w:type="dxa"/>
        </w:tblCellMar>
      </w:tblPr>
      <w:tr>
        <w:trPr>
          <w:trHeight w:val="170"/>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2001</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2003</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$113</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$2,289</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$592</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r>
    </w:tbl>
    <w:p>
      <w:pPr>
        <w:spacing w:after="0" w:line="34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Company has a $1,500 syndicated loan facility (the "Syndicated Facility") which expires July 10, 2001 with a one-year extension option and a $1,400 senior revolving credit facility (the "Credit Facility"),</w:t>
      </w:r>
    </w:p>
    <w:p>
      <w:pPr>
        <w:sectPr>
          <w:pgSz w:w="11900" w:h="16838" w:orient="portrait"/>
          <w:cols w:equalWidth="0" w:num="1">
            <w:col w:w="10219"/>
          </w:cols>
          <w:pgMar w:left="240" w:top="283" w:right="1440" w:bottom="904" w:gutter="0" w:footer="0" w:header="0"/>
        </w:sectPr>
      </w:pP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3" w:right="1440" w:bottom="904"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which matures August 2002. The Syndicated Facility requires annual renewal by the lender and provides for a one-year term option at the Company's request in the event of non-renewal. The Syndicated Facility and Credit Facility are available for borrowings, including letters of credit, and for supporting the issuance of commercial paper. The covenant restrictions for the Syndicated Facility and Credit Facility include, among others, interest coverage and debt capitalization ratios, limitations on dividends, additional indebtedness and liens. The Syndicated Facility and Credit Facility are used to refinance existing debt and letters of credit, to fund acquisitions, and for working capital purposes.</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At December 31, 2000, the Company had borrowings of $120, which are classified as long-term, under the Syndicated Facility at an average interest rate of 7.74%. No borrowings were outstanding under the Credit Facility at December 31, 2000. The facility fees were 0.20% and 0.25% per annum under the Syndicated Facility and Credit Facility, respectively, at December 31, 2000. The Company had issued letters of credit of approximately $1,500 in the aggregate under the Syndicated Facility and Credit Facility, leaving unused and available aggregate credit capacity of approximately $1,300 at December 31, 2000.</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the terms of the Syndicated Facility and the Credit Facility, the Company is obligated to repay the borrowings under the facilities with the cash proceeds received from the strategic plan divestitures. The Company was required to use all of the first $1,500 of net proceeds from the divestitures to repay indebtedness, which it has done. Additionally, the Company is required to use 50% of the additional cash proceeds greater than $1,500 and up to $2,500 from divestitures to repay the indebtedness under the Syndicated and Credit Facilities. As of December 31, 2000, the Company had received cash proceeds of approximately $2,500 from its divestitures, approximately $175 of which was used to repay the Company's Eurocurrency facilities in the second quarter of 2000, approximately $100 was used for repayment of divestiture subsidiary debts and the remainder has been used to repay indebtedness under the bank credit facilities.</w:t>
      </w:r>
    </w:p>
    <w:p>
      <w:pPr>
        <w:spacing w:after="0" w:line="183"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On May 21, 1999, the Company completed a private placement of $1,150 of its senior notes. The Company issued $200 of 6% senior notes, due 2001; $200 of</w:t>
      </w:r>
    </w:p>
    <w:p>
      <w:pPr>
        <w:spacing w:after="0" w:line="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6 1/2% senior notes due 2004; $500 of 6 7/8% senior notes due 2009; and $250 of 7 3/8% senior notes due 2029. The senior notes constitute senior and unsecured obligations of the Company ranking equal in right of payment with all other senior and unsecured obligations of the Company, as defined in the indenture. The 6% senior notes are not redeemable by the Company. The 6 1/2% senior notes, the 6 7/8% senior notes, and 7 3/8% senior notes are redeemable, in whole or in part, at the option of the Company at any time, or from time to time, at a redemption price defined in the indenture. Interest is payable semi-annually on May 15 and November 15. All proceeds from the private placement notes were used to repay outstanding debt under the Credit Facility and to reduce the amount of commercial paper outstanding.</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July 17, 1998, the Company issued $600 of 7% senior notes, due on July 15, 2028 (the "7% Notes") and $600 of 6 1/8% mandatorily tendered senior notes, due on July 15, 2011 (the "6 1/8% Notes"). The 7% Notes are redeemable, in whole or in part, at the option of the Company at any time and from time to time at the redemption price, as defined in the indenture. The 6 1/8% Notes are subject to certain mandatory tender features as described in the indenture, which may require the purchase by the Company of a portion of or all of the outstanding notes on July 15, 2001. The Company intends to either refinance these notes or use borrowings available under the Syndicated Facility and/or the Credit Facility in the event it must purchase the notes on July 15, 2001. Accordingly, these borrowings have been classified as long-term at December 31, 2000. The proceeds from the 7% Notes and 6 1/8% Notes were used to repay outstanding indebtedness under the Company's credit facilities. Interest on the 7% Notes and 6 1/8% Notes is payable semi-annually on January 15 and July 15.</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4% convertible subordinated notes, due on February 1, 2002 have interest which is payable semi-annually in February and August. The notes are convertible by the holders into shares of the Company's common stock at any time at a conversion price of forty-three dollars and fifty-six cents per share. The notes are subordinated in right of payment to all existing and future senior indebtedness, as defined in the</w:t>
      </w:r>
    </w:p>
    <w:p>
      <w:pPr>
        <w:ind w:left="35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52</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indenture. The notes have been redeemable since February 1, 2000 at the option of the Company at 101.6% of the principal amount, and decline to 100.8% of the principal amount on February 1, 2001 and thereafter until maturity, at which time the notes will be redeemed at par, plus accrued interest.</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5.75% convertible subordinated notes due 2005 are subordinated to all existing and future senior indebtedness of the Company. Each note bears cash interest at the rate of two percent per annum of the one thousand dollar principal amount at maturity, payable semi-annually. The stated discount is two hundred eighty-two dollars and twenty cents. At the option of the holder, each note was redeemable for cash by the Company on March 15, 2000, at eight hundred forty-three dollars and three cents along with the related accrued unpaid interest. The notes have been callable by the Company since March 15, 2000, for cash, at the stated issue price plus accrued stated discount and accrued but unpaid interest through the date of redemption. In addition, each note is convertible at any time prior to maturity into approximately 18.9 shares of the Company's common stock, subject to adjustment upon the occurrence of certain events. Upon any such conversion, the Company will have the option of paying cash equal to the market value of the shares which would otherwise be issuable. In December of 1999, the Company began repurchasing its 5.75% convertible notes. During 2000, the Company had repurchased approximately $397 of the remaining outstanding notes.</w:t>
      </w:r>
    </w:p>
    <w:p>
      <w:pPr>
        <w:spacing w:after="0" w:line="187"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Company had a public debt offering during the first quarter of 2001. The net proceeds from the offering of the notes will be utilized to repay $600 of senior notes which have been classified as long-term at December 31, 2000. See Note 24 for further discussion.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ENVIRONMENTAL LIABILITIES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and post-closure obligations with respect to the landfills it owns or operates.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is accrued using the calculated rate per ton and charged to expense as airspace is consumed. The present value of total estimated final closure and post-closure cost will be fully accrued for each landfill at the time the site discontinues accepting waste and is closed.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w:t>
      </w:r>
    </w:p>
    <w:p>
      <w:pPr>
        <w:spacing w:after="0" w:line="177"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In the United States, the final closure and post-closure requirements are established by the EPA's Subtitles C and D regulation, as implemented and applied on a state-by-state basis. The costs to comply with these requirements could increase in the future as a result of legislation or regulation.</w:t>
      </w:r>
    </w:p>
    <w:p>
      <w:pPr>
        <w:spacing w:after="0" w:line="163"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Company routinely reviews and evaluates sites that require remediation, including sites listed on the EPA's National Priority List ("NPL sites"). The Company considers whether the Company was an owner, operator, transporter, or generator at the site, the amount and type of waste hauled to the site, the number of years the Company was connected with the site, as well as reviewing the same information with respect to other named and unnamed potentially responsible parties ("PRPs"). The Company then reviews the estimated cost for the likely remedy, which is based on management's judgment and experience in</w:t>
      </w:r>
    </w:p>
    <w:p>
      <w:pPr>
        <w:ind w:left="3520"/>
        <w:spacing w:after="0" w:line="235" w:lineRule="auto"/>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53</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remediating such sites for the Company 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those cases, the Company provides for the amount within the range which constitutes its best estimate. If no amount within the range appears to be a better estimate than any other amount, the Company provides for the minimum amount within the range in accordance with SFAS No. 5, Accounting for Contingencies. The Company believes that it is "reasonably possible," as that term is defined in SFAS No. 5 ("more than remote but less than likely"), that its potential liability, at the high end of such ranges, would be approximately $249 higher on a discounted basis in the aggregate than the estimate that has been recorded in the consolidated financial statements as of December 31, 2000.</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Where the Company believes that both the amount of a particular environmental liability and the timing of the payments are reliably determinable, the cost in current dollars is inflated (at 2.5% and 2% at December 31, 2000 and 1999, respectively) until expected time of payment and then discounted to present value (at 6.0% and 5.5% at December 31, 2000 and 1999, respectively). The accretion of the interest related to the discounted environmental liabilities is included in the annual calculation of the landfill's final closure and post-closure cost per ton and is charged to operating expense as landfill airspace is consumed. The portion of the Company's recorded environmental liabilities that has never been subject to inflation or discounting was approximately $136 and $140 at December 31, 2000 and 1999, respectively. Had the Company not discounted any portion of its liability, the amount recorded would have been increased by approximately $415 at December 31, 2000.</w:t>
      </w:r>
    </w:p>
    <w:p>
      <w:pPr>
        <w:spacing w:after="0" w:line="1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Liabilities for final closure, post-closure and environmental remediation</w:t>
      </w: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at December 31, consisted of the following:</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portion, included in accrued liabilities:</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Closure/Post-closure......................................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$ 44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Remediation...............................................</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Non-current portion:</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Closure/Post-closure......................................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Remediation...............................................</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837</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recorded..............................................</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$977</w:t>
            </w:r>
          </w:p>
        </w:tc>
      </w:tr>
      <w:tr>
        <w:trPr>
          <w:trHeight w:val="170"/>
        </w:trPr>
        <w:tc>
          <w:tcPr>
            <w:tcW w:w="5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Amount to be provided including discount of $415 related to</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recorded amounts..........................................</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1,850</w:t>
            </w:r>
          </w:p>
        </w:tc>
        <w:tc>
          <w:tcPr>
            <w:tcW w:w="48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Expected aggregate environmental liabilities based on</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cost..............................................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$2,812</w:t>
            </w:r>
          </w:p>
        </w:tc>
        <w:tc>
          <w:tcPr>
            <w:tcW w:w="48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bl>
    <w:p>
      <w:pPr>
        <w:spacing w:after="0" w:line="344" w:lineRule="exact"/>
        <w:rPr>
          <w:sz w:val="20"/>
          <w:szCs w:val="20"/>
          <w:color w:val="auto"/>
        </w:rPr>
      </w:pPr>
    </w:p>
    <w:p>
      <w:pPr>
        <w:ind w:right="3699" w:firstLine="441"/>
        <w:spacing w:after="0" w:line="265" w:lineRule="auto"/>
        <w:rPr>
          <w:sz w:val="20"/>
          <w:szCs w:val="20"/>
          <w:color w:val="auto"/>
        </w:rPr>
      </w:pPr>
      <w:r>
        <w:rPr>
          <w:rFonts w:ascii="Courier New" w:cs="Courier New" w:eastAsia="Courier New" w:hAnsi="Courier New"/>
          <w:sz w:val="14"/>
          <w:szCs w:val="14"/>
          <w:color w:val="auto"/>
        </w:rPr>
        <w:t>Anticipated payments (based on current costs) of currently identified environmental liabilities for the next five years are as follows:</w:t>
      </w:r>
    </w:p>
    <w:p>
      <w:pPr>
        <w:spacing w:after="0" w:line="200" w:lineRule="exact"/>
        <w:rPr>
          <w:sz w:val="20"/>
          <w:szCs w:val="20"/>
          <w:color w:val="auto"/>
        </w:rPr>
      </w:pPr>
    </w:p>
    <w:p>
      <w:pPr>
        <w:spacing w:after="0" w:line="292"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2001</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2002</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2003</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2004</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2005</w:t>
            </w:r>
          </w:p>
        </w:tc>
      </w:tr>
      <w:tr>
        <w:trPr>
          <w:trHeight w:val="170"/>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$153</w:t>
            </w:r>
          </w:p>
        </w:tc>
        <w:tc>
          <w:tcPr>
            <w:tcW w:w="620" w:type="dxa"/>
            <w:vAlign w:val="bottom"/>
          </w:tcPr>
          <w:p>
            <w:pPr>
              <w:ind w:left="120"/>
              <w:spacing w:after="0"/>
              <w:rPr>
                <w:sz w:val="20"/>
                <w:szCs w:val="20"/>
                <w:color w:val="auto"/>
              </w:rPr>
            </w:pPr>
            <w:r>
              <w:rPr>
                <w:rFonts w:ascii="Courier New" w:cs="Courier New" w:eastAsia="Courier New" w:hAnsi="Courier New"/>
                <w:sz w:val="15"/>
                <w:szCs w:val="15"/>
                <w:color w:val="auto"/>
              </w:rPr>
              <w:t>$66</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$73</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$50</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$40</w:t>
            </w:r>
          </w:p>
        </w:tc>
      </w:tr>
    </w:tbl>
    <w:p>
      <w:pPr>
        <w:spacing w:after="0" w:line="344" w:lineRule="exact"/>
        <w:rPr>
          <w:sz w:val="20"/>
          <w:szCs w:val="20"/>
          <w:color w:val="auto"/>
        </w:rPr>
      </w:pPr>
    </w:p>
    <w:p>
      <w:pPr>
        <w:ind w:right="4139" w:firstLine="441"/>
        <w:spacing w:after="0" w:line="235" w:lineRule="auto"/>
        <w:rPr>
          <w:sz w:val="20"/>
          <w:szCs w:val="20"/>
          <w:color w:val="auto"/>
        </w:rPr>
      </w:pPr>
      <w:r>
        <w:rPr>
          <w:rFonts w:ascii="Courier New" w:cs="Courier New" w:eastAsia="Courier New" w:hAnsi="Courier New"/>
          <w:sz w:val="15"/>
          <w:szCs w:val="15"/>
          <w:color w:val="auto"/>
        </w:rPr>
        <w:t>In addition to the amounts above, the Company has perpetual care obligations at a site of approximately $2 per year.</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has filed suit against numerous insurance carriers seeking reimbursement for past and future environmentally related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 Settlements, which were $2 in 2000, $7 in 1999 and $47 in 1998, have been included in operating costs and expenses as an offset to environmental expenses.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FAIR VALUE OF FINANCIAL INSTRUMENTS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estimated fair value amounts of the Company's financial instruments have been determined by the Company using available market information and commonly accepted valuation methodologies. However, considerable judgement is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and/or estimation methodologies may have a material effect on the estimated fair values. The fair value estimates presented herein are based on information available to management as of December 31, 2000 and 1999. Such amounts have not been revalued since those dates, and current estimates of fair value may differ significantly from the amounts presented herein.</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carrying values of cash and cash equivalents, short-term investments, trade accounts receivable, trade accounts payable, financial instruments included in notes and other receivables and financial instruments included in other assets or other liabilities are estimated to approximate their fair values principally because of the short-term maturities of these instruments. As of December 31, 2000 and 1999, the carrying amount of</w:t>
      </w:r>
    </w:p>
    <w:p>
      <w:pPr>
        <w:sectPr>
          <w:pgSz w:w="11900" w:h="16838" w:orient="portrait"/>
          <w:cols w:equalWidth="0" w:num="1">
            <w:col w:w="10219"/>
          </w:cols>
          <w:pgMar w:left="240" w:top="283" w:right="1440" w:bottom="1440" w:gutter="0" w:footer="0" w:header="0"/>
        </w:sectPr>
      </w:pP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3"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55</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debt was $8,485 and $11,498, respectively, and the fair value of debt was estimated at $8,281 and $10,777,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DERIVATIVE FINANCIAL INSTRUMENTS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Interest rate agreements -- The Company has entered into interest rate swap agreements to balance fixed and floating rate debt interest risk in accordance with management's criteria (see Note 3).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 received over the life of the agreements are recorded in the consolidated financial statements as a part of interest expense on the underlying debt, and the swap is not recorded on the balance sheet. As of December 31, 2000, interest rate agreements in notional amounts and with terms as set forth in the following table were outstanding:</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NOTIONAL</w:t>
      </w:r>
    </w:p>
    <w:p>
      <w:pPr>
        <w:ind w:left="440"/>
        <w:spacing w:after="0"/>
        <w:rPr>
          <w:sz w:val="20"/>
          <w:szCs w:val="20"/>
          <w:color w:val="auto"/>
        </w:rPr>
      </w:pPr>
      <w:r>
        <w:rPr>
          <w:rFonts w:ascii="Courier New" w:cs="Courier New" w:eastAsia="Courier New" w:hAnsi="Courier New"/>
          <w:sz w:val="15"/>
          <w:szCs w:val="15"/>
          <w:color w:val="auto"/>
        </w:rPr>
        <w:t>AMOUNT</w:t>
      </w:r>
    </w:p>
    <w:p>
      <w:pPr>
        <w:spacing w:after="0"/>
        <w:rPr>
          <w:sz w:val="20"/>
          <w:szCs w:val="20"/>
          <w:color w:val="auto"/>
        </w:rPr>
      </w:pPr>
      <w:r>
        <w:rPr>
          <w:rFonts w:ascii="Courier New" w:cs="Courier New" w:eastAsia="Courier New" w:hAnsi="Courier New"/>
          <w:sz w:val="15"/>
          <w:szCs w:val="15"/>
          <w:color w:val="auto"/>
        </w:rPr>
        <w:t>(IN U.S. DOLLARS)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MATURITY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1480" w:space="720"/>
            <w:col w:w="1660" w:space="100"/>
            <w:col w:w="880" w:space="260"/>
            <w:col w:w="700" w:space="280"/>
            <w:col w:w="413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Dollar............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Dollar............</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5"/>
          <w:szCs w:val="15"/>
          <w:color w:val="auto"/>
        </w:rPr>
        <w:t>$</w:t>
        <w:tab/>
        <w:t>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Floating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5"/>
          <w:szCs w:val="15"/>
          <w:color w:val="auto"/>
        </w:rPr>
        <w:t>Fixed Floating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Through December 31, 2012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April 1, 2010</w:t>
      </w:r>
    </w:p>
    <w:p>
      <w:pPr>
        <w:spacing w:after="0" w:line="200" w:lineRule="exact"/>
        <w:rPr>
          <w:sz w:val="20"/>
          <w:szCs w:val="20"/>
          <w:color w:val="auto"/>
        </w:rPr>
      </w:pPr>
    </w:p>
    <w:p>
      <w:pPr>
        <w:sectPr>
          <w:pgSz w:w="11900" w:h="16838" w:orient="portrait"/>
          <w:cols w:equalWidth="0" w:num="5">
            <w:col w:w="2020" w:space="620"/>
            <w:col w:w="600" w:space="720"/>
            <w:col w:w="700" w:space="260"/>
            <w:col w:w="720" w:space="260"/>
            <w:col w:w="4319"/>
          </w:cols>
          <w:pgMar w:left="240" w:top="283" w:right="1440" w:bottom="1440" w:gutter="0" w:footer="0" w:header="0"/>
          <w:type w:val="continuous"/>
        </w:sectPr>
      </w:pPr>
    </w:p>
    <w:p>
      <w:pPr>
        <w:spacing w:after="0" w:line="1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Commodity agreements -- The Company has entered into recycled paper swap agreements to help mitigate the price volatility of recycled paper. The agreements are contracts to exchange fixed and floating commodity prices over a fixed period of time. All of the Company's recyclable paper hedges are cash-settled on a monthly basis with the counterparty and are recorded as a component of operating expense. At December 31, 2000 the Company had recycled paper swap agreements for a total notional amount of 48,722 tons per month expiring at various dates through November 2007. These swap agreements are not recorded on the balance sheet.</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Fair values -- The fair values of the interest rate swaps and recycled paper swaps represent the amounts at which the agreements could be settled based on estimated market rates. At December 31, 2000, the Company would have had to pay approximately $5 and would receive $11 to settle the interest rate swap agreements and recycled paper swap agreements,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CAPITAL STOCK</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has ten million shares of authorized $.01 par value preferred stock, none of which is currently outstanding.</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declared cash dividends of approximately $6 during both 2000 and 1999 and $94 during 1998. Based on the Company's weighted average common shares outstanding, the cash dividends per common share were $0.01, $0.01 and $0.16 for 2000, 1999 and 1998, respectively. As of December 31, 2000, due to current credit agreements, the Company's ability to pay dividends and repurchase capital stock was limited to $369, of which no more than $25 may be paid for dividends.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COMMON STOCK OPTIONS AND WARRANTS</w:t>
      </w:r>
    </w:p>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Company accounts for its stock-based compensation using the intrinsic value method prescribed by Accounting Principles Board Opinion No. 25, "Accounting for Stock Issued to Employees," as amended, under which no compensation cost for stock options is recognized when granted with an exercise price at least equal to fair market value. SFAS No. 123, Accounting for Stock-Based Compensation, established accounting and disclosure requirements using a fair-value-based method of accounting which are shown below.</w:t>
      </w:r>
    </w:p>
    <w:p>
      <w:pPr>
        <w:ind w:left="3520"/>
        <w:spacing w:after="0" w:line="235" w:lineRule="auto"/>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3"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56</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the Company's 1993 Stock Option Incentive Plan and the Company's 2000 Stock Option Incentive Plan, options to purchase 26.5 million and 29.0 million shares, respectively, of the Company's common stock may be granted to officers, directors, and key employees. Options are granted under these plans at exercise prices at least equal to the fair market value on the date of grant. The option plans have various vesting periods, and expire up to ten years from the date of grant. The Company also has a 2000 Broad-Based Employee Plan under which options to purchase 3 million shares can be granted to any non-officer employees. The exercise prices for options under the Broad-Based Plan are at least equal to the fair market value on the date of grant, may vest over various periods, and expire up to ten years from the date of grant.</w:t>
      </w:r>
    </w:p>
    <w:p>
      <w:pPr>
        <w:spacing w:after="0" w:line="181"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Under the 1996 Stock Option Plan for Non-Employee Directors, the Company's outside directors receive an annual grant of 10,000 options on each January 1. In accordance with the plan, options to purchase up to 2,400,000 shares of the Company's common stock may be granted, with one-year vesting periods and expiration dates ten years from the date of grant. The options are granted at exercise prices equal to the fair market value of the common stock on the date of grant.</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Stock options granted by the Company in 2000, 1999 and 1998 generally have ten year terms and vest over four or five years. Stock options granted by WM Holdings prior to March 10, 1998, became fully vested upon consummation of the WM Holdings Merger. WM Holdings' options granted after March 10, 1998 generally continue to vest in accordance with their original vesting schedule of 3 years. Generally, all other stock options granted by merged entities continue to vest under varying vesting periods ranging from immediate vesting to five years following the date of the grant.</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Company also has outstanding options and warrants related to various predecessor plans acquired through merger and acquisition activity.</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summarizes common stock option and warrant transactions under the aforementioned plans and various predecessor plans for 2000, 1999 and 1998 (shares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YEARS ENDED DECEMBER 31,</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520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60" w:type="dxa"/>
            <w:vAlign w:val="bottom"/>
          </w:tcPr>
          <w:p>
            <w:pPr>
              <w:spacing w:after="0"/>
              <w:rPr>
                <w:sz w:val="14"/>
                <w:szCs w:val="14"/>
                <w:color w:val="auto"/>
              </w:rPr>
            </w:pPr>
          </w:p>
        </w:tc>
        <w:tc>
          <w:tcPr>
            <w:tcW w:w="16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2000</w:t>
            </w:r>
          </w:p>
        </w:tc>
        <w:tc>
          <w:tcPr>
            <w:tcW w:w="21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15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16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c>
          <w:tcPr>
            <w:tcW w:w="2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WEIGHTED</w:t>
            </w:r>
          </w:p>
        </w:tc>
        <w:tc>
          <w:tcPr>
            <w:tcW w:w="104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WEIGHTED</w:t>
            </w:r>
          </w:p>
        </w:tc>
      </w:tr>
      <w:tr>
        <w:trPr>
          <w:trHeight w:val="170"/>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04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c>
          <w:tcPr>
            <w:tcW w:w="7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EXERCISE</w:t>
            </w:r>
          </w:p>
        </w:tc>
        <w:tc>
          <w:tcPr>
            <w:tcW w:w="104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c>
          <w:tcPr>
            <w:tcW w:w="7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EXERCISE</w:t>
            </w:r>
          </w:p>
        </w:tc>
      </w:tr>
      <w:tr>
        <w:trPr>
          <w:trHeight w:val="170"/>
        </w:trPr>
        <w:tc>
          <w:tcPr>
            <w:tcW w:w="3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PRICE</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SHARES</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3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Outstanding at beginning of year...</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36,733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$34.53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40,810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$32.72</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37,631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Granted............................</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8,069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8,206</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33.86</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10,645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Assumed in acquisitions............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Exercised..........................</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(1,288)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18.95</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(11,685)</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26.88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(8,593)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Canceled or expired................</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(4,331)</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51.54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45.33</w:t>
            </w:r>
          </w:p>
        </w:tc>
      </w:tr>
      <w:tr>
        <w:trPr>
          <w:trHeight w:val="170"/>
        </w:trPr>
        <w:tc>
          <w:tcPr>
            <w:tcW w:w="3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Outstanding at end of year.........</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39,183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36,733</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$34.53</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40,810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$32.72</w:t>
            </w:r>
          </w:p>
        </w:tc>
      </w:tr>
      <w:tr>
        <w:trPr>
          <w:trHeight w:val="170"/>
        </w:trPr>
        <w:tc>
          <w:tcPr>
            <w:tcW w:w="3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Exercisable at end of year.........</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23,523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$33.43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22,055</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$33.93</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23,994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$29.25</w:t>
            </w:r>
          </w:p>
        </w:tc>
      </w:tr>
      <w:tr>
        <w:trPr>
          <w:trHeight w:val="170"/>
        </w:trPr>
        <w:tc>
          <w:tcPr>
            <w:tcW w:w="3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to the amounts in the table above, at December 31, 2000 and 1999, the Company had approximately 1.0 million warrants outstanding at a weighted average exercise price of $20.96 per share. The warrants were issued by a previously acquired company to non-employees in connection with services provided to that company.</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57</w:t>
      </w: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WASTE MANAGEMENT, INC.</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600" w:type="dxa"/>
            <w:vAlign w:val="bottom"/>
          </w:tcPr>
          <w:p>
            <w:pPr>
              <w:spacing w:after="0"/>
              <w:rPr>
                <w:sz w:val="24"/>
                <w:szCs w:val="24"/>
                <w:color w:val="auto"/>
              </w:rPr>
            </w:pPr>
          </w:p>
        </w:tc>
        <w:tc>
          <w:tcPr>
            <w:tcW w:w="410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rPr>
              <w:t>-- (CONTINUED)</w:t>
            </w: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9"/>
        </w:trPr>
        <w:tc>
          <w:tcPr>
            <w:tcW w:w="7000" w:type="dxa"/>
            <w:vAlign w:val="bottom"/>
            <w:gridSpan w:val="7"/>
          </w:tcPr>
          <w:p>
            <w:pPr>
              <w:jc w:val="right"/>
              <w:ind w:right="327"/>
              <w:spacing w:after="0"/>
              <w:rPr>
                <w:sz w:val="20"/>
                <w:szCs w:val="20"/>
                <w:color w:val="auto"/>
              </w:rPr>
            </w:pPr>
            <w:r>
              <w:rPr>
                <w:rFonts w:ascii="Courier New" w:cs="Courier New" w:eastAsia="Courier New" w:hAnsi="Courier New"/>
                <w:sz w:val="15"/>
                <w:szCs w:val="15"/>
                <w:color w:val="auto"/>
              </w:rPr>
              <w:t>Outstanding and exercisable stock options and warrants at December 31,</w:t>
            </w:r>
          </w:p>
        </w:tc>
        <w:tc>
          <w:tcPr>
            <w:tcW w:w="1620" w:type="dxa"/>
            <w:vAlign w:val="bottom"/>
          </w:tcPr>
          <w:p>
            <w:pPr>
              <w:spacing w:after="0"/>
              <w:rPr>
                <w:sz w:val="24"/>
                <w:szCs w:val="24"/>
                <w:color w:val="auto"/>
              </w:rPr>
            </w:pPr>
          </w:p>
        </w:tc>
      </w:tr>
      <w:tr>
        <w:trPr>
          <w:trHeight w:val="170"/>
        </w:trPr>
        <w:tc>
          <w:tcPr>
            <w:tcW w:w="4520" w:type="dxa"/>
            <w:vAlign w:val="bottom"/>
            <w:gridSpan w:val="4"/>
          </w:tcPr>
          <w:p>
            <w:pPr>
              <w:spacing w:after="0"/>
              <w:rPr>
                <w:sz w:val="20"/>
                <w:szCs w:val="20"/>
                <w:color w:val="auto"/>
              </w:rPr>
            </w:pPr>
            <w:r>
              <w:rPr>
                <w:rFonts w:ascii="Courier New" w:cs="Courier New" w:eastAsia="Courier New" w:hAnsi="Courier New"/>
                <w:sz w:val="15"/>
                <w:szCs w:val="15"/>
                <w:color w:val="auto"/>
              </w:rPr>
              <w:t>2000, were as follows (shares in thousands):</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8"/>
        </w:trPr>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EXERCISABLE</w:t>
            </w:r>
          </w:p>
        </w:tc>
      </w:tr>
      <w:tr>
        <w:trPr>
          <w:trHeight w:val="170"/>
        </w:trPr>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RANGE OF</w:t>
            </w:r>
          </w:p>
        </w:tc>
        <w:tc>
          <w:tcPr>
            <w:tcW w:w="880" w:type="dxa"/>
            <w:vAlign w:val="bottom"/>
          </w:tcPr>
          <w:p>
            <w:pPr>
              <w:spacing w:after="0"/>
              <w:rPr>
                <w:sz w:val="14"/>
                <w:szCs w:val="14"/>
                <w:color w:val="auto"/>
              </w:rPr>
            </w:pP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WEIGHTED AVERAGE</w:t>
            </w:r>
          </w:p>
        </w:tc>
        <w:tc>
          <w:tcPr>
            <w:tcW w:w="168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7"/>
              </w:rPr>
              <w:t>WEIGHTED AVERAGE</w:t>
            </w:r>
          </w:p>
        </w:tc>
        <w:tc>
          <w:tcPr>
            <w:tcW w:w="800" w:type="dxa"/>
            <w:vAlign w:val="bottom"/>
          </w:tcPr>
          <w:p>
            <w:pPr>
              <w:spacing w:after="0"/>
              <w:rPr>
                <w:sz w:val="14"/>
                <w:szCs w:val="14"/>
                <w:color w:val="auto"/>
              </w:rPr>
            </w:pP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WEIGHTED AVERAGE</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EXERCISE PRICE</w:t>
            </w:r>
          </w:p>
        </w:tc>
        <w:tc>
          <w:tcPr>
            <w:tcW w:w="1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REMAINING YEARS</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$2.25 to $10.00.......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$ 7.21</w:t>
            </w:r>
          </w:p>
        </w:tc>
        <w:tc>
          <w:tcPr>
            <w:tcW w:w="180" w:type="dxa"/>
            <w:vAlign w:val="bottom"/>
          </w:tcPr>
          <w:p>
            <w:pPr>
              <w:spacing w:after="0"/>
              <w:rPr>
                <w:sz w:val="24"/>
                <w:szCs w:val="2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3.37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$ 7.21</w:t>
            </w: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$10.01 to $20.00......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13,111</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14.78</w:t>
            </w:r>
          </w:p>
        </w:tc>
        <w:tc>
          <w:tcPr>
            <w:tcW w:w="180" w:type="dxa"/>
            <w:vAlign w:val="bottom"/>
          </w:tcPr>
          <w:p>
            <w:pPr>
              <w:spacing w:after="0"/>
              <w:rPr>
                <w:sz w:val="14"/>
                <w:szCs w:val="1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7.73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4,081</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13.45</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to $30.00......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7,992</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24.23</w:t>
            </w:r>
          </w:p>
        </w:tc>
        <w:tc>
          <w:tcPr>
            <w:tcW w:w="180" w:type="dxa"/>
            <w:vAlign w:val="bottom"/>
          </w:tcPr>
          <w:p>
            <w:pPr>
              <w:spacing w:after="0"/>
              <w:rPr>
                <w:sz w:val="14"/>
                <w:szCs w:val="1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5.97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6,188</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24.79</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$30.01</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to $40.00......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6,676</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35.53</w:t>
            </w:r>
          </w:p>
        </w:tc>
        <w:tc>
          <w:tcPr>
            <w:tcW w:w="180" w:type="dxa"/>
            <w:vAlign w:val="bottom"/>
          </w:tcPr>
          <w:p>
            <w:pPr>
              <w:spacing w:after="0"/>
              <w:rPr>
                <w:sz w:val="14"/>
                <w:szCs w:val="1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6.30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5,058</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35.64</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$40.01</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to $50.00......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5,172</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45.47</w:t>
            </w:r>
          </w:p>
        </w:tc>
        <w:tc>
          <w:tcPr>
            <w:tcW w:w="180" w:type="dxa"/>
            <w:vAlign w:val="bottom"/>
          </w:tcPr>
          <w:p>
            <w:pPr>
              <w:spacing w:after="0"/>
              <w:rPr>
                <w:sz w:val="14"/>
                <w:szCs w:val="1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5.09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4,747</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45.35</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$50.01</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to $140.16.....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6,121</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53.72</w:t>
            </w:r>
          </w:p>
        </w:tc>
        <w:tc>
          <w:tcPr>
            <w:tcW w:w="180" w:type="dxa"/>
            <w:vAlign w:val="bottom"/>
          </w:tcPr>
          <w:p>
            <w:pPr>
              <w:spacing w:after="0"/>
              <w:rPr>
                <w:sz w:val="14"/>
                <w:szCs w:val="1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6.66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3,338</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54.39</w:t>
            </w:r>
          </w:p>
        </w:tc>
      </w:tr>
      <w:tr>
        <w:trPr>
          <w:trHeight w:val="170"/>
        </w:trPr>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39,183</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30.36</w:t>
            </w:r>
          </w:p>
        </w:tc>
        <w:tc>
          <w:tcPr>
            <w:tcW w:w="180" w:type="dxa"/>
            <w:vAlign w:val="bottom"/>
          </w:tcPr>
          <w:p>
            <w:pPr>
              <w:spacing w:after="0"/>
              <w:rPr>
                <w:sz w:val="14"/>
                <w:szCs w:val="14"/>
                <w:color w:val="auto"/>
              </w:rPr>
            </w:pPr>
          </w:p>
        </w:tc>
        <w:tc>
          <w:tcPr>
            <w:tcW w:w="15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6.60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23,523</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33.43</w:t>
            </w:r>
          </w:p>
        </w:tc>
      </w:tr>
      <w:tr>
        <w:trPr>
          <w:trHeight w:val="170"/>
        </w:trPr>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weighted average fair value per share of common stock options and warrants granted during 2000, 1999 and 1998 were $6.78, $16.17 and $18.61, respectively. The fair value of each common stock option or warrant granted to employees or directors during 2000, 1999 and 1998 is estimated utilizing the Black-Scholes option-pricing model. The following weighted average assumptions were used: dividend yield of 0% to 2%, risk-free interest rates which vary for each grant and range from 4.63% to 7.67%, expected life of three to seven years for all grants, and stock price volatility primarily ranging from 23.74% to 50.04% for all three to seven year grants.</w:t>
      </w:r>
    </w:p>
    <w:p>
      <w:pPr>
        <w:spacing w:after="0" w:line="179"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If the Company applied the recognition provisions of SFAS No. 123, the Company's net loss and loss per common share for 2000, 1999 and 1998 would approximate the pro forma amounts shown below:</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3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32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2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As reported..............................................</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(97)</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r>
      <w:tr>
        <w:trPr>
          <w:trHeight w:val="170"/>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(172)</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(833)</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As reported..............................................</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(0.16)</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0"/>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As reported..............................................</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(0.16)</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0"/>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(0.78)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bl>
    <w:p>
      <w:pPr>
        <w:spacing w:after="0" w:line="34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effects of applying SFAS No. 123 in this pro forma disclosure are not necessarily indicative of future results or performance.</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 November 1999, the Company's President, CEO and Chairman of the Board was granted 650,000 stock options upon joining the Company. The options, which are included in the above tables, vest according to certain performance goals in lieu of the normal vesting schedules. Notwithstanding these performance goals, all of these options will vest no later than five years from the date of grant.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EMPLOYEE BENEFIT PLANS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Effective January 1, 1999, the Waste Management Retirement Savings Plan and the Wheelabrator-Rust Savings and Retirement Plan were merged into the USA Waste Services, Inc. Employee Savings Plan, which was then renamed the Waste Management Retirement Savings Plan ("Savings Plan"). The Savings Plan covers employees (except those working subject to collective bargaining agreements which do not provide for</w:t>
      </w:r>
    </w:p>
    <w:p>
      <w:pPr>
        <w:ind w:left="35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coverage under such plans) following a 90 day waiting period after hire, and allows eligible employees to contribute up to 15% of their annual compensation, as limited by IRS regulations. Under the Savings Plan, the Company matches employee contributions up to 3% of their eligible compensation and matches 50% of employee contributions in excess of 3% but no more than 6% of eligible compensation. Both employee and Company contributions vest immediately. Charges to operations for the Company's defined contribution plans were $38, $49 and $70, during 2000, 1999 and 1998, respectively.</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2000, the Company sold its foreign subsidiaries that participated in both defined benefit and defined contribution retirement plans. The annual activity of these plans is not included in the tables below primarily due to their insignificance and sale of the related operating companies in 2000. In addition to the pension plan for certain employees under collective bargaining agreements established in 1998 (see below), other Company subsidiaries participate in various multi-employer pension plans and in two instances, site or contract specific plans, covering certain employees not covered under the Company's pension plans. These multi-employer plans are generally defined benefit plans; however, in many cases, specific benefit levels are not negotiated with or known by the employer contributors. The projected benefit obligation, plan assets and unfunded liability of the site or contract specific plans are not material and are not included in the tables below. Contributions of $28, $31 and $26 for subsidiaries' defined benefit plans were charged to operations in 2000, 1999 and 1998, respectively.</w:t>
      </w:r>
    </w:p>
    <w:p>
      <w:pPr>
        <w:spacing w:after="0" w:line="18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had a qualified defined benefit pension plan (the "Plan") for all eligible non-union domestic employees of WM Holdings which, as discussed below, was terminated as of October 31, 1999 in connection with the WM Holdings Merger. Throughout the life of the Plan, benefits were based on the employee's years of service and compensation during the highest five consecutive years out of the last ten years of employment. The Company's funding policy was to contribute annually an amount determined in consultation with its actuaries, approximately equal to pension expense, except as may be limited by the requirements of the Employee Retirement Income Security Act ("ERISA"). An actuarial valuation report was prepared for the Plan as of September 30 each year and used for the year-end disclosures.</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the WM Holdings Merger, the Company ceased benefit accruals for the Plan as of December 31, 1998. The Company planned to liquidate the Plan's assets and settle its obligations to participants, except as related to certain employees participating under collective bargaining agreements, whose benefits were transferred to a newly created plan effective October 1, 1998. This decision resulted in a curtailment expense charge in asset impairments and unusual items of $35 in 1998. The Plan was officially terminated as of October 31, 1999. The Company contributed approximately $145 to the Plan's trusts during 2000 and expects contributions of approximately $20 to be made in early 2001 relating to the final liquidation of the Plan. The expense recorded for this Plan during 2000 was approximately $197. During the fourth quarter of 2000, the Company adjusted accumulated other comprehensive income to reflect the final anticipated settlement expense of $3, net of taxes of $2, which will be expensed as the final settlements occur in 2001.</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Also in conjunction with the WM Holdings Merger, the Company has terminated certain non-qualified supplemental benefit plans for certain officers and non-officer managers, the most significant plan being the WM Holdings' Supplemental Executive Retirement Plan ("SERP") (collectively the "Supplemental Plans"). The curtailment and settlement loss related to these plans of $62 was recorded in asset impairments and unusual items in 1998. The Company has a pension liability as of December 31, 2000 equal to the expected payment amounts. The Plan and Supplemental Plans are combined under the caption "Pension Benefits" in the tables that follow.</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WM Holdings and certain of its subsidiaries provided post-retirement health care and other benefits to eligible employees. In conjunction with the WM Holdings Merger, the Company limited participation in these plans to participating retired employees as of December 31, 1998. The remaining benefits under the Supplemental Plans are expected to be paid in 2001. The Company has a pension liability as of December 31,</w:t>
      </w:r>
    </w:p>
    <w:p>
      <w:pPr>
        <w:ind w:left="35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2000 equal to the expected payment amounts. These plans are combined under the caption "Other Benefits" in the tables that follow.</w:t>
      </w:r>
    </w:p>
    <w:p>
      <w:pPr>
        <w:spacing w:after="0" w:line="176"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The following tables provide a reconciliation of the changes in the plans' benefit obligations and the fair value of plan assets over the two-year period ending December 31, 2000, and a statement of the funded status for both years: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72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PENSION BENEFITS</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 BENEFITS</w:t>
            </w:r>
          </w:p>
        </w:tc>
      </w:tr>
      <w:tr>
        <w:trPr>
          <w:trHeight w:val="170"/>
        </w:trPr>
        <w:tc>
          <w:tcPr>
            <w:tcW w:w="53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0"/>
              </w:rPr>
              <w:t>-----------------</w:t>
            </w:r>
          </w:p>
        </w:tc>
        <w:tc>
          <w:tcPr>
            <w:tcW w:w="8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Benefit obligation at beginning of year.....................</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$ 561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$ 472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Interest cost...............................................</w:t>
            </w: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Actuarial (gain)/loss.......................................</w:t>
            </w:r>
          </w:p>
        </w:tc>
        <w:tc>
          <w:tcPr>
            <w:tcW w:w="2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Benefits paid...............................................</w:t>
            </w:r>
          </w:p>
        </w:tc>
        <w:tc>
          <w:tcPr>
            <w:tcW w:w="2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Curtailments................................................</w:t>
            </w: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Settlements.................................................</w:t>
            </w:r>
          </w:p>
        </w:tc>
        <w:tc>
          <w:tcPr>
            <w:tcW w:w="2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(478)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Benefit obligation at end of year...........................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$ 561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Fair value of plan assets at beginning of year..............</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$ 336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$ 319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Actual return on plan assets................................</w:t>
            </w: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Employer contributions......................................</w:t>
            </w: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Benefits paid...............................................</w:t>
            </w:r>
          </w:p>
        </w:tc>
        <w:tc>
          <w:tcPr>
            <w:tcW w:w="2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Settlements.................................................</w:t>
            </w:r>
          </w:p>
        </w:tc>
        <w:tc>
          <w:tcPr>
            <w:tcW w:w="2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(478)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Fair value of plan assets at end of year....................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$ 336</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Funded status at December 31................................</w:t>
            </w: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(59)</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$(225)</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Unrecognized (gain)/loss....................................</w:t>
            </w: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Unrecognized prior service cost.............................</w:t>
            </w:r>
          </w:p>
        </w:tc>
        <w:tc>
          <w:tcPr>
            <w:tcW w:w="2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amount recognized.......................................</w:t>
            </w: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(54)</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5360" w:type="dxa"/>
            <w:vAlign w:val="bottom"/>
          </w:tcPr>
          <w:p>
            <w:pPr>
              <w:spacing w:after="0"/>
              <w:rPr>
                <w:sz w:val="14"/>
                <w:szCs w:val="14"/>
                <w:color w:val="auto"/>
              </w:rPr>
            </w:pP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following table provides the amounts recognized in the consolidated balance sheets as of December 31 of both years: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72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PENSION BENEFITS</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 BENEFITS</w:t>
            </w:r>
          </w:p>
        </w:tc>
      </w:tr>
      <w:tr>
        <w:trPr>
          <w:trHeight w:val="170"/>
        </w:trPr>
        <w:tc>
          <w:tcPr>
            <w:tcW w:w="536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5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36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Prepaid benefit cost........................................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Accrued benefit liability...................................</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Minimum pension liability...................................</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(222)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Accumulated other comprehensive income before tax benefit...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Net amount recognized.......................................</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53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360" w:type="dxa"/>
            <w:vAlign w:val="bottom"/>
          </w:tcPr>
          <w:p>
            <w:pPr>
              <w:ind w:left="3520"/>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tbl>
      <w:tblPr>
        <w:tblLayout w:type="fixed"/>
        <w:tblInd w:w="0" w:type="dxa"/>
        <w:tblCellMar>
          <w:top w:w="0" w:type="dxa"/>
          <w:left w:w="0" w:type="dxa"/>
          <w:bottom w:w="0" w:type="dxa"/>
          <w:right w:w="0" w:type="dxa"/>
        </w:tblCellMar>
      </w:tblP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WASTE MANAGEMENT, INC.</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9"/>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 (CONTINUED)</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9"/>
        </w:trPr>
        <w:tc>
          <w:tcPr>
            <w:tcW w:w="704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following table provides the components of net periodic benefit cost</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for 2000, 1999 and 1998:</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78"/>
        </w:trPr>
        <w:tc>
          <w:tcPr>
            <w:tcW w:w="4760" w:type="dxa"/>
            <w:vAlign w:val="bottom"/>
          </w:tcPr>
          <w:p>
            <w:pPr>
              <w:spacing w:after="0"/>
              <w:rPr>
                <w:sz w:val="24"/>
                <w:szCs w:val="24"/>
                <w:color w:val="auto"/>
              </w:rPr>
            </w:pPr>
          </w:p>
        </w:tc>
        <w:tc>
          <w:tcPr>
            <w:tcW w:w="18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PENSION BENEFITS</w:t>
            </w:r>
          </w:p>
        </w:tc>
        <w:tc>
          <w:tcPr>
            <w:tcW w:w="16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OTHER BENEFITS</w:t>
            </w:r>
          </w:p>
        </w:tc>
      </w:tr>
      <w:tr>
        <w:trPr>
          <w:trHeight w:val="170"/>
        </w:trPr>
        <w:tc>
          <w:tcPr>
            <w:tcW w:w="47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6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1999</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7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Components of net periodic benefit cost:</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Service cost.......................................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  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cost......................................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Expected return on plan assets.....................</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Recognized (asset)/obligation......................</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prior service cost.................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Recognized (gain)/loss.............................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periodic benefit cost..........................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Curtailment loss (included in asset impairments and</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unusual items)..................................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Settlement loss (included in asset impairments and</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unusual items)..................................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Net periodic benefit cost after curtailments and</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settlements.....................................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$ 15</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w:t>
            </w:r>
          </w:p>
        </w:tc>
      </w:tr>
      <w:tr>
        <w:trPr>
          <w:trHeight w:val="170"/>
        </w:trPr>
        <w:tc>
          <w:tcPr>
            <w:tcW w:w="47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66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assumptions used in the measurement of the Company's benefit</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w w:val="97"/>
              </w:rPr>
              <w:t>obligations are shown in the following table (weighted average assumptions as of</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78"/>
        </w:trPr>
        <w:tc>
          <w:tcPr>
            <w:tcW w:w="4760" w:type="dxa"/>
            <w:vAlign w:val="bottom"/>
          </w:tcPr>
          <w:p>
            <w:pPr>
              <w:spacing w:after="0"/>
              <w:rPr>
                <w:sz w:val="24"/>
                <w:szCs w:val="24"/>
                <w:color w:val="auto"/>
              </w:rPr>
            </w:pPr>
          </w:p>
        </w:tc>
        <w:tc>
          <w:tcPr>
            <w:tcW w:w="18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PENSION BENEFITS</w:t>
            </w:r>
          </w:p>
        </w:tc>
        <w:tc>
          <w:tcPr>
            <w:tcW w:w="16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OTHER BENEFITS</w:t>
            </w:r>
          </w:p>
        </w:tc>
      </w:tr>
      <w:tr>
        <w:trPr>
          <w:trHeight w:val="170"/>
        </w:trPr>
        <w:tc>
          <w:tcPr>
            <w:tcW w:w="47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6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2000</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760" w:type="dxa"/>
            <w:vAlign w:val="bottom"/>
          </w:tcPr>
          <w:p>
            <w:pPr>
              <w:spacing w:after="0"/>
              <w:rPr>
                <w:sz w:val="14"/>
                <w:szCs w:val="14"/>
                <w:color w:val="auto"/>
              </w:rPr>
            </w:pPr>
          </w:p>
        </w:tc>
        <w:tc>
          <w:tcPr>
            <w:tcW w:w="1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5"/>
              </w:rPr>
              <w:t>Discount rate..........................................</w:t>
            </w:r>
          </w:p>
        </w:tc>
        <w:tc>
          <w:tcPr>
            <w:tcW w:w="1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5.53%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5.83%</w:t>
            </w:r>
          </w:p>
        </w:tc>
        <w:tc>
          <w:tcPr>
            <w:tcW w:w="44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5"/>
              </w:rPr>
              <w:t>Expected return on plan assets.........................</w:t>
            </w:r>
          </w:p>
        </w:tc>
        <w:tc>
          <w:tcPr>
            <w:tcW w:w="1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6.30%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6.11%</w:t>
            </w:r>
          </w:p>
        </w:tc>
        <w:tc>
          <w:tcPr>
            <w:tcW w:w="44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5"/>
              </w:rPr>
              <w:t>Rate of compensation...................................</w:t>
            </w:r>
          </w:p>
        </w:tc>
        <w:tc>
          <w:tcPr>
            <w:tcW w:w="12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3.50%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44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assumptions used for discount rate and expected long-term rate of return on assets in the 2000 disclosure reflect the weighted average assumptions for the terminated and ongoing plans. Since the Plan and Supplemental Plans being terminated are larger than the ongoing union plan, the assumptions applicable to those plans are the main factors in these weighted average assumptions. The assumptions for the Plan and the Supplemental Plans reflect the assumptions used in settling these plan obligations (lump sum interest rates and annuity purchase rates) and the return on the immunized assets for the plan. A discount rate of 7.5% and an expected long-term rate of return of 9.0% are used for the ongoing union plan.</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principal element of the "other benefits" referred to above is the post-retirement health care plan. Participants in the WM Holdings post-retirement plan (one of two plans that comprise the "other benefits" information) contribute to the cost of the benefit, and for retirees since January 1, 1992, the Company's contribution is capped at between $0 and $600 per month per retiree, based on years of service. For measurement purposes, a 9.0% annual rate of increase in the per capita cost of covered health care claims was assumed for 2000 (being an average of the rate used by all plans); the rate was assumed to decrease to 6.0% in 2004 and remain at that level thereafter.</w:t>
      </w:r>
    </w:p>
    <w:p>
      <w:pPr>
        <w:spacing w:after="0" w:line="167"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A 1% change in assumed health care cost trend rates would have the following effects:</w:t>
      </w:r>
    </w:p>
    <w:p>
      <w:pPr>
        <w:spacing w:after="0" w:line="200" w:lineRule="exact"/>
        <w:rPr>
          <w:sz w:val="20"/>
          <w:szCs w:val="20"/>
          <w:color w:val="auto"/>
        </w:rPr>
      </w:pPr>
    </w:p>
    <w:p>
      <w:pPr>
        <w:spacing w:after="0" w:line="309" w:lineRule="exact"/>
        <w:rPr>
          <w:sz w:val="20"/>
          <w:szCs w:val="20"/>
          <w:color w:val="auto"/>
        </w:rPr>
      </w:pPr>
    </w:p>
    <w:p>
      <w:pPr>
        <w:ind w:left="5460"/>
        <w:spacing w:after="0"/>
        <w:tabs>
          <w:tab w:leader="none" w:pos="6660" w:val="left"/>
        </w:tabs>
        <w:rPr>
          <w:sz w:val="20"/>
          <w:szCs w:val="20"/>
          <w:color w:val="auto"/>
        </w:rPr>
      </w:pPr>
      <w:r>
        <w:rPr>
          <w:rFonts w:ascii="Courier New" w:cs="Courier New" w:eastAsia="Courier New" w:hAnsi="Courier New"/>
          <w:sz w:val="15"/>
          <w:szCs w:val="15"/>
          <w:color w:val="auto"/>
        </w:rPr>
        <w:t>1% INCREASE</w:t>
      </w:r>
      <w:r>
        <w:rPr>
          <w:sz w:val="20"/>
          <w:szCs w:val="20"/>
          <w:color w:val="auto"/>
        </w:rPr>
        <w:tab/>
      </w:r>
      <w:r>
        <w:rPr>
          <w:rFonts w:ascii="Courier New" w:cs="Courier New" w:eastAsia="Courier New" w:hAnsi="Courier New"/>
          <w:sz w:val="14"/>
          <w:szCs w:val="14"/>
          <w:color w:val="auto"/>
        </w:rPr>
        <w:t>1% DECREASE</w:t>
      </w:r>
    </w:p>
    <w:p>
      <w:pPr>
        <w:ind w:left="5460"/>
        <w:spacing w:after="0"/>
        <w:tabs>
          <w:tab w:leader="none" w:pos="6660" w:val="left"/>
        </w:tabs>
        <w:rPr>
          <w:sz w:val="20"/>
          <w:szCs w:val="20"/>
          <w:color w:val="auto"/>
        </w:rPr>
      </w:pPr>
      <w:r>
        <w:rPr>
          <w:rFonts w:ascii="Courier New" w:cs="Courier New" w:eastAsia="Courier New" w:hAnsi="Courier New"/>
          <w:sz w:val="15"/>
          <w:szCs w:val="15"/>
          <w:color w:val="auto"/>
        </w:rPr>
        <w:t>-----------</w:t>
        <w:tab/>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on total service and interest cost components of net</w:t>
      </w:r>
    </w:p>
    <w:p>
      <w:pPr>
        <w:ind w:left="160"/>
        <w:spacing w:after="0"/>
        <w:tabs>
          <w:tab w:leader="none" w:pos="5780" w:val="left"/>
          <w:tab w:leader="none" w:pos="7020" w:val="left"/>
        </w:tabs>
        <w:rPr>
          <w:sz w:val="20"/>
          <w:szCs w:val="20"/>
          <w:color w:val="auto"/>
        </w:rPr>
      </w:pPr>
      <w:r>
        <w:rPr>
          <w:rFonts w:ascii="Courier New" w:cs="Courier New" w:eastAsia="Courier New" w:hAnsi="Courier New"/>
          <w:sz w:val="15"/>
          <w:szCs w:val="15"/>
          <w:color w:val="auto"/>
        </w:rPr>
        <w:t>periodic post-retirement health care costs................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tabs>
          <w:tab w:leader="none" w:pos="5780" w:val="left"/>
          <w:tab w:leader="none" w:pos="7020" w:val="left"/>
        </w:tabs>
        <w:rPr>
          <w:sz w:val="20"/>
          <w:szCs w:val="20"/>
          <w:color w:val="auto"/>
        </w:rPr>
      </w:pPr>
      <w:r>
        <w:rPr>
          <w:rFonts w:ascii="Courier New" w:cs="Courier New" w:eastAsia="Courier New" w:hAnsi="Courier New"/>
          <w:sz w:val="15"/>
          <w:szCs w:val="15"/>
          <w:color w:val="auto"/>
        </w:rPr>
        <w:t>Effect on accumulated post-retirement benefit obligation....</w:t>
      </w:r>
      <w:r>
        <w:rPr>
          <w:sz w:val="20"/>
          <w:szCs w:val="20"/>
          <w:color w:val="auto"/>
        </w:rPr>
        <w:tab/>
      </w:r>
      <w:r>
        <w:rPr>
          <w:rFonts w:ascii="Courier New" w:cs="Courier New" w:eastAsia="Courier New" w:hAnsi="Courier New"/>
          <w:sz w:val="15"/>
          <w:szCs w:val="15"/>
          <w:color w:val="auto"/>
        </w:rPr>
        <w:t>$ 4</w:t>
      </w:r>
      <w:r>
        <w:rPr>
          <w:sz w:val="20"/>
          <w:szCs w:val="20"/>
          <w:color w:val="auto"/>
        </w:rPr>
        <w:tab/>
      </w: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3"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1, 2000, WM Holdings terminated the Waste Management Benefits Stock Trust (the "Trust"). In 1994, the Trust (which was created by WM Holdings) purchased, in exchange for a promissory note, all of the outstanding treasury shares of WM Holdings to fund various of its benefit plans. Pursuant to the WM Holdings Merger, all of the shares held by the Trust were converted into shares of the Company's common stock. In accordance with the termination of the Trust, the shares previously owned by it were returned to the Company as payment for the outstanding amount of the promissory note. The 7,892,612 shares returned to the Company were recorded as treasury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INCOME TAXES</w:t>
      </w:r>
    </w:p>
    <w:p>
      <w:pPr>
        <w:spacing w:after="0" w:line="175"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For financial reporting purposes, income (loss) before income taxes and extraordinary item, showing domestic and international sources, was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2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YEARS ENDED DECEMBER 31,</w:t>
            </w:r>
          </w:p>
        </w:tc>
      </w:tr>
      <w:tr>
        <w:trPr>
          <w:trHeight w:val="170"/>
        </w:trPr>
        <w:tc>
          <w:tcPr>
            <w:tcW w:w="536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Domestic....................................................</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$ 491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(42)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$(897)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International...............................................</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Income (loss) before income taxes and extraordinary item....</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provision for income taxes before extraordinary item consisted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42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3520" w:type="dxa"/>
            <w:vAlign w:val="bottom"/>
          </w:tcPr>
          <w:p>
            <w:pPr>
              <w:spacing w:after="0"/>
              <w:rPr>
                <w:sz w:val="14"/>
                <w:szCs w:val="14"/>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w w:val="71"/>
              </w:rPr>
              <w:t>Federal...................................................</w:t>
            </w: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$ 356</w:t>
            </w: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w w:val="71"/>
              </w:rPr>
              <w:t>State.....................................................</w:t>
            </w: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w:t>
            </w: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w w:val="71"/>
              </w:rPr>
              <w:t>Foreign...................................................</w:t>
            </w: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w w:val="71"/>
              </w:rPr>
              <w:t>Federal...................................................</w:t>
            </w: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w w:val="71"/>
              </w:rPr>
              <w:t>State.....................................................</w:t>
            </w: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w w:val="71"/>
              </w:rPr>
              <w:t>Foreign...................................................</w:t>
            </w: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w w:val="77"/>
              </w:rPr>
              <w:t>Provision for income taxes........................</w:t>
            </w: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67</w:t>
            </w:r>
          </w:p>
        </w:tc>
      </w:tr>
      <w:tr>
        <w:trPr>
          <w:trHeight w:val="170"/>
        </w:trPr>
        <w:tc>
          <w:tcPr>
            <w:tcW w:w="3520" w:type="dxa"/>
            <w:vAlign w:val="bottom"/>
          </w:tcPr>
          <w:p>
            <w:pPr>
              <w:spacing w:after="0"/>
              <w:rPr>
                <w:sz w:val="14"/>
                <w:szCs w:val="14"/>
                <w:color w:val="auto"/>
              </w:rPr>
            </w:pPr>
          </w:p>
        </w:tc>
        <w:tc>
          <w:tcPr>
            <w:tcW w:w="26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520" w:type="dxa"/>
            <w:vAlign w:val="bottom"/>
          </w:tcPr>
          <w:p>
            <w:pPr>
              <w:spacing w:after="0"/>
              <w:rPr>
                <w:sz w:val="24"/>
                <w:szCs w:val="24"/>
                <w:color w:val="auto"/>
              </w:rPr>
            </w:pPr>
          </w:p>
        </w:tc>
        <w:tc>
          <w:tcPr>
            <w:tcW w:w="2600" w:type="dxa"/>
            <w:vAlign w:val="bottom"/>
          </w:tcPr>
          <w:p>
            <w:pPr>
              <w:jc w:val="right"/>
              <w:ind w:right="2347"/>
              <w:spacing w:after="0"/>
              <w:rPr>
                <w:sz w:val="20"/>
                <w:szCs w:val="20"/>
                <w:color w:val="auto"/>
              </w:rPr>
            </w:pPr>
            <w:r>
              <w:rPr>
                <w:rFonts w:ascii="Courier New" w:cs="Courier New" w:eastAsia="Courier New" w:hAnsi="Courier New"/>
                <w:sz w:val="15"/>
                <w:szCs w:val="15"/>
                <w:color w:val="auto"/>
                <w:w w:val="88"/>
              </w:rPr>
              <w:t>59</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62</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federal statutory rate is reconciled to the effective rate as follows:</w:t>
            </w:r>
          </w:p>
        </w:tc>
        <w:tc>
          <w:tcPr>
            <w:tcW w:w="700" w:type="dxa"/>
            <w:vAlign w:val="bottom"/>
          </w:tcPr>
          <w:p>
            <w:pPr>
              <w:spacing w:after="0"/>
              <w:rPr>
                <w:sz w:val="14"/>
                <w:szCs w:val="14"/>
                <w:color w:val="auto"/>
              </w:rPr>
            </w:pPr>
          </w:p>
        </w:tc>
      </w:tr>
      <w:tr>
        <w:trPr>
          <w:trHeight w:val="678"/>
        </w:trPr>
        <w:tc>
          <w:tcPr>
            <w:tcW w:w="5280" w:type="dxa"/>
            <w:vAlign w:val="bottom"/>
          </w:tcPr>
          <w:p>
            <w:pPr>
              <w:spacing w:after="0"/>
              <w:rPr>
                <w:sz w:val="24"/>
                <w:szCs w:val="24"/>
                <w:color w:val="auto"/>
              </w:rPr>
            </w:pPr>
          </w:p>
        </w:tc>
        <w:tc>
          <w:tcPr>
            <w:tcW w:w="23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280" w:type="dxa"/>
            <w:vAlign w:val="bottom"/>
          </w:tcPr>
          <w:p>
            <w:pPr>
              <w:spacing w:after="0"/>
              <w:rPr>
                <w:sz w:val="14"/>
                <w:szCs w:val="14"/>
                <w:color w:val="auto"/>
              </w:rPr>
            </w:pPr>
          </w:p>
        </w:tc>
        <w:tc>
          <w:tcPr>
            <w:tcW w:w="23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2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r>
      <w:tr>
        <w:trPr>
          <w:trHeight w:val="339"/>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 expense (benefit) at federal statutory rate.....</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35.00%</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(35.00)% (35.00)%</w:t>
            </w:r>
          </w:p>
        </w:tc>
      </w:tr>
      <w:tr>
        <w:trPr>
          <w:trHeight w:val="170"/>
        </w:trPr>
        <w:tc>
          <w:tcPr>
            <w:tcW w:w="52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State and local income taxes, net of federal income tax</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benefit..................................................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16.17</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19.31</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Nondeductible costs relating to acquired intangibles.......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48.40</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22.01</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16.85</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Nondeductible merger costs.................................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Writedown of investments in subsidiaries...................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12.81</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74.85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5.20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0.82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Sale of foreign subsidiaries...............................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23.53</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valuation and other tax reserves..............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25.24</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8.79</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Federal tax on foreign income, net of U.S. benefit.........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3.13</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30.30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Nonconventional fuel tax credit............................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(4.27)</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0.42</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w:t>
            </w:r>
          </w:p>
        </w:tc>
      </w:tr>
      <w:tr>
        <w:trPr>
          <w:trHeight w:val="170"/>
        </w:trPr>
        <w:tc>
          <w:tcPr>
            <w:tcW w:w="52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Provision for income taxes.......................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130.22%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142.33%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9.57%</w:t>
            </w:r>
          </w:p>
        </w:tc>
      </w:tr>
      <w:tr>
        <w:trPr>
          <w:trHeight w:val="170"/>
        </w:trPr>
        <w:tc>
          <w:tcPr>
            <w:tcW w:w="52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r>
    </w:tbl>
    <w:p>
      <w:pPr>
        <w:spacing w:after="0" w:line="34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components of the net deferred tax assets (liabilities) at December 31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1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1999</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3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Net operating loss, capital loss and tax credit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Environmental and other reserves..........................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1,032</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Reserves not deductible until paid........................</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Subtotal..........................................</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1,504</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1,470</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Property, equipment, intangible assets, and other.........</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(1,627)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(1,574)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Valuation allowance.........................................</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deferred tax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December 31, 2000 the Company's subsidiaries have approximately $64 of federal net operating loss ("NOL") carryforwards, $3,700 of state NOL carryforwards, and $116 of foreign NOL carryforwards. The NOL carryforwards have expiration dates through the year 2019. The Company's subsidiaries have $2 of alternative minimum tax credit carryforwards that may be used indefinitely; state tax credit carryforwards of $11; and foreign tax credit carryforwards of $33.</w:t>
      </w:r>
    </w:p>
    <w:p>
      <w:pPr>
        <w:spacing w:after="0" w:line="17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Valuation allowances have been established for uncertainties in realizing the benefit of tax loss and credit carryforwards. While the Company expects to realize the deferred tax assets, net of the valuation allowances, changes in estimates of future taxable income or in tax laws may alter this expectation. The valuation allowance increased approximately $116 and $121 in 2000 and 1999, respectively, primarily due to the uncertainty of realizing foreign and state NOL carryforwards and the expiration of foreign tax credits.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Prior to the Company's August 1999 decision to divest its WM International operations, the Company did not provide for United States income taxes on unremitted earnings of foreign subsidiaries as it was the intention of management to reinvest the unremitted earnings in its foreign operations. Since the adoption of the strategic plan in August 1999, the Company has provided for United States income taxes on unremitted foreign earnings on its international operations other than in Canada. The amount of United States income tax provided for the repatriation of the Company's international operations other than in Canada was approximately $13 for 1999. For 2000, with respect to its Canadian operations, the Company provided $9 for the</w:t>
      </w:r>
    </w:p>
    <w:p>
      <w:pPr>
        <w:sectPr>
          <w:pgSz w:w="11900" w:h="16838" w:orient="portrait"/>
          <w:cols w:equalWidth="0" w:num="1">
            <w:col w:w="10219"/>
          </w:cols>
          <w:pgMar w:left="240" w:top="283" w:right="1440" w:bottom="1440" w:gutter="0" w:footer="0" w:header="0"/>
        </w:sectPr>
      </w:pPr>
    </w:p>
    <w:p>
      <w:pPr>
        <w:spacing w:after="0" w:line="17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3"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repatriation of $58 of capital. Unremitted earnings in Canada were approximately $62 at December 31, 2000, which the Company intends to reinvest. It is not practicable to determine the amount of United States based income taxes that would be payable upon remittance of the assets that represent those earnings.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SEGMENT AND RELATED INFORMATION</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Company's North American solid waste management operations is the Company's principal reportable segment and is comprised of six geographical operating Areas with similar economic characteristics. This segment provides integrated waste management services consisting of collection, transfer, disposal (solid waste landfill, hazardous waste landfill and waste-to-energy facilities), recycling, and other miscellaneous services to commercial, industrial, municipal and residential customers in North America, including the United States and Puerto Rico, Mexico and Canada. Similar operations in international markets outside of North America are disclosed as a separate segment under WM International. As discussed in Notes 4 and 20, pursuant to the Company's strategic plan, the Company has divested or is actively marketing to sell its remaining WM International operations and considers them to be held-for-sale. The remaining operations outside of North America included certain operations in Sweden and operations in Argentina and Israel. The Company's other reportable segment consists of non-solid waste management services, aggregated as a single segment for this reporting presentation. The non-solid waste management segment includes other hazardous waste services such as chemical waste management services, the Company's independent power projects, and other non-solid waste management services to commercial, industrial and government customers. As discussed in Notes 4 and 20, the Company's non-solid waste management segment includes business lines that have been divested or are being actively marketed and considered to be held-for-sale.</w:t>
      </w:r>
    </w:p>
    <w:p>
      <w:pPr>
        <w:spacing w:after="0" w:line="34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Summarized financial information concerning the Company's reportable segments for the respective years ended December 31, is shown in the following table. Prior period information has been restated to conform to the segments described above, which are based on the structure and internal organization of the Company as of December 31, 2000.</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NORTH AMERICAN</w:t>
            </w:r>
          </w:p>
        </w:tc>
        <w:tc>
          <w:tcPr>
            <w:tcW w:w="480" w:type="dxa"/>
            <w:vAlign w:val="bottom"/>
          </w:tcPr>
          <w:p>
            <w:pPr>
              <w:spacing w:after="0"/>
              <w:rPr>
                <w:sz w:val="14"/>
                <w:szCs w:val="14"/>
                <w:color w:val="auto"/>
              </w:rPr>
            </w:pP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WM</w:t>
            </w:r>
          </w:p>
        </w:tc>
        <w:tc>
          <w:tcPr>
            <w:tcW w:w="1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CORPORATE</w:t>
            </w:r>
          </w:p>
        </w:tc>
        <w:tc>
          <w:tcPr>
            <w:tcW w:w="76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SOLID WASTE</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INTERNATIONAL</w:t>
            </w:r>
          </w:p>
        </w:tc>
        <w:tc>
          <w:tcPr>
            <w:tcW w:w="320" w:type="dxa"/>
            <w:vAlign w:val="bottom"/>
          </w:tcPr>
          <w:p>
            <w:pPr>
              <w:spacing w:after="0"/>
              <w:rPr>
                <w:sz w:val="14"/>
                <w:szCs w:val="14"/>
                <w:color w:val="auto"/>
              </w:rPr>
            </w:pPr>
          </w:p>
        </w:tc>
        <w:tc>
          <w:tcPr>
            <w:tcW w:w="7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WASTE</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FUNCTIONS(A)</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16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operating revenues(b)..........</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$11,218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$12,492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Earnings before interest and taxes</w:t>
            </w: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(EBIT)(c),(d)....................</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2,166</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151</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w:t>
            </w:r>
          </w:p>
        </w:tc>
        <w:tc>
          <w:tcPr>
            <w:tcW w:w="5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1,787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1,352</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1,429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1,163</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74</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Total assets(d)....................</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16,587</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80</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1,801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18,565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operating revenues(b)..........</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$10,685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1,651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$13,127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Earnings before interest and taxes</w:t>
            </w: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(EBIT)(c),(d)....................</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1,633</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212</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5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1,324</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1,364</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148</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1,614</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1,086</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206</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1,327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Total assets(d)....................</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17,178</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2,915</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971</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1,617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22,681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operating revenues(b)..........</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$10,144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1,534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$12,626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Earnings before interest and taxes</w:t>
            </w: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(EBIT)(c),(d)....................</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2,509</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134</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w:t>
            </w:r>
          </w:p>
        </w:tc>
        <w:tc>
          <w:tcPr>
            <w:tcW w:w="5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2,511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Depreciation and amortization......</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1,215</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168</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1,499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1,438</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166</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1,651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Total assets(d)....................</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17,005</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2,956</w:t>
            </w:r>
          </w:p>
        </w:tc>
        <w:tc>
          <w:tcPr>
            <w:tcW w:w="3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1,000</w:t>
            </w:r>
          </w:p>
        </w:tc>
        <w:tc>
          <w:tcPr>
            <w:tcW w:w="5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1,921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22,882</w:t>
            </w:r>
          </w:p>
        </w:tc>
      </w:tr>
      <w:tr>
        <w:trPr>
          <w:trHeight w:val="509"/>
        </w:trPr>
        <w:tc>
          <w:tcPr>
            <w:tcW w:w="3160" w:type="dxa"/>
            <w:vAlign w:val="bottom"/>
          </w:tcPr>
          <w:p>
            <w:pPr>
              <w:spacing w:after="0"/>
              <w:rPr>
                <w:sz w:val="24"/>
                <w:szCs w:val="24"/>
                <w:color w:val="auto"/>
              </w:rPr>
            </w:pPr>
          </w:p>
        </w:tc>
        <w:tc>
          <w:tcPr>
            <w:tcW w:w="14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7" w:name="page68"/>
    <w:bookmarkEnd w:id="67"/>
    <w:p>
      <w:pPr>
        <w:ind w:left="270"/>
        <w:spacing w:after="0"/>
        <w:rPr>
          <w:sz w:val="20"/>
          <w:szCs w:val="20"/>
          <w:color w:val="auto"/>
        </w:rPr>
      </w:pPr>
      <w:r>
        <w:rPr>
          <w:rFonts w:ascii="Courier New" w:cs="Courier New" w:eastAsia="Courier New" w:hAnsi="Courier New"/>
          <w:sz w:val="15"/>
          <w:szCs w:val="15"/>
          <w:color w:val="auto"/>
        </w:rPr>
        <w:t>64</w:t>
      </w: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530" w:right="3179" w:hanging="530"/>
        <w:spacing w:after="0" w:line="238" w:lineRule="auto"/>
        <w:tabs>
          <w:tab w:leader="none" w:pos="5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functions include the corporate treasury function (except for limited amounts of locally negotiated and managed project debt), legal function, information technology function, administration of corporate tax function, the corporate insurance function and management of closed landfill and related insurance recovery functions, along with other typical administrative functions.</w:t>
      </w:r>
    </w:p>
    <w:p>
      <w:pPr>
        <w:spacing w:after="0" w:line="175" w:lineRule="exact"/>
        <w:rPr>
          <w:rFonts w:ascii="Courier New" w:cs="Courier New" w:eastAsia="Courier New" w:hAnsi="Courier New"/>
          <w:sz w:val="15"/>
          <w:szCs w:val="15"/>
          <w:color w:val="auto"/>
        </w:rPr>
      </w:pPr>
    </w:p>
    <w:p>
      <w:pPr>
        <w:ind w:left="530" w:right="3699" w:hanging="530"/>
        <w:spacing w:after="0" w:line="260" w:lineRule="auto"/>
        <w:tabs>
          <w:tab w:leader="none" w:pos="53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Non-solid waste revenues are net of inter-segment revenue with North American solid waste of $37, $46 and $122 in 2000, 1999 and 1998, respectively. There are no other significant sales between segments.</w:t>
      </w:r>
    </w:p>
    <w:p>
      <w:pPr>
        <w:spacing w:after="0" w:line="162" w:lineRule="exact"/>
        <w:rPr>
          <w:rFonts w:ascii="Courier New" w:cs="Courier New" w:eastAsia="Courier New" w:hAnsi="Courier New"/>
          <w:sz w:val="14"/>
          <w:szCs w:val="14"/>
          <w:color w:val="auto"/>
        </w:rPr>
      </w:pPr>
    </w:p>
    <w:p>
      <w:pPr>
        <w:ind w:left="530" w:right="3539" w:hanging="530"/>
        <w:spacing w:after="0" w:line="237" w:lineRule="auto"/>
        <w:tabs>
          <w:tab w:leader="none" w:pos="5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w:t>
      </w:r>
    </w:p>
    <w:p>
      <w:pPr>
        <w:spacing w:after="0" w:line="176" w:lineRule="exact"/>
        <w:rPr>
          <w:rFonts w:ascii="Courier New" w:cs="Courier New" w:eastAsia="Courier New" w:hAnsi="Courier New"/>
          <w:sz w:val="15"/>
          <w:szCs w:val="15"/>
          <w:color w:val="auto"/>
        </w:rPr>
      </w:pPr>
    </w:p>
    <w:p>
      <w:pPr>
        <w:ind w:left="530" w:right="3179" w:hanging="530"/>
        <w:spacing w:after="0" w:line="238" w:lineRule="auto"/>
        <w:tabs>
          <w:tab w:leader="none" w:pos="5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material asymmetrical allocations of EBIT versus assets between segments or corporate. Certain asset impairments and unusual items reported in the reconciliation of EBIT to reported net loss below, however, have resulted in adjustments to assets ultimately reflected on segment balance sheets. Assets are net of inter-segment receivables and investments.</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reconciliation of total EBIT reported above to net loss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3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280" w:type="dxa"/>
            <w:vAlign w:val="bottom"/>
          </w:tcPr>
          <w:p>
            <w:pPr>
              <w:spacing w:after="0"/>
              <w:rPr>
                <w:sz w:val="14"/>
                <w:szCs w:val="14"/>
                <w:color w:val="auto"/>
              </w:rPr>
            </w:pPr>
          </w:p>
        </w:tc>
        <w:tc>
          <w:tcPr>
            <w:tcW w:w="23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2000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EBIT, as reported above....................................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1,787</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$2,511</w:t>
            </w:r>
          </w:p>
        </w:tc>
      </w:tr>
      <w:tr>
        <w:trPr>
          <w:trHeight w:val="170"/>
        </w:trPr>
        <w:tc>
          <w:tcPr>
            <w:tcW w:w="5280" w:type="dxa"/>
            <w:vAlign w:val="bottom"/>
          </w:tcPr>
          <w:p>
            <w:pPr>
              <w:jc w:val="right"/>
              <w:ind w:right="3987"/>
              <w:spacing w:after="0"/>
              <w:rPr>
                <w:sz w:val="20"/>
                <w:szCs w:val="20"/>
                <w:color w:val="auto"/>
              </w:rPr>
            </w:pPr>
            <w:r>
              <w:rPr>
                <w:rFonts w:ascii="Courier New" w:cs="Courier New" w:eastAsia="Courier New" w:hAnsi="Courier New"/>
                <w:sz w:val="15"/>
                <w:szCs w:val="15"/>
                <w:color w:val="auto"/>
              </w:rPr>
              <w:t>(Plus) less: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and acquisition related costs..................</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749</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864</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1,038</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expense...........................................</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(682)</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income, net..........................................</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 and extraordinary item...</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before extraordinary item.............................</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loss.........................................</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(771)</w:t>
            </w:r>
          </w:p>
        </w:tc>
      </w:tr>
      <w:tr>
        <w:trPr>
          <w:trHeight w:val="170"/>
        </w:trPr>
        <w:tc>
          <w:tcPr>
            <w:tcW w:w="5280" w:type="dxa"/>
            <w:vAlign w:val="bottom"/>
          </w:tcPr>
          <w:p>
            <w:pPr>
              <w:spacing w:after="0"/>
              <w:rPr>
                <w:sz w:val="14"/>
                <w:szCs w:val="14"/>
                <w:color w:val="auto"/>
              </w:rPr>
            </w:pP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699" w:firstLine="441"/>
        <w:spacing w:after="0" w:line="235" w:lineRule="auto"/>
        <w:rPr>
          <w:sz w:val="20"/>
          <w:szCs w:val="20"/>
          <w:color w:val="auto"/>
        </w:rPr>
      </w:pPr>
      <w:r>
        <w:rPr>
          <w:rFonts w:ascii="Courier New" w:cs="Courier New" w:eastAsia="Courier New" w:hAnsi="Courier New"/>
          <w:sz w:val="15"/>
          <w:szCs w:val="15"/>
          <w:color w:val="auto"/>
        </w:rPr>
        <w:t>The table below shows the total revenues contributed by the Company's principal lines of business within the NASW segment.</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YEARS ENDED DECEMBER 31,</w:t>
            </w:r>
          </w:p>
        </w:tc>
      </w:tr>
      <w:tr>
        <w:trPr>
          <w:trHeight w:val="170"/>
        </w:trPr>
        <w:tc>
          <w:tcPr>
            <w:tcW w:w="5360" w:type="dxa"/>
            <w:vAlign w:val="bottom"/>
          </w:tcPr>
          <w:p>
            <w:pPr>
              <w:spacing w:after="0"/>
              <w:rPr>
                <w:sz w:val="14"/>
                <w:szCs w:val="14"/>
                <w:color w:val="auto"/>
              </w:rPr>
            </w:pPr>
          </w:p>
        </w:tc>
        <w:tc>
          <w:tcPr>
            <w:tcW w:w="25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2000</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2907"/>
              <w:spacing w:after="0"/>
              <w:rPr>
                <w:sz w:val="20"/>
                <w:szCs w:val="20"/>
                <w:color w:val="auto"/>
              </w:rPr>
            </w:pPr>
            <w:r>
              <w:rPr>
                <w:rFonts w:ascii="Courier New" w:cs="Courier New" w:eastAsia="Courier New" w:hAnsi="Courier New"/>
                <w:sz w:val="15"/>
                <w:szCs w:val="15"/>
                <w:color w:val="auto"/>
                <w:w w:val="97"/>
              </w:rPr>
              <w:t>North American Solid Waste: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Collection................................................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7,675</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$ 7,553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$ 6,964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Disposal..................................................</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3,366</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3,267</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Transfer..................................................</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1,394</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Recycling and other.......................................</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805</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Intercompany..............................................</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(2,022)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(1,696)</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11,218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$10,685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$10,144</w:t>
            </w:r>
          </w:p>
        </w:tc>
      </w:tr>
      <w:tr>
        <w:trPr>
          <w:trHeight w:val="170"/>
        </w:trPr>
        <w:tc>
          <w:tcPr>
            <w:tcW w:w="536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9"/>
          </w:cols>
          <w:pgMar w:left="230" w:top="283" w:right="1440" w:bottom="1440" w:gutter="0" w:footer="0" w:header="0"/>
        </w:sectPr>
      </w:pPr>
    </w:p>
    <w:p>
      <w:pPr>
        <w:spacing w:after="0" w:line="13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9"/>
          </w:cols>
          <w:pgMar w:left="230" w:top="283"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Revenues decreased from 1999 to 2000 due to the Company selling its WM International operations on a country by country basis throughout 2000. As of December 31, 2000, the Company's operations outside of North America included certain operations in Sweden, and operations in Argentina and Israel. The Company's WM International operations, as well as certain of the Company's operations in Mexico (which is considered NASW), had their property and equipment reflected in current operations held-for-sale at December 31, 2000 and 1999. Operating revenues and property and equipment (net) relating to operations in the United States and Puerto Rico, Europe, Canada and all other geographic areas ("other foreign")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4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02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United States and Puerto Rico.........................</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$11,134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$11,015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$10,604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Europe................................................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Canada................................................</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foreign.........................................</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$12,492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$12,626</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5020" w:type="dxa"/>
            <w:vAlign w:val="bottom"/>
          </w:tcPr>
          <w:p>
            <w:pPr>
              <w:spacing w:after="0"/>
              <w:rPr>
                <w:sz w:val="24"/>
                <w:szCs w:val="24"/>
                <w:color w:val="auto"/>
              </w:rPr>
            </w:pPr>
          </w:p>
        </w:tc>
        <w:tc>
          <w:tcPr>
            <w:tcW w:w="24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02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United States and Puerto Rico.........................</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$ 9,295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$ 9,468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$ 9,774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Europe................................................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Canada................................................</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831</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foreign.........................................</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$10,126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$11,626</w:t>
            </w:r>
          </w:p>
        </w:tc>
      </w:tr>
      <w:tr>
        <w:trPr>
          <w:trHeight w:val="170"/>
        </w:trPr>
        <w:tc>
          <w:tcPr>
            <w:tcW w:w="50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ASSET IMPAIRMENTS AND UNUSUAL ITEMS</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In 2000, 1999 and 1998, the Company recorded certain charges for asset impairments and unusual items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36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Losses on businesses sold and held-for-sale adjustments for</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businesses to be sold.....................................</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Asset impairments (excluding held-for-sale adjustments).....</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Changes in estimates on the ultimate losses for certain</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legal and environmental issues and related costs..........</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Pension related costs for the WM Holdings' defined benefit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Provision or adjustment to provision for losses on</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contractual commitments...................................</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Compensation charges for the liquidation of WM Holdings'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SERP (Note 13) and other supplemental plans...............</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Put provisions of certain WM Holdings' stock options as a</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result of change in control provisions....................</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$864</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3"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66</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loss on businesses sold and held-for-sale adjustments for businesses to be sold of $543 incurred in 2000 consisted of (i) a net gain of $127 on divestitures of international operations, (ii) losses of $524 resulting from the recognition of currency translation adjustment upon the divestitures of international operations, and (iii) a net loss of $146 on the impairment of domestic operations, offset by certain domestic gains and other items.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Fair values for asset impairment losses were determined for landfills, hazardous waste facilities, recycling investments and other facilities, primarily based on discounted future cash flow projections or offers from interested third parties. For surplus real estate, third party bids, market opinions and appraisals were used to determine fair value. In determining fair values for abandoned projects and vehicles to be sold, recoverable salvage values were determined using market estimates. The Company provides for losses in connection with long-term waste service contracts where an obligation exists to perform services and when it becomes evident the projected direct and incremental contract costs will exceed the related contract revenues. In 1998, the Company recorded loss contract provisions that were identified through reviews related to the WM Holdings and Eastern Mergers as asset impairments and unusual items. In general, these losses relate to contracts with remaining average duration of five years. Loss contract provisions identified through routine business reviews in 1999 and 2000 were recorded as a component of costs of operations.</w:t>
      </w:r>
    </w:p>
    <w:p>
      <w:pPr>
        <w:spacing w:after="0" w:line="18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Based primarily on preliminary bids from interested parties, the Company's WM International operations and certain other assets that were identified as "held-for-sale" during the third quarter of 1999 were written down to fair value less cost to sell, resulting in a pre-tax charge of approximately $414 at September 30, 1999. These assets were considered to be held for use for periods prior to the third quarter of 1999 and did not meet the criteria for impairment recognition as a held for use asset, and therefore, were not considered impaired for periods prior to the third quarter of 1999. The assets that were identified as held for sale for September 30, 1999 and subject to adjustment include, among others, the Company's WM International operations, the Company's nuclear services disposal site operations and certain NASW operations that are not essential parts of the Company's network. Revisions to the third quarter estimates were required due to revisions in estimated proceeds and certain changes in business plans during the fourth quarter. These revisions resulted in a net increase to the charge of $19. That amount includes a reduction of $30 relating to assets in a single market that have been reclassified from held-for-sale assets to operating assets, based on new facts and business judgements, that have developed through February 2000. Based on these new facts and business judgements the Company has decided not to divest those assets, and those assets are not impaired as operating assets. Accordingly, the impairment recorded in the third quarter of 1999 was reversed, with no net effect for 1999. The remaining $10 of held-for-sale adjustments primarily resulted from revisions of estimated proceeds related to surplus real estate. See Note 20 for further analysis of operations held-for-sale.</w:t>
      </w:r>
    </w:p>
    <w:p>
      <w:pPr>
        <w:spacing w:after="0" w:line="34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recorded asset impairments of $194 during 1999 (see Note 2 "1999 Accounting Charges and Adjustments") related to several landfill sites and certain other operating assets. Included in this amount is $76 related to the abandonment or closure of facilities resulting from the Company's recent business decisions regarding optimal operating strategies in specific markets in which the Company operates, or consideration of new facts or circumstances during 1999. Also included in the amount is $40, which is primarily the result of permit denials and other regulatory problems during the third quarter of 1999, which is one of the many types of facts and circumstances that may from time to time trigger impairments and which may occasionally overlap with other triggering events or result in abandonment or closure.</w:t>
      </w:r>
    </w:p>
    <w:p>
      <w:pPr>
        <w:spacing w:after="0" w:line="181"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In 1999, the Company recorded $92 related to the reassessment of ultimate losses for certain legal issues related to the WM Holdings Merger, which primarily included increases to its legal reserves in response to developments in connection with WM Holdings' restatement of earnings in February 1998. These legal developments caused the Company to evaluate the numerous shareholder cases filed against WM Holdings and to reassess the range of exposure.</w:t>
      </w:r>
    </w:p>
    <w:p>
      <w:pPr>
        <w:spacing w:after="0" w:line="15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67</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1998, the Company increased its reserves for certain legal and environmental remediation issues as a result of management's emphasis to resolve and settle certain issues relating primarily to WM Holdings, including the class action securities litigation against WM Holdings related to its February 1998 earnings restatement.</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is in the process of settling its obligations under the WM Holdings' defined benefit plan which was terminated as of October 31, 1999 (see Note 13).</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Certain WM Holdings' employee stock option plans included change of control provisions that were activated as a result of the WM Holdings Merger whereby the option holder received certain put rights. The charge to pre-tax earnings as a result of these put rights was $115 in the third quarter of 1998.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EARNING PER SHARE</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The following reconciles the number of common shares outstanding at December 31 of each year to the weighted average number of common shares outstanding for the purposes of calculating basic and dilutive earnings per common share(shares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56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020" w:type="dxa"/>
            <w:vAlign w:val="bottom"/>
          </w:tcPr>
          <w:p>
            <w:pPr>
              <w:spacing w:after="0"/>
              <w:rPr>
                <w:sz w:val="14"/>
                <w:szCs w:val="14"/>
                <w:color w:val="auto"/>
              </w:rPr>
            </w:pPr>
          </w:p>
        </w:tc>
        <w:tc>
          <w:tcPr>
            <w:tcW w:w="25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0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Common shares outstanding at year-end...................</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622,650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619,317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600,351</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(6,385)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(16,050)</w:t>
            </w:r>
          </w:p>
        </w:tc>
      </w:tr>
      <w:tr>
        <w:trPr>
          <w:trHeight w:val="170"/>
        </w:trPr>
        <w:tc>
          <w:tcPr>
            <w:tcW w:w="50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Basic and diluted common shares outstanding.............</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621,257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612,932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584,301</w:t>
            </w:r>
          </w:p>
        </w:tc>
      </w:tr>
      <w:tr>
        <w:trPr>
          <w:trHeight w:val="170"/>
        </w:trPr>
        <w:tc>
          <w:tcPr>
            <w:tcW w:w="50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For all periods presented, the effect of the Company's common stock options and warrants and the effect of the Company's convertible subordinated notes and debentures are excluded from the dilutive earnings per share calculation since inclusion of such items would be antidilutive.</w:t>
      </w:r>
    </w:p>
    <w:p>
      <w:pPr>
        <w:spacing w:after="0" w:line="176"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At December 31, 2000, there were approximately 53 million shares of common stock potentially issuable with respect to stock options, warrants, and convertible debt, which could dilute basic earnings per share in the future.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COMPREHENSIVE INCOME (LOSS)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 The components of accumulated other comprehensive income (loss) were as follows: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20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53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Foreign currency translation adjustment.....................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$(354)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Minimum pension liability adjustment (net of tax)...........</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0"/>
        </w:trPr>
        <w:tc>
          <w:tcPr>
            <w:tcW w:w="53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3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$(421)</w:t>
            </w:r>
          </w:p>
        </w:tc>
      </w:tr>
      <w:tr>
        <w:trPr>
          <w:trHeight w:val="170"/>
        </w:trPr>
        <w:tc>
          <w:tcPr>
            <w:tcW w:w="536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change in minimum pension liability adjustment relates to the Company's efforts to settle its obligations under the Plan. The Company expects to complete this effort in early 2001.</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Of the $123 of foreign currency translation adjustment within accumulated other comprehensive income (loss) at December 31, 2000, approximately $5 relates to the Company's WM International operations. Upon the divestiture of the Company's remaining WM International operations, the foreign currency translation losses that are included in accumulated other comprehensive income (loss) will be recognized in the</w:t>
      </w:r>
    </w:p>
    <w:p>
      <w:pPr>
        <w:sectPr>
          <w:pgSz w:w="11900" w:h="16838" w:orient="portrait"/>
          <w:cols w:equalWidth="0" w:num="1">
            <w:col w:w="10219"/>
          </w:cols>
          <w:pgMar w:left="240" w:top="283" w:right="1440" w:bottom="1440" w:gutter="0" w:footer="0" w:header="0"/>
        </w:sectPr>
      </w:pPr>
    </w:p>
    <w:p>
      <w:pPr>
        <w:ind w:left="35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3"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68</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Company's statement of operations as a component of such operations (decreasing any gain, or increasing any loss).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COMMITMENTS AND CONTINGENCIES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Financial instruments -- Letters of credit, performance bonds and 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policies have been provided by the Company to support tax-exempt bonds,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 performance of landfill final closure and post-closure requirements,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contracts, and other obligations. Total letters of credit, performance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bonds and insurance policies at December 31, 2000 aggregated approximately</w:t>
      </w:r>
    </w:p>
    <w:p>
      <w:pPr>
        <w:spacing w:after="0"/>
        <w:rPr>
          <w:sz w:val="20"/>
          <w:szCs w:val="20"/>
          <w:color w:val="auto"/>
        </w:rPr>
      </w:pPr>
      <w:r>
        <w:rPr>
          <w:rFonts w:ascii="Courier New" w:cs="Courier New" w:eastAsia="Courier New" w:hAnsi="Courier New"/>
          <w:sz w:val="15"/>
          <w:szCs w:val="15"/>
          <w:color w:val="auto"/>
        </w:rPr>
        <w:t>$5,400. The insurance policies are issued by a wholly-owned insurance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the sole business of which is to issue such policies to customers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and its subsidiaries. Approximately $87 (at fair market value at</w:t>
      </w:r>
    </w:p>
    <w:p>
      <w:pPr>
        <w:spacing w:after="0"/>
        <w:rPr>
          <w:sz w:val="20"/>
          <w:szCs w:val="20"/>
          <w:color w:val="auto"/>
        </w:rPr>
      </w:pPr>
      <w:r>
        <w:rPr>
          <w:rFonts w:ascii="Courier New" w:cs="Courier New" w:eastAsia="Courier New" w:hAnsi="Courier New"/>
          <w:sz w:val="15"/>
          <w:szCs w:val="15"/>
          <w:color w:val="auto"/>
        </w:rPr>
        <w:t>December 31, 2000) of the Company's assets have been contributed to this</w:t>
      </w:r>
    </w:p>
    <w:p>
      <w:pPr>
        <w:spacing w:after="0"/>
        <w:rPr>
          <w:sz w:val="20"/>
          <w:szCs w:val="20"/>
          <w:color w:val="auto"/>
        </w:rPr>
      </w:pPr>
      <w:r>
        <w:rPr>
          <w:rFonts w:ascii="Courier New" w:cs="Courier New" w:eastAsia="Courier New" w:hAnsi="Courier New"/>
          <w:sz w:val="15"/>
          <w:szCs w:val="15"/>
          <w:color w:val="auto"/>
        </w:rPr>
        <w:t>subsidiary to meet regulatory minimum capital requirements. In those instances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the use of captive insurance is not acceptable, the Company has available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 bonding mechanisms. The Company has not experienced difficulty in</w:t>
      </w:r>
    </w:p>
    <w:p>
      <w:pPr>
        <w:spacing w:after="0"/>
        <w:rPr>
          <w:sz w:val="20"/>
          <w:szCs w:val="20"/>
          <w:color w:val="auto"/>
        </w:rPr>
      </w:pPr>
      <w:r>
        <w:rPr>
          <w:rFonts w:ascii="Courier New" w:cs="Courier New" w:eastAsia="Courier New" w:hAnsi="Courier New"/>
          <w:sz w:val="15"/>
          <w:szCs w:val="15"/>
          <w:color w:val="auto"/>
        </w:rPr>
        <w:t>obtaining performance bonds or letters of credit for its current operations.</w:t>
      </w:r>
    </w:p>
    <w:p>
      <w:pPr>
        <w:spacing w:after="0"/>
        <w:rPr>
          <w:sz w:val="20"/>
          <w:szCs w:val="20"/>
          <w:color w:val="auto"/>
        </w:rPr>
      </w:pPr>
      <w:r>
        <w:rPr>
          <w:rFonts w:ascii="Courier New" w:cs="Courier New" w:eastAsia="Courier New" w:hAnsi="Courier New"/>
          <w:sz w:val="15"/>
          <w:szCs w:val="15"/>
          <w:color w:val="auto"/>
        </w:rPr>
        <w:t>Because virtually no claims have been made against these financial instruments</w:t>
      </w:r>
    </w:p>
    <w:p>
      <w:pPr>
        <w:spacing w:after="0" w:line="238" w:lineRule="auto"/>
        <w:rPr>
          <w:sz w:val="20"/>
          <w:szCs w:val="20"/>
          <w:color w:val="auto"/>
        </w:rPr>
      </w:pPr>
      <w:r>
        <w:rPr>
          <w:rFonts w:ascii="Courier New" w:cs="Courier New" w:eastAsia="Courier New" w:hAnsi="Courier New"/>
          <w:sz w:val="15"/>
          <w:szCs w:val="15"/>
          <w:color w:val="auto"/>
        </w:rPr>
        <w:t>in the past, management does not expect these instruments will have a material</w:t>
      </w:r>
    </w:p>
    <w:p>
      <w:pPr>
        <w:spacing w:after="0"/>
        <w:rPr>
          <w:sz w:val="20"/>
          <w:szCs w:val="20"/>
          <w:color w:val="auto"/>
        </w:rPr>
      </w:pPr>
      <w:r>
        <w:rPr>
          <w:rFonts w:ascii="Courier New" w:cs="Courier New" w:eastAsia="Courier New" w:hAnsi="Courier New"/>
          <w:sz w:val="15"/>
          <w:szCs w:val="15"/>
          <w:color w:val="auto"/>
        </w:rPr>
        <w:t>adverse effect on the Company's consolidated financial statements.</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179"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As part of its ongoing operations, the Company provides for the present value of estimated final closure and post-closure monitoring costs over the estimated operating life of disposal sites as airspace is consumed. The Company has also established procedures to evaluate potential remedial liabilities at closed sites which it owns or operated, or to which it transported waste, including 79 sites listed on the EPA's National Priority List ("NPL") as of December 31, 2000. Where the Company concludes that it is probable that a liability has been incurred, provision is made in the financial statements.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industry,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be material.</w:t>
      </w:r>
    </w:p>
    <w:p>
      <w:pPr>
        <w:spacing w:after="0" w:line="18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or similar state laws. The majority of these proceedings involve allegations that certain subsidiaries of the Company (or their predecessors) transported hazardous substances to the sites in question, often prior to acquisition of such subsidiaries by the Company. CERCLA generally provides for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69</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and cleanup, which costs could be substantial and could have a material adverse effect on the Company's financial statements.</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As of December 31, 2000, the Company or its subsidiaries had been notified that they are potentially responsible parties in connection with 79 locations listed on the NPL. Of the 79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62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the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33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For more information regarding commitments and contingencies with respect to environmental matters, see Note 8.</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Litigation -- In February 1998, WM Holdings announced a restatement of prior-period earnings for 1991 and earlier as well as for 1992 through 1996 and the first three quarters of 1997. As a result, many claims were made against WM Holdings, several of which have been resolved, as set forth in earlier quarterly and year-end reports made by the Company.</w:t>
      </w:r>
    </w:p>
    <w:p>
      <w:pPr>
        <w:spacing w:after="0" w:line="178"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following actions with respect to WM Holdings, however, are still outstanding.</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July 1998, a seller of a business to WM Holdings in exchange for WM Holdings common stock filed a class action alleging breach of warranty. In October 1999, the court certified a class consisting of all sellers of business assets to WM Holdings between January 1, 1990 and February 24, 1998 whose agreements contained express warranties regarding the accuracy of WM Holdings' financial statements. In March 2000, the certification order was upheld by the court of appeals and the trial court granted summary judgment on the breach of warranty claim in favor of all but certain members of the class whose claims may have expired under applicable statutes of limitations. The extent of damages in this class action has not yet been determined.</w:t>
      </w:r>
    </w:p>
    <w:p>
      <w:pPr>
        <w:spacing w:after="0" w:line="180"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March 2000, a group of companies that sold assets to WM Holdings in exchange for common stock in March 1996 brought a separate action against the Company for breach of contract and fraud, among other things. The plaintiffs dismissed their suit without prejudice pending a decision of whether their claims must be</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submitted to arbitration. A court determined that plaintiffs must arbitrate their claims and plaintiffs have appealed that decision. The extent of damages in the underlying dispute has not yet been determined.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December 1999, an individual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The defendants have filed motions to dismiss this case. This action is in its early stages and the extent of possible damages, if any, has not yet been determined.</w:t>
      </w:r>
    </w:p>
    <w:p>
      <w:pPr>
        <w:spacing w:after="0" w:line="17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has proposed a settlement to resolve a consolidated derivative action pending in the Chancery Court of the State of Delaware. The derivative action was brought against several former officers and directors of WM Holdings and seeks, among other things, reimbursement of those monies expended by WM Holdings and the Company in resolving all claims brought against WM Holdings arising out of its February 1998 restatement of earnings. The terms of the settlement include a payment to the Company of $15 by certain of WM Holdings' insurance carriers and the complete resolution of all pending claims for retirement benefits between certain former officers of WM Holdings and the Company. The resolution of the actions for retirement benefits involves the release by the former executives who brought claims against the Company for certain amounts otherwise owing under the retirement plans. The total benefits to the Company from the settlement of the derivative case is approximately $23.</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also aware that the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In addition to the actions with respect to WM Holdings, the following actions with respect to the Company or its other subsidiaries have also been brought.</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On July 6 and July 29, 1999, the Company announced that it had lowered its expected earnings per share for the three months ended June 30, 1999. On August 3, 1999, the Company announced another reduction in its expected earnings for that period and that its reported operating income for the three months ended March 31, 1999, might have included certain unusual pretax income items. More than 30 lawsuits based on one or more of these announcements were filed against the Company and certain of its current and former officers and directors in the United States District Court for the Southern District of Texas. These actions have been consolidated into a single action. On September 7, 1999, another lawsuit was filed against the Company and certain of its current and former officers and directors in the United States District Court for the Eastern District of Texas, which was transferred and consolidated with the consolidated action pending in the Southern District of Texas. On May 8, 2000, the court entered an order appointing the Connecticut Retirement Plan and Trust Funds as lead plaintiff and appointing the law firm of Goodkind Labaton Rudoff &amp; Suchrow LLP as lead plaintiff's counsel.</w:t>
      </w:r>
    </w:p>
    <w:p>
      <w:pPr>
        <w:spacing w:after="0" w:line="33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WM Holdings stockholders who received Company common stock pursuant to the WM Holdings Merger, and (ii) the "Eastern Merger Subclass," consisting of all Eastern stockholders who received Company common stock pursuant to the Eastern Merger.</w:t>
      </w:r>
    </w:p>
    <w:p>
      <w:pPr>
        <w:spacing w:after="0" w:line="180"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Among other things, the plaintiff alleges that the Company and certain of its current and former officers and directors (i) made misrepresentations in the registration statement and prospectus filed with the SEC in connection with the WM Holdings Merger, (ii) made knowingly false earnings projections for the three</w:t>
      </w:r>
    </w:p>
    <w:p>
      <w:pPr>
        <w:ind w:left="3520"/>
        <w:spacing w:after="0" w:line="234" w:lineRule="auto"/>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months ended June 30, 1999, (iii) failed to adequately disclose facts relating to its earnings projections that the plaintiff claims would have been material to purchasers of the Company's common stock and (iv) made separate and distinct misrepresentations about the Company's operations and finances on and after July 29, 1999, culminating in the Company's pre-tax charge of $1,763 in the third quarter of 1999. The plaintiff also alleges that certain of the Company's current and former officers and directors sold common stock between May 10, 1999 and June 9, 1999 at prices known to have been inflated by material misstatements and omissions. The plaintiff in this action seeks damages with interest, costs and such other relief as the court deems proper. Defendants filed a motion to dismiss on October 3, 2000, which is pending. The case is at an early stage and the extent of possible damages, if any, cannot yet be determined.</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June 29, 2000, a putative class action was filed against the Company in Delaware state court by a class of former Eastern stockholders falling within the scope of the Eastern Merger Subclass described above. The plaintiffs allege that the Company stock they received in exchange for their Eastern shares was overvalued for the same reasons alleged in the consolidated class actions in Texas. On August 4, 2000, the Company removed the case from the state court to federal court and asked to have the case transferred to the Texas federal court where the consolidated Texas class action is pending. On September 1, 2000, the plaintiffs asked to remand the case to the Delaware state court, which the Company opposed. The plaintiffs also asked the Delaware federal court not to consider the Company's motion to transfer the case to Texas until it rules on the motion to remand. All motions currently are pending. The case is at an early stage, and the extent of possible damages, if any, cannot yet be determined.</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been sued in several lawsuits by individuals who received common stock in the sales of their businesses to the Company or to a company later acquired by the Company. For reasons similar to those alleged in the class actions described above, the sellers of the businesses allege that the stock they received was overvalued. All of these matters are at early stages and the extent of possible damages, if any, cannot yet be determined.</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addition, three derivative lawsuits have been filed against certain current and former officers and directors of the Company alleging derivative claims on behalf of the Company against these individuals for breaches of fiduciary duty resulting from their common stock sales during the three months ended June 30, 1999 and/or their oversight of the Company's affairs. Two of the lawsuits, filed in the Delaware Court of Chancery on July 16, 1999 and August 18, 1999, were consolidated into a single action. The third suit was filed in the United States District Court for the Southern District of Texas on July 27, 1999. Both of the lawsuits name Waste Management, Inc. as a nominal defendant and seek compensatory and punitive damages with interest, equitable and/or injunctive relief, costs and such other relief as the courts deem proper. On December 1, 2000, the Company moved to dismiss the consolidated derivative suit in Delaware. The same day, the Company asked the court in Texas to stay the Texas derivative suit until the Delaware court acts on the motion to dismiss. The Company is now in preliminary settlement discussions with the plaintiffs in both cases. The Company is unable to predict the outcome of these discussions at this time, nor can it predict the outcome of the litigation if the discussions are unsuccessful.</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Several related shareholders have filed a lawsuit in state court in Texas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The case is in an early stage and the extent of damages, if any, cannot yet be determined.</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New York Stock Exchange has notified the Company that its Market Trading Analysis Department is reviewing transactions in the common stock of the Company prior to the July 6, 1999 earnings forecast announcement.</w:t>
      </w:r>
    </w:p>
    <w:p>
      <w:pPr>
        <w:ind w:left="35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continuing business in which the Company is engaged is intrinsically connected with the protection of the environment and the potential for the unintended or unpermitted discharge of materials into the environment. From time to time, the Company pays fines or penalties in environmental proceedings relating primarily to waste treatment, storage or disposal facilities. As of December 31, 2000, there were four proceedings involving Company subsidiaries where the sanctions involved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 (iii) failed to comply with certain provisions of an administrative order directing the remediation of a non-operating waste disposal site, and (iv) disposed of waste outside of the disposal area designated by the applicable permit.</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July 29, 1998, the EPA inspected one of the Company's 100% owned subsidiaries' operations, and notified the Company of alleged violations relating to the disposal of chlorofluorocarbons ("CFCs"). In January 1999, the EPA issued an Administrative Order requiring the Company's subsidiary to comply with the CFC regulations. In June 1999, the Company was notified that the EPA is conducting a civil investigation relating to the alleged CFC disposal violations to determine whether further enforcement measures are warranted. The Company and its subsidiary are cooperating with the investigation and the Company believes that the ultimate outcome of this matter will not have a material adverse effect on the Company's financial statements.</w:t>
      </w:r>
    </w:p>
    <w:p>
      <w:pPr>
        <w:spacing w:after="0" w:line="16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The Company is seeking (i) a declaratory judgment that past and future environmental liabilities asserted against the Company or its subsidiaries are covered by its insurance policies and (ii) to recover defense costs and other damages incurred as a result of the defendant insurance carriers' denial of coverage of environmental liabilities over the last 25 years. The Company has reached settlements with some of the carriers. However, the remaining defendants have denied liability to the Company, asserting various defenses, and are contesting the claims vigorously. Discovery has been completed as to 12 of the contested sites, but the remaining discovery in this case is expected to continue for several years. Summary judgment motions were filed by both parties with respect to the 12 sites where discovery is complete and in August 2000, the court denied four of the defendants' motions, granted one of defendants' motions and granted the Company's motions with respect to the seven other sites. The Company is unable at this time to predict the outcome of this proceeding. No amounts have been recognized in the Company's financial statements for potential recoveries.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present or future litigation, proceedings, investigations or inquiries may have a material adverse impact on their respective financial conditions or results of operations in one or more future periods.</w:t>
      </w:r>
    </w:p>
    <w:p>
      <w:pPr>
        <w:spacing w:after="0" w:line="179"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and certain of its subsidiaries are also currently involved in other routine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5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3" w:right="1440" w:bottom="1440" w:gutter="0" w:footer="0" w:header="0"/>
        </w:sectPr>
      </w:pPr>
    </w:p>
    <w:bookmarkStart w:id="76" w:name="page77"/>
    <w:bookmarkEnd w:id="76"/>
    <w:p>
      <w:pPr>
        <w:ind w:left="270"/>
        <w:spacing w:after="0"/>
        <w:rPr>
          <w:sz w:val="20"/>
          <w:szCs w:val="20"/>
          <w:color w:val="auto"/>
        </w:rPr>
      </w:pPr>
      <w:r>
        <w:rPr>
          <w:rFonts w:ascii="Courier New" w:cs="Courier New" w:eastAsia="Courier New" w:hAnsi="Courier New"/>
          <w:sz w:val="15"/>
          <w:szCs w:val="15"/>
          <w:color w:val="auto"/>
        </w:rPr>
        <w:t>73</w:t>
      </w: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Insurance -- The Company carries a broad range of insurance coverages for protection of its assets and operations from certain risks including pollution legal liability insurance for certain of its disposal sites, transfer stations, recycling and other facilities. Through the date of the WM Holdings Merger, certain of WM Holdings' auto, general liability, environmental impairment liability and workers' compensation risks were self-insured up to $5 per accident. For such programs, a provision was made in each accounting period for estimated losses, including losses incurred but not reported, and the related reserves are adjusted as additional claims information becomes available. The Company's ongoing programs carry self-insurance exposures of up to two hundred and fifty thousand dollars and twenty thousand dollars per incident with regards to workers' compensation and auto, respectively. Claims reserves related to WM Holdings were discounted at 5.5% at December 31, 2000 and 1999. The insurance-related liability for the ongoing program and the WM Holdings' self-insurance runoff program included in the accompanying balance sheet in other long-term liabilities approximates $350 and $362 at December 31, 2000 and 1999, respectively.</w:t>
      </w:r>
    </w:p>
    <w:p>
      <w:pPr>
        <w:spacing w:after="0" w:line="18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20. OPERATIONS HELD-FOR-SALE</w:t>
      </w:r>
    </w:p>
    <w:p>
      <w:pPr>
        <w:spacing w:after="0" w:line="175"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As discussed in Note 16, the Company has recorded charges to write down certain of the operations the Company has marketed for sale pursuant to its strategic plan. These charges reflect the excess of the Company's carrying amounts of the assets over their fair market value. In determining fair value, the Company considered, among other things the range of preliminary purchase prices being discussed with potential buyers. These businesses' results of operations were included in revenues and expenses through the date of disposition in the accompanying statement of operations. Note 4 discusses operations that were divested in 2000.</w:t>
      </w:r>
    </w:p>
    <w:p>
      <w:pPr>
        <w:spacing w:after="0" w:line="179"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As of December 31, 2000, the primary components remaining within operations held-for-sale consisted of the Company's remaining WM International operations, which included certain operations in Sweden and operations in Argentina and Israel, certain other non-core and NASW operations and the Company's surplus real estate portfolio. For operations classified as held-for-sale, the Company suspends depreciation and amortization on the underlying assets. Depreciation suspension for 2000 and 1999 for held-for-sale operations was $99 and $46, respectively.</w:t>
      </w:r>
    </w:p>
    <w:p>
      <w:pPr>
        <w:spacing w:after="0" w:line="178"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Operational information included in the statements of operations regarding the businesses classified as operations held-for-sale at December 31, 2000,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NORTH AMERICAN</w:t>
            </w:r>
          </w:p>
        </w:tc>
        <w:tc>
          <w:tcPr>
            <w:tcW w:w="140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5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SOLID WASTE</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INTERNATIONAL</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04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December 31, 2000</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24</w:t>
            </w: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$316</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Earnings before interest and taxes</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w w:val="99"/>
              </w:rPr>
              <w:t>EBIT(a).................................</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$ 1</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$255</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Earnings before interest and taxes</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w w:val="99"/>
              </w:rPr>
              <w:t>EBIT(a).................................</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w:t>
            </w:r>
          </w:p>
        </w:tc>
        <w:tc>
          <w:tcPr>
            <w:tcW w:w="660" w:type="dxa"/>
            <w:vAlign w:val="bottom"/>
          </w:tcPr>
          <w:p>
            <w:pPr>
              <w:spacing w:after="0"/>
              <w:rPr>
                <w:sz w:val="14"/>
                <w:szCs w:val="14"/>
                <w:color w:val="auto"/>
              </w:rPr>
            </w:pPr>
          </w:p>
        </w:tc>
        <w:tc>
          <w:tcPr>
            <w:tcW w:w="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$ 3</w:t>
            </w: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$228</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w:t>
            </w: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Earnings before interest and taxes</w:t>
            </w: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w w:val="99"/>
              </w:rPr>
              <w:t>EBIT(a).................................</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7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259" w:hanging="450"/>
        <w:spacing w:after="0" w:line="238"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(See Note 3.) EBIT is defined as income (loss) from operations excluding merger and acquisition related costs, asset impairments and unusual items.</w:t>
      </w:r>
    </w:p>
    <w:p>
      <w:pPr>
        <w:sectPr>
          <w:pgSz w:w="11900" w:h="16838" w:orient="portrait"/>
          <w:cols w:equalWidth="0" w:num="1">
            <w:col w:w="10229"/>
          </w:cols>
          <w:pgMar w:left="230" w:top="283" w:right="1440" w:bottom="1440" w:gutter="0" w:footer="0" w:header="0"/>
        </w:sectPr>
      </w:pPr>
    </w:p>
    <w:p>
      <w:pPr>
        <w:spacing w:after="0" w:line="170"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9"/>
          </w:cols>
          <w:pgMar w:left="230" w:top="283" w:right="1440" w:bottom="1440" w:gutter="0" w:footer="0" w:header="0"/>
          <w:type w:val="continuous"/>
        </w:sectPr>
      </w:pPr>
    </w:p>
    <w:bookmarkStart w:id="77" w:name="page78"/>
    <w:bookmarkEnd w:id="77"/>
    <w:p>
      <w:pPr>
        <w:ind w:left="270"/>
        <w:spacing w:after="0"/>
        <w:rPr>
          <w:sz w:val="20"/>
          <w:szCs w:val="20"/>
          <w:color w:val="auto"/>
        </w:rPr>
      </w:pPr>
      <w:r>
        <w:rPr>
          <w:rFonts w:ascii="Courier New" w:cs="Courier New" w:eastAsia="Courier New" w:hAnsi="Courier New"/>
          <w:sz w:val="15"/>
          <w:szCs w:val="15"/>
          <w:color w:val="auto"/>
        </w:rPr>
        <w:t>74</w:t>
      </w: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In its consolidated balance sheets, the Company has classified as current operations held-for-sale its remaining WM International operations, its remaining non-core operations and select NASW operations, which management believes will be divested prior to December 31, 2001. The Company has classified its surplus real estate portfolio as non-current operations held-for-sale.</w:t>
      </w:r>
    </w:p>
    <w:p>
      <w:pPr>
        <w:spacing w:after="0" w:line="200" w:lineRule="exact"/>
        <w:rPr>
          <w:sz w:val="20"/>
          <w:szCs w:val="20"/>
          <w:color w:val="auto"/>
        </w:rPr>
      </w:pP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NORTH AMERICAN</w:t>
            </w:r>
          </w:p>
        </w:tc>
        <w:tc>
          <w:tcPr>
            <w:tcW w:w="560" w:type="dxa"/>
            <w:vAlign w:val="bottom"/>
          </w:tcPr>
          <w:p>
            <w:pPr>
              <w:spacing w:after="0"/>
              <w:rPr>
                <w:sz w:val="14"/>
                <w:szCs w:val="14"/>
                <w:color w:val="auto"/>
              </w:rPr>
            </w:pPr>
          </w:p>
        </w:tc>
        <w:tc>
          <w:tcPr>
            <w:tcW w:w="8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WM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6"/>
              </w:rPr>
              <w:t>NON-SOLID</w:t>
            </w:r>
          </w:p>
        </w:tc>
        <w:tc>
          <w:tcPr>
            <w:tcW w:w="66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SOLID WASTE</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INTERNATIONAL</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40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AS OF DECEMBER 31, 2000:</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 net.........................</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$ 10</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84</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Other current assets.............................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 non-current</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53</w:t>
            </w:r>
          </w:p>
        </w:tc>
        <w:tc>
          <w:tcPr>
            <w:tcW w:w="560" w:type="dxa"/>
            <w:vAlign w:val="bottom"/>
          </w:tcPr>
          <w:p>
            <w:pPr>
              <w:spacing w:after="0"/>
              <w:rPr>
                <w:sz w:val="14"/>
                <w:szCs w:val="14"/>
                <w:color w:val="auto"/>
              </w:rPr>
            </w:pP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46</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Other current liabilities........................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(45)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Other noncurrent liabilities.....................</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440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operations held-for-sale...........</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$ 180</w:t>
            </w:r>
          </w:p>
        </w:tc>
      </w:tr>
      <w:tr>
        <w:trPr>
          <w:trHeight w:val="170"/>
        </w:trPr>
        <w:tc>
          <w:tcPr>
            <w:tcW w:w="440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Operations held-for-sale.......................</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$ 58</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$ 289</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Operations held-for-sale (included in other</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w:t>
            </w:r>
          </w:p>
        </w:tc>
        <w:tc>
          <w:tcPr>
            <w:tcW w:w="560" w:type="dxa"/>
            <w:vAlign w:val="bottom"/>
          </w:tcPr>
          <w:p>
            <w:pPr>
              <w:spacing w:after="0"/>
              <w:rPr>
                <w:sz w:val="14"/>
                <w:szCs w:val="14"/>
                <w:color w:val="auto"/>
              </w:rPr>
            </w:pP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Operations held-for-sale.......................</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(52)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0"/>
        </w:trPr>
        <w:tc>
          <w:tcPr>
            <w:tcW w:w="440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operations held-for-sale...........</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$ 180</w:t>
            </w:r>
          </w:p>
        </w:tc>
      </w:tr>
      <w:tr>
        <w:trPr>
          <w:trHeight w:val="170"/>
        </w:trPr>
        <w:tc>
          <w:tcPr>
            <w:tcW w:w="4400" w:type="dxa"/>
            <w:vAlign w:val="bottom"/>
          </w:tcPr>
          <w:p>
            <w:pPr>
              <w:spacing w:after="0"/>
              <w:rPr>
                <w:sz w:val="14"/>
                <w:szCs w:val="14"/>
                <w:color w:val="auto"/>
              </w:rPr>
            </w:pP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359" w:firstLine="441"/>
        <w:spacing w:after="0" w:line="237" w:lineRule="auto"/>
        <w:rPr>
          <w:sz w:val="20"/>
          <w:szCs w:val="20"/>
          <w:color w:val="auto"/>
        </w:rPr>
      </w:pPr>
      <w:r>
        <w:rPr>
          <w:rFonts w:ascii="Courier New" w:cs="Courier New" w:eastAsia="Courier New" w:hAnsi="Courier New"/>
          <w:sz w:val="15"/>
          <w:szCs w:val="15"/>
          <w:color w:val="auto"/>
        </w:rPr>
        <w:t>Operational information included in the statement of operations regarding the businesses classified as operations held-for-sale at December 31, 1999,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NORTH AMERICAN</w:t>
            </w:r>
          </w:p>
        </w:tc>
        <w:tc>
          <w:tcPr>
            <w:tcW w:w="1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66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SOLID WASTE</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INTERNATIONAL</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300" w:type="dxa"/>
            <w:vAlign w:val="bottom"/>
          </w:tcPr>
          <w:p>
            <w:pPr>
              <w:spacing w:after="0"/>
              <w:rPr>
                <w:sz w:val="14"/>
                <w:szCs w:val="14"/>
                <w:color w:val="auto"/>
              </w:rPr>
            </w:pPr>
          </w:p>
        </w:tc>
        <w:tc>
          <w:tcPr>
            <w:tcW w:w="14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4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$541</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$1,651</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$2,480</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Earnings before interest and taxes(a).........</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4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$522</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$1,534</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$2,361</w:t>
            </w: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Earnings before interest and taxes(a).........</w:t>
            </w:r>
          </w:p>
        </w:tc>
        <w:tc>
          <w:tcPr>
            <w:tcW w:w="14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21</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259" w:hanging="450"/>
        <w:spacing w:after="0" w:line="238" w:lineRule="auto"/>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(See Note 3.) EBIT is defined as income (loss) from operations excluding merger and acquisition related costs, asset impairments and unusual items.</w:t>
      </w:r>
    </w:p>
    <w:p>
      <w:pPr>
        <w:spacing w:after="0" w:line="170"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9"/>
          </w:cols>
          <w:pgMar w:left="230" w:top="28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75</w:t>
      </w:r>
    </w:p>
    <w:tbl>
      <w:tblPr>
        <w:tblLayout w:type="fixed"/>
        <w:tblInd w:w="0" w:type="dxa"/>
        <w:tblCellMar>
          <w:top w:w="0" w:type="dxa"/>
          <w:left w:w="0" w:type="dxa"/>
          <w:bottom w:w="0" w:type="dxa"/>
          <w:right w:w="0" w:type="dxa"/>
        </w:tblCellMar>
      </w:tblPr>
      <w:tr>
        <w:trPr>
          <w:trHeight w:val="170"/>
        </w:trPr>
        <w:tc>
          <w:tcPr>
            <w:tcW w:w="4660" w:type="dxa"/>
            <w:vAlign w:val="bottom"/>
          </w:tcPr>
          <w:p>
            <w:pPr>
              <w:ind w:left="2540"/>
              <w:spacing w:after="0"/>
              <w:rPr>
                <w:sz w:val="20"/>
                <w:szCs w:val="20"/>
                <w:color w:val="auto"/>
              </w:rPr>
            </w:pPr>
            <w:r>
              <w:rPr>
                <w:rFonts w:ascii="Courier New" w:cs="Courier New" w:eastAsia="Courier New" w:hAnsi="Courier New"/>
                <w:sz w:val="15"/>
                <w:szCs w:val="15"/>
                <w:color w:val="auto"/>
              </w:rPr>
              <w:t>WASTE MANAGEMENT, INC.</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612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NOTES TO CONSOLIDATED FINANCIAL STATEMENTS -- (CONTINUED)</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75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At December 31, 1999, the Company classified as current operations held for</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7520" w:type="dxa"/>
            <w:vAlign w:val="bottom"/>
            <w:gridSpan w:val="4"/>
          </w:tcPr>
          <w:p>
            <w:pPr>
              <w:spacing w:after="0"/>
              <w:rPr>
                <w:sz w:val="20"/>
                <w:szCs w:val="20"/>
                <w:color w:val="auto"/>
              </w:rPr>
            </w:pPr>
            <w:r>
              <w:rPr>
                <w:rFonts w:ascii="Courier New" w:cs="Courier New" w:eastAsia="Courier New" w:hAnsi="Courier New"/>
                <w:sz w:val="15"/>
                <w:szCs w:val="15"/>
                <w:color w:val="auto"/>
              </w:rPr>
              <w:t>sale its WM International operations and certain domestic operations, which</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7"/>
              </w:rPr>
              <w:t>management believed would be divested prior to December 31,</w:t>
            </w:r>
          </w:p>
        </w:tc>
        <w:tc>
          <w:tcPr>
            <w:tcW w:w="232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2000. The Company</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520" w:type="dxa"/>
            <w:vAlign w:val="bottom"/>
            <w:gridSpan w:val="4"/>
          </w:tcPr>
          <w:p>
            <w:pPr>
              <w:spacing w:after="0"/>
              <w:rPr>
                <w:sz w:val="20"/>
                <w:szCs w:val="20"/>
                <w:color w:val="auto"/>
              </w:rPr>
            </w:pPr>
            <w:r>
              <w:rPr>
                <w:rFonts w:ascii="Courier New" w:cs="Courier New" w:eastAsia="Courier New" w:hAnsi="Courier New"/>
                <w:sz w:val="15"/>
                <w:szCs w:val="15"/>
                <w:color w:val="auto"/>
              </w:rPr>
              <w:t>classified as non-current operations held-for-sale certain NASW operations which</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520" w:type="dxa"/>
            <w:vAlign w:val="bottom"/>
            <w:gridSpan w:val="4"/>
          </w:tcPr>
          <w:p>
            <w:pPr>
              <w:spacing w:after="0"/>
              <w:rPr>
                <w:sz w:val="20"/>
                <w:szCs w:val="20"/>
                <w:color w:val="auto"/>
              </w:rPr>
            </w:pPr>
            <w:r>
              <w:rPr>
                <w:rFonts w:ascii="Courier New" w:cs="Courier New" w:eastAsia="Courier New" w:hAnsi="Courier New"/>
                <w:sz w:val="15"/>
                <w:szCs w:val="15"/>
                <w:color w:val="auto"/>
              </w:rPr>
              <w:t>the Company had committed to sell to Allied Waste Industries, Inc. ("Allied") in</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520" w:type="dxa"/>
            <w:vAlign w:val="bottom"/>
            <w:gridSpan w:val="4"/>
          </w:tcPr>
          <w:p>
            <w:pPr>
              <w:spacing w:after="0"/>
              <w:rPr>
                <w:sz w:val="20"/>
                <w:szCs w:val="20"/>
                <w:color w:val="auto"/>
              </w:rPr>
            </w:pPr>
            <w:r>
              <w:rPr>
                <w:rFonts w:ascii="Courier New" w:cs="Courier New" w:eastAsia="Courier New" w:hAnsi="Courier New"/>
                <w:sz w:val="15"/>
                <w:szCs w:val="15"/>
                <w:color w:val="auto"/>
              </w:rPr>
              <w:t>connection with the Company's purchase of certain of Allied's operations, as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well as the Company's surplus real estate portfolio.</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4660" w:type="dxa"/>
            <w:vAlign w:val="bottom"/>
          </w:tcPr>
          <w:p>
            <w:pPr>
              <w:spacing w:after="0"/>
              <w:rPr>
                <w:sz w:val="24"/>
                <w:szCs w:val="2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NORTH AMERICAN</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WM</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NON-SOLID</w:t>
            </w:r>
          </w:p>
        </w:tc>
        <w:tc>
          <w:tcPr>
            <w:tcW w:w="840" w:type="dxa"/>
            <w:vAlign w:val="bottom"/>
          </w:tcPr>
          <w:p>
            <w:pPr>
              <w:spacing w:after="0"/>
              <w:rPr>
                <w:sz w:val="24"/>
                <w:szCs w:val="24"/>
                <w:color w:val="auto"/>
              </w:rPr>
            </w:pPr>
          </w:p>
        </w:tc>
      </w:tr>
      <w:tr>
        <w:trPr>
          <w:trHeight w:val="170"/>
        </w:trPr>
        <w:tc>
          <w:tcPr>
            <w:tcW w:w="4660" w:type="dxa"/>
            <w:vAlign w:val="bottom"/>
          </w:tcPr>
          <w:p>
            <w:pPr>
              <w:spacing w:after="0"/>
              <w:rPr>
                <w:sz w:val="14"/>
                <w:szCs w:val="14"/>
                <w:color w:val="auto"/>
              </w:rPr>
            </w:pPr>
          </w:p>
        </w:tc>
        <w:tc>
          <w:tcPr>
            <w:tcW w:w="14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SOLID WASTE</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INTERNATIONAL</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66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AS OF DECEMBER 31, 1999:</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Receivables, net....................................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364</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434</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Other current assets................................</w:t>
            </w:r>
          </w:p>
        </w:tc>
        <w:tc>
          <w:tcPr>
            <w:tcW w:w="54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209</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Property and equipment and other non-current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w:t>
            </w:r>
          </w:p>
        </w:tc>
        <w:tc>
          <w:tcPr>
            <w:tcW w:w="54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737</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2,272</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3,117</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Current maturities of long-term debt................</w:t>
            </w:r>
          </w:p>
        </w:tc>
        <w:tc>
          <w:tcPr>
            <w:tcW w:w="5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Other current liabilities...........................</w:t>
            </w:r>
          </w:p>
        </w:tc>
        <w:tc>
          <w:tcPr>
            <w:tcW w:w="5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(568)</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Long-term debt, less current maturities.............</w:t>
            </w:r>
          </w:p>
        </w:tc>
        <w:tc>
          <w:tcPr>
            <w:tcW w:w="5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Other noncurrent liabilities........................</w:t>
            </w:r>
          </w:p>
        </w:tc>
        <w:tc>
          <w:tcPr>
            <w:tcW w:w="5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(347)</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Minority interest...................................</w:t>
            </w:r>
          </w:p>
        </w:tc>
        <w:tc>
          <w:tcPr>
            <w:tcW w:w="54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0"/>
        </w:trPr>
        <w:tc>
          <w:tcPr>
            <w:tcW w:w="46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operations held-for-sale..............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666</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$ 1,634</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$ 2,377</w:t>
            </w:r>
          </w:p>
        </w:tc>
      </w:tr>
      <w:tr>
        <w:trPr>
          <w:trHeight w:val="170"/>
        </w:trPr>
        <w:tc>
          <w:tcPr>
            <w:tcW w:w="46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Operations held-for-sale..........................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535</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$ 2,845</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$ 3,536</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Long-term assets:</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Operations held-for-sale (included in other</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w:t>
            </w:r>
          </w:p>
        </w:tc>
        <w:tc>
          <w:tcPr>
            <w:tcW w:w="540" w:type="dxa"/>
            <w:vAlign w:val="bottom"/>
          </w:tcPr>
          <w:p>
            <w:pPr>
              <w:spacing w:after="0"/>
              <w:rPr>
                <w:sz w:val="14"/>
                <w:szCs w:val="1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253</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Operations held-for-sale..........................</w:t>
            </w:r>
          </w:p>
        </w:tc>
        <w:tc>
          <w:tcPr>
            <w:tcW w:w="5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(118)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(1,211)</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(1,408)</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Operations held-for-sale (included in other</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w:t>
            </w:r>
          </w:p>
        </w:tc>
        <w:tc>
          <w:tcPr>
            <w:tcW w:w="5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46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operations held-for-sale..............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666</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$ 1,634</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$ 77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$ 2,377</w:t>
            </w:r>
          </w:p>
        </w:tc>
      </w:tr>
      <w:tr>
        <w:trPr>
          <w:trHeight w:val="170"/>
        </w:trPr>
        <w:tc>
          <w:tcPr>
            <w:tcW w:w="4660" w:type="dxa"/>
            <w:vAlign w:val="bottom"/>
          </w:tcPr>
          <w:p>
            <w:pPr>
              <w:spacing w:after="0"/>
              <w:rPr>
                <w:sz w:val="14"/>
                <w:szCs w:val="14"/>
                <w:color w:val="auto"/>
              </w:rPr>
            </w:pPr>
          </w:p>
        </w:tc>
        <w:tc>
          <w:tcPr>
            <w:tcW w:w="14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At December 31, 1998, the Company planned to dispose of certain assets to comply with governmental orders related to the WM Holdings Merger and Eastern Merger and certain other assets as a result of implementing the business strategy related to the WM Holdings Merger and thus, classified these assets as current assets held-for-sale. These businesses' results of operations are fully included in revenues and expenses in the 1998 statement of operations and generated third-party operating revenues of approximately $373 and earnings before interest and taxes of approximately $21 in 1998. As discussed in Notes 4 and 16, the Company recorded charges to write these assets down to fair value, less costs to sell.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QUARTERLY FINANCIAL DATA (UNAUDITED)</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independent public accountants' report on these financial statements indicates that in 1999 they did not believe that the Company's internal controls for the preparation of interim financial information were sufficient to provide them an adequate basis to complete a review in accordance with standards established by the American Institute of Certified Public Accountants of the selected 1999 quarterly financial data, set forth below. See Note 2.</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the processes it used for the preparation of its quarterly 2000 interim financial statements have improved. In addition, the Company has committed substantial resources to mitigate the previously identified control weaknesses. Management believes these efforts enabled the Company to produce timely and reliable interim financial statements for quarters during 2000.</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76</w:t>
      </w:r>
    </w:p>
    <w:tbl>
      <w:tblPr>
        <w:tblLayout w:type="fixed"/>
        <w:tblInd w:w="0" w:type="dxa"/>
        <w:tblCellMar>
          <w:top w:w="0" w:type="dxa"/>
          <w:left w:w="0" w:type="dxa"/>
          <w:bottom w:w="0" w:type="dxa"/>
          <w:right w:w="0" w:type="dxa"/>
        </w:tblCellMar>
      </w:tblP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WASTE MANAGEMENT, INC.</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(CONTINUED)</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9"/>
        </w:trPr>
        <w:tc>
          <w:tcPr>
            <w:tcW w:w="630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The following table summarizes the unaudited quarterly results of</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operations for 2000 and 1999:</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8"/>
        </w:trPr>
        <w:tc>
          <w:tcPr>
            <w:tcW w:w="46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FIRST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SECOND</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THIRD</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46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QUARTER</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QUARTER</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QUARTER</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QUARTER</w:t>
            </w:r>
          </w:p>
        </w:tc>
      </w:tr>
      <w:tr>
        <w:trPr>
          <w:trHeight w:val="170"/>
        </w:trPr>
        <w:tc>
          <w:tcPr>
            <w:tcW w:w="46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revenues.................................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$3,217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$2,884</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from operations.............................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revenues.................................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$3,071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$3,325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$3,395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$3,336</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(loss) from operations......................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(loss) before extraordinary item............</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(loss)..................................</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per common</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660" w:type="dxa"/>
            <w:vAlign w:val="bottom"/>
          </w:tcPr>
          <w:p>
            <w:pPr>
              <w:jc w:val="right"/>
              <w:ind w:right="3887"/>
              <w:spacing w:after="0"/>
              <w:rPr>
                <w:sz w:val="20"/>
                <w:szCs w:val="20"/>
                <w:color w:val="auto"/>
              </w:rPr>
            </w:pPr>
            <w:r>
              <w:rPr>
                <w:rFonts w:ascii="Courier New" w:cs="Courier New" w:eastAsia="Courier New" w:hAnsi="Courier New"/>
                <w:sz w:val="15"/>
                <w:szCs w:val="15"/>
                <w:color w:val="auto"/>
              </w:rPr>
              <w:t>share:</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Basic............................................</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0"/>
        </w:trPr>
        <w:tc>
          <w:tcPr>
            <w:tcW w:w="4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 For certain periods presented, the effect of the Company's common stock options and warrants and the effect of the Company's convertible subordinated notes and debentures are excluded from the diluted earnings per share calculations since inclusion of such items would be antidilutive for that period.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CONDENSED CONSOLIDATING FINANCIAL STATEMENTS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WM Holdings ("Guarantor"), which is 100% owned by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condensed consolidating balance sheets as of December 31, 2000 and 1999 and the related condensed consolidating statements of operations for 2000, 1999 and 1998, along with the related statements of cash flows, have been provided below.</w:t>
      </w:r>
    </w:p>
    <w:p>
      <w:pPr>
        <w:spacing w:after="0" w:line="16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77</w:t>
      </w:r>
    </w:p>
    <w:tbl>
      <w:tblPr>
        <w:tblLayout w:type="fixed"/>
        <w:tblInd w:w="0" w:type="dxa"/>
        <w:tblCellMar>
          <w:top w:w="0" w:type="dxa"/>
          <w:left w:w="0" w:type="dxa"/>
          <w:bottom w:w="0" w:type="dxa"/>
          <w:right w:w="0" w:type="dxa"/>
        </w:tblCellMar>
      </w:tblPr>
      <w:tr>
        <w:trPr>
          <w:trHeight w:val="170"/>
        </w:trPr>
        <w:tc>
          <w:tcPr>
            <w:tcW w:w="4980" w:type="dxa"/>
            <w:vAlign w:val="bottom"/>
            <w:gridSpan w:val="3"/>
          </w:tcPr>
          <w:p>
            <w:pPr>
              <w:jc w:val="center"/>
              <w:ind w:left="1967"/>
              <w:spacing w:after="0"/>
              <w:rPr>
                <w:sz w:val="20"/>
                <w:szCs w:val="20"/>
                <w:color w:val="auto"/>
              </w:rPr>
            </w:pPr>
            <w:r>
              <w:rPr>
                <w:rFonts w:ascii="Courier New" w:cs="Courier New" w:eastAsia="Courier New" w:hAnsi="Courier New"/>
                <w:sz w:val="15"/>
                <w:szCs w:val="15"/>
                <w:color w:val="auto"/>
                <w:w w:val="97"/>
              </w:rPr>
              <w:t>WASTE MANAGEMENT, INC.</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498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(CONTINUED)</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5280" w:type="dxa"/>
            <w:vAlign w:val="bottom"/>
            <w:gridSpan w:val="4"/>
          </w:tcPr>
          <w:p>
            <w:pPr>
              <w:jc w:val="center"/>
              <w:ind w:left="1687"/>
              <w:spacing w:after="0"/>
              <w:rPr>
                <w:sz w:val="20"/>
                <w:szCs w:val="20"/>
                <w:color w:val="auto"/>
              </w:rPr>
            </w:pPr>
            <w:r>
              <w:rPr>
                <w:rFonts w:ascii="Courier New" w:cs="Courier New" w:eastAsia="Courier New" w:hAnsi="Courier New"/>
                <w:sz w:val="15"/>
                <w:szCs w:val="15"/>
                <w:color w:val="auto"/>
                <w:w w:val="98"/>
              </w:rPr>
              <w:t>CONDENSED CONSOLIDATING BALANCE SHEETS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220" w:type="dxa"/>
            <w:vAlign w:val="bottom"/>
          </w:tcPr>
          <w:p>
            <w:pPr>
              <w:ind w:left="2720"/>
              <w:spacing w:after="0"/>
              <w:rPr>
                <w:sz w:val="20"/>
                <w:szCs w:val="20"/>
                <w:color w:val="auto"/>
              </w:rPr>
            </w:pPr>
            <w:r>
              <w:rPr>
                <w:rFonts w:ascii="Courier New" w:cs="Courier New" w:eastAsia="Courier New" w:hAnsi="Courier New"/>
                <w:sz w:val="15"/>
                <w:szCs w:val="15"/>
                <w:color w:val="auto"/>
                <w:w w:val="96"/>
              </w:rPr>
              <w:t>DECEMBER 31, 2000</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4220" w:type="dxa"/>
            <w:vAlign w:val="bottom"/>
          </w:tcPr>
          <w:p>
            <w:pPr>
              <w:jc w:val="center"/>
              <w:ind w:left="2747"/>
              <w:spacing w:after="0"/>
              <w:rPr>
                <w:sz w:val="20"/>
                <w:szCs w:val="20"/>
                <w:color w:val="auto"/>
              </w:rPr>
            </w:pPr>
            <w:r>
              <w:rPr>
                <w:rFonts w:ascii="Courier New" w:cs="Courier New" w:eastAsia="Courier New" w:hAnsi="Courier New"/>
                <w:sz w:val="15"/>
                <w:szCs w:val="15"/>
                <w:color w:val="auto"/>
                <w:w w:val="96"/>
              </w:rPr>
              <w:t>ASSETS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8"/>
        </w:trPr>
        <w:tc>
          <w:tcPr>
            <w:tcW w:w="4220" w:type="dxa"/>
            <w:vAlign w:val="bottom"/>
          </w:tcPr>
          <w:p>
            <w:pPr>
              <w:spacing w:after="0"/>
              <w:rPr>
                <w:sz w:val="24"/>
                <w:szCs w:val="24"/>
                <w:color w:val="auto"/>
              </w:rPr>
            </w:pPr>
          </w:p>
        </w:tc>
        <w:tc>
          <w:tcPr>
            <w:tcW w:w="58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9"/>
              </w:rPr>
              <w:t>PARENT   GUARANTOR   NON-GUARANTOR   ELIMINATIONS   CONSOLIDATION</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w:t>
            </w: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2,363</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2,363</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2,371</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Property and equipment, net....................</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10,126</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10,126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Intercompany and investment in subsidiaries....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8,893</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5,210</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(9,716)</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(4,387)</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5,969</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5,982</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ind w:left="780"/>
              <w:spacing w:after="0"/>
              <w:rPr>
                <w:sz w:val="20"/>
                <w:szCs w:val="20"/>
                <w:color w:val="auto"/>
              </w:rPr>
            </w:pPr>
            <w:r>
              <w:rPr>
                <w:rFonts w:ascii="Courier New" w:cs="Courier New" w:eastAsia="Courier New" w:hAnsi="Courier New"/>
                <w:sz w:val="15"/>
                <w:szCs w:val="15"/>
                <w:color w:val="auto"/>
                <w:w w:val="99"/>
              </w:rPr>
              <w:t>Total assets..........................</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$8,971</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$5,231</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$8,750</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$(4,387)</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$18,565</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7440" w:type="dxa"/>
            <w:vAlign w:val="bottom"/>
            <w:gridSpan w:val="7"/>
          </w:tcPr>
          <w:p>
            <w:pPr>
              <w:jc w:val="right"/>
              <w:ind w:right="767"/>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long-term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other accrued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w w:val="99"/>
              </w:rPr>
              <w:t>liabilities................................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2,617</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2,824</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2,730</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Long-term debt, less current maturities........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4,077</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2,916</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1,379</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8,372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Other liabilities..............................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2,440</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2,440</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ind w:left="780"/>
              <w:spacing w:after="0"/>
              <w:rPr>
                <w:sz w:val="20"/>
                <w:szCs w:val="20"/>
                <w:color w:val="auto"/>
              </w:rPr>
            </w:pPr>
            <w:r>
              <w:rPr>
                <w:rFonts w:ascii="Courier New" w:cs="Courier New" w:eastAsia="Courier New" w:hAnsi="Courier New"/>
                <w:sz w:val="15"/>
                <w:szCs w:val="15"/>
                <w:color w:val="auto"/>
                <w:w w:val="99"/>
              </w:rPr>
              <w:t>Total liabilities.....................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4,170</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3,030</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6,549</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13,749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4,801</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2,201</w:t>
            </w:r>
          </w:p>
        </w:tc>
        <w:tc>
          <w:tcPr>
            <w:tcW w:w="4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2,186</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(4,387)</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4,801</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 and stockholders'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220" w:type="dxa"/>
            <w:vAlign w:val="bottom"/>
          </w:tcPr>
          <w:p>
            <w:pPr>
              <w:ind w:left="960"/>
              <w:spacing w:after="0"/>
              <w:rPr>
                <w:sz w:val="20"/>
                <w:szCs w:val="20"/>
                <w:color w:val="auto"/>
              </w:rPr>
            </w:pPr>
            <w:r>
              <w:rPr>
                <w:rFonts w:ascii="Courier New" w:cs="Courier New" w:eastAsia="Courier New" w:hAnsi="Courier New"/>
                <w:sz w:val="15"/>
                <w:szCs w:val="15"/>
                <w:color w:val="auto"/>
                <w:w w:val="99"/>
              </w:rPr>
              <w:t>equity..............................</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$8,971</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$5,231</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$8,750</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$(4,387)</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$18,565</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4220" w:type="dxa"/>
            <w:vAlign w:val="bottom"/>
          </w:tcPr>
          <w:p>
            <w:pPr>
              <w:ind w:left="2720"/>
              <w:spacing w:after="0"/>
              <w:rPr>
                <w:sz w:val="20"/>
                <w:szCs w:val="20"/>
                <w:color w:val="auto"/>
              </w:rPr>
            </w:pPr>
            <w:r>
              <w:rPr>
                <w:rFonts w:ascii="Courier New" w:cs="Courier New" w:eastAsia="Courier New" w:hAnsi="Courier New"/>
                <w:sz w:val="15"/>
                <w:szCs w:val="15"/>
                <w:color w:val="auto"/>
                <w:w w:val="96"/>
              </w:rPr>
              <w:t>DECEMBER 31, 1999</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4220" w:type="dxa"/>
            <w:vAlign w:val="bottom"/>
          </w:tcPr>
          <w:p>
            <w:pPr>
              <w:jc w:val="center"/>
              <w:ind w:left="2747"/>
              <w:spacing w:after="0"/>
              <w:rPr>
                <w:sz w:val="20"/>
                <w:szCs w:val="20"/>
                <w:color w:val="auto"/>
              </w:rPr>
            </w:pPr>
            <w:r>
              <w:rPr>
                <w:rFonts w:ascii="Courier New" w:cs="Courier New" w:eastAsia="Courier New" w:hAnsi="Courier New"/>
                <w:sz w:val="15"/>
                <w:szCs w:val="15"/>
                <w:color w:val="auto"/>
                <w:w w:val="96"/>
              </w:rPr>
              <w:t>ASSETS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8"/>
        </w:trPr>
        <w:tc>
          <w:tcPr>
            <w:tcW w:w="42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PARENT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GUARANTOR</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NON-GUARANTOR</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ELIMINATIONS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6,003</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6,040</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6,146</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6,221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10,304</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10,304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Intercompany and investment in subsidiaries...</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10,668</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5,940</w:t>
            </w: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(13,140)</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(3,468)</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6,120</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6,156</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ind w:left="780"/>
              <w:spacing w:after="0"/>
              <w:rPr>
                <w:sz w:val="20"/>
                <w:szCs w:val="20"/>
                <w:color w:val="auto"/>
              </w:rPr>
            </w:pPr>
            <w:r>
              <w:rPr>
                <w:rFonts w:ascii="Courier New" w:cs="Courier New" w:eastAsia="Courier New" w:hAnsi="Courier New"/>
                <w:sz w:val="15"/>
                <w:szCs w:val="15"/>
                <w:color w:val="auto"/>
              </w:rPr>
              <w:t>Total assets.........................</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$10,729</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$5,990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9,430</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$(3,468)</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$22,681</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7440" w:type="dxa"/>
            <w:vAlign w:val="bottom"/>
            <w:gridSpan w:val="7"/>
          </w:tcPr>
          <w:p>
            <w:pPr>
              <w:jc w:val="right"/>
              <w:ind w:right="767"/>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Current maturities of long-term debt........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$ 2,272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$ 3,099</w:t>
            </w: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 and other accrued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326</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3,964</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4,391</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2,373</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576</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4,541</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7,490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3,954</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3,508</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937</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8,399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2,382</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2,382</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6,327</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4,084</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7,860</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18,271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Minority interest in subsidiaries.............</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4,402</w:t>
            </w:r>
          </w:p>
        </w:tc>
        <w:tc>
          <w:tcPr>
            <w:tcW w:w="3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1,906</w:t>
            </w:r>
          </w:p>
        </w:tc>
        <w:tc>
          <w:tcPr>
            <w:tcW w:w="4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1,562</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(3,468)</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4,402</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 and stockholders'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220" w:type="dxa"/>
            <w:vAlign w:val="bottom"/>
          </w:tcPr>
          <w:p>
            <w:pPr>
              <w:ind w:left="960"/>
              <w:spacing w:after="0"/>
              <w:rPr>
                <w:sz w:val="20"/>
                <w:szCs w:val="20"/>
                <w:color w:val="auto"/>
              </w:rPr>
            </w:pPr>
            <w:r>
              <w:rPr>
                <w:rFonts w:ascii="Courier New" w:cs="Courier New" w:eastAsia="Courier New" w:hAnsi="Courier New"/>
                <w:sz w:val="15"/>
                <w:szCs w:val="15"/>
                <w:color w:val="auto"/>
              </w:rPr>
              <w:t>equity.............................</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$10,729</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$5,990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9,430</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$(3,468)</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$22,681</w:t>
            </w:r>
          </w:p>
        </w:tc>
      </w:tr>
      <w:tr>
        <w:trPr>
          <w:trHeight w:val="170"/>
        </w:trPr>
        <w:tc>
          <w:tcPr>
            <w:tcW w:w="4220" w:type="dxa"/>
            <w:vAlign w:val="bottom"/>
          </w:tcPr>
          <w:p>
            <w:pPr>
              <w:spacing w:after="0"/>
              <w:rPr>
                <w:sz w:val="14"/>
                <w:szCs w:val="14"/>
                <w:color w:val="auto"/>
              </w:rPr>
            </w:pP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904" w:gutter="0" w:footer="0" w:header="0"/>
        </w:sectPr>
      </w:pPr>
    </w:p>
    <w:p>
      <w:pPr>
        <w:spacing w:after="0" w:line="1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3" w:right="1440" w:bottom="904"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78</w:t>
      </w:r>
    </w:p>
    <w:tbl>
      <w:tblPr>
        <w:tblLayout w:type="fixed"/>
        <w:tblInd w:w="0" w:type="dxa"/>
        <w:tblCellMar>
          <w:top w:w="0" w:type="dxa"/>
          <w:left w:w="0" w:type="dxa"/>
          <w:bottom w:w="0" w:type="dxa"/>
          <w:right w:w="0" w:type="dxa"/>
        </w:tblCellMar>
      </w:tblPr>
      <w:tr>
        <w:trPr>
          <w:trHeight w:val="170"/>
        </w:trPr>
        <w:tc>
          <w:tcPr>
            <w:tcW w:w="4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WASTE MANAGEMENT, INC.</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(CONTINUED)</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5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CONDENSED CONSOLIDATING STATEMENTS OF OPERATIONS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8"/>
        </w:trPr>
        <w:tc>
          <w:tcPr>
            <w:tcW w:w="4920" w:type="dxa"/>
            <w:vAlign w:val="bottom"/>
          </w:tcPr>
          <w:p>
            <w:pPr>
              <w:spacing w:after="0"/>
              <w:rPr>
                <w:sz w:val="24"/>
                <w:szCs w:val="24"/>
                <w:color w:val="auto"/>
              </w:rPr>
            </w:pPr>
          </w:p>
        </w:tc>
        <w:tc>
          <w:tcPr>
            <w:tcW w:w="574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PARENT   GUARANTOR   NON-GUARANTOR   ELIMINATIONS   CONSOLIDATION</w:t>
            </w:r>
          </w:p>
        </w:tc>
      </w:tr>
      <w:tr>
        <w:trPr>
          <w:trHeight w:val="170"/>
        </w:trPr>
        <w:tc>
          <w:tcPr>
            <w:tcW w:w="49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 ENDED DECEMBER 31, 2000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Operating revenues....................................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$12,492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$12,492</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Costs and expenses....................................</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11,454</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11,454</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Income from operations................................</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1,038</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1,038</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Interest income (expense), net......................</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(430)</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(232)</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Equity in subsidiaries, net of taxes................</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172</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317</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(489)</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Minority interest...................................</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(258)</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(489)</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(258)</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983</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(489)</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Provision for (benefit from) income taxes.............</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(161)</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666</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income (loss).....................................</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 (97)</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$ 172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317</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$(489)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848"/>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 ENDED DECEMBER 31, 1999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Operating revenues....................................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$13,127</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 --</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$13,127</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Costs and expenses....................................</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12,587</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12,587</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Income from operations................................</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540</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Interest income (expense), net......................</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(417)</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(269)</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(732)</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Equity in subsidiaries, net of taxes................</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(137)</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Minority interest...................................</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(554)</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(238)</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(703)</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extraordinary</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item................................................</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(554)</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(238)</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523</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Provision for (benefit from) income taxes.............</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(156)</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489</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Income (loss) before extraordinary item...............</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(398)</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(137)</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106</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Extraordinary item....................................</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income (loss).....................................</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$(398)</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$106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(398)</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848"/>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 ENDED DECEMBER 31, 1998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Operating revenues....................................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$12,626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$12,626</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Costs and expenses....................................</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12,786</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12,786</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Loss from operations..................................</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(160)</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Interest income (expense), net......................</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(231)</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(308)</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(116)</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(655)</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Equity in subsidiaries, net of taxes................</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(626)</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(434)</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1,060</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Minority interest...................................</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139</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(857)</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(742)</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1,060</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Loss before income taxes and extraordinary item.......</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(857)</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(742)</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(161)</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1,060</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Provision for (benefit from) income taxes.............</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(116)</w:t>
            </w:r>
          </w:p>
        </w:tc>
        <w:tc>
          <w:tcPr>
            <w:tcW w:w="5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269</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Loss before extraordinary item........................</w:t>
            </w:r>
          </w:p>
        </w:tc>
        <w:tc>
          <w:tcPr>
            <w:tcW w:w="1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(771)</w:t>
            </w:r>
          </w:p>
        </w:tc>
        <w:tc>
          <w:tcPr>
            <w:tcW w:w="30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(626)</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(430)</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1,060</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(767)</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Extraordinary item....................................</w:t>
            </w:r>
          </w:p>
        </w:tc>
        <w:tc>
          <w:tcPr>
            <w:tcW w:w="1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loss..............................................</w:t>
            </w:r>
          </w:p>
        </w:tc>
        <w:tc>
          <w:tcPr>
            <w:tcW w:w="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$(771)</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$(626)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(434)</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$1,060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(771)</w:t>
            </w:r>
          </w:p>
        </w:tc>
      </w:tr>
      <w:tr>
        <w:trPr>
          <w:trHeight w:val="170"/>
        </w:trPr>
        <w:tc>
          <w:tcPr>
            <w:tcW w:w="4920" w:type="dxa"/>
            <w:vAlign w:val="bottom"/>
          </w:tcPr>
          <w:p>
            <w:pPr>
              <w:spacing w:after="0"/>
              <w:rPr>
                <w:sz w:val="14"/>
                <w:szCs w:val="14"/>
                <w:color w:val="auto"/>
              </w:rPr>
            </w:pPr>
          </w:p>
        </w:tc>
        <w:tc>
          <w:tcPr>
            <w:tcW w:w="7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660"/>
          </w:cols>
          <w:pgMar w:left="240" w:top="283" w:right="999" w:bottom="1440" w:gutter="0" w:footer="0" w:header="0"/>
        </w:sectPr>
      </w:pPr>
    </w:p>
    <w:p>
      <w:pPr>
        <w:spacing w:after="0" w:line="1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660"/>
          </w:cols>
          <w:pgMar w:left="240" w:top="283" w:right="999" w:bottom="1440" w:gutter="0" w:footer="0" w:header="0"/>
          <w:type w:val="continuous"/>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79</w:t>
      </w:r>
    </w:p>
    <w:tbl>
      <w:tblPr>
        <w:tblLayout w:type="fixed"/>
        <w:tblInd w:w="0" w:type="dxa"/>
        <w:tblCellMar>
          <w:top w:w="0" w:type="dxa"/>
          <w:left w:w="0" w:type="dxa"/>
          <w:bottom w:w="0" w:type="dxa"/>
          <w:right w:w="0" w:type="dxa"/>
        </w:tblCellMar>
      </w:tblPr>
      <w:tr>
        <w:trPr>
          <w:trHeight w:val="170"/>
        </w:trPr>
        <w:tc>
          <w:tcPr>
            <w:tcW w:w="5020" w:type="dxa"/>
            <w:vAlign w:val="bottom"/>
          </w:tcPr>
          <w:p>
            <w:pPr>
              <w:ind w:left="2540"/>
              <w:spacing w:after="0"/>
              <w:rPr>
                <w:sz w:val="20"/>
                <w:szCs w:val="20"/>
                <w:color w:val="auto"/>
              </w:rPr>
            </w:pPr>
            <w:r>
              <w:rPr>
                <w:rFonts w:ascii="Courier New" w:cs="Courier New" w:eastAsia="Courier New" w:hAnsi="Courier New"/>
                <w:sz w:val="15"/>
                <w:szCs w:val="15"/>
                <w:color w:val="auto"/>
              </w:rPr>
              <w:t>WASTE MANAGEMENT, INC.</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5020" w:type="dxa"/>
            <w:vAlign w:val="bottom"/>
          </w:tcPr>
          <w:p>
            <w:pPr>
              <w:ind w:left="96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4"/>
              </w:rPr>
              <w:t>(CONTINUED)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6160" w:type="dxa"/>
            <w:vAlign w:val="bottom"/>
            <w:gridSpan w:val="3"/>
          </w:tcPr>
          <w:p>
            <w:pPr>
              <w:ind w:left="1400"/>
              <w:spacing w:after="0"/>
              <w:rPr>
                <w:sz w:val="20"/>
                <w:szCs w:val="20"/>
                <w:color w:val="auto"/>
              </w:rPr>
            </w:pPr>
            <w:r>
              <w:rPr>
                <w:rFonts w:ascii="Courier New" w:cs="Courier New" w:eastAsia="Courier New" w:hAnsi="Courier New"/>
                <w:sz w:val="15"/>
                <w:szCs w:val="15"/>
                <w:color w:val="auto"/>
              </w:rPr>
              <w:t>CONDENSED CONSOLIDATING STATEMENTS OF CASH FLOWS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8"/>
        </w:trPr>
        <w:tc>
          <w:tcPr>
            <w:tcW w:w="5020" w:type="dxa"/>
            <w:vAlign w:val="bottom"/>
          </w:tcPr>
          <w:p>
            <w:pPr>
              <w:spacing w:after="0"/>
              <w:rPr>
                <w:sz w:val="24"/>
                <w:szCs w:val="2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502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GUARANTOR   NON-GUARANTOR   ELIMINATIONS   CONSOLIDATION</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18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rPr>
              <w:t>YEAR ENDED DECEMBER 31, 2000</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Net income (loss)..........................................</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(97)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Equity in earnings of subsidiaries.........................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(172)</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489</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adjustments and changes..............................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2,185</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2,222</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 (used in) operations...................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(237)</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2,502</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2,125</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(1,313)</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(1,313)</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Proceeds from divestitures of businesses, net of cash</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divested, and other sales of assets......................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2,552</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2,552</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net.................................................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 investing activities...................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1,072</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1,072</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New borrowings.............................................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Debt repayments............................................</w:t>
            </w: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(2,422)</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(844)</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(331)</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(3,597)</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Exercise of common stock options and warrants..............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Cash dividends.............................................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(Increase) decrease in intercompany and intercompany</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ind w:left="260"/>
              <w:spacing w:after="0"/>
              <w:rPr>
                <w:sz w:val="20"/>
                <w:szCs w:val="20"/>
                <w:color w:val="auto"/>
              </w:rPr>
            </w:pPr>
            <w:r>
              <w:rPr>
                <w:rFonts w:ascii="Courier New" w:cs="Courier New" w:eastAsia="Courier New" w:hAnsi="Courier New"/>
                <w:sz w:val="15"/>
                <w:szCs w:val="15"/>
                <w:color w:val="auto"/>
                <w:w w:val="92"/>
              </w:rPr>
              <w:t>investments, net.........................................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2,413</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994</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(3,407)</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150</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(3,704)</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(3,279)</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equivalents..............................................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(135)</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143</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Cash and cash equivalents at end of period.................</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rPr>
              <w:t>YEAR ENDED DECEMBER 31, 1999</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Net income (loss)..........................................</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$(398)</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(137)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(398)</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Equity in earnings of subsidiaries.........................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adjustments and changes..............................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2,028</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2,087</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 (used in) operations...................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(192)</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2,059</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1,689</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(1,289)</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(1,289)</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(1,327)</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(1,327)</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Proceeds from divestitures of businesses, net of cash</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divested, and other sales of assets......................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651</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651</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net.................................................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(2,017)</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(2,017)</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New borrowings.............................................</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4,057</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189</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4,246</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Debt repayments............................................</w:t>
            </w: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(3,030)</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(576)</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(3,987)</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Exercise of common stock options and warrants..............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Cash dividends.............................................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(Increase) decrease in intercompany and intercompany</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investments, net.........................................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(999)</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612</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387</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231</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equivalents..............................................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Increase in cash and cash equivalents......................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Cash and cash equivalents at end of period.................</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rPr>
              <w:t>YEAR ENDED DECEMBER 31, 1998</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020" w:type="dxa"/>
            <w:vAlign w:val="bottom"/>
          </w:tcPr>
          <w:p>
            <w:pPr>
              <w:ind w:left="80"/>
              <w:spacing w:after="0"/>
              <w:rPr>
                <w:sz w:val="20"/>
                <w:szCs w:val="20"/>
                <w:color w:val="auto"/>
              </w:rPr>
            </w:pPr>
            <w:r>
              <w:rPr>
                <w:rFonts w:ascii="Courier New" w:cs="Courier New" w:eastAsia="Courier New" w:hAnsi="Courier New"/>
                <w:sz w:val="15"/>
                <w:szCs w:val="15"/>
                <w:color w:val="auto"/>
                <w:w w:val="92"/>
              </w:rPr>
              <w:t>Net loss...................................................</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$(771)</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(626)</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(434)</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$ 1,060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(771)</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Equity in earnings of subsidiaries.........................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626</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434</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(1,060)</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adjustments and changes..............................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2,256</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2,273</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 (used in) operations...................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(109)</w:t>
            </w:r>
          </w:p>
        </w:tc>
        <w:tc>
          <w:tcPr>
            <w:tcW w:w="300" w:type="dxa"/>
            <w:vAlign w:val="bottom"/>
          </w:tcPr>
          <w:p>
            <w:pPr>
              <w:spacing w:after="0"/>
              <w:rPr>
                <w:sz w:val="14"/>
                <w:szCs w:val="14"/>
                <w:color w:val="auto"/>
              </w:rPr>
            </w:pPr>
          </w:p>
        </w:tc>
        <w:tc>
          <w:tcPr>
            <w:tcW w:w="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1,822</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1,502</w:t>
            </w:r>
          </w:p>
        </w:tc>
      </w:tr>
      <w:tr>
        <w:trPr>
          <w:trHeight w:val="170"/>
        </w:trPr>
        <w:tc>
          <w:tcPr>
            <w:tcW w:w="5020" w:type="dxa"/>
            <w:vAlign w:val="bottom"/>
          </w:tcPr>
          <w:p>
            <w:pPr>
              <w:spacing w:after="0"/>
              <w:rPr>
                <w:sz w:val="14"/>
                <w:szCs w:val="14"/>
                <w:color w:val="auto"/>
              </w:rPr>
            </w:pP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w:t>
            </w:r>
          </w:p>
        </w:tc>
      </w:tr>
      <w:tr>
        <w:trPr>
          <w:trHeight w:val="170"/>
        </w:trPr>
        <w:tc>
          <w:tcPr>
            <w:tcW w:w="5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(1,946)</w:t>
            </w:r>
          </w:p>
        </w:tc>
        <w:tc>
          <w:tcPr>
            <w:tcW w:w="40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(1,946)</w:t>
            </w:r>
          </w:p>
        </w:tc>
      </w:tr>
    </w:tbl>
    <w:p>
      <w:pPr>
        <w:sectPr>
          <w:pgSz w:w="11900" w:h="16838" w:orient="portrait"/>
          <w:cols w:equalWidth="0" w:num="1">
            <w:col w:w="11180"/>
          </w:cols>
          <w:pgMar w:left="240" w:top="283" w:right="47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Capital expenditures.......................................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(1,651)</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(1,651)</w:t>
            </w:r>
          </w:p>
        </w:tc>
      </w:tr>
      <w:tr>
        <w:trPr>
          <w:trHeight w:val="170"/>
        </w:trPr>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Proceeds from divestitures of businesses, net of cash</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divested, and other sales of assets......................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621</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Acquisition of minority interests..........................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(1,673)</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(1,673)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Other, net.................................................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r>
      <w:tr>
        <w:trPr>
          <w:trHeight w:val="170"/>
        </w:trPr>
        <w:tc>
          <w:tcPr>
            <w:tcW w:w="53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used in investing activities.......................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(4,555)</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(4,555)</w:t>
            </w:r>
          </w:p>
        </w:tc>
      </w:tr>
      <w:tr>
        <w:trPr>
          <w:trHeight w:val="170"/>
        </w:trPr>
        <w:tc>
          <w:tcPr>
            <w:tcW w:w="53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New borrowings.............................................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5,547</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855</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Debt repayments............................................</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(2,395)</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(786)</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(1,226)</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(4,407)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Issuance of common stock...................................</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206</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Sale of treasury stock.....................................</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739</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Exercise of common stock options and warrants..............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Cash dividends.............................................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(Increase) decrease in intercompany and intercompany</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 net.........................................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(3,357)</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249</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3,108</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Other, net.................................................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0"/>
        </w:trPr>
        <w:tc>
          <w:tcPr>
            <w:tcW w:w="53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financing activities...................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2,714</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2,956</w:t>
            </w:r>
          </w:p>
        </w:tc>
      </w:tr>
      <w:tr>
        <w:trPr>
          <w:trHeight w:val="170"/>
        </w:trPr>
        <w:tc>
          <w:tcPr>
            <w:tcW w:w="53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equivalents................................................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53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133</w:t>
            </w:r>
          </w:p>
        </w:tc>
        <w:tc>
          <w:tcPr>
            <w:tcW w:w="62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w:t>
            </w:r>
          </w:p>
        </w:tc>
      </w:tr>
      <w:tr>
        <w:trPr>
          <w:trHeight w:val="170"/>
        </w:trPr>
        <w:tc>
          <w:tcPr>
            <w:tcW w:w="53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28</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(49)</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108</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53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36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77</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000"/>
          </w:cols>
          <w:pgMar w:left="240" w:top="136" w:right="659"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80</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NEW ACCOUNTING PRONOUNCEMENTS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Statement of Financial Accounting Standards ("SFAS") No. 133, "Accounting for Derivative Instruments and Hedging Activities," as amended by SFAS No. 138, "Accounting for Certain Derivative Instruments and Certain Hedging Activities -- an Amendment of FASB Statement No. 133," and SFAS No. 137, "Accounting for Derivative Instruments and Hedging Activities -- Deferral of the Effective Date of FASB Statement No. 133 -- an Amendment of FASB Statement No. 133," which deferred the effective date of SFAS 133 to fiscal years beginning after June 15, 2000, is effective for the Company as of January 1, 2001. SFAS No. 133, as amended, establishes accounting and reporting standards requiring that all derivative instruments, including certain derivative instruments embedded in other contracts, be recorded as either assets or liabilities measured at fair value. SFAS 133, as amended, requires that changes in the derivative's fair value be recognized currently in earnings unless specific hedge accounting criteria are met. The accounting for changes in the fair value of a derivative depends on the intended use of the derivative and the resulting designation. The Company adopted SFAS 133 on January 1, 2001. As of January 1, 2001, the cumulative effect of such change in accounting for derivative instruments to fair value is expected to result in a gain, net of taxes of approximately $2 million in the first quarter of 2001.</w:t>
      </w:r>
    </w:p>
    <w:p>
      <w:pPr>
        <w:spacing w:after="0" w:line="33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December 1999, the SEC released Staff Accounting Bulletin No. 101, "Revenue Recognition" ("SAB No. 101"). SAB No. 101 provides registrants guidance on the recognition, presentation and disclosure of revenue in financial statements and was required to be adopted by the Company in the fourth quarter of 2000. Since the Company's policies were already compliant with SAB No. 101, no material changes to revenue recognition occurred.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SUBSEQUENT EVENTS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has proposed a settlement to resolve a consolidated derivative action pending in the Chancery Court of the State of Delaware. The derivative action was brought against several former officers and directors of WM Holdings and seeks, among other things, reimbursement of those monies expended by WM Holdings and the Company in resolving all claims brought against WM Holdings arising out of its February 1998 restatement of earnings. The terms of the settlement include a payment to the Company of $15 by certain of WM Holdings' insurance carriers and the complete resolution of all pending claims for retirement benefits between certain former officers of WM Holdings and the Company. The resolution of the actions for retirement benefits involves the release by the former executives who brought claims against the Company for certain amounts otherwise owing under the retirement plans. The total benefits to the Company from the settlement of the derivative case is approximately $23.</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February of 2001, the Company made a public offering of $600 of 7 3/8% senior unsecured notes due August 1, 2010. Interest is payable semi-annually on February 1 and August 1. The net proceeds from the offering of the notes are approximately $593, after deducting discounts to the underwriters and estimated expenses of the offering. The Company intends to use the net proceeds, together with cash on hand, to repay in full the $200 principal amount outstanding under the 6% Senior Notes due May 15, 2001, the $200 principal amount outstanding under the 6.70% Senior Notes due May 1, 2001, and the $200 principal amount outstanding under the 7 1/8% Senior Notes due June 15, 2001. Pending application of the proceeds as described, the proceeds will be invested temporarily in short-term investments or be used to reduce short-term borrowings.</w:t>
      </w:r>
    </w:p>
    <w:p>
      <w:pPr>
        <w:spacing w:after="0" w:line="16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81</w:t>
      </w:r>
    </w:p>
    <w:p>
      <w:pPr>
        <w:spacing w:after="0" w:line="175"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concerning directors of the Company is set forth under the caption "Election of Directors" in the Company's definitive Proxy Statement for its 2001 Annual Meeting of Stockholders, to be filed pursuant to Regulation 14A under the Securities Exchange Act of 1934, as amended, and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5" w:lineRule="exact"/>
        <w:rPr>
          <w:sz w:val="20"/>
          <w:szCs w:val="20"/>
          <w:color w:val="auto"/>
        </w:rPr>
      </w:pPr>
    </w:p>
    <w:p>
      <w:pPr>
        <w:jc w:val="both"/>
        <w:ind w:right="3539" w:firstLine="441"/>
        <w:spacing w:after="0" w:line="237" w:lineRule="auto"/>
        <w:rPr>
          <w:sz w:val="20"/>
          <w:szCs w:val="20"/>
          <w:color w:val="auto"/>
        </w:rPr>
      </w:pPr>
      <w:r>
        <w:rPr>
          <w:rFonts w:ascii="Courier New" w:cs="Courier New" w:eastAsia="Courier New" w:hAnsi="Courier New"/>
          <w:sz w:val="15"/>
          <w:szCs w:val="15"/>
          <w:color w:val="auto"/>
        </w:rPr>
        <w:t>Below are the names and ages, as of December 31, 2000, of the Company's executive officers and summaries of their business experience for the past 5 years.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54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POSITIONS HELD AND BUSINESS EXPERIENCE FOR PAST FIVE YEARS</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42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A. Maurice Myers............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Chairman 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the Board, President and CEO since November</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Chairman 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the Board, President and CEO of Yellow</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April 1996 -- November 1999.</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Robert P. Damico............</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52</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Midwest Area since July 1998.</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District Manager, Division Manager and then Region Manager</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of the Mountain Region for WM Holdings from 1980 -- July</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Robert E. Dees, Jr..........</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People since May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Human Resources of AutoNation,</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Inc. 1997 -- 2000.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Human Resources of TRIARC, Inc.</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1994 -- 1996.</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Richard T. Felago...........</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President of Wheelabrator Technologies Inc. since May</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Vice President -- Marketing and Business Development of</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Wheelabrator 1996 -- May 1999.</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Jeff M. Harris..............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President of Canadian Waste Services, Inc. since November</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Division Vice President -- NYC of the Company August</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1999 -- October 1999</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Market Area</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Browning-Ferris Industries</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1996 -- August 1999.</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David R. Hopkins............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Southern Area since March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International Operations of the</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 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CEO of Waste Management International, Inc.</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November 1998 -- March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Vice President, Controller and Chief Accounting Officer of</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Browning-Ferris Industries, Inc. 1987 -- November 1998.</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Ronald H. Jones.............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Vice President and Treasurer since 1995.</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Lawrence O'Donnell, III.....</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43</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President, General Counsel and Secretary since</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February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Vice President and General Counsel of Baker Hughes</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Incorporated 1995 -- February 2000.</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Thomas L. Smith.............</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61</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Information Systems since</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November 1999.</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Vice President of Information Systems of Yellow Services,</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Inc. February 1997 --  November 1999.</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Vice President of Information Systems of America West</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Airlines November 1989 -- February 1997.</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Bruce E. Snyder.............</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Vice President and Chief Accounting Officer since July</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1992.</w:t>
            </w: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Douglas G. Sobey............</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49</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Western Area since July 1998.</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Region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Northwest Region of the Company</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1996 -- July 1998.</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James E. Trevathan..........</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47</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Sales and Marketing since June</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Vice President -- Sales of the Company July 1998 -- June</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Regional Vice President -- Industrial of WM Holdings</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1997 -- July 1998.</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Southern Area Sales Vice President of WM Holdings</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1994 -- 1997.</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William L. Trubeck..........</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and CFO since March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Finance and CFO of International</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Multifoods,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Inc. 1997 -- March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President, Latin American Operation of International</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Multifoods,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Inc. 1998 -- March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Finance and CFO of SPX</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Corporation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1994-1997.</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Charles A. Wilcox...........</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Eastern Area since July 1998.</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Region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Central Region of the Company</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August 1996</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 July 1998.</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Executive Vice President of the Company December</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1994 --</w:t>
            </w:r>
          </w:p>
        </w:tc>
        <w:tc>
          <w:tcPr>
            <w:tcW w:w="4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August 1996.</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Charles E. Williams.........</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President -- Operations since June 2000.</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Vice President Environmental Compliance/Engineering of the</w:t>
            </w:r>
          </w:p>
        </w:tc>
      </w:tr>
      <w:tr>
        <w:trPr>
          <w:trHeight w:val="170"/>
        </w:trPr>
        <w:tc>
          <w:tcPr>
            <w:tcW w:w="2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Company 1996 -- June 2000.</w:t>
            </w:r>
          </w:p>
        </w:tc>
      </w:tr>
    </w:tbl>
    <w:p>
      <w:pPr>
        <w:sectPr>
          <w:pgSz w:w="11900" w:h="16838" w:orient="portrait"/>
          <w:cols w:equalWidth="0" w:num="1">
            <w:col w:w="10219"/>
          </w:cols>
          <w:pgMar w:left="240" w:top="283" w:right="1440" w:bottom="0" w:gutter="0" w:footer="0" w:header="0"/>
        </w:sectPr>
      </w:pPr>
    </w:p>
    <w:bookmarkStart w:id="86" w:name="page87"/>
    <w:bookmarkEnd w:id="86"/>
    <w:p>
      <w:pPr>
        <w:ind w:left="23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019"/>
          </w:cols>
          <w:pgMar w:left="1440" w:top="47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is set forth under the caption "Executive Compensation" in the 2001 Proxy Statement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jc w:val="both"/>
        <w:ind w:right="379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is set forth under the caption "Director and Officer Stock Ownership" in the 2001 Proxy Statement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is set forth under the caption "Related Party Transactions" in the 2001 Proxy Statement and is incorporated herein by reference.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FINANCIAL STATEMENT SCHEDULES, EXHIBITS, AND REPORTS ON FORM 8-K.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(a)(1) Consolidated Financial Statements: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Consolidated Balance Sheets as of December 31, 2000 and 1999</w:t>
      </w:r>
    </w:p>
    <w:p>
      <w:pPr>
        <w:spacing w:after="0" w:line="175" w:lineRule="exact"/>
        <w:rPr>
          <w:sz w:val="20"/>
          <w:szCs w:val="20"/>
          <w:color w:val="auto"/>
        </w:rPr>
      </w:pPr>
    </w:p>
    <w:p>
      <w:pPr>
        <w:ind w:right="3179" w:firstLine="1234"/>
        <w:spacing w:after="0" w:line="235" w:lineRule="auto"/>
        <w:rPr>
          <w:sz w:val="20"/>
          <w:szCs w:val="20"/>
          <w:color w:val="auto"/>
        </w:rPr>
      </w:pPr>
      <w:r>
        <w:rPr>
          <w:rFonts w:ascii="Courier New" w:cs="Courier New" w:eastAsia="Courier New" w:hAnsi="Courier New"/>
          <w:sz w:val="15"/>
          <w:szCs w:val="15"/>
          <w:color w:val="auto"/>
        </w:rPr>
        <w:t>Consolidated Statements of Operations for the years ended December 31, 2000, 1999 and 1998</w:t>
      </w:r>
    </w:p>
    <w:p>
      <w:pPr>
        <w:spacing w:after="0" w:line="176" w:lineRule="exact"/>
        <w:rPr>
          <w:sz w:val="20"/>
          <w:szCs w:val="20"/>
          <w:color w:val="auto"/>
        </w:rPr>
      </w:pPr>
    </w:p>
    <w:p>
      <w:pPr>
        <w:ind w:right="3179" w:firstLine="1234"/>
        <w:spacing w:after="0" w:line="235" w:lineRule="auto"/>
        <w:rPr>
          <w:sz w:val="20"/>
          <w:szCs w:val="20"/>
          <w:color w:val="auto"/>
        </w:rPr>
      </w:pPr>
      <w:r>
        <w:rPr>
          <w:rFonts w:ascii="Courier New" w:cs="Courier New" w:eastAsia="Courier New" w:hAnsi="Courier New"/>
          <w:sz w:val="15"/>
          <w:szCs w:val="15"/>
          <w:color w:val="auto"/>
        </w:rPr>
        <w:t>Consolidated Statements of Cash Flows for the years ended December 31, 2000, 1999 and 1998</w:t>
      </w:r>
    </w:p>
    <w:p>
      <w:pPr>
        <w:spacing w:after="0" w:line="176" w:lineRule="exact"/>
        <w:rPr>
          <w:sz w:val="20"/>
          <w:szCs w:val="20"/>
          <w:color w:val="auto"/>
        </w:rPr>
      </w:pPr>
    </w:p>
    <w:p>
      <w:pPr>
        <w:ind w:left="1220" w:right="3619"/>
        <w:spacing w:after="0" w:line="235" w:lineRule="auto"/>
        <w:rPr>
          <w:sz w:val="20"/>
          <w:szCs w:val="20"/>
          <w:color w:val="auto"/>
        </w:rPr>
      </w:pPr>
      <w:r>
        <w:rPr>
          <w:rFonts w:ascii="Courier New" w:cs="Courier New" w:eastAsia="Courier New" w:hAnsi="Courier New"/>
          <w:sz w:val="15"/>
          <w:szCs w:val="15"/>
          <w:color w:val="auto"/>
        </w:rPr>
        <w:t>Consolidated Statements of Stockholders' Equity for the years ended December 31, 2000, 1999 and 1998</w:t>
      </w:r>
    </w:p>
    <w:p>
      <w:pPr>
        <w:spacing w:after="0" w:line="17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(a)(2) Consolidated Financial Statement Schedules: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All other schedules have been omitted because the required information is not significant or is included in the financial statements or notes thereto, or is not applicable.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(a)(3) Exhibits:</w:t>
      </w:r>
    </w:p>
    <w:p>
      <w:pPr>
        <w:spacing w:after="0" w:line="200" w:lineRule="exact"/>
        <w:rPr>
          <w:sz w:val="20"/>
          <w:szCs w:val="20"/>
          <w:color w:val="auto"/>
        </w:rPr>
      </w:pPr>
    </w:p>
    <w:p>
      <w:pPr>
        <w:spacing w:after="0" w:line="30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EXHIBIT NO.*</w:t>
            </w:r>
          </w:p>
        </w:tc>
        <w:tc>
          <w:tcPr>
            <w:tcW w:w="5460" w:type="dxa"/>
            <w:vAlign w:val="bottom"/>
          </w:tcPr>
          <w:p>
            <w:pPr>
              <w:ind w:left="23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5460" w:type="dxa"/>
            <w:vAlign w:val="bottom"/>
          </w:tcPr>
          <w:p>
            <w:pPr>
              <w:ind w:left="2300"/>
              <w:spacing w:after="0"/>
              <w:rPr>
                <w:sz w:val="20"/>
                <w:szCs w:val="20"/>
                <w:color w:val="auto"/>
              </w:rPr>
            </w:pPr>
            <w:r>
              <w:rPr>
                <w:rFonts w:ascii="Courier New" w:cs="Courier New" w:eastAsia="Courier New" w:hAnsi="Courier New"/>
                <w:sz w:val="15"/>
                <w:szCs w:val="15"/>
                <w:color w:val="auto"/>
              </w:rPr>
              <w:t>-----------</w:t>
            </w:r>
          </w:p>
        </w:tc>
      </w:tr>
      <w:tr>
        <w:trPr>
          <w:trHeight w:val="339"/>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 Agreement and Plan of Merger, dated March 10, 1998, by</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w w:val="97"/>
              </w:rPr>
              <w:t>and among the Registrant, Dome Merger Subsidiary, Inc. and</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Inc. [Incorporated by reference to</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Exhibit 99.1 to Form 8-K dated March 10, 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 Agreement and Plan of Merger, dated as of August 16,</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1998, by and among the Registrant, Ocho Acquisition</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Corporation and Eastern Environmental Services, Inc.</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Annex A to Form S-4, File</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No. 333-64239].</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Exhibit 3.2 to Form 8-K</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dated July 16, 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 Bylaws [Incorporated by reference to Exhibit 3 to Form</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10-Q for the quarter ended June 30, 2000].</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w w:val="99"/>
              </w:rPr>
              <w:t>-- Specimen Stock Certificate [Incorporated by reference to</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Exhibit 4.1 to Form 10-K for the year ended December 31,</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w w:val="97"/>
              </w:rPr>
              <w:t>-- Indenture for Subordinated Debt Securities dated February</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 1997, among the Registrant and Texas Commerce Bank</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4.1 to Form 8-K dated February 7,</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1997] .</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w w:val="99"/>
              </w:rPr>
              <w:t>-- Indenture for Senior Debt Securities dated September 10,</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4.1 to Form 8-K dated September 10,</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10.1</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-- 1993 Stock Incentive Plan [Incorporated by reference to</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w w:val="99"/>
              </w:rPr>
              <w:t>Exhibit 10.2 to Form 10-K for the year ended December 31,</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-- 1996 Stock Option Plan for Non-Employee Directors</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[Incorporated by reference to Appendix A to the Proxy</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Statement for the 2000 Annual Meeting of Stockholders].</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w:t>
            </w:r>
          </w:p>
        </w:tc>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reference to Appendix C to the Proxy Statement for the</w:t>
            </w:r>
          </w:p>
        </w:tc>
      </w:tr>
      <w:tr>
        <w:trPr>
          <w:trHeight w:val="170"/>
        </w:trPr>
        <w:tc>
          <w:tcPr>
            <w:tcW w:w="1240" w:type="dxa"/>
            <w:vAlign w:val="bottom"/>
          </w:tcPr>
          <w:p>
            <w:pPr>
              <w:spacing w:after="0"/>
              <w:rPr>
                <w:sz w:val="14"/>
                <w:szCs w:val="14"/>
                <w:color w:val="auto"/>
              </w:rPr>
            </w:pPr>
          </w:p>
        </w:tc>
        <w:tc>
          <w:tcPr>
            <w:tcW w:w="5460" w:type="dxa"/>
            <w:vAlign w:val="bottom"/>
          </w:tcPr>
          <w:p>
            <w:pPr>
              <w:ind w:left="360"/>
              <w:spacing w:after="0"/>
              <w:rPr>
                <w:sz w:val="20"/>
                <w:szCs w:val="20"/>
                <w:color w:val="auto"/>
              </w:rPr>
            </w:pPr>
            <w:r>
              <w:rPr>
                <w:rFonts w:ascii="Courier New" w:cs="Courier New" w:eastAsia="Courier New" w:hAnsi="Courier New"/>
                <w:sz w:val="15"/>
                <w:szCs w:val="15"/>
                <w:color w:val="auto"/>
              </w:rPr>
              <w:t>2000 Annual Meeting of Stockholders].</w:t>
            </w:r>
          </w:p>
        </w:tc>
      </w:tr>
    </w:tbl>
    <w:p>
      <w:pPr>
        <w:spacing w:after="0" w:line="200" w:lineRule="exact"/>
        <w:rPr>
          <w:sz w:val="20"/>
          <w:szCs w:val="20"/>
          <w:color w:val="auto"/>
        </w:rPr>
      </w:pPr>
    </w:p>
    <w:p>
      <w:pPr>
        <w:sectPr>
          <w:pgSz w:w="11900" w:h="16838" w:orient="portrait"/>
          <w:cols w:equalWidth="0" w:num="1">
            <w:col w:w="10219"/>
          </w:cols>
          <w:pgMar w:left="240" w:top="283" w:right="1440" w:bottom="0" w:gutter="0" w:footer="0" w:header="0"/>
        </w:sectPr>
      </w:pPr>
    </w:p>
    <w:p>
      <w:pPr>
        <w:spacing w:after="0" w:line="1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3" w:right="1440" w:bottom="0" w:gutter="0" w:footer="0" w:header="0"/>
          <w:type w:val="continuous"/>
        </w:sectPr>
      </w:pPr>
    </w:p>
    <w:bookmarkStart w:id="88" w:name="page89"/>
    <w:bookmarkEnd w:id="88"/>
    <w:tbl>
      <w:tblPr>
        <w:tblLayout w:type="fixed"/>
        <w:tblInd w:w="170" w:type="dxa"/>
        <w:tblCellMar>
          <w:top w:w="0" w:type="dxa"/>
          <w:left w:w="0" w:type="dxa"/>
          <w:bottom w:w="0" w:type="dxa"/>
          <w:right w:w="0" w:type="dxa"/>
        </w:tblCellMar>
      </w:tblPr>
      <w:tr>
        <w:trPr>
          <w:trHeight w:val="170"/>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83</w:t>
            </w:r>
          </w:p>
        </w:tc>
        <w:tc>
          <w:tcPr>
            <w:tcW w:w="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678"/>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60" w:type="dxa"/>
            <w:vAlign w:val="bottom"/>
          </w:tcPr>
          <w:p>
            <w:pPr>
              <w:spacing w:after="0"/>
              <w:rPr>
                <w:sz w:val="24"/>
                <w:szCs w:val="24"/>
                <w:color w:val="auto"/>
              </w:rPr>
            </w:pPr>
          </w:p>
        </w:tc>
        <w:tc>
          <w:tcPr>
            <w:tcW w:w="4800" w:type="dxa"/>
            <w:vAlign w:val="bottom"/>
            <w:gridSpan w:val="2"/>
          </w:tcPr>
          <w:p>
            <w:pPr>
              <w:ind w:left="16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4800" w:type="dxa"/>
            <w:vAlign w:val="bottom"/>
            <w:gridSpan w:val="2"/>
          </w:tcPr>
          <w:p>
            <w:pPr>
              <w:ind w:left="1640"/>
              <w:spacing w:after="0"/>
              <w:rPr>
                <w:sz w:val="20"/>
                <w:szCs w:val="20"/>
                <w:color w:val="auto"/>
              </w:rPr>
            </w:pPr>
            <w:r>
              <w:rPr>
                <w:rFonts w:ascii="Courier New" w:cs="Courier New" w:eastAsia="Courier New" w:hAnsi="Courier New"/>
                <w:sz w:val="15"/>
                <w:szCs w:val="15"/>
                <w:color w:val="auto"/>
              </w:rPr>
              <w:t>-----------</w:t>
            </w:r>
          </w:p>
        </w:tc>
      </w:tr>
      <w:tr>
        <w:trPr>
          <w:trHeight w:val="339"/>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10.4</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Exhibit 10.11 to Form 10-K for the year ended December 31,</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1997].</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10.5</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Third Amended and Restated Revolving Credit Agreement,</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dated as of December 15, 1999</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among the Registrant, the</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Guarantors, Bank of America, N.A., Morgan Guaranty Trust</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 of New York and other</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financial institutions</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Exhibit 10.32 to Form S-4,</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Reg. No. 333-87319].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10.6</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 Amended and Restated Loan Agreement dated as of December</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15, 1999, among the Registrant, the Guarantors, Bank</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Boston, N.A. Bank of America National Trust and Savings</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9"/>
              </w:rPr>
              <w:t>Association, Chase Bank of Texas, N.A., Deutsche Bank AG,</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New York Branch, Morgan Guaranty Trust Company of New York</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and other financial institutions [Incorporated by</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reference to Exhibit 10.33 to</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Form S-4, Reg. No.</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333-87319].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10.7</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-- 1998 Waste Management, Inc. Directors' Deferred</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10.1 to Form 10-Q for the quarter ended March 31, 1999].</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10.8</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-- 1999 Waste Management, Inc. Directors Deferred</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10.2 to Form 10-Q for the quarter ended March 31, 1999].</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10.9</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A. Maurice</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Myers, dated November 8, 1999</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[Incorporated by reference</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 Exhibit 10.35 to Form 10-K</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23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1999].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10.10</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Lawrence</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O'Donnell III, dated January 21, 2000 [Incorporated by</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reference to Exhibit 10.1 to Form 10-Q for the quarter</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ended June 30, 2000].</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10.11</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William L.</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Trubeck, dated February 16, 2000 [Incorporated by</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reference to Exhibit 10.37 to</w:t>
            </w:r>
          </w:p>
        </w:tc>
        <w:tc>
          <w:tcPr>
            <w:tcW w:w="2460" w:type="dxa"/>
            <w:vAlign w:val="bottom"/>
          </w:tcPr>
          <w:p>
            <w:pPr>
              <w:spacing w:after="0"/>
              <w:rPr>
                <w:sz w:val="20"/>
                <w:szCs w:val="20"/>
                <w:color w:val="auto"/>
              </w:rPr>
            </w:pPr>
            <w:r>
              <w:rPr>
                <w:rFonts w:ascii="Courier New" w:cs="Courier New" w:eastAsia="Courier New" w:hAnsi="Courier New"/>
                <w:sz w:val="15"/>
                <w:szCs w:val="15"/>
                <w:color w:val="auto"/>
                <w:w w:val="96"/>
              </w:rPr>
              <w:t>Form 10-K for the year ended</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 1999].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10.12</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Thomas L.</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9"/>
              </w:rPr>
              <w:t>Smith, dated November 18, 1999 [Incorporated by reference</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to Exhibit 10.3 to Form 10-Q for the quarter ended June</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30,</w:t>
            </w:r>
          </w:p>
        </w:tc>
        <w:tc>
          <w:tcPr>
            <w:tcW w:w="23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2000].</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10.13</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Robert A.</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Damico, dated December 17, 1998 [Incorporated by reference</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 Exhibit 10.39 to Form 10-K</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23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1999].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10.14</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Charles A.</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9"/>
              </w:rPr>
              <w:t>Wilcox, dated February 3, 1998 [Incorporated by reference</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 Exhibit 10.40 to Form 10-K</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23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1999].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10.15</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Douglas G.</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Sobey, dated May 7, 1997 [Incorporated by reference to</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Exhibit 10.41 to Form 10-K for the year ended December 31,</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10.16</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David R.</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Hopkins, dated March 30, 2000</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[Incorporated by reference</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to Exhibit 10.2 to Form 10-Q for the quarter ended March</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23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2000].</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10.17</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Ronald H.</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Jones, dated as of August 27,</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1997 and December 7, 1997</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Exhibits 10.22 and 10.25 to</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Form 10-K for the year ended December 31, 1997].</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10.18</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Employment Agreement and Amendment to Employment</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Agreement between the Company</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and Bruce E. Snyder, dated</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as of June 1, 1997 and December 1, 1997 [Incorporated by</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reference to Exhibits 10.26 and 10.27 to Form 10-K for the</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year ended December 31, 1997].</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10.19</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Robert E.</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Dees, Jr., dated as of May 10, 2000 [Incorporated by</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reference to Exhibit 10.4 to the Form 10-Q for the quarter</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ended March 31, 2000].</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10.20</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James E.</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Trevathan dated as of June 1,</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10.21</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the Company and Charles E.</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Williams dated as of June 1, 2000.</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10.22</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Wheelabrator Technologies,</w:t>
            </w:r>
          </w:p>
        </w:tc>
      </w:tr>
      <w:tr>
        <w:trPr>
          <w:trHeight w:val="170"/>
        </w:trPr>
        <w:tc>
          <w:tcPr>
            <w:tcW w:w="1240" w:type="dxa"/>
            <w:vAlign w:val="bottom"/>
          </w:tcPr>
          <w:p>
            <w:pPr>
              <w:spacing w:after="0"/>
              <w:rPr>
                <w:sz w:val="14"/>
                <w:szCs w:val="14"/>
                <w:color w:val="auto"/>
              </w:rPr>
            </w:pPr>
          </w:p>
        </w:tc>
        <w:tc>
          <w:tcPr>
            <w:tcW w:w="54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Inc. an Richard T. Felago dated as of May 25, 1999.</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10.23</w:t>
            </w:r>
          </w:p>
        </w:tc>
        <w:tc>
          <w:tcPr>
            <w:tcW w:w="3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Canadian Waste Services,</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 and Jeff M. Harris dated</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as of November 3, 1999.</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10.24</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-- 2000 Broad-Based Employee Plan [Incorporated by reference</w:t>
            </w:r>
          </w:p>
        </w:tc>
      </w:tr>
      <w:tr>
        <w:trPr>
          <w:trHeight w:val="170"/>
        </w:trPr>
        <w:tc>
          <w:tcPr>
            <w:tcW w:w="1240" w:type="dxa"/>
            <w:vAlign w:val="bottom"/>
          </w:tcPr>
          <w:p>
            <w:pPr>
              <w:spacing w:after="0"/>
              <w:rPr>
                <w:sz w:val="14"/>
                <w:szCs w:val="14"/>
                <w:color w:val="auto"/>
              </w:rPr>
            </w:pPr>
          </w:p>
        </w:tc>
        <w:tc>
          <w:tcPr>
            <w:tcW w:w="3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 Exhibit 10.49 to Form 10-K</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234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1999].</w:t>
            </w:r>
          </w:p>
        </w:tc>
        <w:tc>
          <w:tcPr>
            <w:tcW w:w="2460" w:type="dxa"/>
            <w:vAlign w:val="bottom"/>
          </w:tcPr>
          <w:p>
            <w:pPr>
              <w:spacing w:after="0"/>
              <w:rPr>
                <w:sz w:val="14"/>
                <w:szCs w:val="14"/>
                <w:color w:val="auto"/>
              </w:rPr>
            </w:pP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12.1</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Computation of Ratio of Earnings to Fixed Charges.</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21.1</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Subsidiaries of the Registrant.</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23.1</w:t>
            </w:r>
          </w:p>
        </w:tc>
        <w:tc>
          <w:tcPr>
            <w:tcW w:w="54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Consent of Arthur Andersen LLP.</w:t>
            </w:r>
          </w:p>
        </w:tc>
      </w:tr>
    </w:tbl>
    <w:p>
      <w:pPr>
        <w:ind w:left="1590" w:hanging="1061"/>
        <w:spacing w:after="0"/>
        <w:tabs>
          <w:tab w:leader="none" w:pos="159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70" w:right="3359" w:hanging="170"/>
        <w:spacing w:after="0" w:line="265" w:lineRule="auto"/>
        <w:tabs>
          <w:tab w:leader="none" w:pos="17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incorporation by reference to documents filed under the Securities Exchange Act of 1934, the Company's file number under that Act is</w:t>
      </w:r>
    </w:p>
    <w:p>
      <w:pPr>
        <w:sectPr>
          <w:pgSz w:w="11900" w:h="16838" w:orient="portrait"/>
          <w:cols w:equalWidth="0" w:num="1">
            <w:col w:w="10229"/>
          </w:cols>
          <w:pgMar w:left="230" w:top="283"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1-12154.</w:t>
      </w:r>
    </w:p>
    <w:p>
      <w:pPr>
        <w:spacing w:after="0" w:line="175" w:lineRule="exact"/>
        <w:rPr>
          <w:sz w:val="20"/>
          <w:szCs w:val="20"/>
          <w:color w:val="auto"/>
        </w:rPr>
      </w:pPr>
    </w:p>
    <w:p>
      <w:pPr>
        <w:ind w:left="280" w:right="7679" w:hanging="9"/>
        <w:spacing w:after="0" w:line="471" w:lineRule="auto"/>
        <w:tabs>
          <w:tab w:leader="none" w:pos="63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6" w:lineRule="exact"/>
        <w:rPr>
          <w:sz w:val="20"/>
          <w:szCs w:val="20"/>
          <w:color w:val="auto"/>
        </w:rPr>
      </w:pPr>
    </w:p>
    <w:p>
      <w:pPr>
        <w:jc w:val="right"/>
        <w:ind w:right="6519"/>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059"/>
          </w:cols>
          <w:pgMar w:left="400" w:top="13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3860"/>
        <w:spacing w:after="0"/>
        <w:tabs>
          <w:tab w:leader="none" w:pos="4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 MAURICE MYERS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A. Maurice Myers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and</w:t>
      </w:r>
    </w:p>
    <w:p>
      <w:pPr>
        <w:ind w:left="4580"/>
        <w:spacing w:after="0"/>
        <w:rPr>
          <w:sz w:val="20"/>
          <w:szCs w:val="20"/>
          <w:color w:val="auto"/>
        </w:rPr>
      </w:pPr>
      <w:r>
        <w:rPr>
          <w:rFonts w:ascii="Courier New" w:cs="Courier New" w:eastAsia="Courier New" w:hAnsi="Courier New"/>
          <w:sz w:val="15"/>
          <w:szCs w:val="15"/>
          <w:color w:val="auto"/>
        </w:rPr>
        <w:t>Chairman of the Board</w:t>
      </w:r>
    </w:p>
    <w:p>
      <w:pPr>
        <w:spacing w:after="0"/>
        <w:rPr>
          <w:sz w:val="20"/>
          <w:szCs w:val="20"/>
          <w:color w:val="auto"/>
        </w:rPr>
      </w:pPr>
      <w:r>
        <w:rPr>
          <w:rFonts w:ascii="Courier New" w:cs="Courier New" w:eastAsia="Courier New" w:hAnsi="Courier New"/>
          <w:sz w:val="15"/>
          <w:szCs w:val="15"/>
          <w:color w:val="auto"/>
        </w:rPr>
        <w:t>Date: March 13, 2001</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SIGNATURE</w:t>
      </w:r>
    </w:p>
    <w:p>
      <w:pPr>
        <w:ind w:left="192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A. MAURICE MYERS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TITLE</w:t>
      </w:r>
    </w:p>
    <w:p>
      <w:pPr>
        <w:ind w:left="9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Officer, Chairman of the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Board, and Director</w:t>
      </w:r>
    </w:p>
    <w:p>
      <w:pPr>
        <w:ind w:left="180"/>
        <w:spacing w:after="0"/>
        <w:rPr>
          <w:sz w:val="20"/>
          <w:szCs w:val="20"/>
          <w:color w:val="auto"/>
        </w:rPr>
      </w:pPr>
      <w:r>
        <w:rPr>
          <w:rFonts w:ascii="Courier New" w:cs="Courier New" w:eastAsia="Courier New" w:hAnsi="Courier New"/>
          <w:sz w:val="15"/>
          <w:szCs w:val="15"/>
          <w:color w:val="auto"/>
        </w:rPr>
        <w:t>(Principal Executive</w:t>
      </w: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DATE</w:t>
      </w:r>
    </w:p>
    <w:p>
      <w:pPr>
        <w:jc w:val="center"/>
        <w:ind w:right="1319"/>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March 13, 2001</w:t>
      </w:r>
    </w:p>
    <w:p>
      <w:pPr>
        <w:spacing w:after="0" w:line="852" w:lineRule="exact"/>
        <w:rPr>
          <w:sz w:val="20"/>
          <w:szCs w:val="20"/>
          <w:color w:val="auto"/>
        </w:rPr>
      </w:pPr>
    </w:p>
    <w:p>
      <w:pPr>
        <w:sectPr>
          <w:pgSz w:w="11900" w:h="16838" w:orient="portrait"/>
          <w:cols w:equalWidth="0" w:num="3">
            <w:col w:w="4840" w:space="0"/>
            <w:col w:w="2460" w:space="360"/>
            <w:col w:w="2559"/>
          </w:cols>
          <w:pgMar w:left="240" w:top="283"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5"/>
          <w:szCs w:val="15"/>
          <w:color w:val="auto"/>
        </w:rPr>
        <w:t>/s/ WILLIAM L. TRUBECK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William L. Trubeck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Senior Vice President and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Financial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Financial</w:t>
      </w: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13, 2001</w:t>
      </w:r>
    </w:p>
    <w:p>
      <w:pPr>
        <w:spacing w:after="0" w:line="683" w:lineRule="exact"/>
        <w:rPr>
          <w:sz w:val="20"/>
          <w:szCs w:val="20"/>
          <w:color w:val="auto"/>
        </w:rPr>
      </w:pPr>
    </w:p>
    <w:p>
      <w:pPr>
        <w:sectPr>
          <w:pgSz w:w="11900" w:h="16838" w:orient="portrait"/>
          <w:cols w:equalWidth="0" w:num="3">
            <w:col w:w="4840" w:space="0"/>
            <w:col w:w="2380" w:space="440"/>
            <w:col w:w="2559"/>
          </w:cols>
          <w:pgMar w:left="240" w:top="283"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5"/>
          <w:szCs w:val="15"/>
          <w:color w:val="auto"/>
        </w:rPr>
        <w:t>/s/ BRUCE E. SNYDER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and Chief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Accounting Officer</w:t>
      </w:r>
    </w:p>
    <w:p>
      <w:pPr>
        <w:ind w:left="180"/>
        <w:spacing w:after="0"/>
        <w:rPr>
          <w:sz w:val="20"/>
          <w:szCs w:val="20"/>
          <w:color w:val="auto"/>
        </w:rPr>
      </w:pPr>
      <w:r>
        <w:rPr>
          <w:rFonts w:ascii="Courier New" w:cs="Courier New" w:eastAsia="Courier New" w:hAnsi="Courier New"/>
          <w:sz w:val="15"/>
          <w:szCs w:val="15"/>
          <w:color w:val="auto"/>
        </w:rPr>
        <w:t>(Principal Accounting</w:t>
      </w:r>
    </w:p>
    <w:p>
      <w:pPr>
        <w:ind w:left="18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13, 2001</w:t>
      </w:r>
    </w:p>
    <w:p>
      <w:pPr>
        <w:spacing w:after="0" w:line="683" w:lineRule="exact"/>
        <w:rPr>
          <w:sz w:val="20"/>
          <w:szCs w:val="20"/>
          <w:color w:val="auto"/>
        </w:rPr>
      </w:pPr>
    </w:p>
    <w:p>
      <w:pPr>
        <w:sectPr>
          <w:pgSz w:w="11900" w:h="16838" w:orient="portrait"/>
          <w:cols w:equalWidth="0" w:num="3">
            <w:col w:w="4840" w:space="0"/>
            <w:col w:w="2120" w:space="700"/>
            <w:col w:w="2559"/>
          </w:cols>
          <w:pgMar w:left="240" w:top="283"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/s/ H. JESSE ARNELLE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H. Jesse Arnelle</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 PASTORA SAN JUAN CAFFERTY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Pastora San Juan Cafferty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 RALPH F. COX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Ralph F. Cox</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ROBERT S. MILLER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Robert S. Miller</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 PAUL M. MONTRONE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Paul M. Montrone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 JOHN C. POPE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John C. Pope</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STEVEN G. ROTHMEIER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Steven G. Rothmeier</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 RALPH V. WHITWORTH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2001</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13, 2001</w:t>
      </w:r>
    </w:p>
    <w:p>
      <w:pPr>
        <w:spacing w:after="0" w:line="10" w:lineRule="exact"/>
        <w:rPr>
          <w:sz w:val="20"/>
          <w:szCs w:val="20"/>
          <w:color w:val="auto"/>
        </w:rPr>
      </w:pPr>
    </w:p>
    <w:p>
      <w:pPr>
        <w:sectPr>
          <w:pgSz w:w="11900" w:h="16838" w:orient="portrait"/>
          <w:cols w:equalWidth="0" w:num="3">
            <w:col w:w="4840" w:space="0"/>
            <w:col w:w="2100" w:space="720"/>
            <w:col w:w="255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Ralph V. Whitworth</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3" w:right="1440" w:bottom="1440" w:gutter="0" w:footer="0" w:header="0"/>
          <w:type w:val="continuous"/>
        </w:sectPr>
      </w:pPr>
    </w:p>
    <w:bookmarkStart w:id="91" w:name="page92"/>
    <w:bookmarkEnd w:id="91"/>
    <w:p>
      <w:pPr>
        <w:ind w:left="270"/>
        <w:spacing w:after="0"/>
        <w:rPr>
          <w:sz w:val="20"/>
          <w:szCs w:val="20"/>
          <w:color w:val="auto"/>
        </w:rPr>
      </w:pPr>
      <w:r>
        <w:rPr>
          <w:rFonts w:ascii="Courier New" w:cs="Courier New" w:eastAsia="Courier New" w:hAnsi="Courier New"/>
          <w:sz w:val="15"/>
          <w:szCs w:val="15"/>
          <w:color w:val="auto"/>
        </w:rPr>
        <w:t>85</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the Stockholders and Board of Directors of Waste Management, Inc.:</w:t>
      </w:r>
    </w:p>
    <w:p>
      <w:pPr>
        <w:spacing w:after="0" w:line="17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We have audited in accordance with auditing standards generally accepted in the United States, the consolidated financial statements of Waste Management, Inc. and subsidiaries included in this Annual Report on Form 10-K, and have issued our report thereon dated March 7, 2001, in which we expressed an unqualified opinion based upon our audits. Our report contained an explanatory paragraph indicating that we attempted, but were unable, to review the quarterly financial data for the interim periods within 1999 included in Note 21 to the Company's consolidated financial statements. Our audits were made for the purpose of forming an opinion on the basic financial statements taken as a whole. Schedule</w:t>
      </w:r>
    </w:p>
    <w:p>
      <w:pPr>
        <w:spacing w:after="0" w:line="3" w:lineRule="exact"/>
        <w:rPr>
          <w:sz w:val="20"/>
          <w:szCs w:val="20"/>
          <w:color w:val="auto"/>
        </w:rPr>
      </w:pPr>
    </w:p>
    <w:p>
      <w:pPr>
        <w:ind w:left="10" w:right="3179" w:hanging="10"/>
        <w:spacing w:after="0" w:line="238" w:lineRule="auto"/>
        <w:tabs>
          <w:tab w:leader="none" w:pos="27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responsibility of the Company's management and is presented for purposes of complying with the Securities and Exchange Commission's rules and is not part of the basic financial statements. Schedule II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Houston, Texas</w:t>
      </w:r>
    </w:p>
    <w:p>
      <w:pPr>
        <w:ind w:left="10"/>
        <w:spacing w:after="0"/>
        <w:rPr>
          <w:sz w:val="20"/>
          <w:szCs w:val="20"/>
          <w:color w:val="auto"/>
        </w:rPr>
      </w:pPr>
      <w:r>
        <w:rPr>
          <w:rFonts w:ascii="Courier New" w:cs="Courier New" w:eastAsia="Courier New" w:hAnsi="Courier New"/>
          <w:sz w:val="15"/>
          <w:szCs w:val="15"/>
          <w:color w:val="auto"/>
        </w:rPr>
        <w:t>March 7, 2001</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29"/>
          </w:cols>
          <w:pgMar w:left="230" w:top="283" w:right="1440"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w:t>
            </w: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9"/>
        </w:trPr>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WASTE MANAGEMENT, INC.</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9"/>
        </w:trPr>
        <w:tc>
          <w:tcPr>
            <w:tcW w:w="6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SCHEDULE II --</w:t>
            </w:r>
          </w:p>
        </w:tc>
        <w:tc>
          <w:tcPr>
            <w:tcW w:w="3760" w:type="dxa"/>
            <w:vAlign w:val="bottom"/>
            <w:gridSpan w:val="6"/>
          </w:tcPr>
          <w:p>
            <w:pPr>
              <w:jc w:val="right"/>
              <w:ind w:right="587"/>
              <w:spacing w:after="0"/>
              <w:rPr>
                <w:sz w:val="20"/>
                <w:szCs w:val="20"/>
                <w:color w:val="auto"/>
              </w:rPr>
            </w:pPr>
            <w:r>
              <w:rPr>
                <w:rFonts w:ascii="Courier New" w:cs="Courier New" w:eastAsia="Courier New" w:hAnsi="Courier New"/>
                <w:sz w:val="15"/>
                <w:szCs w:val="15"/>
                <w:color w:val="auto"/>
              </w:rPr>
              <w:t>VALUATION AND QUALIFYING ACCOUNTS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gridSpan w:val="2"/>
          </w:tcPr>
          <w:p>
            <w:pPr>
              <w:jc w:val="center"/>
              <w:ind w:left="257"/>
              <w:spacing w:after="0"/>
              <w:rPr>
                <w:sz w:val="20"/>
                <w:szCs w:val="20"/>
                <w:color w:val="auto"/>
              </w:rPr>
            </w:pPr>
            <w:r>
              <w:rPr>
                <w:rFonts w:ascii="Courier New" w:cs="Courier New" w:eastAsia="Courier New" w:hAnsi="Courier New"/>
                <w:sz w:val="15"/>
                <w:szCs w:val="15"/>
                <w:color w:val="auto"/>
                <w:w w:val="97"/>
              </w:rPr>
              <w:t>(IN MILLIONS)</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8"/>
        </w:trPr>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ACCOUNTS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EFFECT OF</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gridSpan w:val="2"/>
          </w:tcPr>
          <w:p>
            <w:pPr>
              <w:jc w:val="center"/>
              <w:ind w:left="257"/>
              <w:spacing w:after="0"/>
              <w:rPr>
                <w:sz w:val="20"/>
                <w:szCs w:val="20"/>
                <w:color w:val="auto"/>
              </w:rPr>
            </w:pPr>
            <w:r>
              <w:rPr>
                <w:rFonts w:ascii="Courier New" w:cs="Courier New" w:eastAsia="Courier New" w:hAnsi="Courier New"/>
                <w:sz w:val="15"/>
                <w:szCs w:val="15"/>
                <w:color w:val="auto"/>
                <w:w w:val="98"/>
              </w:rPr>
              <w:t>BALANCE</w:t>
            </w:r>
          </w:p>
        </w:tc>
        <w:tc>
          <w:tcPr>
            <w:tcW w:w="10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CHARGED</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WRITTEN</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5"/>
              </w:rPr>
              <w:t>FOREIGN</w:t>
            </w:r>
          </w:p>
        </w:tc>
        <w:tc>
          <w:tcPr>
            <w:tcW w:w="7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5"/>
              </w:rPr>
              <w:t>BALANCE</w:t>
            </w:r>
          </w:p>
        </w:tc>
      </w:tr>
      <w:tr>
        <w:trPr>
          <w:trHeight w:val="170"/>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gridSpan w:val="2"/>
          </w:tcPr>
          <w:p>
            <w:pPr>
              <w:jc w:val="center"/>
              <w:ind w:left="257"/>
              <w:spacing w:after="0"/>
              <w:rPr>
                <w:sz w:val="20"/>
                <w:szCs w:val="20"/>
                <w:color w:val="auto"/>
              </w:rPr>
            </w:pPr>
            <w:r>
              <w:rPr>
                <w:rFonts w:ascii="Courier New" w:cs="Courier New" w:eastAsia="Courier New" w:hAnsi="Courier New"/>
                <w:sz w:val="15"/>
                <w:szCs w:val="15"/>
                <w:color w:val="auto"/>
                <w:w w:val="96"/>
              </w:rPr>
              <w:t>BEGINNING</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(CREDITED)</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OFF/USE OF</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CURRENCY</w:t>
            </w:r>
          </w:p>
        </w:tc>
        <w:tc>
          <w:tcPr>
            <w:tcW w:w="7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END OF</w:t>
            </w:r>
          </w:p>
        </w:tc>
      </w:tr>
      <w:tr>
        <w:trPr>
          <w:trHeight w:val="170"/>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YEAR</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INCOME</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RESERVE</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OTHER(A)</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TRANSLATION</w:t>
            </w:r>
          </w:p>
        </w:tc>
        <w:tc>
          <w:tcPr>
            <w:tcW w:w="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gridSpan w:val="2"/>
          </w:tcPr>
          <w:p>
            <w:pPr>
              <w:jc w:val="center"/>
              <w:ind w:left="25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7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1998 --</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Reserve for doubtful</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accounts(B)....................</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119</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1999 --</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Reserve for doubtful</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accounts(B)....................</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119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268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295</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2000 --</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Reserve for doubtful</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accounts(B)....................</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(170)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151</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1998 --</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 and restructuring</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accruals(C)....................</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121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675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(536)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261</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1999 --</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 and restructuring</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accruals(C)....................</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(141)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109</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2000 --</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 and restructuring</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accruals(C)....................</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1998 --</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Reserve for major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maintenance expenditures(D)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1999 --</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Reserve for major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maintenance expenditures(D)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2000 --</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Reserve for major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maintenance expenditures(D)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179" w:hanging="450"/>
        <w:spacing w:after="0" w:line="237" w:lineRule="auto"/>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doubtful accounts relative to purchase of business combinations, reserves associated with dispositions of businesses, reserves reclassified to operations held for sale, and reclass among reserve accounts.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reserves for doubtful long-term notes receivable.</w:t>
      </w:r>
    </w:p>
    <w:p>
      <w:pPr>
        <w:spacing w:after="0" w:line="174"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Accruals are included in accrued liabilities and other liabilities. These accruals represent transaction or deal costs, employee severance, separation, and transitional costs and restructuring charges.</w:t>
      </w:r>
    </w:p>
    <w:p>
      <w:pPr>
        <w:spacing w:after="0" w:line="174"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major maintenance expenditures at the Company's waste-to-energy and independent power facilities.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29"/>
          </w:cols>
          <w:pgMar w:left="230" w:top="283" w:right="1440" w:bottom="1440" w:gutter="0" w:footer="0" w:header="0"/>
        </w:sectPr>
      </w:pPr>
    </w:p>
    <w:bookmarkStart w:id="93" w:name="page94"/>
    <w:bookmarkEnd w:id="93"/>
    <w:p>
      <w:pPr>
        <w:ind w:left="100"/>
        <w:spacing w:after="0"/>
        <w:rPr>
          <w:sz w:val="20"/>
          <w:szCs w:val="20"/>
          <w:color w:val="auto"/>
        </w:rPr>
      </w:pPr>
      <w:r>
        <w:rPr>
          <w:rFonts w:ascii="Courier New" w:cs="Courier New" w:eastAsia="Courier New" w:hAnsi="Courier New"/>
          <w:sz w:val="15"/>
          <w:szCs w:val="15"/>
          <w:color w:val="auto"/>
        </w:rPr>
        <w:t>87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0" w:type="dxa"/>
            <w:vAlign w:val="bottom"/>
          </w:tcPr>
          <w:p>
            <w:pPr>
              <w:jc w:val="right"/>
              <w:ind w:right="2567"/>
              <w:spacing w:after="0"/>
              <w:rPr>
                <w:sz w:val="20"/>
                <w:szCs w:val="20"/>
                <w:color w:val="auto"/>
              </w:rPr>
            </w:pPr>
            <w:r>
              <w:rPr>
                <w:rFonts w:ascii="Courier New" w:cs="Courier New" w:eastAsia="Courier New" w:hAnsi="Courier New"/>
                <w:sz w:val="15"/>
                <w:szCs w:val="15"/>
                <w:color w:val="auto"/>
              </w:rPr>
              <w:t>INDEX TO EXHIBITS</w:t>
            </w:r>
          </w:p>
        </w:tc>
      </w:tr>
      <w:tr>
        <w:trPr>
          <w:trHeight w:val="678"/>
        </w:trPr>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EXHIBIT NO.*</w:t>
            </w:r>
          </w:p>
        </w:tc>
        <w:tc>
          <w:tcPr>
            <w:tcW w:w="660" w:type="dxa"/>
            <w:vAlign w:val="bottom"/>
          </w:tcPr>
          <w:p>
            <w:pPr>
              <w:spacing w:after="0"/>
              <w:rPr>
                <w:sz w:val="24"/>
                <w:szCs w:val="24"/>
                <w:color w:val="auto"/>
              </w:rPr>
            </w:pPr>
          </w:p>
        </w:tc>
        <w:tc>
          <w:tcPr>
            <w:tcW w:w="480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tcPr>
          <w:p>
            <w:pPr>
              <w:spacing w:after="0"/>
              <w:rPr>
                <w:sz w:val="14"/>
                <w:szCs w:val="14"/>
                <w:color w:val="auto"/>
              </w:rPr>
            </w:pPr>
          </w:p>
        </w:tc>
        <w:tc>
          <w:tcPr>
            <w:tcW w:w="480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w:t>
            </w:r>
          </w:p>
        </w:tc>
      </w:tr>
      <w:tr>
        <w:trPr>
          <w:trHeight w:val="339"/>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Agreement and Plan of Merger, dated March 10, 1998, by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and among the Registrant, Dome Merger Subsidiary, Inc. and</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Waste Management, Inc. [Incorporated by reference to</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Exhibit 99.1 to Form 8-K dated March 10, 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Agreement and Plan of Merger, dated as of August 16,</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1998, by and among the Registrant, Ocho Acquisition</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Corporation and Eastern Environmental Services, Inc.</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 Annex A to Form S-4, File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 333-64239].</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 Exhibit 3.2 to Form 8-K</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dated July 16, 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Bylaws [Incorporated by reference to Exhibit 3 to Form</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10-Q for the quarter ended June 30, 2000].</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Specimen Stock Certificate [Incorporated by reference to</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Exhibit 4.1 to Form 10-K for the year ended December 31,</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 Indenture for Subordinated Debt Securities dated February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 1997, among the Registrant and Texas Commerce Bank</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reference to Exhibit 4.1 to Form 8-K dated February 7,</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1997] .</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Indenture for Senior Debt Securities dated September 10,</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reference to Exhibit 4.1 to Form 8-K dated September 10,</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-- 1993 Stock Incentive Plan [Incorporated by reference to</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Exhibit 10.2 to Form 10-K for the year ended December 31,</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-- 1996 Stock Option Plan for Non-Employee Directors</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 Appendix A to the Proxy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Statement for the 2000 Annual Meeting of Stockholders].</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reference to Appendix C to the Proxy Statement for the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2000 Annual Meeting of Stockholders].</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10.4</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Exhibit 10.11 to Form 10-K for the year ended December 31,</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10.5</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Third Amended and Restated Revolving Credit Agreement,</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dated as of December 15, 1999 among the Registrant, the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Guarantors, Bank of America, N.A., Morgan Guaranty Trust</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 of New York and other financial institutions</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[Incorporated by reference to Exhibit 10.32 to Form S-4,</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Reg. No. 333-87319].</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10.6</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Amended and Restated Loan Agreement dated as of December</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15, 1999, among the Registrant, the Guarantors, Bank</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Boston, N.A. Bank of America National Trust and Savings</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Association, Chase Bank of Texas, N.A., Deutsche Bank AG,</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New York Branch, Morgan Guaranty Trust Company of New York</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other financial institutions [Incorporated by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reference to Exhibit 10.33 to Form S-4, Reg. No.</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333-87319].</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10.7</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-- 1998 Waste Management, Inc. Directors' Deferred</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10.1 to Form 10-Q for the quarter ended March 31, 1999].</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10.8</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-- 1999 Waste Management, Inc. Directors Deferred</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10.2 to Form 10-Q for the quarter ended March 31, 1999].</w:t>
            </w:r>
          </w:p>
        </w:tc>
      </w:tr>
      <w:tr>
        <w:trPr>
          <w:trHeight w:val="170"/>
        </w:trPr>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10.9</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the Company and A. Maurice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Myers, dated November 8, 1999 [Incorporated by reference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to Exhibit 10.35 to Form 10-K 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4800" w:type="dxa"/>
            <w:vAlign w:val="bottom"/>
          </w:tcPr>
          <w:p>
            <w:pPr>
              <w:jc w:val="right"/>
              <w:ind w:right="41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10.10</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the Company and Lawrence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O'Donnell III, dated January 21, 2000 [Incorporated by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reference to Exhibit 10.1 to Form 10-Q for the quarter</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ended June 30, 2000].</w:t>
            </w:r>
          </w:p>
        </w:tc>
      </w:tr>
      <w:tr>
        <w:trPr>
          <w:trHeight w:val="170"/>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the Company and William L.</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Trubeck, dated February 16, 2000 [Incorporated by</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reference to Exhibit 10.37 to Form 10-K for the year ended</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 31, 1999].</w:t>
            </w:r>
          </w:p>
        </w:tc>
      </w:tr>
      <w:tr>
        <w:trPr>
          <w:trHeight w:val="170"/>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10.12</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the Company and Thomas L.</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Smith, dated November 18, 1999 [Incorporated by reference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to Exhibit 10.3 to Form 10-Q for the quarter ended June</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30,</w:t>
            </w:r>
          </w:p>
        </w:tc>
        <w:tc>
          <w:tcPr>
            <w:tcW w:w="4800" w:type="dxa"/>
            <w:vAlign w:val="bottom"/>
          </w:tcPr>
          <w:p>
            <w:pPr>
              <w:jc w:val="right"/>
              <w:ind w:right="41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10.13</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the Company and Robert A.</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Damico, dated December 17, 1998 [Incorporated by reference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to Exhibit 10.39 to Form 10-K 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4800" w:type="dxa"/>
            <w:vAlign w:val="bottom"/>
          </w:tcPr>
          <w:p>
            <w:pPr>
              <w:jc w:val="right"/>
              <w:ind w:right="41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10.14</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the Company and Charles A.</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Wilcox, dated February 3, 1998 [Incorporated by reference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to Exhibit 10.40 to Form 10-K 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4800" w:type="dxa"/>
            <w:vAlign w:val="bottom"/>
          </w:tcPr>
          <w:p>
            <w:pPr>
              <w:jc w:val="right"/>
              <w:ind w:right="41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10.15</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the Company and Douglas G.</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Sobey, dated May 7, 1997 [Incorporated by reference to</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Exhibit 10.41 to Form 10-K for the year ended December 31,</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1999].</w:t>
            </w:r>
          </w:p>
        </w:tc>
      </w:tr>
    </w:tbl>
    <w:p>
      <w:pPr>
        <w:sectPr>
          <w:pgSz w:w="11900" w:h="16838" w:orient="portrait"/>
          <w:cols w:equalWidth="0" w:num="1">
            <w:col w:w="10059"/>
          </w:cols>
          <w:pgMar w:left="400" w:top="283" w:right="1440" w:bottom="0" w:gutter="0" w:footer="0" w:header="0"/>
        </w:sectPr>
      </w:pPr>
    </w:p>
    <w:bookmarkStart w:id="94" w:name="page95"/>
    <w:bookmarkEnd w:id="94"/>
    <w:p>
      <w:pPr>
        <w:ind w:left="1060" w:right="3539" w:hanging="1233"/>
        <w:spacing w:after="0" w:line="237" w:lineRule="auto"/>
        <w:tabs>
          <w:tab w:leader="none" w:pos="104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 Employment Agreement between the Company and David R. Hopkins, dated March 30, 2000 [Incorporated by reference to Exhibit 10.2 to Form 10-Q for the quarter ended March 31, 2000].</w:t>
      </w:r>
    </w:p>
    <w:p>
      <w:pPr>
        <w:spacing w:after="0" w:line="7" w:lineRule="exact"/>
        <w:rPr>
          <w:sz w:val="20"/>
          <w:szCs w:val="20"/>
          <w:color w:val="auto"/>
        </w:rPr>
      </w:pPr>
    </w:p>
    <w:p>
      <w:pPr>
        <w:ind w:left="1060" w:right="3439" w:hanging="1233"/>
        <w:spacing w:after="0" w:line="237" w:lineRule="auto"/>
        <w:tabs>
          <w:tab w:leader="none" w:pos="104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 Employment Agreement between the Company and Ronald H. Jones, dated as of August 27, 1997 and December 7, 1997 [Incorporated by reference to Exhibits 10.22 and 10.25 to Form 10-K for the year ended December 31, 1997].</w:t>
      </w:r>
    </w:p>
    <w:p>
      <w:pPr>
        <w:spacing w:after="0" w:line="7" w:lineRule="exact"/>
        <w:rPr>
          <w:sz w:val="20"/>
          <w:szCs w:val="20"/>
          <w:color w:val="auto"/>
        </w:rPr>
      </w:pPr>
    </w:p>
    <w:p>
      <w:pPr>
        <w:ind w:left="1060" w:right="3359" w:hanging="1233"/>
        <w:spacing w:after="0" w:line="237" w:lineRule="auto"/>
        <w:tabs>
          <w:tab w:leader="none" w:pos="104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 Employment Agreement and Amendment to Employment Agreement between the Company and Bruce E. Snyder, dated as of June 1, 1997 and December 1, 1997 [Incorporated by reference to Exhibits 10.26 and 10.27 to Form 10-K for the year ended December 31, 1997].</w:t>
      </w:r>
    </w:p>
    <w:p>
      <w:pPr>
        <w:spacing w:after="0" w:line="9" w:lineRule="exact"/>
        <w:rPr>
          <w:sz w:val="20"/>
          <w:szCs w:val="20"/>
          <w:color w:val="auto"/>
        </w:rPr>
      </w:pPr>
    </w:p>
    <w:p>
      <w:pPr>
        <w:ind w:left="1060" w:right="3359" w:hanging="1233"/>
        <w:spacing w:after="0" w:line="237" w:lineRule="auto"/>
        <w:tabs>
          <w:tab w:leader="none" w:pos="104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 Employment Agreement between the Company and Robert E. Dees, Jr., dated as of May 10, 2000 [Incorporated by reference to Exhibit 10.4 to the Form 10-Q for the quarter ended March 31, 2000].</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4"/>
          <w:szCs w:val="14"/>
          <w:color w:val="auto"/>
        </w:rPr>
        <w:t>-- Employment Agreement between the Company and James E.</w:t>
      </w:r>
    </w:p>
    <w:p>
      <w:pPr>
        <w:ind w:left="1240"/>
        <w:spacing w:after="0"/>
        <w:rPr>
          <w:sz w:val="20"/>
          <w:szCs w:val="20"/>
          <w:color w:val="auto"/>
        </w:rPr>
      </w:pPr>
      <w:r>
        <w:rPr>
          <w:rFonts w:ascii="Courier New" w:cs="Courier New" w:eastAsia="Courier New" w:hAnsi="Courier New"/>
          <w:sz w:val="15"/>
          <w:szCs w:val="15"/>
          <w:color w:val="auto"/>
        </w:rPr>
        <w:t>Trevathan dated as of June 1, 2000.</w:t>
      </w:r>
    </w:p>
    <w:p>
      <w:pPr>
        <w:spacing w:after="0"/>
        <w:tabs>
          <w:tab w:leader="none" w:pos="104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4"/>
          <w:szCs w:val="14"/>
          <w:color w:val="auto"/>
        </w:rPr>
        <w:t>-- Employment Agreement between the Company and Charles E.</w:t>
      </w:r>
    </w:p>
    <w:p>
      <w:pPr>
        <w:ind w:left="1240"/>
        <w:spacing w:after="0" w:line="238" w:lineRule="auto"/>
        <w:rPr>
          <w:sz w:val="20"/>
          <w:szCs w:val="20"/>
          <w:color w:val="auto"/>
        </w:rPr>
      </w:pPr>
      <w:r>
        <w:rPr>
          <w:rFonts w:ascii="Courier New" w:cs="Courier New" w:eastAsia="Courier New" w:hAnsi="Courier New"/>
          <w:sz w:val="15"/>
          <w:szCs w:val="15"/>
          <w:color w:val="auto"/>
        </w:rPr>
        <w:t>Williams dated as of June 1, 2000.</w:t>
      </w:r>
    </w:p>
    <w:p>
      <w:pPr>
        <w:spacing w:after="0" w:line="5" w:lineRule="exact"/>
        <w:rPr>
          <w:sz w:val="20"/>
          <w:szCs w:val="20"/>
          <w:color w:val="auto"/>
        </w:rPr>
      </w:pPr>
    </w:p>
    <w:p>
      <w:pPr>
        <w:ind w:left="1060" w:right="3539" w:hanging="1233"/>
        <w:spacing w:after="0" w:line="265" w:lineRule="auto"/>
        <w:tabs>
          <w:tab w:leader="none" w:pos="104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4"/>
          <w:szCs w:val="14"/>
          <w:color w:val="auto"/>
        </w:rPr>
        <w:t>-- Employment Agreement between Wheelabrator Technologies, Inc. an Richard T. Felago dated as of May 25, 1999.</w:t>
      </w:r>
    </w:p>
    <w:p>
      <w:pPr>
        <w:sectPr>
          <w:pgSz w:w="11900" w:h="16838" w:orient="portrait"/>
          <w:cols w:equalWidth="0" w:num="1">
            <w:col w:w="9699"/>
          </w:cols>
          <w:pgMar w:left="760" w:top="141" w:right="1440" w:bottom="1440" w:gutter="0" w:footer="0" w:header="0"/>
        </w:sectPr>
      </w:pPr>
    </w:p>
    <w:bookmarkStart w:id="95" w:name="page96"/>
    <w:bookmarkEnd w:id="95"/>
    <w:tbl>
      <w:tblPr>
        <w:tblLayout w:type="fixed"/>
        <w:tblInd w:w="170" w:type="dxa"/>
        <w:tblCellMar>
          <w:top w:w="0" w:type="dxa"/>
          <w:left w:w="0" w:type="dxa"/>
          <w:bottom w:w="0" w:type="dxa"/>
          <w:right w:w="0" w:type="dxa"/>
        </w:tblCellMar>
      </w:tblPr>
      <w:tr>
        <w:trPr>
          <w:trHeight w:val="170"/>
        </w:trPr>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88</w:t>
            </w:r>
          </w:p>
        </w:tc>
        <w:tc>
          <w:tcPr>
            <w:tcW w:w="660" w:type="dxa"/>
            <w:vAlign w:val="bottom"/>
          </w:tcPr>
          <w:p>
            <w:pPr>
              <w:spacing w:after="0"/>
              <w:rPr>
                <w:sz w:val="14"/>
                <w:szCs w:val="14"/>
                <w:color w:val="auto"/>
              </w:rPr>
            </w:pPr>
          </w:p>
        </w:tc>
        <w:tc>
          <w:tcPr>
            <w:tcW w:w="4800" w:type="dxa"/>
            <w:vAlign w:val="bottom"/>
          </w:tcPr>
          <w:p>
            <w:pPr>
              <w:spacing w:after="0"/>
              <w:rPr>
                <w:sz w:val="14"/>
                <w:szCs w:val="14"/>
                <w:color w:val="auto"/>
              </w:rPr>
            </w:pPr>
          </w:p>
        </w:tc>
      </w:tr>
      <w:tr>
        <w:trPr>
          <w:trHeight w:val="678"/>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60" w:type="dxa"/>
            <w:vAlign w:val="bottom"/>
          </w:tcPr>
          <w:p>
            <w:pPr>
              <w:spacing w:after="0"/>
              <w:rPr>
                <w:sz w:val="24"/>
                <w:szCs w:val="24"/>
                <w:color w:val="auto"/>
              </w:rPr>
            </w:pPr>
          </w:p>
        </w:tc>
        <w:tc>
          <w:tcPr>
            <w:tcW w:w="4800" w:type="dxa"/>
            <w:vAlign w:val="bottom"/>
          </w:tcPr>
          <w:p>
            <w:pPr>
              <w:ind w:left="16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4800" w:type="dxa"/>
            <w:vAlign w:val="bottom"/>
          </w:tcPr>
          <w:p>
            <w:pPr>
              <w:ind w:left="1640"/>
              <w:spacing w:after="0"/>
              <w:rPr>
                <w:sz w:val="20"/>
                <w:szCs w:val="20"/>
                <w:color w:val="auto"/>
              </w:rPr>
            </w:pPr>
            <w:r>
              <w:rPr>
                <w:rFonts w:ascii="Courier New" w:cs="Courier New" w:eastAsia="Courier New" w:hAnsi="Courier New"/>
                <w:sz w:val="15"/>
                <w:szCs w:val="15"/>
                <w:color w:val="auto"/>
              </w:rPr>
              <w:t>-----------</w:t>
            </w:r>
          </w:p>
        </w:tc>
      </w:tr>
      <w:tr>
        <w:trPr>
          <w:trHeight w:val="339"/>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10.23</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Employment Agreement between Canadian Waste Services,</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 and Jeff M. Harris dated as of November 3, 1999.</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10.24</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-- 2000 Broad-Based Employee Plan [Incorporated by reference</w:t>
            </w:r>
          </w:p>
        </w:tc>
      </w:tr>
      <w:tr>
        <w:trPr>
          <w:trHeight w:val="170"/>
        </w:trPr>
        <w:tc>
          <w:tcPr>
            <w:tcW w:w="1240" w:type="dxa"/>
            <w:vAlign w:val="bottom"/>
          </w:tcPr>
          <w:p>
            <w:pPr>
              <w:spacing w:after="0"/>
              <w:rPr>
                <w:sz w:val="14"/>
                <w:szCs w:val="14"/>
                <w:color w:val="auto"/>
              </w:rPr>
            </w:pPr>
          </w:p>
        </w:tc>
        <w:tc>
          <w:tcPr>
            <w:tcW w:w="546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to Exhibit 10.49 to Form 10-K for the year ended December</w:t>
            </w:r>
          </w:p>
        </w:tc>
      </w:tr>
      <w:tr>
        <w:trPr>
          <w:trHeight w:val="170"/>
        </w:trPr>
        <w:tc>
          <w:tcPr>
            <w:tcW w:w="1240" w:type="dxa"/>
            <w:vAlign w:val="bottom"/>
          </w:tcPr>
          <w:p>
            <w:pPr>
              <w:spacing w:after="0"/>
              <w:rPr>
                <w:sz w:val="14"/>
                <w:szCs w:val="14"/>
                <w:color w:val="auto"/>
              </w:rPr>
            </w:pPr>
          </w:p>
        </w:tc>
        <w:tc>
          <w:tcPr>
            <w:tcW w:w="660" w:type="dxa"/>
            <w:vAlign w:val="bottom"/>
          </w:tcPr>
          <w:p>
            <w:pPr>
              <w:ind w:left="360"/>
              <w:spacing w:after="0"/>
              <w:rPr>
                <w:sz w:val="20"/>
                <w:szCs w:val="20"/>
                <w:color w:val="auto"/>
              </w:rPr>
            </w:pPr>
            <w:r>
              <w:rPr>
                <w:rFonts w:ascii="Courier New" w:cs="Courier New" w:eastAsia="Courier New" w:hAnsi="Courier New"/>
                <w:sz w:val="15"/>
                <w:szCs w:val="15"/>
                <w:color w:val="auto"/>
              </w:rPr>
              <w:t>31,</w:t>
            </w:r>
          </w:p>
        </w:tc>
        <w:tc>
          <w:tcPr>
            <w:tcW w:w="4800" w:type="dxa"/>
            <w:vAlign w:val="bottom"/>
          </w:tcPr>
          <w:p>
            <w:pPr>
              <w:jc w:val="right"/>
              <w:ind w:right="414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12.1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Computation of Ratio of Earnings to Fixed Charges.</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21.1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Subsidiaries of the Registrant.</w:t>
            </w:r>
          </w:p>
        </w:tc>
      </w:tr>
      <w:tr>
        <w:trPr>
          <w:trHeight w:val="170"/>
        </w:trPr>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23.1</w:t>
            </w:r>
          </w:p>
        </w:tc>
        <w:tc>
          <w:tcPr>
            <w:tcW w:w="5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Consent of Arthur Andersen LLP.</w:t>
            </w:r>
          </w:p>
        </w:tc>
      </w:tr>
    </w:tbl>
    <w:p>
      <w:pPr>
        <w:ind w:left="1590" w:hanging="1061"/>
        <w:spacing w:after="0"/>
        <w:tabs>
          <w:tab w:leader="none" w:pos="159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Data Schedule.</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left="170" w:right="3359" w:hanging="170"/>
        <w:spacing w:after="0" w:line="237" w:lineRule="auto"/>
        <w:tabs>
          <w:tab w:leader="none" w:pos="17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Exchange Act of 1934, the Company's file number under that Act is 1-12154.</w:t>
      </w:r>
    </w:p>
    <w:p>
      <w:pPr>
        <w:sectPr>
          <w:pgSz w:w="11900" w:h="16838" w:orient="portrait"/>
          <w:cols w:equalWidth="0" w:num="1">
            <w:col w:w="10229"/>
          </w:cols>
          <w:pgMar w:left="230" w:top="283" w:right="1440" w:bottom="1440" w:gutter="0" w:footer="0" w:header="0"/>
        </w:sectPr>
      </w:pPr>
    </w:p>
    <w:bookmarkStart w:id="96" w:name="page97"/>
    <w:bookmarkEnd w:id="96"/>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10.20</w:t>
      </w:r>
    </w:p>
    <w:p>
      <w:pPr>
        <w:spacing w:after="0" w:line="33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WASTE MANAGEMENT, INC. (the "Company"), and JIM TREVETHAN (the "Executive") hereby enter into this EMPLOYMENT AGREEMENT ("Agreement") dated as of June 1, 2000 (the "Effective Date"), as follows:</w:t>
      </w:r>
    </w:p>
    <w:p>
      <w:pPr>
        <w:spacing w:after="0" w:line="169" w:lineRule="exact"/>
        <w:rPr>
          <w:sz w:val="20"/>
          <w:szCs w:val="20"/>
          <w:color w:val="auto"/>
        </w:rPr>
      </w:pPr>
    </w:p>
    <w:p>
      <w:pPr>
        <w:ind w:left="790" w:hanging="790"/>
        <w:spacing w:after="0"/>
        <w:tabs>
          <w:tab w:leader="none" w:pos="79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The Company shall employ Executive, and Executive shall be employed by the Company upon the terms and subject to the conditions set forth in this Agreement.</w:t>
      </w:r>
    </w:p>
    <w:p>
      <w:pPr>
        <w:spacing w:after="0" w:line="169" w:lineRule="exact"/>
        <w:rPr>
          <w:sz w:val="20"/>
          <w:szCs w:val="20"/>
          <w:color w:val="auto"/>
        </w:rPr>
      </w:pPr>
    </w:p>
    <w:p>
      <w:pPr>
        <w:ind w:left="790" w:hanging="790"/>
        <w:spacing w:after="0"/>
        <w:tabs>
          <w:tab w:leader="none" w:pos="79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EMPLOYMENT.</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period of Executive's employment under this Agreement shall commence on June 1, 2000, and be for a continuously renewing (on a daily basis) three (3)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62" w:lineRule="exact"/>
        <w:rPr>
          <w:sz w:val="20"/>
          <w:szCs w:val="20"/>
          <w:color w:val="auto"/>
        </w:rPr>
      </w:pPr>
    </w:p>
    <w:p>
      <w:pPr>
        <w:ind w:left="790" w:hanging="790"/>
        <w:spacing w:after="0"/>
        <w:tabs>
          <w:tab w:leader="none" w:pos="79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RESPONSIBILITIES.</w:t>
      </w:r>
    </w:p>
    <w:p>
      <w:pPr>
        <w:spacing w:after="0" w:line="175" w:lineRule="exact"/>
        <w:rPr>
          <w:sz w:val="20"/>
          <w:szCs w:val="20"/>
          <w:color w:val="auto"/>
        </w:rPr>
      </w:pPr>
    </w:p>
    <w:p>
      <w:pPr>
        <w:ind w:left="790" w:right="3259" w:hanging="790"/>
        <w:spacing w:after="0" w:line="238" w:lineRule="auto"/>
        <w:tabs>
          <w:tab w:leader="none" w:pos="79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serve as Senior Vice President-Sales &amp; Marketing. In such capacity, Executive shall perform such duties and have the power, authority and functions commensurate with such positions in similarly sized public companies and such other authority and functions consistent with such positions as may be assigned to Executive from time to time by the Chief Executive Officer, President, Executive Vice President, or the Board of Directors.</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serve on boards of other for profit entities, provided such activities do not materially interfere with the performance of his duties hereunder.</w:t>
      </w:r>
    </w:p>
    <w:p>
      <w:pPr>
        <w:spacing w:after="0" w:line="173" w:lineRule="exact"/>
        <w:rPr>
          <w:sz w:val="20"/>
          <w:szCs w:val="20"/>
          <w:color w:val="auto"/>
        </w:rPr>
      </w:pPr>
    </w:p>
    <w:p>
      <w:pPr>
        <w:ind w:left="790" w:hanging="790"/>
        <w:spacing w:after="0"/>
        <w:tabs>
          <w:tab w:leader="none" w:pos="79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w:t>
      </w:r>
    </w:p>
    <w:p>
      <w:pPr>
        <w:spacing w:after="0" w:line="175" w:lineRule="exact"/>
        <w:rPr>
          <w:sz w:val="20"/>
          <w:szCs w:val="20"/>
          <w:color w:val="auto"/>
        </w:rPr>
      </w:pPr>
    </w:p>
    <w:p>
      <w:pPr>
        <w:ind w:left="790" w:right="3259" w:hanging="790"/>
        <w:spacing w:after="0" w:line="238" w:lineRule="auto"/>
        <w:tabs>
          <w:tab w:leader="none" w:pos="79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Period, the Company shall pay Executive a base salary at the annual rate of TWO HUNDRED FIFTY THOUSAND DOLLARS ($250,000.00)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171"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 of 19</w:t>
      </w:r>
    </w:p>
    <w:p>
      <w:pPr>
        <w:sectPr>
          <w:pgSz w:w="11900" w:h="16838" w:orient="portrait"/>
          <w:cols w:equalWidth="0" w:num="1">
            <w:col w:w="10229"/>
          </w:cols>
          <w:pgMar w:left="230" w:top="136" w:right="1440" w:bottom="1440" w:gutter="0" w:footer="0" w:header="0"/>
        </w:sectPr>
      </w:pPr>
    </w:p>
    <w:bookmarkStart w:id="97" w:name="page98"/>
    <w:bookmarkEnd w:id="97"/>
    <w:p>
      <w:pPr>
        <w:ind w:left="27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left="790" w:right="3179" w:hanging="790"/>
        <w:spacing w:after="0" w:line="257" w:lineRule="auto"/>
        <w:tabs>
          <w:tab w:leader="none" w:pos="79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During the Employment Period, Executive will be entitled to participate in an annual incentive compensation plan of the Company. The Executive's target annual bonus will be seventy-five percent (75%) of his Base Salary as in effect for such year (the "Target Bonus"), and his actual annual bonus may range from 0% to 150% (2 times Target Bonus), and will be determined based upon achievement of performance goals (initially seventy percent [70%] financial [return on capital invested and EBITDA] and thirty percent [30%] personal, but may be tied to other metrics as may be established from time to time by the Compensation Committee of the Board) as approved by the Compensation Committee of the Board, from time to time.</w:t>
      </w:r>
    </w:p>
    <w:p>
      <w:pPr>
        <w:spacing w:after="0" w:line="165"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Executive shall be eligible to be considered for stock option grants under the Company's annual stock option award program as administered by, and at the discretion of, the Compensation Committee of the Board of Directors, beginning in 2001.</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w:t>
      </w:r>
    </w:p>
    <w:p>
      <w:pPr>
        <w:spacing w:after="0" w:line="182" w:lineRule="exact"/>
        <w:rPr>
          <w:rFonts w:ascii="Courier New" w:cs="Courier New" w:eastAsia="Courier New" w:hAnsi="Courier New"/>
          <w:sz w:val="15"/>
          <w:szCs w:val="15"/>
          <w:color w:val="auto"/>
        </w:rPr>
      </w:pPr>
    </w:p>
    <w:p>
      <w:pPr>
        <w:ind w:left="790" w:right="3259" w:hanging="790"/>
        <w:spacing w:after="0" w:line="259" w:lineRule="auto"/>
        <w:tabs>
          <w:tab w:leader="none" w:pos="79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162" w:lineRule="exact"/>
        <w:rPr>
          <w:rFonts w:ascii="Courier New" w:cs="Courier New" w:eastAsia="Courier New" w:hAnsi="Courier New"/>
          <w:sz w:val="14"/>
          <w:szCs w:val="14"/>
          <w:color w:val="auto"/>
        </w:rPr>
      </w:pPr>
    </w:p>
    <w:p>
      <w:pPr>
        <w:ind w:left="790" w:right="3179" w:hanging="790"/>
        <w:spacing w:after="0" w:line="237" w:lineRule="auto"/>
        <w:tabs>
          <w:tab w:leader="none" w:pos="7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DEFERRAL PLAN. Executive shall be entitled to participate in the Company's "Executive Deferral Plan", and any replacement plan or arrangement, all to the extent maintained or instituted by the Company, and covering its principal executive officers, at a level commensurate with his position.</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PERQUISITES. Executive shall be entitled to all perquisites provided to Senior Vice Presidents of the Company as approved by the Compensation Committee of the Board of Directors, and as they may exist from time to time.</w:t>
      </w:r>
    </w:p>
    <w:p>
      <w:pPr>
        <w:spacing w:after="0" w:line="171" w:lineRule="exact"/>
        <w:rPr>
          <w:sz w:val="20"/>
          <w:szCs w:val="20"/>
          <w:color w:val="auto"/>
        </w:rPr>
      </w:pPr>
    </w:p>
    <w:p>
      <w:pPr>
        <w:ind w:left="790" w:hanging="790"/>
        <w:spacing w:after="0"/>
        <w:tabs>
          <w:tab w:leader="none" w:pos="79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5" w:lineRule="exact"/>
        <w:rPr>
          <w:sz w:val="20"/>
          <w:szCs w:val="20"/>
          <w:color w:val="auto"/>
        </w:rPr>
      </w:pPr>
    </w:p>
    <w:p>
      <w:pPr>
        <w:ind w:left="10" w:right="4059"/>
        <w:spacing w:after="0" w:line="235" w:lineRule="auto"/>
        <w:rPr>
          <w:sz w:val="20"/>
          <w:szCs w:val="20"/>
          <w:color w:val="auto"/>
        </w:rPr>
      </w:pPr>
      <w:r>
        <w:rPr>
          <w:rFonts w:ascii="Courier New" w:cs="Courier New" w:eastAsia="Courier New" w:hAnsi="Courier New"/>
          <w:sz w:val="15"/>
          <w:szCs w:val="15"/>
          <w:color w:val="auto"/>
        </w:rPr>
        <w:t>Executive's employment hereunder may be terminated under the following circumstances:</w:t>
      </w:r>
    </w:p>
    <w:p>
      <w:pPr>
        <w:spacing w:after="0" w:line="176" w:lineRule="exact"/>
        <w:rPr>
          <w:sz w:val="20"/>
          <w:szCs w:val="20"/>
          <w:color w:val="auto"/>
        </w:rPr>
      </w:pPr>
    </w:p>
    <w:p>
      <w:pPr>
        <w:ind w:left="790" w:right="4139" w:hanging="790"/>
        <w:spacing w:after="0" w:line="235" w:lineRule="auto"/>
        <w:tabs>
          <w:tab w:leader="none" w:pos="79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Executive's employment hereunder shall terminate upon Executive's death.</w:t>
      </w:r>
    </w:p>
    <w:p>
      <w:pPr>
        <w:spacing w:after="0" w:line="200" w:lineRule="exact"/>
        <w:rPr>
          <w:sz w:val="20"/>
          <w:szCs w:val="20"/>
          <w:color w:val="auto"/>
        </w:rPr>
      </w:pPr>
    </w:p>
    <w:p>
      <w:pPr>
        <w:spacing w:after="0" w:line="30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2 of 19</w:t>
      </w:r>
    </w:p>
    <w:p>
      <w:pPr>
        <w:sectPr>
          <w:pgSz w:w="11900" w:h="16838" w:orient="portrait"/>
          <w:cols w:equalWidth="0" w:num="1">
            <w:col w:w="10229"/>
          </w:cols>
          <w:pgMar w:left="230" w:top="283" w:right="1440" w:bottom="1440" w:gutter="0" w:footer="0" w:header="0"/>
        </w:sectPr>
      </w:pPr>
    </w:p>
    <w:bookmarkStart w:id="98" w:name="page99"/>
    <w:bookmarkEnd w:id="98"/>
    <w:p>
      <w:pPr>
        <w:ind w:left="27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left="790" w:right="3179" w:hanging="790"/>
        <w:spacing w:after="0" w:line="256" w:lineRule="auto"/>
        <w:tabs>
          <w:tab w:leader="none" w:pos="79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w:t>
      </w:r>
    </w:p>
    <w:p>
      <w:pPr>
        <w:spacing w:after="0" w:line="3" w:lineRule="exact"/>
        <w:rPr>
          <w:rFonts w:ascii="Courier New" w:cs="Courier New" w:eastAsia="Courier New" w:hAnsi="Courier New"/>
          <w:sz w:val="14"/>
          <w:szCs w:val="14"/>
          <w:color w:val="auto"/>
        </w:rPr>
      </w:pPr>
    </w:p>
    <w:p>
      <w:pPr>
        <w:ind w:left="790" w:right="3359" w:firstLine="4"/>
        <w:spacing w:after="0" w:line="259" w:lineRule="auto"/>
        <w:tabs>
          <w:tab w:leader="none" w:pos="123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62" w:lineRule="exact"/>
        <w:rPr>
          <w:rFonts w:ascii="Courier New" w:cs="Courier New" w:eastAsia="Courier New" w:hAnsi="Courier New"/>
          <w:sz w:val="14"/>
          <w:szCs w:val="14"/>
          <w:color w:val="auto"/>
        </w:rPr>
      </w:pPr>
    </w:p>
    <w:p>
      <w:pPr>
        <w:ind w:left="790" w:right="3259" w:hanging="790"/>
        <w:spacing w:after="0" w:line="256" w:lineRule="auto"/>
        <w:tabs>
          <w:tab w:leader="none" w:pos="79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within ninety</w:t>
      </w:r>
    </w:p>
    <w:p>
      <w:pPr>
        <w:ind w:left="790" w:right="3439" w:firstLine="4"/>
        <w:spacing w:after="0" w:line="235" w:lineRule="auto"/>
        <w:tabs>
          <w:tab w:leader="none" w:pos="123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Chairman of the Audit or Governance Committee of the Board has knowledge thereof.</w:t>
      </w:r>
    </w:p>
    <w:p>
      <w:pPr>
        <w:spacing w:after="0" w:line="176" w:lineRule="exact"/>
        <w:rPr>
          <w:sz w:val="20"/>
          <w:szCs w:val="20"/>
          <w:color w:val="auto"/>
        </w:rPr>
      </w:pPr>
    </w:p>
    <w:p>
      <w:pPr>
        <w:ind w:left="1590" w:right="3179" w:hanging="796"/>
        <w:spacing w:after="0" w:line="239" w:lineRule="auto"/>
        <w:tabs>
          <w:tab w:leader="none" w:pos="159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"Cause" shall be limited to (1) willful misconduct by Executive with regard to the Company which has a material adverse effect on the Company; (2) the willful refusal of Executive to attempt to follow the proper written direction of the Chief Executive Officer, the President, an Executive Vice President, or the Board of Directors,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Chief Executive Officer, the President, an Executive Vice President, or the Board of Directors,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177"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 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w:t>
      </w:r>
    </w:p>
    <w:p>
      <w:pPr>
        <w:spacing w:after="0" w:line="345"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3 of 19</w:t>
      </w:r>
    </w:p>
    <w:p>
      <w:pPr>
        <w:sectPr>
          <w:pgSz w:w="11900" w:h="16838" w:orient="portrait"/>
          <w:cols w:equalWidth="0" w:num="1">
            <w:col w:w="10229"/>
          </w:cols>
          <w:pgMar w:left="230" w:top="283" w:right="1440" w:bottom="1440" w:gutter="0" w:footer="0" w:header="0"/>
        </w:sectPr>
      </w:pPr>
    </w:p>
    <w:bookmarkStart w:id="99" w:name="page100"/>
    <w:bookmarkEnd w:id="99"/>
    <w:p>
      <w:pPr>
        <w:ind w:left="27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1590" w:right="3259"/>
        <w:spacing w:after="0" w:line="238" w:lineRule="auto"/>
        <w:rPr>
          <w:sz w:val="20"/>
          <w:szCs w:val="20"/>
          <w:color w:val="auto"/>
        </w:rPr>
      </w:pPr>
      <w:r>
        <w:rPr>
          <w:rFonts w:ascii="Courier New" w:cs="Courier New" w:eastAsia="Courier New" w:hAnsi="Courier New"/>
          <w:sz w:val="15"/>
          <w:szCs w:val="15"/>
          <w:color w:val="auto"/>
        </w:rPr>
        <w:t>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80" w:lineRule="exact"/>
        <w:rPr>
          <w:sz w:val="20"/>
          <w:szCs w:val="20"/>
          <w:color w:val="auto"/>
        </w:rPr>
      </w:pPr>
    </w:p>
    <w:p>
      <w:pPr>
        <w:ind w:left="790" w:right="3259" w:hanging="790"/>
        <w:spacing w:after="0" w:line="237" w:lineRule="auto"/>
        <w:tabs>
          <w:tab w:leader="none" w:pos="79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Executive may terminate employment hereunder with or without Good Reason at any time upon written notice to the Company.</w:t>
      </w:r>
    </w:p>
    <w:p>
      <w:pPr>
        <w:spacing w:after="0" w:line="174" w:lineRule="exact"/>
        <w:rPr>
          <w:rFonts w:ascii="Courier New" w:cs="Courier New" w:eastAsia="Courier New" w:hAnsi="Courier New"/>
          <w:sz w:val="15"/>
          <w:szCs w:val="15"/>
          <w:color w:val="auto"/>
        </w:rPr>
      </w:pPr>
    </w:p>
    <w:p>
      <w:pPr>
        <w:ind w:left="1590" w:right="3179" w:hanging="796"/>
        <w:spacing w:after="0" w:line="256" w:lineRule="auto"/>
        <w:tabs>
          <w:tab w:leader="none" w:pos="159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provided that a change in reporting structure shall not constitute Good Reason under any circumstances as long as Executive reports to the Chief Executive Officer, the President, the Chief Operating Officer, or an Executive Vice President; further provided that if the Company becomes a fifty percent or more subsidiary of any other entity, Executive shall be deemed to have a material diminution of his position unless he is also a Senior Vice President of the ultimate parent entity; (2) removal of, or the non-re-election of, the Executive from officer positions with the Company specified herein or removal of the Executive from any of his then officer positions with the Company; (3) requiring Executive's principal place of business to be located other than in Houston, Texas;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 successor to the Company (whether direct or indirect and whether by merger, acquisition, consolidation or otherwise) to assume in a writing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4 of 19</w:t>
      </w:r>
    </w:p>
    <w:p>
      <w:pPr>
        <w:sectPr>
          <w:pgSz w:w="11900" w:h="16838" w:orient="portrait"/>
          <w:cols w:equalWidth="0" w:num="1">
            <w:col w:w="10229"/>
          </w:cols>
          <w:pgMar w:left="230" w:top="283" w:right="1440" w:bottom="1440" w:gutter="0" w:footer="0" w:header="0"/>
        </w:sectPr>
      </w:pPr>
    </w:p>
    <w:bookmarkStart w:id="100" w:name="page101"/>
    <w:bookmarkEnd w:id="100"/>
    <w:p>
      <w:pPr>
        <w:ind w:left="27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590" w:right="3439"/>
        <w:spacing w:after="0" w:line="235" w:lineRule="auto"/>
        <w:rPr>
          <w:sz w:val="20"/>
          <w:szCs w:val="20"/>
          <w:color w:val="auto"/>
        </w:rPr>
      </w:pPr>
      <w:r>
        <w:rPr>
          <w:rFonts w:ascii="Courier New" w:cs="Courier New" w:eastAsia="Courier New" w:hAnsi="Courier New"/>
          <w:sz w:val="15"/>
          <w:szCs w:val="15"/>
          <w:color w:val="auto"/>
        </w:rPr>
        <w:t>delivered to Executive upon the assignee becoming such, the obligations of the Company hereunder.</w:t>
      </w:r>
    </w:p>
    <w:p>
      <w:pPr>
        <w:spacing w:after="0" w:line="176" w:lineRule="exact"/>
        <w:rPr>
          <w:sz w:val="20"/>
          <w:szCs w:val="20"/>
          <w:color w:val="auto"/>
        </w:rPr>
      </w:pPr>
    </w:p>
    <w:p>
      <w:pPr>
        <w:ind w:left="1590" w:right="3259" w:hanging="796"/>
        <w:spacing w:after="0" w:line="256" w:lineRule="auto"/>
        <w:tabs>
          <w:tab w:leader="none" w:pos="159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4" w:lineRule="exact"/>
        <w:rPr>
          <w:rFonts w:ascii="Courier New" w:cs="Courier New" w:eastAsia="Courier New" w:hAnsi="Courier New"/>
          <w:sz w:val="14"/>
          <w:szCs w:val="14"/>
          <w:color w:val="auto"/>
        </w:rPr>
      </w:pPr>
    </w:p>
    <w:p>
      <w:pPr>
        <w:ind w:left="1590" w:right="36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5(d)(i)(1) or (2) the date may be five (5) days after the giving of such notice.</w:t>
      </w:r>
    </w:p>
    <w:p>
      <w:pPr>
        <w:spacing w:after="0" w:line="175" w:lineRule="exact"/>
        <w:rPr>
          <w:rFonts w:ascii="Courier New" w:cs="Courier New" w:eastAsia="Courier New" w:hAnsi="Courier New"/>
          <w:sz w:val="14"/>
          <w:szCs w:val="14"/>
          <w:color w:val="auto"/>
        </w:rPr>
      </w:pPr>
    </w:p>
    <w:p>
      <w:pPr>
        <w:ind w:left="790" w:right="3179" w:hanging="790"/>
        <w:spacing w:after="0" w:line="237" w:lineRule="auto"/>
        <w:tabs>
          <w:tab w:leader="none" w:pos="79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The Company may terminate Executive's employment hereunder without Cause at any time upon written notice to Executive.</w:t>
      </w:r>
    </w:p>
    <w:p>
      <w:pPr>
        <w:spacing w:after="0" w:line="174" w:lineRule="exact"/>
        <w:rPr>
          <w:rFonts w:ascii="Courier New" w:cs="Courier New" w:eastAsia="Courier New" w:hAnsi="Courier New"/>
          <w:sz w:val="15"/>
          <w:szCs w:val="15"/>
          <w:color w:val="auto"/>
        </w:rPr>
      </w:pPr>
    </w:p>
    <w:p>
      <w:pPr>
        <w:ind w:left="790" w:right="3179" w:hanging="790"/>
        <w:spacing w:after="0" w:line="260" w:lineRule="auto"/>
        <w:tabs>
          <w:tab w:leader="none" w:pos="79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Upon any termination of employment, Executive shall immediately resign from all Board memberships and other positions with the Company or any of its subsidiaries held by him at such time.</w:t>
      </w:r>
    </w:p>
    <w:p>
      <w:pPr>
        <w:spacing w:after="0" w:line="157" w:lineRule="exact"/>
        <w:rPr>
          <w:sz w:val="20"/>
          <w:szCs w:val="20"/>
          <w:color w:val="auto"/>
        </w:rPr>
      </w:pPr>
    </w:p>
    <w:p>
      <w:pPr>
        <w:ind w:left="790" w:hanging="790"/>
        <w:spacing w:after="0"/>
        <w:tabs>
          <w:tab w:leader="none" w:pos="79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FOLLOWING TERMINATION OF EMPLOYMENT.</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In the event that Executive's employment hereunder is terminated, Executive shall be entitled to the following compensation and benefits upon such termination:</w:t>
      </w:r>
    </w:p>
    <w:p>
      <w:pPr>
        <w:spacing w:after="0" w:line="175" w:lineRule="exact"/>
        <w:rPr>
          <w:sz w:val="20"/>
          <w:szCs w:val="20"/>
          <w:color w:val="auto"/>
        </w:rPr>
      </w:pPr>
    </w:p>
    <w:p>
      <w:pPr>
        <w:ind w:left="790" w:right="3359" w:hanging="790"/>
        <w:spacing w:after="0" w:line="260" w:lineRule="auto"/>
        <w:tabs>
          <w:tab w:leader="none" w:pos="79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2" w:lineRule="exact"/>
        <w:rPr>
          <w:rFonts w:ascii="Courier New" w:cs="Courier New" w:eastAsia="Courier New" w:hAnsi="Courier New"/>
          <w:sz w:val="14"/>
          <w:szCs w:val="14"/>
          <w:color w:val="auto"/>
        </w:rPr>
      </w:pPr>
    </w:p>
    <w:p>
      <w:pPr>
        <w:ind w:left="1590" w:right="3179" w:hanging="796"/>
        <w:spacing w:after="0" w:line="238" w:lineRule="auto"/>
        <w:tabs>
          <w:tab w:leader="none" w:pos="159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178"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73"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5 of 19</w:t>
      </w:r>
    </w:p>
    <w:p>
      <w:pPr>
        <w:sectPr>
          <w:pgSz w:w="11900" w:h="16838" w:orient="portrait"/>
          <w:cols w:equalWidth="0" w:num="1">
            <w:col w:w="10229"/>
          </w:cols>
          <w:pgMar w:left="230" w:top="283" w:right="1440" w:bottom="1440" w:gutter="0" w:footer="0" w:header="0"/>
        </w:sectPr>
      </w:pPr>
    </w:p>
    <w:bookmarkStart w:id="101" w:name="page102"/>
    <w:bookmarkEnd w:id="101"/>
    <w:p>
      <w:pPr>
        <w:ind w:left="27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left="1590" w:right="3259" w:hanging="796"/>
        <w:spacing w:after="0" w:line="238" w:lineRule="auto"/>
        <w:tabs>
          <w:tab w:leader="none" w:pos="159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76"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termination by reason of Executive's death, stock options awarded to Executive shall be fully vested and Executive's estate or beneficiary shall have up to one (1) year from the date of death to exercise all such options, provided that in no event will any option be exercisable beyond its term.</w:t>
      </w:r>
    </w:p>
    <w:p>
      <w:pPr>
        <w:spacing w:after="0" w:line="169"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4"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345"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166" w:lineRule="exact"/>
        <w:rPr>
          <w:rFonts w:ascii="Courier New" w:cs="Courier New" w:eastAsia="Courier New" w:hAnsi="Courier New"/>
          <w:sz w:val="14"/>
          <w:szCs w:val="14"/>
          <w:color w:val="auto"/>
        </w:rPr>
      </w:pPr>
    </w:p>
    <w:p>
      <w:pPr>
        <w:ind w:left="1590" w:right="3179" w:hanging="796"/>
        <w:spacing w:after="0" w:line="237" w:lineRule="auto"/>
        <w:tabs>
          <w:tab w:leader="none" w:pos="159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78"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78"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 provided that in no event will any option be exercisable beyond its term.</w:t>
      </w:r>
    </w:p>
    <w:p>
      <w:pPr>
        <w:spacing w:after="0" w:line="17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6 of 19</w:t>
      </w:r>
    </w:p>
    <w:p>
      <w:pPr>
        <w:sectPr>
          <w:pgSz w:w="11900" w:h="16838" w:orient="portrait"/>
          <w:cols w:equalWidth="0" w:num="1">
            <w:col w:w="10229"/>
          </w:cols>
          <w:pgMar w:left="230" w:top="283" w:right="1440" w:bottom="1440" w:gutter="0" w:footer="0" w:header="0"/>
        </w:sectPr>
      </w:pPr>
    </w:p>
    <w:bookmarkStart w:id="102" w:name="page103"/>
    <w:bookmarkEnd w:id="102"/>
    <w:p>
      <w:pPr>
        <w:ind w:left="27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1590" w:hanging="796"/>
        <w:spacing w:after="0"/>
        <w:tabs>
          <w:tab w:leader="none" w:pos="159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4" w:lineRule="exact"/>
        <w:rPr>
          <w:rFonts w:ascii="Courier New" w:cs="Courier New" w:eastAsia="Courier New" w:hAnsi="Courier New"/>
          <w:sz w:val="15"/>
          <w:szCs w:val="15"/>
          <w:color w:val="auto"/>
        </w:rPr>
      </w:pPr>
    </w:p>
    <w:p>
      <w:pPr>
        <w:ind w:left="790" w:right="3619" w:hanging="790"/>
        <w:spacing w:after="0" w:line="237" w:lineRule="auto"/>
        <w:tabs>
          <w:tab w:leader="none" w:pos="79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In the event that Executive's employment is terminated by the Company for Cause, the Company shall pay the following amounts to Executive:</w:t>
      </w:r>
    </w:p>
    <w:p>
      <w:pPr>
        <w:spacing w:after="0" w:line="174"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8" w:lineRule="exact"/>
        <w:rPr>
          <w:sz w:val="20"/>
          <w:szCs w:val="20"/>
          <w:color w:val="auto"/>
        </w:rPr>
      </w:pPr>
    </w:p>
    <w:p>
      <w:pPr>
        <w:ind w:left="1590" w:right="3179" w:hanging="796"/>
        <w:spacing w:after="0" w:line="237" w:lineRule="auto"/>
        <w:tabs>
          <w:tab w:leader="none" w:pos="15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72" w:lineRule="exact"/>
        <w:rPr>
          <w:rFonts w:ascii="Courier New" w:cs="Courier New" w:eastAsia="Courier New" w:hAnsi="Courier New"/>
          <w:sz w:val="15"/>
          <w:szCs w:val="15"/>
          <w:color w:val="auto"/>
        </w:rPr>
      </w:pPr>
    </w:p>
    <w:p>
      <w:pPr>
        <w:ind w:left="1590" w:hanging="796"/>
        <w:spacing w:after="0"/>
        <w:tabs>
          <w:tab w:leader="none" w:pos="159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5" w:lineRule="exact"/>
        <w:rPr>
          <w:sz w:val="20"/>
          <w:szCs w:val="20"/>
          <w:color w:val="auto"/>
        </w:rPr>
      </w:pPr>
    </w:p>
    <w:p>
      <w:pPr>
        <w:ind w:left="790" w:right="3259"/>
        <w:spacing w:after="0" w:line="237" w:lineRule="auto"/>
        <w:rPr>
          <w:sz w:val="20"/>
          <w:szCs w:val="20"/>
          <w:color w:val="auto"/>
        </w:rPr>
      </w:pPr>
      <w:r>
        <w:rPr>
          <w:rFonts w:ascii="Courier New" w:cs="Courier New" w:eastAsia="Courier New" w:hAnsi="Courier New"/>
          <w:sz w:val="15"/>
          <w:szCs w:val="15"/>
          <w:color w:val="auto"/>
        </w:rPr>
        <w:t>Any options, restricted stock or other awards that have not vested prior to the date of such termination of employment shall be cancelled to the extent not then vested, and any options held by Executive shall be cancelled, whether or not then vested.</w:t>
      </w:r>
    </w:p>
    <w:p>
      <w:pPr>
        <w:spacing w:after="0" w:line="176" w:lineRule="exact"/>
        <w:rPr>
          <w:sz w:val="20"/>
          <w:szCs w:val="20"/>
          <w:color w:val="auto"/>
        </w:rPr>
      </w:pPr>
    </w:p>
    <w:p>
      <w:pPr>
        <w:ind w:left="790" w:right="3699" w:hanging="790"/>
        <w:spacing w:after="0" w:line="237" w:lineRule="auto"/>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In the event that Executive voluntarily terminates employment other than for Good Reason, the Company shall pay the following amounts to Executive:</w:t>
      </w:r>
    </w:p>
    <w:p>
      <w:pPr>
        <w:spacing w:after="0" w:line="174"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8"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72"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5" w:lineRule="exact"/>
        <w:rPr>
          <w:sz w:val="20"/>
          <w:szCs w:val="20"/>
          <w:color w:val="auto"/>
        </w:rPr>
      </w:pPr>
    </w:p>
    <w:p>
      <w:pPr>
        <w:ind w:left="790" w:right="3259"/>
        <w:spacing w:after="0" w:line="238" w:lineRule="auto"/>
        <w:rPr>
          <w:sz w:val="20"/>
          <w:szCs w:val="20"/>
          <w:color w:val="auto"/>
        </w:rPr>
      </w:pPr>
      <w:r>
        <w:rPr>
          <w:rFonts w:ascii="Courier New" w:cs="Courier New" w:eastAsia="Courier New" w:hAnsi="Courier New"/>
          <w:sz w:val="15"/>
          <w:szCs w:val="15"/>
          <w:color w:val="auto"/>
        </w:rPr>
        <w:t>Any options, restricted stock or other awards that have not vested prior to the date of such termination of employment shall be cancelled to the extent not then vested, and Executive shall have 90 days following termination of employment to exercise any previously vested options; provided that in no event will any option be exercisable beyond its term.</w:t>
      </w:r>
    </w:p>
    <w:p>
      <w:pPr>
        <w:spacing w:after="0" w:line="176" w:lineRule="exact"/>
        <w:rPr>
          <w:sz w:val="20"/>
          <w:szCs w:val="20"/>
          <w:color w:val="auto"/>
        </w:rPr>
      </w:pPr>
    </w:p>
    <w:p>
      <w:pPr>
        <w:jc w:val="both"/>
        <w:ind w:left="790" w:right="3259" w:hanging="790"/>
        <w:spacing w:after="0" w:line="237" w:lineRule="auto"/>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TERMINATION BY EXECUTIVE FOR GOOD REASON. In the event that Executive's employment is terminated by the Company for</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7 of 19</w:t>
      </w:r>
    </w:p>
    <w:p>
      <w:pPr>
        <w:sectPr>
          <w:pgSz w:w="11900" w:h="16838" w:orient="portrait"/>
          <w:cols w:equalWidth="0" w:num="1">
            <w:col w:w="10229"/>
          </w:cols>
          <w:pgMar w:left="230" w:top="283"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520" w:right="3439"/>
        <w:spacing w:after="0" w:line="237" w:lineRule="auto"/>
        <w:rPr>
          <w:sz w:val="20"/>
          <w:szCs w:val="20"/>
          <w:color w:val="auto"/>
        </w:rPr>
      </w:pPr>
      <w:r>
        <w:rPr>
          <w:rFonts w:ascii="Courier New" w:cs="Courier New" w:eastAsia="Courier New" w:hAnsi="Courier New"/>
          <w:sz w:val="15"/>
          <w:szCs w:val="15"/>
          <w:color w:val="auto"/>
        </w:rPr>
        <w:t>reasons other than death, Total Disability or Cause, or Executive terminates his employment for Good Reason, the Company shall pay the following amounts to Executive:</w:t>
      </w:r>
    </w:p>
    <w:p>
      <w:pPr>
        <w:spacing w:after="0" w:line="175" w:lineRule="exact"/>
        <w:rPr>
          <w:sz w:val="20"/>
          <w:szCs w:val="20"/>
          <w:color w:val="auto"/>
        </w:rPr>
      </w:pPr>
    </w:p>
    <w:p>
      <w:pPr>
        <w:ind w:left="1320" w:right="3359" w:hanging="796"/>
        <w:spacing w:after="0" w:line="237" w:lineRule="auto"/>
        <w:tabs>
          <w:tab w:leader="none" w:pos="13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8" w:lineRule="exact"/>
        <w:rPr>
          <w:rFonts w:ascii="Courier New" w:cs="Courier New" w:eastAsia="Courier New" w:hAnsi="Courier New"/>
          <w:sz w:val="15"/>
          <w:szCs w:val="15"/>
          <w:color w:val="auto"/>
        </w:rPr>
      </w:pPr>
    </w:p>
    <w:p>
      <w:pPr>
        <w:jc w:val="both"/>
        <w:ind w:left="1320" w:right="3439" w:hanging="796"/>
        <w:spacing w:after="0" w:line="259"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20" w:right="3179" w:hanging="796"/>
        <w:spacing w:after="0" w:line="238" w:lineRule="auto"/>
        <w:tabs>
          <w:tab w:leader="none" w:pos="13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78" w:lineRule="exact"/>
        <w:rPr>
          <w:rFonts w:ascii="Courier New" w:cs="Courier New" w:eastAsia="Courier New" w:hAnsi="Courier New"/>
          <w:sz w:val="15"/>
          <w:szCs w:val="15"/>
          <w:color w:val="auto"/>
        </w:rPr>
      </w:pPr>
    </w:p>
    <w:p>
      <w:pPr>
        <w:ind w:left="1320" w:right="3179" w:hanging="796"/>
        <w:spacing w:after="0" w:line="256"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two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75" w:lineRule="exact"/>
        <w:rPr>
          <w:rFonts w:ascii="Courier New" w:cs="Courier New" w:eastAsia="Courier New" w:hAnsi="Courier New"/>
          <w:sz w:val="14"/>
          <w:szCs w:val="14"/>
          <w:color w:val="auto"/>
        </w:rPr>
      </w:pPr>
    </w:p>
    <w:p>
      <w:pPr>
        <w:ind w:left="1320" w:right="3259" w:hanging="796"/>
        <w:spacing w:after="0" w:line="238" w:lineRule="auto"/>
        <w:tabs>
          <w:tab w:leader="none" w:pos="13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of the Company, pro-rated for the fiscal year in which the Executive is terminated.</w:t>
      </w:r>
    </w:p>
    <w:p>
      <w:pPr>
        <w:spacing w:after="0" w:line="200" w:lineRule="exact"/>
        <w:rPr>
          <w:sz w:val="20"/>
          <w:szCs w:val="20"/>
          <w:color w:val="auto"/>
        </w:rPr>
      </w:pPr>
    </w:p>
    <w:p>
      <w:pPr>
        <w:spacing w:after="0" w:line="31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Page 8 of 19</w:t>
      </w:r>
    </w:p>
    <w:p>
      <w:pPr>
        <w:sectPr>
          <w:pgSz w:w="11900" w:h="16838" w:orient="portrait"/>
          <w:cols w:equalWidth="0" w:num="1">
            <w:col w:w="9959"/>
          </w:cols>
          <w:pgMar w:left="500" w:top="283" w:right="1440" w:bottom="1440" w:gutter="0" w:footer="0" w:header="0"/>
        </w:sectPr>
      </w:pPr>
    </w:p>
    <w:bookmarkStart w:id="104" w:name="page105"/>
    <w:bookmarkEnd w:id="104"/>
    <w:p>
      <w:pPr>
        <w:ind w:left="27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1590" w:right="3179" w:hanging="796"/>
        <w:spacing w:after="0" w:line="238" w:lineRule="auto"/>
        <w:tabs>
          <w:tab w:leader="none" w:pos="159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will any option be exercisable beyond its term.</w:t>
      </w:r>
    </w:p>
    <w:p>
      <w:pPr>
        <w:spacing w:after="0" w:line="170"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4"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76" w:lineRule="exact"/>
        <w:rPr>
          <w:rFonts w:ascii="Courier New" w:cs="Courier New" w:eastAsia="Courier New" w:hAnsi="Courier New"/>
          <w:sz w:val="15"/>
          <w:szCs w:val="15"/>
          <w:color w:val="auto"/>
        </w:rPr>
      </w:pPr>
    </w:p>
    <w:p>
      <w:pPr>
        <w:ind w:left="790" w:right="3259" w:hanging="790"/>
        <w:spacing w:after="0" w:line="238" w:lineRule="auto"/>
        <w:tabs>
          <w:tab w:leader="none" w:pos="79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79" w:lineRule="exact"/>
        <w:rPr>
          <w:sz w:val="20"/>
          <w:szCs w:val="20"/>
          <w:color w:val="auto"/>
        </w:rPr>
      </w:pPr>
    </w:p>
    <w:p>
      <w:pPr>
        <w:ind w:left="790" w:right="3699" w:hanging="790"/>
        <w:spacing w:after="0" w:line="235" w:lineRule="auto"/>
        <w:tabs>
          <w:tab w:leader="none" w:pos="79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BY EXECUTIVE FOR GOOD REASON AND COMPENSATION PAYABLE FOLLOWING CHANGE IN CONTROL.</w:t>
      </w:r>
    </w:p>
    <w:p>
      <w:pPr>
        <w:spacing w:after="0" w:line="176" w:lineRule="exact"/>
        <w:rPr>
          <w:sz w:val="20"/>
          <w:szCs w:val="20"/>
          <w:color w:val="auto"/>
        </w:rPr>
      </w:pPr>
    </w:p>
    <w:p>
      <w:pPr>
        <w:ind w:left="790" w:right="3179" w:hanging="790"/>
        <w:spacing w:after="0" w:line="238" w:lineRule="auto"/>
        <w:tabs>
          <w:tab w:leader="none" w:pos="79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78" w:lineRule="exact"/>
        <w:rPr>
          <w:rFonts w:ascii="Courier New" w:cs="Courier New" w:eastAsia="Courier New" w:hAnsi="Courier New"/>
          <w:sz w:val="15"/>
          <w:szCs w:val="15"/>
          <w:color w:val="auto"/>
        </w:rPr>
      </w:pPr>
    </w:p>
    <w:p>
      <w:pPr>
        <w:jc w:val="both"/>
        <w:ind w:left="1590" w:right="3179" w:hanging="796"/>
        <w:spacing w:after="0" w:line="237" w:lineRule="auto"/>
        <w:tabs>
          <w:tab w:leader="none" w:pos="159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payments and benefits provided for in Section 6(e), except that the amount calculated pursuant to Section 6(e)(iii) shall be paid in a lump-sum.</w:t>
      </w:r>
    </w:p>
    <w:p>
      <w:pPr>
        <w:spacing w:after="0" w:line="174"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be 100% vested in all benefits, awards, and grants (including stock option grants and stock awards; all of such stock options exercisable for two (2)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w:t>
      </w:r>
    </w:p>
    <w:p>
      <w:pPr>
        <w:spacing w:after="0" w:line="341"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9 of 19</w:t>
      </w:r>
    </w:p>
    <w:p>
      <w:pPr>
        <w:sectPr>
          <w:pgSz w:w="11900" w:h="16838" w:orient="portrait"/>
          <w:cols w:equalWidth="0" w:num="1">
            <w:col w:w="10229"/>
          </w:cols>
          <w:pgMar w:left="230" w:top="283" w:right="1440" w:bottom="1440" w:gutter="0" w:footer="0" w:header="0"/>
        </w:sectPr>
      </w:pPr>
    </w:p>
    <w:bookmarkStart w:id="105" w:name="page106"/>
    <w:bookmarkEnd w:id="105"/>
    <w:p>
      <w:pPr>
        <w:ind w:left="27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left="1590" w:right="3179"/>
        <w:spacing w:after="0" w:line="238" w:lineRule="auto"/>
        <w:rPr>
          <w:sz w:val="20"/>
          <w:szCs w:val="20"/>
          <w:color w:val="auto"/>
        </w:rPr>
      </w:pPr>
      <w:r>
        <w:rPr>
          <w:rFonts w:ascii="Courier New" w:cs="Courier New" w:eastAsia="Courier New" w:hAnsi="Courier New"/>
          <w:sz w:val="15"/>
          <w:szCs w:val="15"/>
          <w:color w:val="auto"/>
        </w:rPr>
        <w:t>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77" w:lineRule="exact"/>
        <w:rPr>
          <w:sz w:val="20"/>
          <w:szCs w:val="20"/>
          <w:color w:val="auto"/>
        </w:rPr>
      </w:pPr>
    </w:p>
    <w:p>
      <w:pPr>
        <w:ind w:left="790" w:hanging="790"/>
        <w:spacing w:after="0"/>
        <w:tabs>
          <w:tab w:leader="none" w:pos="7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COMPANY.</w:t>
      </w:r>
    </w:p>
    <w:p>
      <w:pPr>
        <w:spacing w:after="0" w:line="174" w:lineRule="exact"/>
        <w:rPr>
          <w:rFonts w:ascii="Courier New" w:cs="Courier New" w:eastAsia="Courier New" w:hAnsi="Courier New"/>
          <w:sz w:val="15"/>
          <w:szCs w:val="15"/>
          <w:color w:val="auto"/>
        </w:rPr>
      </w:pPr>
    </w:p>
    <w:p>
      <w:pPr>
        <w:ind w:left="1590" w:right="3179" w:hanging="796"/>
        <w:spacing w:after="0" w:line="239" w:lineRule="auto"/>
        <w:tabs>
          <w:tab w:leader="none" w:pos="159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76"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w:t>
      </w:r>
    </w:p>
    <w:p>
      <w:pPr>
        <w:spacing w:after="0" w:line="32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10 of 19</w:t>
      </w:r>
    </w:p>
    <w:p>
      <w:pPr>
        <w:sectPr>
          <w:pgSz w:w="11900" w:h="16838" w:orient="portrait"/>
          <w:cols w:equalWidth="0" w:num="1">
            <w:col w:w="10229"/>
          </w:cols>
          <w:pgMar w:left="230" w:top="28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determined by the Accountants in accordance with the</w:t>
      </w:r>
    </w:p>
    <w:p>
      <w:pPr>
        <w:ind w:left="1320"/>
        <w:spacing w:after="0"/>
        <w:rPr>
          <w:sz w:val="20"/>
          <w:szCs w:val="20"/>
          <w:color w:val="auto"/>
        </w:rPr>
      </w:pPr>
      <w:r>
        <w:rPr>
          <w:rFonts w:ascii="Courier New" w:cs="Courier New" w:eastAsia="Courier New" w:hAnsi="Courier New"/>
          <w:sz w:val="15"/>
          <w:szCs w:val="15"/>
          <w:color w:val="auto"/>
        </w:rPr>
        <w:t>principles of Section 280G of the Code.</w:t>
      </w:r>
    </w:p>
    <w:p>
      <w:pPr>
        <w:spacing w:after="0" w:line="174" w:lineRule="exact"/>
        <w:rPr>
          <w:sz w:val="20"/>
          <w:szCs w:val="20"/>
          <w:color w:val="auto"/>
        </w:rPr>
      </w:pPr>
    </w:p>
    <w:p>
      <w:pPr>
        <w:ind w:left="1320" w:right="3179" w:hanging="796"/>
        <w:spacing w:after="0" w:line="256" w:lineRule="auto"/>
        <w:tabs>
          <w:tab w:leader="none" w:pos="13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132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66" w:lineRule="exact"/>
        <w:rPr>
          <w:rFonts w:ascii="Courier New" w:cs="Courier New" w:eastAsia="Courier New" w:hAnsi="Courier New"/>
          <w:sz w:val="14"/>
          <w:szCs w:val="14"/>
          <w:color w:val="auto"/>
        </w:rPr>
      </w:pPr>
    </w:p>
    <w:p>
      <w:pPr>
        <w:ind w:left="1320" w:right="3179" w:hanging="796"/>
        <w:spacing w:after="0" w:line="238" w:lineRule="auto"/>
        <w:tabs>
          <w:tab w:leader="none" w:pos="13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w:t>
      </w:r>
    </w:p>
    <w:p>
      <w:pPr>
        <w:spacing w:after="0" w:line="34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Page 11 of 19</w:t>
      </w:r>
    </w:p>
    <w:p>
      <w:pPr>
        <w:sectPr>
          <w:pgSz w:w="11900" w:h="16838" w:orient="portrait"/>
          <w:cols w:equalWidth="0" w:num="1">
            <w:col w:w="9959"/>
          </w:cols>
          <w:pgMar w:left="500" w:top="283" w:right="1440" w:bottom="1440" w:gutter="0" w:footer="0" w:header="0"/>
        </w:sectPr>
      </w:pPr>
    </w:p>
    <w:bookmarkStart w:id="107" w:name="page108"/>
    <w:bookmarkEnd w:id="107"/>
    <w:p>
      <w:pPr>
        <w:ind w:left="27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1590" w:right="3259"/>
        <w:spacing w:after="0" w:line="256" w:lineRule="auto"/>
        <w:rPr>
          <w:sz w:val="20"/>
          <w:szCs w:val="20"/>
          <w:color w:val="auto"/>
        </w:rPr>
      </w:pPr>
      <w:r>
        <w:rPr>
          <w:rFonts w:ascii="Courier New" w:cs="Courier New" w:eastAsia="Courier New" w:hAnsi="Courier New"/>
          <w:sz w:val="14"/>
          <w:szCs w:val="14"/>
          <w:color w:val="auto"/>
        </w:rPr>
        <w:t>interest at the rate provided in Section 1274(b)(2)(B) of the Code), subject to further payments pursuant to subsection</w:t>
      </w:r>
    </w:p>
    <w:p>
      <w:pPr>
        <w:spacing w:after="0" w:line="1" w:lineRule="exact"/>
        <w:rPr>
          <w:sz w:val="20"/>
          <w:szCs w:val="20"/>
          <w:color w:val="auto"/>
        </w:rPr>
      </w:pPr>
    </w:p>
    <w:p>
      <w:pPr>
        <w:ind w:left="1590" w:right="3179" w:hanging="3"/>
        <w:spacing w:after="0" w:line="238" w:lineRule="auto"/>
        <w:tabs>
          <w:tab w:leader="none" w:pos="2118"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178"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334" w:lineRule="exact"/>
        <w:rPr>
          <w:rFonts w:ascii="Courier New" w:cs="Courier New" w:eastAsia="Courier New" w:hAnsi="Courier New"/>
          <w:sz w:val="14"/>
          <w:szCs w:val="14"/>
          <w:color w:val="auto"/>
        </w:rPr>
      </w:pPr>
    </w:p>
    <w:p>
      <w:pPr>
        <w:ind w:left="1590" w:right="3799" w:hanging="796"/>
        <w:spacing w:after="0" w:line="235" w:lineRule="auto"/>
        <w:tabs>
          <w:tab w:leader="none" w:pos="159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responsible for all charges of the Accountant.</w:t>
      </w:r>
    </w:p>
    <w:p>
      <w:pPr>
        <w:spacing w:after="0" w:line="175"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76" w:lineRule="exact"/>
        <w:rPr>
          <w:rFonts w:ascii="Courier New" w:cs="Courier New" w:eastAsia="Courier New" w:hAnsi="Courier New"/>
          <w:sz w:val="15"/>
          <w:szCs w:val="15"/>
          <w:color w:val="auto"/>
        </w:rPr>
      </w:pPr>
    </w:p>
    <w:p>
      <w:pPr>
        <w:ind w:left="790" w:right="3259" w:hanging="790"/>
        <w:spacing w:after="0" w:line="235" w:lineRule="auto"/>
        <w:tabs>
          <w:tab w:leader="none" w:pos="79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For purposes of this Agreement, "Change in Control" means the occurrence of any of the following events:</w:t>
      </w:r>
    </w:p>
    <w:p>
      <w:pPr>
        <w:spacing w:after="0" w:line="175"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76"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w:t>
      </w:r>
    </w:p>
    <w:p>
      <w:pPr>
        <w:spacing w:after="0" w:line="33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12 of 19</w:t>
      </w:r>
    </w:p>
    <w:p>
      <w:pPr>
        <w:sectPr>
          <w:pgSz w:w="11900" w:h="16838" w:orient="portrait"/>
          <w:cols w:equalWidth="0" w:num="1">
            <w:col w:w="10229"/>
          </w:cols>
          <w:pgMar w:left="230" w:top="283"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appointment, election or nomination for election was</w:t>
      </w:r>
    </w:p>
    <w:p>
      <w:pPr>
        <w:ind w:left="1320"/>
        <w:spacing w:after="0"/>
        <w:rPr>
          <w:sz w:val="20"/>
          <w:szCs w:val="20"/>
          <w:color w:val="auto"/>
        </w:rPr>
      </w:pPr>
      <w:r>
        <w:rPr>
          <w:rFonts w:ascii="Courier New" w:cs="Courier New" w:eastAsia="Courier New" w:hAnsi="Courier New"/>
          <w:sz w:val="15"/>
          <w:szCs w:val="15"/>
          <w:color w:val="auto"/>
        </w:rPr>
        <w:t>previously so approved or recommended;</w:t>
      </w:r>
    </w:p>
    <w:p>
      <w:pPr>
        <w:spacing w:after="0" w:line="174" w:lineRule="exact"/>
        <w:rPr>
          <w:sz w:val="20"/>
          <w:szCs w:val="20"/>
          <w:color w:val="auto"/>
        </w:rPr>
      </w:pPr>
    </w:p>
    <w:p>
      <w:pPr>
        <w:ind w:left="1320" w:right="3179" w:hanging="796"/>
        <w:spacing w:after="0" w:line="256" w:lineRule="auto"/>
        <w:tabs>
          <w:tab w:leader="none" w:pos="13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w:t>
      </w:r>
    </w:p>
    <w:p>
      <w:pPr>
        <w:spacing w:after="0" w:line="3" w:lineRule="exact"/>
        <w:rPr>
          <w:rFonts w:ascii="Courier New" w:cs="Courier New" w:eastAsia="Courier New" w:hAnsi="Courier New"/>
          <w:sz w:val="14"/>
          <w:szCs w:val="14"/>
          <w:color w:val="auto"/>
        </w:rPr>
      </w:pPr>
    </w:p>
    <w:p>
      <w:pPr>
        <w:ind w:left="1320" w:right="3259" w:hanging="3"/>
        <w:spacing w:after="0" w:line="257" w:lineRule="auto"/>
        <w:tabs>
          <w:tab w:leader="none" w:pos="1673"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67" w:lineRule="exact"/>
        <w:rPr>
          <w:rFonts w:ascii="Courier New" w:cs="Courier New" w:eastAsia="Courier New" w:hAnsi="Courier New"/>
          <w:sz w:val="14"/>
          <w:szCs w:val="14"/>
          <w:color w:val="auto"/>
        </w:rPr>
      </w:pPr>
    </w:p>
    <w:p>
      <w:pPr>
        <w:ind w:left="1320" w:right="3179" w:hanging="796"/>
        <w:spacing w:after="0" w:line="238" w:lineRule="auto"/>
        <w:tabs>
          <w:tab w:leader="none" w:pos="13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1" w:lineRule="exact"/>
        <w:rPr>
          <w:sz w:val="20"/>
          <w:szCs w:val="20"/>
          <w:color w:val="auto"/>
        </w:rPr>
      </w:pPr>
    </w:p>
    <w:p>
      <w:pPr>
        <w:ind w:left="520" w:right="3359"/>
        <w:spacing w:after="0" w:line="235" w:lineRule="auto"/>
        <w:rPr>
          <w:sz w:val="20"/>
          <w:szCs w:val="20"/>
          <w:color w:val="auto"/>
        </w:rPr>
      </w:pPr>
      <w:r>
        <w:rPr>
          <w:rFonts w:ascii="Courier New" w:cs="Courier New" w:eastAsia="Courier New" w:hAnsi="Courier New"/>
          <w:sz w:val="15"/>
          <w:szCs w:val="15"/>
          <w:color w:val="auto"/>
        </w:rPr>
        <w:t>For purposes of this Section 7(c), the following terms shall have the following meanings:</w:t>
      </w:r>
    </w:p>
    <w:p>
      <w:pPr>
        <w:spacing w:after="0" w:line="176" w:lineRule="exact"/>
        <w:rPr>
          <w:sz w:val="20"/>
          <w:szCs w:val="20"/>
          <w:color w:val="auto"/>
        </w:rPr>
      </w:pPr>
    </w:p>
    <w:p>
      <w:pPr>
        <w:ind w:left="1320" w:right="3179" w:hanging="796"/>
        <w:spacing w:after="0" w:line="237"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 affiliate of the Company, as defined in Rule 12b-2 promulgated under Section 12 of the Securities Exchange Act of 1934, as amended from time to time (the "Exchange Act");</w:t>
      </w:r>
    </w:p>
    <w:p>
      <w:pPr>
        <w:spacing w:after="0" w:line="176" w:lineRule="exact"/>
        <w:rPr>
          <w:rFonts w:ascii="Courier New" w:cs="Courier New" w:eastAsia="Courier New" w:hAnsi="Courier New"/>
          <w:sz w:val="15"/>
          <w:szCs w:val="15"/>
          <w:color w:val="auto"/>
        </w:rPr>
      </w:pPr>
    </w:p>
    <w:p>
      <w:pPr>
        <w:ind w:left="1320" w:right="3439" w:hanging="796"/>
        <w:spacing w:after="0" w:line="235"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shall have the meaning set forth in Rule 13d-3 under the Exchange Act;</w:t>
      </w:r>
    </w:p>
    <w:p>
      <w:pPr>
        <w:spacing w:after="0" w:line="175" w:lineRule="exact"/>
        <w:rPr>
          <w:rFonts w:ascii="Courier New" w:cs="Courier New" w:eastAsia="Courier New" w:hAnsi="Courier New"/>
          <w:sz w:val="15"/>
          <w:szCs w:val="15"/>
          <w:color w:val="auto"/>
        </w:rPr>
      </w:pPr>
    </w:p>
    <w:p>
      <w:pPr>
        <w:ind w:left="1320" w:right="3179" w:hanging="796"/>
        <w:spacing w:after="0" w:line="238" w:lineRule="auto"/>
        <w:tabs>
          <w:tab w:leader="none" w:pos="13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34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Page 13 of 19</w:t>
      </w:r>
    </w:p>
    <w:p>
      <w:pPr>
        <w:sectPr>
          <w:pgSz w:w="11900" w:h="16838" w:orient="portrait"/>
          <w:cols w:equalWidth="0" w:num="1">
            <w:col w:w="9959"/>
          </w:cols>
          <w:pgMar w:left="500" w:top="283" w:right="1440" w:bottom="1440" w:gutter="0" w:footer="0" w:header="0"/>
        </w:sectPr>
      </w:pPr>
    </w:p>
    <w:bookmarkStart w:id="109" w:name="page110"/>
    <w:bookmarkEnd w:id="109"/>
    <w:p>
      <w:pPr>
        <w:ind w:left="27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790" w:hanging="790"/>
        <w:spacing w:after="0"/>
        <w:tabs>
          <w:tab w:leader="none" w:pos="79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75" w:lineRule="exact"/>
        <w:rPr>
          <w:sz w:val="20"/>
          <w:szCs w:val="20"/>
          <w:color w:val="auto"/>
        </w:rPr>
      </w:pPr>
    </w:p>
    <w:p>
      <w:pPr>
        <w:ind w:left="790" w:right="3259" w:hanging="790"/>
        <w:spacing w:after="0" w:line="256" w:lineRule="auto"/>
        <w:tabs>
          <w:tab w:leader="none" w:pos="79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for two</w:t>
      </w:r>
    </w:p>
    <w:p>
      <w:pPr>
        <w:ind w:left="790" w:right="3179" w:firstLine="4"/>
        <w:spacing w:after="0" w:line="238" w:lineRule="auto"/>
        <w:tabs>
          <w:tab w:leader="none" w:pos="114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w:t>
      </w:r>
    </w:p>
    <w:p>
      <w:pPr>
        <w:spacing w:after="0" w:line="182" w:lineRule="exact"/>
        <w:rPr>
          <w:rFonts w:ascii="Courier New" w:cs="Courier New" w:eastAsia="Courier New" w:hAnsi="Courier New"/>
          <w:sz w:val="15"/>
          <w:szCs w:val="15"/>
          <w:color w:val="auto"/>
        </w:rPr>
      </w:pPr>
    </w:p>
    <w:p>
      <w:pPr>
        <w:ind w:left="790" w:right="3179" w:hanging="790"/>
        <w:spacing w:after="0" w:line="239" w:lineRule="auto"/>
        <w:tabs>
          <w:tab w:leader="none" w:pos="79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Executive covenants and agrees that at all times during Executive's period of employment with the Company, and for a period of two (2) 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175"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w:t>
      </w:r>
    </w:p>
    <w:p>
      <w:pPr>
        <w:spacing w:after="0" w:line="351"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14 of 19</w:t>
      </w:r>
    </w:p>
    <w:p>
      <w:pPr>
        <w:sectPr>
          <w:pgSz w:w="11900" w:h="16838" w:orient="portrait"/>
          <w:cols w:equalWidth="0" w:num="1">
            <w:col w:w="10229"/>
          </w:cols>
          <w:pgMar w:left="230" w:top="283" w:right="1440" w:bottom="1440" w:gutter="0" w:footer="0" w:header="0"/>
        </w:sectPr>
      </w:pPr>
    </w:p>
    <w:bookmarkStart w:id="110" w:name="page111"/>
    <w:bookmarkEnd w:id="110"/>
    <w:p>
      <w:pPr>
        <w:ind w:left="27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left="790" w:right="3359"/>
        <w:spacing w:after="0" w:line="238" w:lineRule="auto"/>
        <w:rPr>
          <w:sz w:val="20"/>
          <w:szCs w:val="20"/>
          <w:color w:val="auto"/>
        </w:rPr>
      </w:pPr>
      <w:r>
        <w:rPr>
          <w:rFonts w:ascii="Courier New" w:cs="Courier New" w:eastAsia="Courier New" w:hAnsi="Courier New"/>
          <w:sz w:val="15"/>
          <w:szCs w:val="15"/>
          <w:color w:val="auto"/>
        </w:rPr>
        <w:t>to any other person or organization (except as authorized by the Company) any of the Protected Information, provided that (i) while employed by the Company, Executive may in good faith make disclosures he believes desirable, provided that are authorized by the Company or otherwise in accordance with Company policy, and (ii) Executive may comply with legal process.</w:t>
      </w:r>
    </w:p>
    <w:p>
      <w:pPr>
        <w:spacing w:after="0" w:line="170" w:lineRule="exact"/>
        <w:rPr>
          <w:sz w:val="20"/>
          <w:szCs w:val="20"/>
          <w:color w:val="auto"/>
        </w:rPr>
      </w:pPr>
    </w:p>
    <w:p>
      <w:pPr>
        <w:ind w:left="790" w:hanging="790"/>
        <w:spacing w:after="0"/>
        <w:tabs>
          <w:tab w:leader="none" w:pos="79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OF COVENANTS.</w:t>
      </w:r>
    </w:p>
    <w:p>
      <w:pPr>
        <w:spacing w:after="0" w:line="175" w:lineRule="exact"/>
        <w:rPr>
          <w:sz w:val="20"/>
          <w:szCs w:val="20"/>
          <w:color w:val="auto"/>
        </w:rPr>
      </w:pPr>
    </w:p>
    <w:p>
      <w:pPr>
        <w:ind w:left="790" w:right="3179" w:hanging="790"/>
        <w:spacing w:after="0" w:line="257" w:lineRule="auto"/>
        <w:tabs>
          <w:tab w:leader="none" w:pos="79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65" w:lineRule="exact"/>
        <w:rPr>
          <w:rFonts w:ascii="Courier New" w:cs="Courier New" w:eastAsia="Courier New" w:hAnsi="Courier New"/>
          <w:sz w:val="14"/>
          <w:szCs w:val="14"/>
          <w:color w:val="auto"/>
        </w:rPr>
      </w:pPr>
    </w:p>
    <w:p>
      <w:pPr>
        <w:ind w:left="790" w:right="3179" w:hanging="790"/>
        <w:spacing w:after="0" w:line="257" w:lineRule="auto"/>
        <w:tabs>
          <w:tab w:leader="none" w:pos="79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65"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70" w:lineRule="exact"/>
        <w:rPr>
          <w:sz w:val="20"/>
          <w:szCs w:val="20"/>
          <w:color w:val="auto"/>
        </w:rPr>
      </w:pPr>
    </w:p>
    <w:p>
      <w:pPr>
        <w:ind w:left="790" w:hanging="790"/>
        <w:spacing w:after="0"/>
        <w:tabs>
          <w:tab w:leader="none" w:pos="79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w:t>
      </w:r>
    </w:p>
    <w:p>
      <w:pPr>
        <w:spacing w:after="0" w:line="342"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15 of 19</w:t>
      </w:r>
    </w:p>
    <w:p>
      <w:pPr>
        <w:sectPr>
          <w:pgSz w:w="11900" w:h="16838" w:orient="portrait"/>
          <w:cols w:equalWidth="0" w:num="1">
            <w:col w:w="10229"/>
          </w:cols>
          <w:pgMar w:left="230" w:top="283" w:right="1440" w:bottom="1440" w:gutter="0" w:footer="0" w:header="0"/>
        </w:sectPr>
      </w:pPr>
    </w:p>
    <w:bookmarkStart w:id="111" w:name="page112"/>
    <w:bookmarkEnd w:id="111"/>
    <w:p>
      <w:pPr>
        <w:ind w:left="27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directors and officers liability insurance both during and, while potential liability exists, after the Employment Term in the same amount and to the same extent as the Company covers its other officers and directors.</w:t>
      </w:r>
    </w:p>
    <w:p>
      <w:pPr>
        <w:spacing w:after="0" w:line="169" w:lineRule="exact"/>
        <w:rPr>
          <w:sz w:val="20"/>
          <w:szCs w:val="20"/>
          <w:color w:val="auto"/>
        </w:rPr>
      </w:pPr>
    </w:p>
    <w:p>
      <w:pPr>
        <w:ind w:left="790" w:hanging="790"/>
        <w:spacing w:after="0"/>
        <w:tabs>
          <w:tab w:leader="none" w:pos="79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AND PAYMENT OF ATTORNEY'S FEES.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80" w:lineRule="exact"/>
        <w:rPr>
          <w:sz w:val="20"/>
          <w:szCs w:val="20"/>
          <w:color w:val="auto"/>
        </w:rPr>
      </w:pPr>
    </w:p>
    <w:p>
      <w:pPr>
        <w:ind w:left="790" w:hanging="790"/>
        <w:spacing w:after="0"/>
        <w:tabs>
          <w:tab w:leader="none" w:pos="79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Company may withhold from any compensation and benefits payable under this Agreement all applicable federal, state, local, or other taxes.</w:t>
      </w:r>
    </w:p>
    <w:p>
      <w:pPr>
        <w:spacing w:after="0" w:line="170" w:lineRule="exact"/>
        <w:rPr>
          <w:sz w:val="20"/>
          <w:szCs w:val="20"/>
          <w:color w:val="auto"/>
        </w:rPr>
      </w:pPr>
    </w:p>
    <w:p>
      <w:pPr>
        <w:ind w:left="790" w:hanging="790"/>
        <w:spacing w:after="0"/>
        <w:tabs>
          <w:tab w:leader="none" w:pos="79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PAYMENTS.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3" w:lineRule="exact"/>
        <w:rPr>
          <w:sz w:val="20"/>
          <w:szCs w:val="20"/>
          <w:color w:val="auto"/>
        </w:rPr>
      </w:pPr>
    </w:p>
    <w:p>
      <w:pPr>
        <w:ind w:left="790" w:hanging="790"/>
        <w:spacing w:after="0"/>
        <w:tabs>
          <w:tab w:leader="none" w:pos="79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w:t>
      </w:r>
    </w:p>
    <w:p>
      <w:pPr>
        <w:spacing w:after="0" w:line="173"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16 of 19</w:t>
      </w:r>
    </w:p>
    <w:p>
      <w:pPr>
        <w:sectPr>
          <w:pgSz w:w="11900" w:h="16838" w:orient="portrait"/>
          <w:cols w:equalWidth="0" w:num="1">
            <w:col w:w="10229"/>
          </w:cols>
          <w:pgMar w:left="230" w:top="283" w:right="1440" w:bottom="1440" w:gutter="0" w:footer="0" w:header="0"/>
        </w:sectPr>
      </w:pPr>
    </w:p>
    <w:bookmarkStart w:id="112" w:name="page113"/>
    <w:bookmarkEnd w:id="112"/>
    <w:p>
      <w:pPr>
        <w:ind w:left="27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71" w:lineRule="exact"/>
        <w:rPr>
          <w:sz w:val="20"/>
          <w:szCs w:val="20"/>
          <w:color w:val="auto"/>
        </w:rPr>
      </w:pPr>
    </w:p>
    <w:p>
      <w:pPr>
        <w:ind w:left="790" w:hanging="790"/>
        <w:spacing w:after="0"/>
        <w:tabs>
          <w:tab w:leader="none" w:pos="79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w:t>
      </w:r>
    </w:p>
    <w:p>
      <w:pPr>
        <w:spacing w:after="0" w:line="175"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including without limitation, that certain Employment Agreement dated January 5, 1999 by and between Executive and the Company. It may not be amended except by a written agreement signed by both parties.</w:t>
      </w:r>
    </w:p>
    <w:p>
      <w:pPr>
        <w:spacing w:after="0" w:line="158" w:lineRule="exact"/>
        <w:rPr>
          <w:sz w:val="20"/>
          <w:szCs w:val="20"/>
          <w:color w:val="auto"/>
        </w:rPr>
      </w:pPr>
    </w:p>
    <w:p>
      <w:pPr>
        <w:ind w:left="790" w:hanging="790"/>
        <w:spacing w:after="0"/>
        <w:tabs>
          <w:tab w:leader="none" w:pos="79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Texas applicable to agreements made and to be performed in that State, without regard to its conflict of laws provisions.</w:t>
      </w:r>
    </w:p>
    <w:p>
      <w:pPr>
        <w:spacing w:after="0" w:line="169" w:lineRule="exact"/>
        <w:rPr>
          <w:sz w:val="20"/>
          <w:szCs w:val="20"/>
          <w:color w:val="auto"/>
        </w:rPr>
      </w:pPr>
    </w:p>
    <w:p>
      <w:pPr>
        <w:ind w:left="790" w:hanging="790"/>
        <w:spacing w:after="0"/>
        <w:tabs>
          <w:tab w:leader="none" w:pos="79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 OF TIMELY PAYMENTS.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61" w:lineRule="exact"/>
        <w:rPr>
          <w:sz w:val="20"/>
          <w:szCs w:val="20"/>
          <w:color w:val="auto"/>
        </w:rPr>
      </w:pPr>
    </w:p>
    <w:p>
      <w:pPr>
        <w:ind w:left="790" w:hanging="790"/>
        <w:spacing w:after="0"/>
        <w:tabs>
          <w:tab w:leader="none" w:pos="79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29"/>
          </w:cols>
          <w:pgMar w:left="230" w:top="283" w:right="1440" w:bottom="1440" w:gutter="0" w:footer="0" w:header="0"/>
        </w:sectPr>
      </w:pPr>
    </w:p>
    <w:p>
      <w:pPr>
        <w:spacing w:after="0" w:line="176" w:lineRule="exact"/>
        <w:rPr>
          <w:sz w:val="20"/>
          <w:szCs w:val="20"/>
          <w:color w:val="auto"/>
        </w:rPr>
      </w:pPr>
    </w:p>
    <w:p>
      <w:pPr>
        <w:ind w:left="2210"/>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rPr>
          <w:sz w:val="20"/>
          <w:szCs w:val="20"/>
          <w:color w:val="auto"/>
        </w:rPr>
      </w:pPr>
      <w:r>
        <w:rPr>
          <w:rFonts w:ascii="Courier New" w:cs="Courier New" w:eastAsia="Courier New" w:hAnsi="Courier New"/>
          <w:sz w:val="15"/>
          <w:szCs w:val="15"/>
          <w:color w:val="auto"/>
        </w:rPr>
        <w:t>1001 Fannin, Suite 4000</w:t>
      </w:r>
    </w:p>
    <w:p>
      <w:pPr>
        <w:spacing w:after="0"/>
        <w:rPr>
          <w:sz w:val="20"/>
          <w:szCs w:val="20"/>
          <w:color w:val="auto"/>
        </w:rPr>
      </w:pPr>
      <w:r>
        <w:rPr>
          <w:rFonts w:ascii="Courier New" w:cs="Courier New" w:eastAsia="Courier New" w:hAnsi="Courier New"/>
          <w:sz w:val="15"/>
          <w:szCs w:val="15"/>
          <w:color w:val="auto"/>
        </w:rPr>
        <w:t>Houston, Texas 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80" w:lineRule="exact"/>
        <w:rPr>
          <w:sz w:val="20"/>
          <w:szCs w:val="20"/>
          <w:color w:val="auto"/>
        </w:rPr>
      </w:pPr>
    </w:p>
    <w:p>
      <w:pPr>
        <w:sectPr>
          <w:pgSz w:w="11900" w:h="16838" w:orient="portrait"/>
          <w:cols w:equalWidth="0" w:num="2">
            <w:col w:w="3530" w:space="340"/>
            <w:col w:w="6359"/>
          </w:cols>
          <w:pgMar w:left="230" w:top="283" w:right="1440" w:bottom="1440" w:gutter="0" w:footer="0" w:header="0"/>
          <w:type w:val="continuous"/>
        </w:sectPr>
      </w:pPr>
    </w:p>
    <w:p>
      <w:pPr>
        <w:ind w:left="2210"/>
        <w:spacing w:after="0"/>
        <w:rPr>
          <w:sz w:val="20"/>
          <w:szCs w:val="20"/>
          <w:color w:val="auto"/>
        </w:rPr>
      </w:pPr>
      <w:r>
        <w:rPr>
          <w:rFonts w:ascii="Courier New" w:cs="Courier New" w:eastAsia="Courier New" w:hAnsi="Courier New"/>
          <w:sz w:val="14"/>
          <w:szCs w:val="14"/>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the address for Executive 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forth below.</w:t>
      </w:r>
    </w:p>
    <w:p>
      <w:pPr>
        <w:spacing w:after="0" w:line="200" w:lineRule="exact"/>
        <w:rPr>
          <w:sz w:val="20"/>
          <w:szCs w:val="20"/>
          <w:color w:val="auto"/>
        </w:rPr>
      </w:pPr>
    </w:p>
    <w:p>
      <w:pPr>
        <w:sectPr>
          <w:pgSz w:w="11900" w:h="16838" w:orient="portrait"/>
          <w:cols w:equalWidth="0" w:num="2">
            <w:col w:w="3350" w:space="520"/>
            <w:col w:w="6359"/>
          </w:cols>
          <w:pgMar w:left="230" w:top="283" w:right="1440" w:bottom="1440" w:gutter="0" w:footer="0" w:header="0"/>
          <w:type w:val="continuous"/>
        </w:sectPr>
      </w:pPr>
    </w:p>
    <w:p>
      <w:pPr>
        <w:spacing w:after="0" w:line="314"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Page 17 of 19</w:t>
      </w:r>
    </w:p>
    <w:p>
      <w:pPr>
        <w:sectPr>
          <w:pgSz w:w="11900" w:h="16838" w:orient="portrait"/>
          <w:cols w:equalWidth="0" w:num="1">
            <w:col w:w="10229"/>
          </w:cols>
          <w:pgMar w:left="230" w:top="283" w:right="1440" w:bottom="1440" w:gutter="0" w:footer="0" w:header="0"/>
          <w:type w:val="continuous"/>
        </w:sectPr>
      </w:pPr>
    </w:p>
    <w:bookmarkStart w:id="113" w:name="page114"/>
    <w:bookmarkEnd w:id="113"/>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790" w:hanging="790"/>
        <w:spacing w:after="0"/>
        <w:tabs>
          <w:tab w:leader="none" w:pos="79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left="790" w:right="3179" w:hanging="790"/>
        <w:spacing w:after="0" w:line="259" w:lineRule="auto"/>
        <w:tabs>
          <w:tab w:leader="none" w:pos="79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2"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are used herein for convenience of reference only and shall not affect the meaning of any provision of this Agreement.</w:t>
      </w:r>
    </w:p>
    <w:p>
      <w:pPr>
        <w:spacing w:after="0" w:line="174" w:lineRule="exact"/>
        <w:rPr>
          <w:rFonts w:ascii="Courier New" w:cs="Courier New" w:eastAsia="Courier New" w:hAnsi="Courier New"/>
          <w:sz w:val="15"/>
          <w:szCs w:val="15"/>
          <w:color w:val="auto"/>
        </w:rPr>
      </w:pPr>
    </w:p>
    <w:p>
      <w:pPr>
        <w:ind w:left="790" w:right="3179" w:hanging="790"/>
        <w:spacing w:after="0" w:line="235" w:lineRule="auto"/>
        <w:tabs>
          <w:tab w:leader="none" w:pos="7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Whenever the context so requires, the use of the singular shall be deemed to include the plural and vice versa.</w:t>
      </w:r>
    </w:p>
    <w:p>
      <w:pPr>
        <w:spacing w:after="0" w:line="175" w:lineRule="exact"/>
        <w:rPr>
          <w:rFonts w:ascii="Courier New" w:cs="Courier New" w:eastAsia="Courier New" w:hAnsi="Courier New"/>
          <w:sz w:val="15"/>
          <w:szCs w:val="15"/>
          <w:color w:val="auto"/>
        </w:rPr>
      </w:pPr>
    </w:p>
    <w:p>
      <w:pPr>
        <w:ind w:left="790" w:right="3799" w:hanging="790"/>
        <w:spacing w:after="0" w:line="237" w:lineRule="auto"/>
        <w:tabs>
          <w:tab w:leader="none" w:pos="7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so executed shall be deemed to be an original, and such counterparts will together constitute but one Agreement.</w:t>
      </w:r>
    </w:p>
    <w:p>
      <w:pPr>
        <w:spacing w:after="0" w:line="176"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WASTE MANAGEMENT, INC.</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 /s/ A. Maurice Myers</w:t>
      </w:r>
    </w:p>
    <w:p>
      <w:pPr>
        <w:ind w:left="350"/>
        <w:spacing w:after="0"/>
        <w:rPr>
          <w:sz w:val="20"/>
          <w:szCs w:val="20"/>
          <w:color w:val="auto"/>
        </w:rPr>
      </w:pPr>
      <w:r>
        <w:rPr>
          <w:rFonts w:ascii="Courier New" w:cs="Courier New" w:eastAsia="Courier New" w:hAnsi="Courier New"/>
          <w:sz w:val="15"/>
          <w:szCs w:val="15"/>
          <w:color w:val="auto"/>
        </w:rPr>
        <w:t>-------------------------------</w:t>
      </w:r>
    </w:p>
    <w:p>
      <w:pPr>
        <w:ind w:left="10"/>
        <w:spacing w:after="0"/>
        <w:tabs>
          <w:tab w:leader="none" w:pos="5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 Maurice Myers</w:t>
      </w:r>
    </w:p>
    <w:p>
      <w:pPr>
        <w:ind w:left="10"/>
        <w:spacing w:after="0" w:line="238" w:lineRule="auto"/>
        <w:rPr>
          <w:sz w:val="20"/>
          <w:szCs w:val="20"/>
          <w:color w:val="auto"/>
        </w:rPr>
      </w:pPr>
      <w:r>
        <w:rPr>
          <w:rFonts w:ascii="Courier New" w:cs="Courier New" w:eastAsia="Courier New" w:hAnsi="Courier New"/>
          <w:sz w:val="15"/>
          <w:szCs w:val="15"/>
          <w:color w:val="auto"/>
        </w:rPr>
        <w:t>Title: Chairman, Chief Executive</w:t>
      </w:r>
    </w:p>
    <w:p>
      <w:pPr>
        <w:ind w:left="610"/>
        <w:spacing w:after="0"/>
        <w:rPr>
          <w:sz w:val="20"/>
          <w:szCs w:val="20"/>
          <w:color w:val="auto"/>
        </w:rPr>
      </w:pPr>
      <w:r>
        <w:rPr>
          <w:rFonts w:ascii="Courier New" w:cs="Courier New" w:eastAsia="Courier New" w:hAnsi="Courier New"/>
          <w:sz w:val="15"/>
          <w:szCs w:val="15"/>
          <w:color w:val="auto"/>
        </w:rPr>
        <w:t>Officer &amp; President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1/26/01</w:t>
      </w:r>
    </w:p>
    <w:p>
      <w:pPr>
        <w:ind w:left="53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18 of 19</w:t>
      </w:r>
    </w:p>
    <w:p>
      <w:pPr>
        <w:sectPr>
          <w:pgSz w:w="11900" w:h="16838" w:orient="portrait"/>
          <w:cols w:equalWidth="0" w:num="1">
            <w:col w:w="10229"/>
          </w:cols>
          <w:pgMar w:left="230" w:top="283" w:right="1440" w:bottom="1440" w:gutter="0" w:footer="0" w:header="0"/>
        </w:sectPr>
      </w:pPr>
    </w:p>
    <w:bookmarkStart w:id="114" w:name="page115"/>
    <w:bookmarkEnd w:id="114"/>
    <w:p>
      <w:pPr>
        <w:ind w:left="27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w:t>
      </w:r>
    </w:p>
    <w:p>
      <w:pPr>
        <w:spacing w:after="0" w:line="33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 Jim Trevethan</w:t>
      </w:r>
    </w:p>
    <w:p>
      <w:pPr>
        <w:ind w:left="170" w:hanging="170"/>
        <w:spacing w:after="0"/>
        <w:tabs>
          <w:tab w:leader="none" w:pos="17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JIM TREVETHAN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1/26/01</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w:t>
      </w:r>
    </w:p>
    <w:p>
      <w:pPr>
        <w:ind w:left="7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5"/>
          <w:szCs w:val="15"/>
          <w:color w:val="auto"/>
        </w:rPr>
        <w:t>Page 19 of 19</w:t>
      </w:r>
    </w:p>
    <w:p>
      <w:pPr>
        <w:sectPr>
          <w:pgSz w:w="11900" w:h="16838" w:orient="portrait"/>
          <w:cols w:equalWidth="0" w:num="1">
            <w:col w:w="10229"/>
          </w:cols>
          <w:pgMar w:left="230" w:top="283" w:right="1440" w:bottom="1440" w:gutter="0" w:footer="0" w:header="0"/>
        </w:sectPr>
      </w:pPr>
    </w:p>
    <w:bookmarkStart w:id="115" w:name="page116"/>
    <w:bookmarkEnd w:id="115"/>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WASTE MANAGEMENT, INC. (the "Company"), and CHARLES E. WILLIAMS (the "Executive") hereby enter into this EMPLOYMENT AGREEMENT ("Agreement") dated as of June 1, 2000 (the "Effective Date"), as follows:</w:t>
      </w:r>
    </w:p>
    <w:p>
      <w:pPr>
        <w:spacing w:after="0" w:line="169" w:lineRule="exact"/>
        <w:rPr>
          <w:sz w:val="20"/>
          <w:szCs w:val="20"/>
          <w:color w:val="auto"/>
        </w:rPr>
      </w:pPr>
    </w:p>
    <w:p>
      <w:pPr>
        <w:ind w:left="790" w:hanging="790"/>
        <w:spacing w:after="0"/>
        <w:tabs>
          <w:tab w:leader="none" w:pos="79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The Company shall employ Executive, and Executive shall be employed by the Company upon the terms and subject to the conditions set forth in this Agreement.</w:t>
      </w:r>
    </w:p>
    <w:p>
      <w:pPr>
        <w:spacing w:after="0" w:line="169" w:lineRule="exact"/>
        <w:rPr>
          <w:sz w:val="20"/>
          <w:szCs w:val="20"/>
          <w:color w:val="auto"/>
        </w:rPr>
      </w:pPr>
    </w:p>
    <w:p>
      <w:pPr>
        <w:ind w:left="790" w:hanging="790"/>
        <w:spacing w:after="0"/>
        <w:tabs>
          <w:tab w:leader="none" w:pos="79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EMPLOYMENT.</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period of Executive's employment under this Agreement shall commence on June 1, 2000, and be for a continuously renewing (on a daily basis) three (3)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62" w:lineRule="exact"/>
        <w:rPr>
          <w:sz w:val="20"/>
          <w:szCs w:val="20"/>
          <w:color w:val="auto"/>
        </w:rPr>
      </w:pPr>
    </w:p>
    <w:p>
      <w:pPr>
        <w:ind w:left="790" w:hanging="790"/>
        <w:spacing w:after="0"/>
        <w:tabs>
          <w:tab w:leader="none" w:pos="79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RESPONSIBILITIES.</w:t>
      </w:r>
    </w:p>
    <w:p>
      <w:pPr>
        <w:spacing w:after="0" w:line="175" w:lineRule="exact"/>
        <w:rPr>
          <w:sz w:val="20"/>
          <w:szCs w:val="20"/>
          <w:color w:val="auto"/>
        </w:rPr>
      </w:pPr>
    </w:p>
    <w:p>
      <w:pPr>
        <w:ind w:left="790" w:right="3259" w:hanging="790"/>
        <w:spacing w:after="0" w:line="238" w:lineRule="auto"/>
        <w:tabs>
          <w:tab w:leader="none" w:pos="7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serve as Senior Vice President-Operations. In such capacity, Executive shall perform such duties and have the power, authority and functions commensurate with such positions in similarly sized public companies and such other authority and functions consistent with such positions as may be assigned to Executive from time to time by the Chief Executive Officer, President, Executive Vice President, or the Board of Directors.</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serve on boards of other for profit entities, provided such activities do not materially interfere with the performance of his duties hereunder.</w:t>
      </w:r>
    </w:p>
    <w:p>
      <w:pPr>
        <w:spacing w:after="0" w:line="173" w:lineRule="exact"/>
        <w:rPr>
          <w:sz w:val="20"/>
          <w:szCs w:val="20"/>
          <w:color w:val="auto"/>
        </w:rPr>
      </w:pPr>
    </w:p>
    <w:p>
      <w:pPr>
        <w:ind w:left="790" w:hanging="790"/>
        <w:spacing w:after="0"/>
        <w:tabs>
          <w:tab w:leader="none" w:pos="79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w:t>
      </w:r>
    </w:p>
    <w:p>
      <w:pPr>
        <w:spacing w:after="0" w:line="175" w:lineRule="exact"/>
        <w:rPr>
          <w:sz w:val="20"/>
          <w:szCs w:val="20"/>
          <w:color w:val="auto"/>
        </w:rPr>
      </w:pPr>
    </w:p>
    <w:p>
      <w:pPr>
        <w:ind w:left="790" w:right="3179" w:hanging="790"/>
        <w:spacing w:after="0" w:line="238" w:lineRule="auto"/>
        <w:tabs>
          <w:tab w:leader="none" w:pos="7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Period, the Company shall pay Executive a base salary at the annual rate of THREE HUNDRED THOUSAND DOLLARS ($300,000.00)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200" w:lineRule="exact"/>
        <w:rPr>
          <w:sz w:val="20"/>
          <w:szCs w:val="20"/>
          <w:color w:val="auto"/>
        </w:rPr>
      </w:pPr>
    </w:p>
    <w:p>
      <w:pPr>
        <w:spacing w:after="0" w:line="31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 of 19</w:t>
      </w:r>
    </w:p>
    <w:p>
      <w:pPr>
        <w:sectPr>
          <w:pgSz w:w="11900" w:h="16838" w:orient="portrait"/>
          <w:cols w:equalWidth="0" w:num="1">
            <w:col w:w="10229"/>
          </w:cols>
          <w:pgMar w:left="230" w:top="136" w:right="1440" w:bottom="1440" w:gutter="0" w:footer="0" w:header="0"/>
        </w:sectPr>
      </w:pPr>
    </w:p>
    <w:bookmarkStart w:id="116" w:name="page117"/>
    <w:bookmarkEnd w:id="116"/>
    <w:p>
      <w:pPr>
        <w:ind w:left="27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4" w:lineRule="exact"/>
        <w:rPr>
          <w:sz w:val="20"/>
          <w:szCs w:val="20"/>
          <w:color w:val="auto"/>
        </w:rPr>
      </w:pPr>
    </w:p>
    <w:p>
      <w:pPr>
        <w:ind w:left="790" w:right="3179" w:hanging="790"/>
        <w:spacing w:after="0" w:line="257" w:lineRule="auto"/>
        <w:tabs>
          <w:tab w:leader="none" w:pos="79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During the Employment Period, Executive will be entitled to participate in an annual incentive compensation plan of the Company. The Executive's target annual bonus will be seventy-five percent (75%) of his Base Salary as in effect for such year (the "Target Bonus"), and his actual annual bonus may range from 0% to 150% (2 times Target Bonus), and will be determined based upon achievement of performance goals (initially seventy percent [70%] financial [return on capital invested and EBITDA] and thirty percent [30%] personal, but may be tied to other metrics as may be established from time to time by the Compensation Committee of the Board) as approved by the Compensation Committee of the Board, from time to time.</w:t>
      </w:r>
    </w:p>
    <w:p>
      <w:pPr>
        <w:spacing w:after="0" w:line="165"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Executive shall be eligible to be considered for stock option grants under the Company's annual stock option award program as administered by, and at the discretion of, the Compensation Committee of the Board of Directors, beginning in 2001.</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w:t>
      </w:r>
    </w:p>
    <w:p>
      <w:pPr>
        <w:spacing w:after="0" w:line="182" w:lineRule="exact"/>
        <w:rPr>
          <w:rFonts w:ascii="Courier New" w:cs="Courier New" w:eastAsia="Courier New" w:hAnsi="Courier New"/>
          <w:sz w:val="15"/>
          <w:szCs w:val="15"/>
          <w:color w:val="auto"/>
        </w:rPr>
      </w:pPr>
    </w:p>
    <w:p>
      <w:pPr>
        <w:ind w:left="790" w:right="3259" w:hanging="790"/>
        <w:spacing w:after="0" w:line="259" w:lineRule="auto"/>
        <w:tabs>
          <w:tab w:leader="none" w:pos="79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162" w:lineRule="exact"/>
        <w:rPr>
          <w:rFonts w:ascii="Courier New" w:cs="Courier New" w:eastAsia="Courier New" w:hAnsi="Courier New"/>
          <w:sz w:val="14"/>
          <w:szCs w:val="14"/>
          <w:color w:val="auto"/>
        </w:rPr>
      </w:pPr>
    </w:p>
    <w:p>
      <w:pPr>
        <w:ind w:left="790" w:right="3179" w:hanging="790"/>
        <w:spacing w:after="0" w:line="237" w:lineRule="auto"/>
        <w:tabs>
          <w:tab w:leader="none" w:pos="7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DEFERRAL PLAN. Executive shall be entitled to participate in the Company's "Executive Deferral Plan", and any replacement plan or arrangement, all to the extent maintained or instituted by the Company, and covering its principal executive officers, at a level commensurate with his position.</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PERQUISITES. Executive shall be entitled to all perquisites provided to Senior Vice Presidents of the Company as approved by the Compensation Committee of the Board of Directors, and as they may exist from time to time.</w:t>
      </w:r>
    </w:p>
    <w:p>
      <w:pPr>
        <w:spacing w:after="0" w:line="340" w:lineRule="exact"/>
        <w:rPr>
          <w:sz w:val="20"/>
          <w:szCs w:val="20"/>
          <w:color w:val="auto"/>
        </w:rPr>
      </w:pPr>
    </w:p>
    <w:p>
      <w:pPr>
        <w:ind w:left="790" w:hanging="790"/>
        <w:spacing w:after="0"/>
        <w:tabs>
          <w:tab w:leader="none" w:pos="7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5" w:lineRule="exact"/>
        <w:rPr>
          <w:sz w:val="20"/>
          <w:szCs w:val="20"/>
          <w:color w:val="auto"/>
        </w:rPr>
      </w:pPr>
    </w:p>
    <w:p>
      <w:pPr>
        <w:ind w:left="10" w:right="4059"/>
        <w:spacing w:after="0" w:line="235" w:lineRule="auto"/>
        <w:rPr>
          <w:sz w:val="20"/>
          <w:szCs w:val="20"/>
          <w:color w:val="auto"/>
        </w:rPr>
      </w:pPr>
      <w:r>
        <w:rPr>
          <w:rFonts w:ascii="Courier New" w:cs="Courier New" w:eastAsia="Courier New" w:hAnsi="Courier New"/>
          <w:sz w:val="15"/>
          <w:szCs w:val="15"/>
          <w:color w:val="auto"/>
        </w:rPr>
        <w:t>Executive's employment hereunder may be terminated under the following circumstances:</w:t>
      </w:r>
    </w:p>
    <w:p>
      <w:pPr>
        <w:spacing w:after="0" w:line="176" w:lineRule="exact"/>
        <w:rPr>
          <w:sz w:val="20"/>
          <w:szCs w:val="20"/>
          <w:color w:val="auto"/>
        </w:rPr>
      </w:pPr>
    </w:p>
    <w:p>
      <w:pPr>
        <w:ind w:left="790" w:right="4139" w:hanging="790"/>
        <w:spacing w:after="0" w:line="235" w:lineRule="auto"/>
        <w:tabs>
          <w:tab w:leader="none" w:pos="7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Executive's employment hereunder shall terminate upon Executive's death.</w:t>
      </w:r>
    </w:p>
    <w:p>
      <w:pPr>
        <w:spacing w:after="0" w:line="17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2 of 19</w:t>
      </w:r>
    </w:p>
    <w:p>
      <w:pPr>
        <w:sectPr>
          <w:pgSz w:w="11900" w:h="16838" w:orient="portrait"/>
          <w:cols w:equalWidth="0" w:num="1">
            <w:col w:w="10229"/>
          </w:cols>
          <w:pgMar w:left="230" w:top="283" w:right="1440" w:bottom="1440" w:gutter="0" w:footer="0" w:header="0"/>
        </w:sectPr>
      </w:pPr>
    </w:p>
    <w:bookmarkStart w:id="117" w:name="page118"/>
    <w:bookmarkEnd w:id="117"/>
    <w:p>
      <w:pPr>
        <w:ind w:left="27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left="790" w:right="3179" w:hanging="790"/>
        <w:spacing w:after="0" w:line="256" w:lineRule="auto"/>
        <w:tabs>
          <w:tab w:leader="none" w:pos="79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w:t>
      </w:r>
    </w:p>
    <w:p>
      <w:pPr>
        <w:spacing w:after="0" w:line="2" w:lineRule="exact"/>
        <w:rPr>
          <w:rFonts w:ascii="Courier New" w:cs="Courier New" w:eastAsia="Courier New" w:hAnsi="Courier New"/>
          <w:sz w:val="14"/>
          <w:szCs w:val="14"/>
          <w:color w:val="auto"/>
        </w:rPr>
      </w:pPr>
    </w:p>
    <w:p>
      <w:pPr>
        <w:ind w:left="790" w:right="3359" w:firstLine="4"/>
        <w:spacing w:after="0" w:line="259" w:lineRule="auto"/>
        <w:tabs>
          <w:tab w:leader="none" w:pos="123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62" w:lineRule="exact"/>
        <w:rPr>
          <w:rFonts w:ascii="Courier New" w:cs="Courier New" w:eastAsia="Courier New" w:hAnsi="Courier New"/>
          <w:sz w:val="14"/>
          <w:szCs w:val="14"/>
          <w:color w:val="auto"/>
        </w:rPr>
      </w:pPr>
    </w:p>
    <w:p>
      <w:pPr>
        <w:ind w:left="790" w:right="3259" w:hanging="790"/>
        <w:spacing w:after="0" w:line="256" w:lineRule="auto"/>
        <w:tabs>
          <w:tab w:leader="none" w:pos="79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within ninety</w:t>
      </w:r>
    </w:p>
    <w:p>
      <w:pPr>
        <w:ind w:left="790" w:right="3439" w:firstLine="4"/>
        <w:spacing w:after="0" w:line="235" w:lineRule="auto"/>
        <w:tabs>
          <w:tab w:leader="none" w:pos="123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Chairman of the Audit or Governance Committee of the Board has knowledge thereof.</w:t>
      </w:r>
    </w:p>
    <w:p>
      <w:pPr>
        <w:spacing w:after="0" w:line="176" w:lineRule="exact"/>
        <w:rPr>
          <w:sz w:val="20"/>
          <w:szCs w:val="20"/>
          <w:color w:val="auto"/>
        </w:rPr>
      </w:pPr>
    </w:p>
    <w:p>
      <w:pPr>
        <w:ind w:left="1590" w:right="3179" w:hanging="796"/>
        <w:spacing w:after="0" w:line="239" w:lineRule="auto"/>
        <w:tabs>
          <w:tab w:leader="none" w:pos="159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"Cause" shall be limited to (1) willful misconduct by Executive with regard to the Company which has a material adverse effect on the Company; (2) the willful refusal of Executive to attempt to follow the proper written direction of the Chief Executive Officer, the President, an Executive Vice President, or the Board of Directors,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Chief Executive Officer, the President, an Executive Vice President, or the Board of Directors,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177"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 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w:t>
      </w:r>
    </w:p>
    <w:p>
      <w:pPr>
        <w:spacing w:after="0" w:line="345"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3 of 19</w:t>
      </w:r>
    </w:p>
    <w:p>
      <w:pPr>
        <w:sectPr>
          <w:pgSz w:w="11900" w:h="16838" w:orient="portrait"/>
          <w:cols w:equalWidth="0" w:num="1">
            <w:col w:w="10229"/>
          </w:cols>
          <w:pgMar w:left="230" w:top="283" w:right="1440" w:bottom="1440" w:gutter="0" w:footer="0" w:header="0"/>
        </w:sectPr>
      </w:pPr>
    </w:p>
    <w:bookmarkStart w:id="118" w:name="page119"/>
    <w:bookmarkEnd w:id="118"/>
    <w:p>
      <w:pPr>
        <w:ind w:left="27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1590" w:right="3259"/>
        <w:spacing w:after="0" w:line="238" w:lineRule="auto"/>
        <w:rPr>
          <w:sz w:val="20"/>
          <w:szCs w:val="20"/>
          <w:color w:val="auto"/>
        </w:rPr>
      </w:pPr>
      <w:r>
        <w:rPr>
          <w:rFonts w:ascii="Courier New" w:cs="Courier New" w:eastAsia="Courier New" w:hAnsi="Courier New"/>
          <w:sz w:val="15"/>
          <w:szCs w:val="15"/>
          <w:color w:val="auto"/>
        </w:rPr>
        <w:t>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80" w:lineRule="exact"/>
        <w:rPr>
          <w:sz w:val="20"/>
          <w:szCs w:val="20"/>
          <w:color w:val="auto"/>
        </w:rPr>
      </w:pPr>
    </w:p>
    <w:p>
      <w:pPr>
        <w:ind w:left="790" w:right="3259" w:hanging="790"/>
        <w:spacing w:after="0" w:line="237" w:lineRule="auto"/>
        <w:tabs>
          <w:tab w:leader="none" w:pos="79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Executive may terminate employment hereunder with or without Good Reason at any time upon written notice to the Company.</w:t>
      </w:r>
    </w:p>
    <w:p>
      <w:pPr>
        <w:spacing w:after="0" w:line="174" w:lineRule="exact"/>
        <w:rPr>
          <w:rFonts w:ascii="Courier New" w:cs="Courier New" w:eastAsia="Courier New" w:hAnsi="Courier New"/>
          <w:sz w:val="15"/>
          <w:szCs w:val="15"/>
          <w:color w:val="auto"/>
        </w:rPr>
      </w:pPr>
    </w:p>
    <w:p>
      <w:pPr>
        <w:ind w:left="1590" w:right="3179" w:hanging="796"/>
        <w:spacing w:after="0" w:line="256" w:lineRule="auto"/>
        <w:tabs>
          <w:tab w:leader="none" w:pos="159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provided that a change in reporting structure shall not constitute Good Reason under any circumstances as long as Executive reports to the Chief Executive Officer, the President, the Chief Operating Officer, or an Executive Vice President; further provided that if the Company becomes a fifty percent or more subsidiary of any other entity, Executive shall be deemed to have a material diminution of his position unless he is also a Senior Vice President of the ultimate parent entity; (2) removal of, or the non-re-election of, the Executive from officer positions with the Company specified herein or removal of the Executive from any of his then officer positions with the Company; (3) requiring Executive's principal place of business to be located other than in Houston, Texas;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 successor to the Company (whether direct or indirect and whether by merger, acquisition, consolidation or otherwise) to assume in a writing</w:t>
      </w:r>
    </w:p>
    <w:p>
      <w:pPr>
        <w:spacing w:after="0" w:line="200" w:lineRule="exact"/>
        <w:rPr>
          <w:sz w:val="20"/>
          <w:szCs w:val="20"/>
          <w:color w:val="auto"/>
        </w:rPr>
      </w:pPr>
    </w:p>
    <w:p>
      <w:pPr>
        <w:spacing w:after="0" w:line="31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4 of 19</w:t>
      </w:r>
    </w:p>
    <w:p>
      <w:pPr>
        <w:sectPr>
          <w:pgSz w:w="11900" w:h="16838" w:orient="portrait"/>
          <w:cols w:equalWidth="0" w:num="1">
            <w:col w:w="10229"/>
          </w:cols>
          <w:pgMar w:left="230" w:top="283" w:right="1440" w:bottom="1440" w:gutter="0" w:footer="0" w:header="0"/>
        </w:sectPr>
      </w:pPr>
    </w:p>
    <w:bookmarkStart w:id="119" w:name="page120"/>
    <w:bookmarkEnd w:id="119"/>
    <w:p>
      <w:pPr>
        <w:ind w:left="27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1590" w:right="3439"/>
        <w:spacing w:after="0" w:line="235" w:lineRule="auto"/>
        <w:rPr>
          <w:sz w:val="20"/>
          <w:szCs w:val="20"/>
          <w:color w:val="auto"/>
        </w:rPr>
      </w:pPr>
      <w:r>
        <w:rPr>
          <w:rFonts w:ascii="Courier New" w:cs="Courier New" w:eastAsia="Courier New" w:hAnsi="Courier New"/>
          <w:sz w:val="15"/>
          <w:szCs w:val="15"/>
          <w:color w:val="auto"/>
        </w:rPr>
        <w:t>delivered to Executive upon the assignee becoming such, the obligations of the Company hereunder.</w:t>
      </w:r>
    </w:p>
    <w:p>
      <w:pPr>
        <w:spacing w:after="0" w:line="176" w:lineRule="exact"/>
        <w:rPr>
          <w:sz w:val="20"/>
          <w:szCs w:val="20"/>
          <w:color w:val="auto"/>
        </w:rPr>
      </w:pPr>
    </w:p>
    <w:p>
      <w:pPr>
        <w:ind w:left="1590" w:right="3259" w:hanging="796"/>
        <w:spacing w:after="0" w:line="256" w:lineRule="auto"/>
        <w:tabs>
          <w:tab w:leader="none" w:pos="159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4" w:lineRule="exact"/>
        <w:rPr>
          <w:rFonts w:ascii="Courier New" w:cs="Courier New" w:eastAsia="Courier New" w:hAnsi="Courier New"/>
          <w:sz w:val="14"/>
          <w:szCs w:val="14"/>
          <w:color w:val="auto"/>
        </w:rPr>
      </w:pPr>
    </w:p>
    <w:p>
      <w:pPr>
        <w:ind w:left="1590" w:right="36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5(d)(i)(1) or (2) the date may be five (5) days after the giving of such notice.</w:t>
      </w:r>
    </w:p>
    <w:p>
      <w:pPr>
        <w:spacing w:after="0" w:line="175" w:lineRule="exact"/>
        <w:rPr>
          <w:rFonts w:ascii="Courier New" w:cs="Courier New" w:eastAsia="Courier New" w:hAnsi="Courier New"/>
          <w:sz w:val="14"/>
          <w:szCs w:val="14"/>
          <w:color w:val="auto"/>
        </w:rPr>
      </w:pPr>
    </w:p>
    <w:p>
      <w:pPr>
        <w:ind w:left="790" w:right="3179" w:hanging="790"/>
        <w:spacing w:after="0" w:line="237" w:lineRule="auto"/>
        <w:tabs>
          <w:tab w:leader="none" w:pos="79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The Company may terminate Executive's employment hereunder without Cause at any time upon written notice to Executive.</w:t>
      </w:r>
    </w:p>
    <w:p>
      <w:pPr>
        <w:spacing w:after="0" w:line="174" w:lineRule="exact"/>
        <w:rPr>
          <w:rFonts w:ascii="Courier New" w:cs="Courier New" w:eastAsia="Courier New" w:hAnsi="Courier New"/>
          <w:sz w:val="15"/>
          <w:szCs w:val="15"/>
          <w:color w:val="auto"/>
        </w:rPr>
      </w:pPr>
    </w:p>
    <w:p>
      <w:pPr>
        <w:ind w:left="790" w:right="3179" w:hanging="790"/>
        <w:spacing w:after="0" w:line="260" w:lineRule="auto"/>
        <w:tabs>
          <w:tab w:leader="none" w:pos="79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Upon any termination of employment, Executive shall immediately resign from all Board memberships and other positions with the Company or any of its subsidiaries held by him at such time.</w:t>
      </w:r>
    </w:p>
    <w:p>
      <w:pPr>
        <w:spacing w:after="0" w:line="157" w:lineRule="exact"/>
        <w:rPr>
          <w:sz w:val="20"/>
          <w:szCs w:val="20"/>
          <w:color w:val="auto"/>
        </w:rPr>
      </w:pPr>
    </w:p>
    <w:p>
      <w:pPr>
        <w:ind w:left="790" w:hanging="790"/>
        <w:spacing w:after="0"/>
        <w:tabs>
          <w:tab w:leader="none" w:pos="79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FOLLOWING TERMINATION OF EMPLOYMENT.</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In the event that Executive's employment hereunder is terminated, Executive shall be entitled to the following compensation and benefits upon such termination:</w:t>
      </w:r>
    </w:p>
    <w:p>
      <w:pPr>
        <w:spacing w:after="0" w:line="175" w:lineRule="exact"/>
        <w:rPr>
          <w:sz w:val="20"/>
          <w:szCs w:val="20"/>
          <w:color w:val="auto"/>
        </w:rPr>
      </w:pPr>
    </w:p>
    <w:p>
      <w:pPr>
        <w:ind w:left="790" w:right="3359" w:hanging="790"/>
        <w:spacing w:after="0" w:line="260" w:lineRule="auto"/>
        <w:tabs>
          <w:tab w:leader="none" w:pos="79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2" w:lineRule="exact"/>
        <w:rPr>
          <w:rFonts w:ascii="Courier New" w:cs="Courier New" w:eastAsia="Courier New" w:hAnsi="Courier New"/>
          <w:sz w:val="14"/>
          <w:szCs w:val="14"/>
          <w:color w:val="auto"/>
        </w:rPr>
      </w:pPr>
    </w:p>
    <w:p>
      <w:pPr>
        <w:ind w:left="1590" w:right="3179" w:hanging="796"/>
        <w:spacing w:after="0" w:line="238" w:lineRule="auto"/>
        <w:tabs>
          <w:tab w:leader="none" w:pos="159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178"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200" w:lineRule="exact"/>
        <w:rPr>
          <w:sz w:val="20"/>
          <w:szCs w:val="20"/>
          <w:color w:val="auto"/>
        </w:rPr>
      </w:pPr>
    </w:p>
    <w:p>
      <w:pPr>
        <w:spacing w:after="0" w:line="312"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5 of 19</w:t>
      </w:r>
    </w:p>
    <w:p>
      <w:pPr>
        <w:sectPr>
          <w:pgSz w:w="11900" w:h="16838" w:orient="portrait"/>
          <w:cols w:equalWidth="0" w:num="1">
            <w:col w:w="10229"/>
          </w:cols>
          <w:pgMar w:left="230" w:top="283" w:right="1440" w:bottom="1440" w:gutter="0" w:footer="0" w:header="0"/>
        </w:sectPr>
      </w:pPr>
    </w:p>
    <w:bookmarkStart w:id="120" w:name="page121"/>
    <w:bookmarkEnd w:id="120"/>
    <w:p>
      <w:pPr>
        <w:ind w:left="27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left="1590" w:right="3259" w:hanging="796"/>
        <w:spacing w:after="0" w:line="238" w:lineRule="auto"/>
        <w:tabs>
          <w:tab w:leader="none" w:pos="159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76"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termination by reason of Executive's death, stock options awarded to Executive shall be fully vested and Executive's estate or beneficiary shall have up to one (1) year from the date of death to exercise all such options, provided that in no event will any option be exercisable beyond its term.</w:t>
      </w:r>
    </w:p>
    <w:p>
      <w:pPr>
        <w:spacing w:after="0" w:line="169"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4"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76"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166" w:lineRule="exact"/>
        <w:rPr>
          <w:rFonts w:ascii="Courier New" w:cs="Courier New" w:eastAsia="Courier New" w:hAnsi="Courier New"/>
          <w:sz w:val="14"/>
          <w:szCs w:val="14"/>
          <w:color w:val="auto"/>
        </w:rPr>
      </w:pPr>
    </w:p>
    <w:p>
      <w:pPr>
        <w:ind w:left="1590" w:right="3179" w:hanging="796"/>
        <w:spacing w:after="0" w:line="237" w:lineRule="auto"/>
        <w:tabs>
          <w:tab w:leader="none" w:pos="159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78"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78"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termination by reason of Executive's Total Disability, Executive shall be fully vested in all stock option awards, and Executive shall have up to one (1) year from the date of termination by reason of Total Disability to exercise all such options; provided that in no event will any option be exercisable beyond its term.</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6 of 19</w:t>
      </w:r>
    </w:p>
    <w:p>
      <w:pPr>
        <w:sectPr>
          <w:pgSz w:w="11900" w:h="16838" w:orient="portrait"/>
          <w:cols w:equalWidth="0" w:num="1">
            <w:col w:w="10229"/>
          </w:cols>
          <w:pgMar w:left="230" w:top="283" w:right="1440" w:bottom="1440" w:gutter="0" w:footer="0" w:header="0"/>
        </w:sectPr>
      </w:pPr>
    </w:p>
    <w:bookmarkStart w:id="121" w:name="page122"/>
    <w:bookmarkEnd w:id="121"/>
    <w:p>
      <w:pPr>
        <w:ind w:left="27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left="1590" w:hanging="796"/>
        <w:spacing w:after="0"/>
        <w:tabs>
          <w:tab w:leader="none" w:pos="159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4" w:lineRule="exact"/>
        <w:rPr>
          <w:rFonts w:ascii="Courier New" w:cs="Courier New" w:eastAsia="Courier New" w:hAnsi="Courier New"/>
          <w:sz w:val="15"/>
          <w:szCs w:val="15"/>
          <w:color w:val="auto"/>
        </w:rPr>
      </w:pPr>
    </w:p>
    <w:p>
      <w:pPr>
        <w:ind w:left="790" w:right="3619" w:hanging="790"/>
        <w:spacing w:after="0" w:line="237" w:lineRule="auto"/>
        <w:tabs>
          <w:tab w:leader="none" w:pos="79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In the event that Executive's employment is terminated by the Company for Cause, the Company shall pay the following amounts to Executive:</w:t>
      </w:r>
    </w:p>
    <w:p>
      <w:pPr>
        <w:spacing w:after="0" w:line="174"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8" w:lineRule="exact"/>
        <w:rPr>
          <w:sz w:val="20"/>
          <w:szCs w:val="20"/>
          <w:color w:val="auto"/>
        </w:rPr>
      </w:pPr>
    </w:p>
    <w:p>
      <w:pPr>
        <w:ind w:left="1590" w:right="3179" w:hanging="796"/>
        <w:spacing w:after="0" w:line="237" w:lineRule="auto"/>
        <w:tabs>
          <w:tab w:leader="none" w:pos="159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72" w:lineRule="exact"/>
        <w:rPr>
          <w:rFonts w:ascii="Courier New" w:cs="Courier New" w:eastAsia="Courier New" w:hAnsi="Courier New"/>
          <w:sz w:val="15"/>
          <w:szCs w:val="15"/>
          <w:color w:val="auto"/>
        </w:rPr>
      </w:pPr>
    </w:p>
    <w:p>
      <w:pPr>
        <w:ind w:left="1590" w:hanging="796"/>
        <w:spacing w:after="0"/>
        <w:tabs>
          <w:tab w:leader="none" w:pos="159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5" w:lineRule="exact"/>
        <w:rPr>
          <w:sz w:val="20"/>
          <w:szCs w:val="20"/>
          <w:color w:val="auto"/>
        </w:rPr>
      </w:pPr>
    </w:p>
    <w:p>
      <w:pPr>
        <w:ind w:left="790" w:right="3259"/>
        <w:spacing w:after="0" w:line="237" w:lineRule="auto"/>
        <w:rPr>
          <w:sz w:val="20"/>
          <w:szCs w:val="20"/>
          <w:color w:val="auto"/>
        </w:rPr>
      </w:pPr>
      <w:r>
        <w:rPr>
          <w:rFonts w:ascii="Courier New" w:cs="Courier New" w:eastAsia="Courier New" w:hAnsi="Courier New"/>
          <w:sz w:val="15"/>
          <w:szCs w:val="15"/>
          <w:color w:val="auto"/>
        </w:rPr>
        <w:t>Any options, restricted stock or other awards that have not vested prior to the date of such termination of employment shall be cancelled to the extent not then vested, and any options held by Executive shall be cancelled, whether or not then vested.</w:t>
      </w:r>
    </w:p>
    <w:p>
      <w:pPr>
        <w:spacing w:after="0" w:line="176" w:lineRule="exact"/>
        <w:rPr>
          <w:sz w:val="20"/>
          <w:szCs w:val="20"/>
          <w:color w:val="auto"/>
        </w:rPr>
      </w:pPr>
    </w:p>
    <w:p>
      <w:pPr>
        <w:ind w:left="790" w:right="3699" w:hanging="790"/>
        <w:spacing w:after="0" w:line="237" w:lineRule="auto"/>
        <w:tabs>
          <w:tab w:leader="none" w:pos="79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In the event that Executive voluntarily terminates employment other than for Good Reason, the Company shall pay the following amounts to Executive:</w:t>
      </w:r>
    </w:p>
    <w:p>
      <w:pPr>
        <w:spacing w:after="0" w:line="174"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8"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72"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5" w:lineRule="exact"/>
        <w:rPr>
          <w:sz w:val="20"/>
          <w:szCs w:val="20"/>
          <w:color w:val="auto"/>
        </w:rPr>
      </w:pPr>
    </w:p>
    <w:p>
      <w:pPr>
        <w:ind w:left="790" w:right="3259"/>
        <w:spacing w:after="0" w:line="238" w:lineRule="auto"/>
        <w:rPr>
          <w:sz w:val="20"/>
          <w:szCs w:val="20"/>
          <w:color w:val="auto"/>
        </w:rPr>
      </w:pPr>
      <w:r>
        <w:rPr>
          <w:rFonts w:ascii="Courier New" w:cs="Courier New" w:eastAsia="Courier New" w:hAnsi="Courier New"/>
          <w:sz w:val="15"/>
          <w:szCs w:val="15"/>
          <w:color w:val="auto"/>
        </w:rPr>
        <w:t>Any options, restricted stock or other awards that have not vested prior to the date of such termination of employment shall be cancelled to the extent not then vested, and Executive shall have 90 days following termination of employment to exercise any previously vested options; provided that in no event will any option be exercisable beyond its term.</w:t>
      </w:r>
    </w:p>
    <w:p>
      <w:pPr>
        <w:spacing w:after="0" w:line="176" w:lineRule="exact"/>
        <w:rPr>
          <w:sz w:val="20"/>
          <w:szCs w:val="20"/>
          <w:color w:val="auto"/>
        </w:rPr>
      </w:pPr>
    </w:p>
    <w:p>
      <w:pPr>
        <w:jc w:val="both"/>
        <w:ind w:left="790" w:right="3259" w:hanging="790"/>
        <w:spacing w:after="0" w:line="237" w:lineRule="auto"/>
        <w:tabs>
          <w:tab w:leader="none" w:pos="79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TERMINATION BY EXECUTIVE FOR GOOD REASON. In the event that Executive's employment is terminated by the Company for</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7 of 19</w:t>
      </w:r>
    </w:p>
    <w:p>
      <w:pPr>
        <w:sectPr>
          <w:pgSz w:w="11900" w:h="16838" w:orient="portrait"/>
          <w:cols w:equalWidth="0" w:num="1">
            <w:col w:w="10229"/>
          </w:cols>
          <w:pgMar w:left="230" w:top="283"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520" w:right="3439"/>
        <w:spacing w:after="0" w:line="237" w:lineRule="auto"/>
        <w:rPr>
          <w:sz w:val="20"/>
          <w:szCs w:val="20"/>
          <w:color w:val="auto"/>
        </w:rPr>
      </w:pPr>
      <w:r>
        <w:rPr>
          <w:rFonts w:ascii="Courier New" w:cs="Courier New" w:eastAsia="Courier New" w:hAnsi="Courier New"/>
          <w:sz w:val="15"/>
          <w:szCs w:val="15"/>
          <w:color w:val="auto"/>
        </w:rPr>
        <w:t>reasons other than death, Total Disability or Cause, or Executive terminates his employment for Good Reason, the Company shall pay the following amounts to Executive:</w:t>
      </w:r>
    </w:p>
    <w:p>
      <w:pPr>
        <w:spacing w:after="0" w:line="175" w:lineRule="exact"/>
        <w:rPr>
          <w:sz w:val="20"/>
          <w:szCs w:val="20"/>
          <w:color w:val="auto"/>
        </w:rPr>
      </w:pPr>
    </w:p>
    <w:p>
      <w:pPr>
        <w:ind w:left="1320" w:right="3359" w:hanging="796"/>
        <w:spacing w:after="0" w:line="237" w:lineRule="auto"/>
        <w:tabs>
          <w:tab w:leader="none" w:pos="13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78" w:lineRule="exact"/>
        <w:rPr>
          <w:rFonts w:ascii="Courier New" w:cs="Courier New" w:eastAsia="Courier New" w:hAnsi="Courier New"/>
          <w:sz w:val="15"/>
          <w:szCs w:val="15"/>
          <w:color w:val="auto"/>
        </w:rPr>
      </w:pPr>
    </w:p>
    <w:p>
      <w:pPr>
        <w:jc w:val="both"/>
        <w:ind w:left="1320" w:right="3439" w:hanging="796"/>
        <w:spacing w:after="0" w:line="259" w:lineRule="auto"/>
        <w:tabs>
          <w:tab w:leader="none" w:pos="13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20" w:right="3179" w:hanging="796"/>
        <w:spacing w:after="0" w:line="238" w:lineRule="auto"/>
        <w:tabs>
          <w:tab w:leader="none" w:pos="13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78" w:lineRule="exact"/>
        <w:rPr>
          <w:rFonts w:ascii="Courier New" w:cs="Courier New" w:eastAsia="Courier New" w:hAnsi="Courier New"/>
          <w:sz w:val="15"/>
          <w:szCs w:val="15"/>
          <w:color w:val="auto"/>
        </w:rPr>
      </w:pPr>
    </w:p>
    <w:p>
      <w:pPr>
        <w:ind w:left="1320" w:right="3179" w:hanging="796"/>
        <w:spacing w:after="0" w:line="256" w:lineRule="auto"/>
        <w:tabs>
          <w:tab w:leader="none" w:pos="13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two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75" w:lineRule="exact"/>
        <w:rPr>
          <w:rFonts w:ascii="Courier New" w:cs="Courier New" w:eastAsia="Courier New" w:hAnsi="Courier New"/>
          <w:sz w:val="14"/>
          <w:szCs w:val="14"/>
          <w:color w:val="auto"/>
        </w:rPr>
      </w:pPr>
    </w:p>
    <w:p>
      <w:pPr>
        <w:ind w:left="1320" w:right="3259" w:hanging="796"/>
        <w:spacing w:after="0" w:line="238" w:lineRule="auto"/>
        <w:tabs>
          <w:tab w:leader="none" w:pos="132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of the Company, pro-rated for the fiscal year in which the Executive is terminated.</w:t>
      </w:r>
    </w:p>
    <w:p>
      <w:pPr>
        <w:spacing w:after="0" w:line="34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Page 8 of 19</w:t>
      </w:r>
    </w:p>
    <w:p>
      <w:pPr>
        <w:sectPr>
          <w:pgSz w:w="11900" w:h="16838" w:orient="portrait"/>
          <w:cols w:equalWidth="0" w:num="1">
            <w:col w:w="9959"/>
          </w:cols>
          <w:pgMar w:left="500" w:top="283" w:right="1440" w:bottom="1440" w:gutter="0" w:footer="0" w:header="0"/>
        </w:sectPr>
      </w:pPr>
    </w:p>
    <w:bookmarkStart w:id="123" w:name="page124"/>
    <w:bookmarkEnd w:id="123"/>
    <w:p>
      <w:pPr>
        <w:ind w:left="27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left="1590" w:right="3179" w:hanging="796"/>
        <w:spacing w:after="0" w:line="238" w:lineRule="auto"/>
        <w:tabs>
          <w:tab w:leader="none" w:pos="159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will any option be exercisable beyond its term.</w:t>
      </w:r>
    </w:p>
    <w:p>
      <w:pPr>
        <w:spacing w:after="0" w:line="170"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otherwise specifically provided herein.</w:t>
      </w:r>
    </w:p>
    <w:p>
      <w:pPr>
        <w:spacing w:after="0" w:line="174"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76" w:lineRule="exact"/>
        <w:rPr>
          <w:rFonts w:ascii="Courier New" w:cs="Courier New" w:eastAsia="Courier New" w:hAnsi="Courier New"/>
          <w:sz w:val="15"/>
          <w:szCs w:val="15"/>
          <w:color w:val="auto"/>
        </w:rPr>
      </w:pPr>
    </w:p>
    <w:p>
      <w:pPr>
        <w:ind w:left="790" w:right="3259" w:hanging="790"/>
        <w:spacing w:after="0" w:line="238" w:lineRule="auto"/>
        <w:tabs>
          <w:tab w:leader="none" w:pos="79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79" w:lineRule="exact"/>
        <w:rPr>
          <w:sz w:val="20"/>
          <w:szCs w:val="20"/>
          <w:color w:val="auto"/>
        </w:rPr>
      </w:pPr>
    </w:p>
    <w:p>
      <w:pPr>
        <w:ind w:left="790" w:right="3699" w:hanging="790"/>
        <w:spacing w:after="0" w:line="235" w:lineRule="auto"/>
        <w:tabs>
          <w:tab w:leader="none" w:pos="79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BY EXECUTIVE FOR GOOD REASON AND COMPENSATION PAYABLE FOLLOWING CHANGE IN CONTROL.</w:t>
      </w:r>
    </w:p>
    <w:p>
      <w:pPr>
        <w:spacing w:after="0" w:line="176" w:lineRule="exact"/>
        <w:rPr>
          <w:sz w:val="20"/>
          <w:szCs w:val="20"/>
          <w:color w:val="auto"/>
        </w:rPr>
      </w:pPr>
    </w:p>
    <w:p>
      <w:pPr>
        <w:ind w:left="790" w:right="3179" w:hanging="790"/>
        <w:spacing w:after="0" w:line="238" w:lineRule="auto"/>
        <w:tabs>
          <w:tab w:leader="none" w:pos="79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78" w:lineRule="exact"/>
        <w:rPr>
          <w:rFonts w:ascii="Courier New" w:cs="Courier New" w:eastAsia="Courier New" w:hAnsi="Courier New"/>
          <w:sz w:val="15"/>
          <w:szCs w:val="15"/>
          <w:color w:val="auto"/>
        </w:rPr>
      </w:pPr>
    </w:p>
    <w:p>
      <w:pPr>
        <w:jc w:val="both"/>
        <w:ind w:left="1590" w:right="3179" w:hanging="796"/>
        <w:spacing w:after="0" w:line="237" w:lineRule="auto"/>
        <w:tabs>
          <w:tab w:leader="none" w:pos="159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payments and benefits provided for in Section 6(e), except that the amount calculated pursuant to Section 6(e)(iii) shall be paid in a lump-sum.</w:t>
      </w:r>
    </w:p>
    <w:p>
      <w:pPr>
        <w:spacing w:after="0" w:line="174"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be 100% vested in all benefits, awards, and grants (including stock option grants and stock awards; all of such stock options exercisable for two (2)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w:t>
      </w:r>
    </w:p>
    <w:p>
      <w:pPr>
        <w:spacing w:after="0" w:line="341"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9 of 19</w:t>
      </w:r>
    </w:p>
    <w:p>
      <w:pPr>
        <w:sectPr>
          <w:pgSz w:w="11900" w:h="16838" w:orient="portrait"/>
          <w:cols w:equalWidth="0" w:num="1">
            <w:col w:w="10229"/>
          </w:cols>
          <w:pgMar w:left="230" w:top="283" w:right="1440" w:bottom="1440" w:gutter="0" w:footer="0" w:header="0"/>
        </w:sectPr>
      </w:pPr>
    </w:p>
    <w:bookmarkStart w:id="124" w:name="page125"/>
    <w:bookmarkEnd w:id="124"/>
    <w:p>
      <w:pPr>
        <w:ind w:left="27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left="1590" w:right="3179"/>
        <w:spacing w:after="0" w:line="238" w:lineRule="auto"/>
        <w:rPr>
          <w:sz w:val="20"/>
          <w:szCs w:val="20"/>
          <w:color w:val="auto"/>
        </w:rPr>
      </w:pPr>
      <w:r>
        <w:rPr>
          <w:rFonts w:ascii="Courier New" w:cs="Courier New" w:eastAsia="Courier New" w:hAnsi="Courier New"/>
          <w:sz w:val="15"/>
          <w:szCs w:val="15"/>
          <w:color w:val="auto"/>
        </w:rPr>
        <w:t>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77" w:lineRule="exact"/>
        <w:rPr>
          <w:sz w:val="20"/>
          <w:szCs w:val="20"/>
          <w:color w:val="auto"/>
        </w:rPr>
      </w:pPr>
    </w:p>
    <w:p>
      <w:pPr>
        <w:ind w:left="790" w:hanging="790"/>
        <w:spacing w:after="0"/>
        <w:tabs>
          <w:tab w:leader="none" w:pos="79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COMPANY.</w:t>
      </w:r>
    </w:p>
    <w:p>
      <w:pPr>
        <w:spacing w:after="0" w:line="174" w:lineRule="exact"/>
        <w:rPr>
          <w:rFonts w:ascii="Courier New" w:cs="Courier New" w:eastAsia="Courier New" w:hAnsi="Courier New"/>
          <w:sz w:val="15"/>
          <w:szCs w:val="15"/>
          <w:color w:val="auto"/>
        </w:rPr>
      </w:pPr>
    </w:p>
    <w:p>
      <w:pPr>
        <w:ind w:left="1590" w:right="3179" w:hanging="796"/>
        <w:spacing w:after="0" w:line="239" w:lineRule="auto"/>
        <w:tabs>
          <w:tab w:leader="none" w:pos="159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76"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10 of 19</w:t>
      </w:r>
    </w:p>
    <w:p>
      <w:pPr>
        <w:sectPr>
          <w:pgSz w:w="11900" w:h="16838" w:orient="portrait"/>
          <w:cols w:equalWidth="0" w:num="1">
            <w:col w:w="10229"/>
          </w:cols>
          <w:pgMar w:left="230" w:top="283"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determined by the Accountants in accordance with the</w:t>
      </w:r>
    </w:p>
    <w:p>
      <w:pPr>
        <w:ind w:left="1320"/>
        <w:spacing w:after="0"/>
        <w:rPr>
          <w:sz w:val="20"/>
          <w:szCs w:val="20"/>
          <w:color w:val="auto"/>
        </w:rPr>
      </w:pPr>
      <w:r>
        <w:rPr>
          <w:rFonts w:ascii="Courier New" w:cs="Courier New" w:eastAsia="Courier New" w:hAnsi="Courier New"/>
          <w:sz w:val="15"/>
          <w:szCs w:val="15"/>
          <w:color w:val="auto"/>
        </w:rPr>
        <w:t>principles of Section 280G of the Code.</w:t>
      </w:r>
    </w:p>
    <w:p>
      <w:pPr>
        <w:spacing w:after="0" w:line="174" w:lineRule="exact"/>
        <w:rPr>
          <w:sz w:val="20"/>
          <w:szCs w:val="20"/>
          <w:color w:val="auto"/>
        </w:rPr>
      </w:pPr>
    </w:p>
    <w:p>
      <w:pPr>
        <w:ind w:left="1320" w:right="3179" w:hanging="796"/>
        <w:spacing w:after="0" w:line="256" w:lineRule="auto"/>
        <w:tabs>
          <w:tab w:leader="none" w:pos="132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1320" w:right="317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66" w:lineRule="exact"/>
        <w:rPr>
          <w:rFonts w:ascii="Courier New" w:cs="Courier New" w:eastAsia="Courier New" w:hAnsi="Courier New"/>
          <w:sz w:val="14"/>
          <w:szCs w:val="14"/>
          <w:color w:val="auto"/>
        </w:rPr>
      </w:pPr>
    </w:p>
    <w:p>
      <w:pPr>
        <w:ind w:left="1320" w:right="3179" w:hanging="796"/>
        <w:spacing w:after="0" w:line="238" w:lineRule="auto"/>
        <w:tabs>
          <w:tab w:leader="none" w:pos="13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w:t>
      </w:r>
    </w:p>
    <w:p>
      <w:pPr>
        <w:spacing w:after="0" w:line="34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Page 11 of 19</w:t>
      </w:r>
    </w:p>
    <w:p>
      <w:pPr>
        <w:sectPr>
          <w:pgSz w:w="11900" w:h="16838" w:orient="portrait"/>
          <w:cols w:equalWidth="0" w:num="1">
            <w:col w:w="9959"/>
          </w:cols>
          <w:pgMar w:left="500" w:top="283" w:right="1440" w:bottom="1440" w:gutter="0" w:footer="0" w:header="0"/>
        </w:sectPr>
      </w:pPr>
    </w:p>
    <w:bookmarkStart w:id="126" w:name="page127"/>
    <w:bookmarkEnd w:id="126"/>
    <w:p>
      <w:pPr>
        <w:ind w:left="27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1590" w:right="3259"/>
        <w:spacing w:after="0" w:line="256" w:lineRule="auto"/>
        <w:rPr>
          <w:sz w:val="20"/>
          <w:szCs w:val="20"/>
          <w:color w:val="auto"/>
        </w:rPr>
      </w:pPr>
      <w:r>
        <w:rPr>
          <w:rFonts w:ascii="Courier New" w:cs="Courier New" w:eastAsia="Courier New" w:hAnsi="Courier New"/>
          <w:sz w:val="14"/>
          <w:szCs w:val="14"/>
          <w:color w:val="auto"/>
        </w:rPr>
        <w:t>interest at the rate provided in Section 1274(b)(2)(B) of the Code), subject to further payments pursuant to subsection</w:t>
      </w:r>
    </w:p>
    <w:p>
      <w:pPr>
        <w:spacing w:after="0" w:line="1" w:lineRule="exact"/>
        <w:rPr>
          <w:sz w:val="20"/>
          <w:szCs w:val="20"/>
          <w:color w:val="auto"/>
        </w:rPr>
      </w:pPr>
    </w:p>
    <w:p>
      <w:pPr>
        <w:ind w:left="1590" w:right="3179" w:hanging="3"/>
        <w:spacing w:after="0" w:line="238" w:lineRule="auto"/>
        <w:tabs>
          <w:tab w:leader="none" w:pos="2118"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178"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334" w:lineRule="exact"/>
        <w:rPr>
          <w:rFonts w:ascii="Courier New" w:cs="Courier New" w:eastAsia="Courier New" w:hAnsi="Courier New"/>
          <w:sz w:val="14"/>
          <w:szCs w:val="14"/>
          <w:color w:val="auto"/>
        </w:rPr>
      </w:pPr>
    </w:p>
    <w:p>
      <w:pPr>
        <w:ind w:left="1590" w:right="3799" w:hanging="796"/>
        <w:spacing w:after="0" w:line="235" w:lineRule="auto"/>
        <w:tabs>
          <w:tab w:leader="none" w:pos="159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responsible for all charges of the Accountant.</w:t>
      </w:r>
    </w:p>
    <w:p>
      <w:pPr>
        <w:spacing w:after="0" w:line="175"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76" w:lineRule="exact"/>
        <w:rPr>
          <w:rFonts w:ascii="Courier New" w:cs="Courier New" w:eastAsia="Courier New" w:hAnsi="Courier New"/>
          <w:sz w:val="15"/>
          <w:szCs w:val="15"/>
          <w:color w:val="auto"/>
        </w:rPr>
      </w:pPr>
    </w:p>
    <w:p>
      <w:pPr>
        <w:ind w:left="790" w:right="3259" w:hanging="790"/>
        <w:spacing w:after="0" w:line="235" w:lineRule="auto"/>
        <w:tabs>
          <w:tab w:leader="none" w:pos="79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For purposes of this Agreement, "Change in Control" means the occurrence of any of the following events:</w:t>
      </w:r>
    </w:p>
    <w:p>
      <w:pPr>
        <w:spacing w:after="0" w:line="175"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76"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w:t>
      </w:r>
    </w:p>
    <w:p>
      <w:pPr>
        <w:spacing w:after="0" w:line="33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12 of 19</w:t>
      </w:r>
    </w:p>
    <w:p>
      <w:pPr>
        <w:sectPr>
          <w:pgSz w:w="11900" w:h="16838" w:orient="portrait"/>
          <w:cols w:equalWidth="0" w:num="1">
            <w:col w:w="10229"/>
          </w:cols>
          <w:pgMar w:left="230" w:top="283"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appointment, election or nomination for election was</w:t>
      </w:r>
    </w:p>
    <w:p>
      <w:pPr>
        <w:ind w:left="1320"/>
        <w:spacing w:after="0"/>
        <w:rPr>
          <w:sz w:val="20"/>
          <w:szCs w:val="20"/>
          <w:color w:val="auto"/>
        </w:rPr>
      </w:pPr>
      <w:r>
        <w:rPr>
          <w:rFonts w:ascii="Courier New" w:cs="Courier New" w:eastAsia="Courier New" w:hAnsi="Courier New"/>
          <w:sz w:val="15"/>
          <w:szCs w:val="15"/>
          <w:color w:val="auto"/>
        </w:rPr>
        <w:t>previously so approved or recommended;</w:t>
      </w:r>
    </w:p>
    <w:p>
      <w:pPr>
        <w:spacing w:after="0" w:line="174" w:lineRule="exact"/>
        <w:rPr>
          <w:sz w:val="20"/>
          <w:szCs w:val="20"/>
          <w:color w:val="auto"/>
        </w:rPr>
      </w:pPr>
    </w:p>
    <w:p>
      <w:pPr>
        <w:ind w:left="1320" w:right="3179" w:hanging="796"/>
        <w:spacing w:after="0" w:line="256" w:lineRule="auto"/>
        <w:tabs>
          <w:tab w:leader="none" w:pos="13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w:t>
      </w:r>
    </w:p>
    <w:p>
      <w:pPr>
        <w:spacing w:after="0" w:line="3" w:lineRule="exact"/>
        <w:rPr>
          <w:rFonts w:ascii="Courier New" w:cs="Courier New" w:eastAsia="Courier New" w:hAnsi="Courier New"/>
          <w:sz w:val="14"/>
          <w:szCs w:val="14"/>
          <w:color w:val="auto"/>
        </w:rPr>
      </w:pPr>
    </w:p>
    <w:p>
      <w:pPr>
        <w:ind w:left="1320" w:right="3259" w:hanging="3"/>
        <w:spacing w:after="0" w:line="257" w:lineRule="auto"/>
        <w:tabs>
          <w:tab w:leader="none" w:pos="1673"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67" w:lineRule="exact"/>
        <w:rPr>
          <w:rFonts w:ascii="Courier New" w:cs="Courier New" w:eastAsia="Courier New" w:hAnsi="Courier New"/>
          <w:sz w:val="14"/>
          <w:szCs w:val="14"/>
          <w:color w:val="auto"/>
        </w:rPr>
      </w:pPr>
    </w:p>
    <w:p>
      <w:pPr>
        <w:ind w:left="1320" w:right="3179" w:hanging="796"/>
        <w:spacing w:after="0" w:line="238" w:lineRule="auto"/>
        <w:tabs>
          <w:tab w:leader="none" w:pos="13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1" w:lineRule="exact"/>
        <w:rPr>
          <w:sz w:val="20"/>
          <w:szCs w:val="20"/>
          <w:color w:val="auto"/>
        </w:rPr>
      </w:pPr>
    </w:p>
    <w:p>
      <w:pPr>
        <w:ind w:left="520" w:right="3359"/>
        <w:spacing w:after="0" w:line="235" w:lineRule="auto"/>
        <w:rPr>
          <w:sz w:val="20"/>
          <w:szCs w:val="20"/>
          <w:color w:val="auto"/>
        </w:rPr>
      </w:pPr>
      <w:r>
        <w:rPr>
          <w:rFonts w:ascii="Courier New" w:cs="Courier New" w:eastAsia="Courier New" w:hAnsi="Courier New"/>
          <w:sz w:val="15"/>
          <w:szCs w:val="15"/>
          <w:color w:val="auto"/>
        </w:rPr>
        <w:t>For purposes of this Section 7(c), the following terms shall have the following meanings:</w:t>
      </w:r>
    </w:p>
    <w:p>
      <w:pPr>
        <w:spacing w:after="0" w:line="176" w:lineRule="exact"/>
        <w:rPr>
          <w:sz w:val="20"/>
          <w:szCs w:val="20"/>
          <w:color w:val="auto"/>
        </w:rPr>
      </w:pPr>
    </w:p>
    <w:p>
      <w:pPr>
        <w:ind w:left="1320" w:right="3259" w:hanging="3"/>
        <w:spacing w:after="0" w:line="237" w:lineRule="auto"/>
        <w:tabs>
          <w:tab w:leader="none" w:pos="167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 affiliate of the Company, as defined in Rule 12b-2 promulgated under Section 12 of the Securities Exchange Act of 1934, as amended from time to time (the "Exchange Act");</w:t>
      </w:r>
    </w:p>
    <w:p>
      <w:pPr>
        <w:spacing w:after="0" w:line="176" w:lineRule="exact"/>
        <w:rPr>
          <w:rFonts w:ascii="Courier New" w:cs="Courier New" w:eastAsia="Courier New" w:hAnsi="Courier New"/>
          <w:sz w:val="15"/>
          <w:szCs w:val="15"/>
          <w:color w:val="auto"/>
        </w:rPr>
      </w:pPr>
    </w:p>
    <w:p>
      <w:pPr>
        <w:ind w:left="1320" w:right="3439" w:hanging="3"/>
        <w:spacing w:after="0" w:line="235" w:lineRule="auto"/>
        <w:tabs>
          <w:tab w:leader="none" w:pos="176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shall have the meaning set forth in Rule 13d-3 under the Exchange Act;</w:t>
      </w:r>
    </w:p>
    <w:p>
      <w:pPr>
        <w:spacing w:after="0" w:line="175" w:lineRule="exact"/>
        <w:rPr>
          <w:rFonts w:ascii="Courier New" w:cs="Courier New" w:eastAsia="Courier New" w:hAnsi="Courier New"/>
          <w:sz w:val="15"/>
          <w:szCs w:val="15"/>
          <w:color w:val="auto"/>
        </w:rPr>
      </w:pPr>
    </w:p>
    <w:p>
      <w:pPr>
        <w:ind w:left="1320" w:right="3179" w:hanging="3"/>
        <w:spacing w:after="0" w:line="257" w:lineRule="auto"/>
        <w:tabs>
          <w:tab w:leader="none" w:pos="1849"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6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Page 13 of 19</w:t>
      </w:r>
    </w:p>
    <w:p>
      <w:pPr>
        <w:sectPr>
          <w:pgSz w:w="11900" w:h="16838" w:orient="portrait"/>
          <w:cols w:equalWidth="0" w:num="1">
            <w:col w:w="9959"/>
          </w:cols>
          <w:pgMar w:left="500" w:top="283" w:right="1440" w:bottom="1440" w:gutter="0" w:footer="0" w:header="0"/>
        </w:sectPr>
      </w:pPr>
    </w:p>
    <w:bookmarkStart w:id="128" w:name="page129"/>
    <w:bookmarkEnd w:id="128"/>
    <w:p>
      <w:pPr>
        <w:ind w:left="27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790" w:hanging="790"/>
        <w:spacing w:after="0"/>
        <w:tabs>
          <w:tab w:leader="none" w:pos="79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75" w:lineRule="exact"/>
        <w:rPr>
          <w:sz w:val="20"/>
          <w:szCs w:val="20"/>
          <w:color w:val="auto"/>
        </w:rPr>
      </w:pPr>
    </w:p>
    <w:p>
      <w:pPr>
        <w:ind w:left="790" w:right="3259" w:hanging="790"/>
        <w:spacing w:after="0" w:line="256" w:lineRule="auto"/>
        <w:tabs>
          <w:tab w:leader="none" w:pos="79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for two</w:t>
      </w:r>
    </w:p>
    <w:p>
      <w:pPr>
        <w:ind w:left="790" w:right="3179" w:firstLine="4"/>
        <w:spacing w:after="0" w:line="238" w:lineRule="auto"/>
        <w:tabs>
          <w:tab w:leader="none" w:pos="1142"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w:t>
      </w:r>
    </w:p>
    <w:p>
      <w:pPr>
        <w:spacing w:after="0" w:line="182" w:lineRule="exact"/>
        <w:rPr>
          <w:rFonts w:ascii="Courier New" w:cs="Courier New" w:eastAsia="Courier New" w:hAnsi="Courier New"/>
          <w:sz w:val="15"/>
          <w:szCs w:val="15"/>
          <w:color w:val="auto"/>
        </w:rPr>
      </w:pPr>
    </w:p>
    <w:p>
      <w:pPr>
        <w:ind w:left="790" w:right="3179" w:hanging="790"/>
        <w:spacing w:after="0" w:line="239" w:lineRule="auto"/>
        <w:tabs>
          <w:tab w:leader="none" w:pos="79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Executive covenants and agrees that at all times during Executive's period of employment with the Company, and for a period of two (2) 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175"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w:t>
      </w:r>
    </w:p>
    <w:p>
      <w:pPr>
        <w:spacing w:after="0" w:line="351"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14 of 19</w:t>
      </w:r>
    </w:p>
    <w:p>
      <w:pPr>
        <w:sectPr>
          <w:pgSz w:w="11900" w:h="16838" w:orient="portrait"/>
          <w:cols w:equalWidth="0" w:num="1">
            <w:col w:w="10229"/>
          </w:cols>
          <w:pgMar w:left="230" w:top="283" w:right="1440" w:bottom="1440" w:gutter="0" w:footer="0" w:header="0"/>
        </w:sectPr>
      </w:pPr>
    </w:p>
    <w:bookmarkStart w:id="129" w:name="page130"/>
    <w:bookmarkEnd w:id="129"/>
    <w:p>
      <w:pPr>
        <w:ind w:left="27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left="790" w:right="3359"/>
        <w:spacing w:after="0" w:line="238" w:lineRule="auto"/>
        <w:rPr>
          <w:sz w:val="20"/>
          <w:szCs w:val="20"/>
          <w:color w:val="auto"/>
        </w:rPr>
      </w:pPr>
      <w:r>
        <w:rPr>
          <w:rFonts w:ascii="Courier New" w:cs="Courier New" w:eastAsia="Courier New" w:hAnsi="Courier New"/>
          <w:sz w:val="15"/>
          <w:szCs w:val="15"/>
          <w:color w:val="auto"/>
        </w:rPr>
        <w:t>to any other person or organization (except as authorized by the Company) any of the Protected Information, provided that (i) while employed by the Company, Executive may in good faith make disclosures he believes desirable, provided that are authorized by the Company or otherwise in accordance with Company policy, and (ii) Executive may comply with legal process.</w:t>
      </w:r>
    </w:p>
    <w:p>
      <w:pPr>
        <w:spacing w:after="0" w:line="170" w:lineRule="exact"/>
        <w:rPr>
          <w:sz w:val="20"/>
          <w:szCs w:val="20"/>
          <w:color w:val="auto"/>
        </w:rPr>
      </w:pPr>
    </w:p>
    <w:p>
      <w:pPr>
        <w:ind w:left="790" w:hanging="790"/>
        <w:spacing w:after="0"/>
        <w:tabs>
          <w:tab w:leader="none" w:pos="79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OF COVENANTS.</w:t>
      </w:r>
    </w:p>
    <w:p>
      <w:pPr>
        <w:spacing w:after="0" w:line="175" w:lineRule="exact"/>
        <w:rPr>
          <w:sz w:val="20"/>
          <w:szCs w:val="20"/>
          <w:color w:val="auto"/>
        </w:rPr>
      </w:pPr>
    </w:p>
    <w:p>
      <w:pPr>
        <w:ind w:left="790" w:right="3179" w:hanging="790"/>
        <w:spacing w:after="0" w:line="257" w:lineRule="auto"/>
        <w:tabs>
          <w:tab w:leader="none" w:pos="79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65" w:lineRule="exact"/>
        <w:rPr>
          <w:rFonts w:ascii="Courier New" w:cs="Courier New" w:eastAsia="Courier New" w:hAnsi="Courier New"/>
          <w:sz w:val="14"/>
          <w:szCs w:val="14"/>
          <w:color w:val="auto"/>
        </w:rPr>
      </w:pPr>
    </w:p>
    <w:p>
      <w:pPr>
        <w:ind w:left="790" w:right="3179" w:hanging="790"/>
        <w:spacing w:after="0" w:line="257" w:lineRule="auto"/>
        <w:tabs>
          <w:tab w:leader="none" w:pos="79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65"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70" w:lineRule="exact"/>
        <w:rPr>
          <w:sz w:val="20"/>
          <w:szCs w:val="20"/>
          <w:color w:val="auto"/>
        </w:rPr>
      </w:pPr>
    </w:p>
    <w:p>
      <w:pPr>
        <w:ind w:left="790" w:hanging="790"/>
        <w:spacing w:after="0"/>
        <w:tabs>
          <w:tab w:leader="none" w:pos="79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w:t>
      </w:r>
    </w:p>
    <w:p>
      <w:pPr>
        <w:spacing w:after="0" w:line="173"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15 of 19</w:t>
      </w:r>
    </w:p>
    <w:p>
      <w:pPr>
        <w:sectPr>
          <w:pgSz w:w="11900" w:h="16838" w:orient="portrait"/>
          <w:cols w:equalWidth="0" w:num="1">
            <w:col w:w="10229"/>
          </w:cols>
          <w:pgMar w:left="230" w:top="283" w:right="1440" w:bottom="1440" w:gutter="0" w:footer="0" w:header="0"/>
        </w:sectPr>
      </w:pPr>
    </w:p>
    <w:bookmarkStart w:id="130" w:name="page131"/>
    <w:bookmarkEnd w:id="130"/>
    <w:p>
      <w:pPr>
        <w:ind w:left="27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directors and officers liability insurance both during and, while potential liability exists, after the Employment Term in the same amount and to the same extent as the Company covers its other officers and directors.</w:t>
      </w:r>
    </w:p>
    <w:p>
      <w:pPr>
        <w:spacing w:after="0" w:line="169" w:lineRule="exact"/>
        <w:rPr>
          <w:sz w:val="20"/>
          <w:szCs w:val="20"/>
          <w:color w:val="auto"/>
        </w:rPr>
      </w:pPr>
    </w:p>
    <w:p>
      <w:pPr>
        <w:ind w:left="790" w:hanging="790"/>
        <w:spacing w:after="0"/>
        <w:tabs>
          <w:tab w:leader="none" w:pos="79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AND PAYMENT OF ATTORNEY'S FEES.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80" w:lineRule="exact"/>
        <w:rPr>
          <w:sz w:val="20"/>
          <w:szCs w:val="20"/>
          <w:color w:val="auto"/>
        </w:rPr>
      </w:pPr>
    </w:p>
    <w:p>
      <w:pPr>
        <w:ind w:left="790" w:hanging="790"/>
        <w:spacing w:after="0"/>
        <w:tabs>
          <w:tab w:leader="none" w:pos="79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Company may withhold from any compensation and benefits payable under this Agreement all applicable federal, state, local, or other taxes.</w:t>
      </w:r>
    </w:p>
    <w:p>
      <w:pPr>
        <w:spacing w:after="0" w:line="170" w:lineRule="exact"/>
        <w:rPr>
          <w:sz w:val="20"/>
          <w:szCs w:val="20"/>
          <w:color w:val="auto"/>
        </w:rPr>
      </w:pPr>
    </w:p>
    <w:p>
      <w:pPr>
        <w:ind w:left="790" w:hanging="790"/>
        <w:spacing w:after="0"/>
        <w:tabs>
          <w:tab w:leader="none" w:pos="79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PAYMENTS.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3" w:lineRule="exact"/>
        <w:rPr>
          <w:sz w:val="20"/>
          <w:szCs w:val="20"/>
          <w:color w:val="auto"/>
        </w:rPr>
      </w:pPr>
    </w:p>
    <w:p>
      <w:pPr>
        <w:ind w:left="790" w:hanging="790"/>
        <w:spacing w:after="0"/>
        <w:tabs>
          <w:tab w:leader="none" w:pos="79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w:t>
      </w:r>
    </w:p>
    <w:p>
      <w:pPr>
        <w:spacing w:after="0" w:line="342"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16 of 19</w:t>
      </w:r>
    </w:p>
    <w:p>
      <w:pPr>
        <w:sectPr>
          <w:pgSz w:w="11900" w:h="16838" w:orient="portrait"/>
          <w:cols w:equalWidth="0" w:num="1">
            <w:col w:w="10229"/>
          </w:cols>
          <w:pgMar w:left="230" w:top="283" w:right="1440" w:bottom="1440" w:gutter="0" w:footer="0" w:header="0"/>
        </w:sectPr>
      </w:pPr>
    </w:p>
    <w:bookmarkStart w:id="131" w:name="page132"/>
    <w:bookmarkEnd w:id="131"/>
    <w:p>
      <w:pPr>
        <w:ind w:left="27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71" w:lineRule="exact"/>
        <w:rPr>
          <w:sz w:val="20"/>
          <w:szCs w:val="20"/>
          <w:color w:val="auto"/>
        </w:rPr>
      </w:pPr>
    </w:p>
    <w:p>
      <w:pPr>
        <w:ind w:left="790" w:hanging="790"/>
        <w:spacing w:after="0"/>
        <w:tabs>
          <w:tab w:leader="none" w:pos="79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w:t>
      </w:r>
    </w:p>
    <w:p>
      <w:pPr>
        <w:spacing w:after="0" w:line="175"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including without limitation, that certain Employment Agreement dated May 23, 1997 by and between Executive and USA Waste Services, Inc. It may not be amended except by a written agreement signed by both parties.</w:t>
      </w:r>
    </w:p>
    <w:p>
      <w:pPr>
        <w:spacing w:after="0" w:line="158" w:lineRule="exact"/>
        <w:rPr>
          <w:sz w:val="20"/>
          <w:szCs w:val="20"/>
          <w:color w:val="auto"/>
        </w:rPr>
      </w:pPr>
    </w:p>
    <w:p>
      <w:pPr>
        <w:ind w:left="790" w:hanging="790"/>
        <w:spacing w:after="0"/>
        <w:tabs>
          <w:tab w:leader="none" w:pos="79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Texas applicable to agreements made and to be performed in that State, without regard to its conflict of laws provisions.</w:t>
      </w:r>
    </w:p>
    <w:p>
      <w:pPr>
        <w:spacing w:after="0" w:line="169" w:lineRule="exact"/>
        <w:rPr>
          <w:sz w:val="20"/>
          <w:szCs w:val="20"/>
          <w:color w:val="auto"/>
        </w:rPr>
      </w:pPr>
    </w:p>
    <w:p>
      <w:pPr>
        <w:ind w:left="790" w:hanging="790"/>
        <w:spacing w:after="0"/>
        <w:tabs>
          <w:tab w:leader="none" w:pos="79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 OF TIMELY PAYMENTS.</w:t>
      </w:r>
    </w:p>
    <w:p>
      <w:pPr>
        <w:spacing w:after="0" w:line="175"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61" w:lineRule="exact"/>
        <w:rPr>
          <w:sz w:val="20"/>
          <w:szCs w:val="20"/>
          <w:color w:val="auto"/>
        </w:rPr>
      </w:pPr>
    </w:p>
    <w:p>
      <w:pPr>
        <w:ind w:left="790" w:hanging="790"/>
        <w:spacing w:after="0"/>
        <w:tabs>
          <w:tab w:leader="none" w:pos="79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29"/>
          </w:cols>
          <w:pgMar w:left="230" w:top="283" w:right="1440" w:bottom="1440" w:gutter="0" w:footer="0" w:header="0"/>
        </w:sectPr>
      </w:pPr>
    </w:p>
    <w:p>
      <w:pPr>
        <w:spacing w:after="0" w:line="176" w:lineRule="exact"/>
        <w:rPr>
          <w:sz w:val="20"/>
          <w:szCs w:val="20"/>
          <w:color w:val="auto"/>
        </w:rPr>
      </w:pPr>
    </w:p>
    <w:p>
      <w:pPr>
        <w:ind w:left="2210"/>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 Inc.</w:t>
      </w:r>
    </w:p>
    <w:p>
      <w:pPr>
        <w:spacing w:after="0"/>
        <w:rPr>
          <w:sz w:val="20"/>
          <w:szCs w:val="20"/>
          <w:color w:val="auto"/>
        </w:rPr>
      </w:pPr>
      <w:r>
        <w:rPr>
          <w:rFonts w:ascii="Courier New" w:cs="Courier New" w:eastAsia="Courier New" w:hAnsi="Courier New"/>
          <w:sz w:val="15"/>
          <w:szCs w:val="15"/>
          <w:color w:val="auto"/>
        </w:rPr>
        <w:t>1001 Fannin, Suite 4000</w:t>
      </w:r>
    </w:p>
    <w:p>
      <w:pPr>
        <w:spacing w:after="0"/>
        <w:rPr>
          <w:sz w:val="20"/>
          <w:szCs w:val="20"/>
          <w:color w:val="auto"/>
        </w:rPr>
      </w:pPr>
      <w:r>
        <w:rPr>
          <w:rFonts w:ascii="Courier New" w:cs="Courier New" w:eastAsia="Courier New" w:hAnsi="Courier New"/>
          <w:sz w:val="15"/>
          <w:szCs w:val="15"/>
          <w:color w:val="auto"/>
        </w:rPr>
        <w:t>Houston, Texas 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80" w:lineRule="exact"/>
        <w:rPr>
          <w:sz w:val="20"/>
          <w:szCs w:val="20"/>
          <w:color w:val="auto"/>
        </w:rPr>
      </w:pPr>
    </w:p>
    <w:p>
      <w:pPr>
        <w:sectPr>
          <w:pgSz w:w="11900" w:h="16838" w:orient="portrait"/>
          <w:cols w:equalWidth="0" w:num="2">
            <w:col w:w="3530" w:space="340"/>
            <w:col w:w="6359"/>
          </w:cols>
          <w:pgMar w:left="230" w:top="283" w:right="1440" w:bottom="1440" w:gutter="0" w:footer="0" w:header="0"/>
          <w:type w:val="continuous"/>
        </w:sectPr>
      </w:pPr>
    </w:p>
    <w:p>
      <w:pPr>
        <w:ind w:left="2210"/>
        <w:spacing w:after="0"/>
        <w:rPr>
          <w:sz w:val="20"/>
          <w:szCs w:val="20"/>
          <w:color w:val="auto"/>
        </w:rPr>
      </w:pPr>
      <w:r>
        <w:rPr>
          <w:rFonts w:ascii="Courier New" w:cs="Courier New" w:eastAsia="Courier New" w:hAnsi="Courier New"/>
          <w:sz w:val="14"/>
          <w:szCs w:val="14"/>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the address for Executive 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forth below.</w:t>
      </w:r>
    </w:p>
    <w:p>
      <w:pPr>
        <w:spacing w:after="0" w:line="200" w:lineRule="exact"/>
        <w:rPr>
          <w:sz w:val="20"/>
          <w:szCs w:val="20"/>
          <w:color w:val="auto"/>
        </w:rPr>
      </w:pPr>
    </w:p>
    <w:p>
      <w:pPr>
        <w:sectPr>
          <w:pgSz w:w="11900" w:h="16838" w:orient="portrait"/>
          <w:cols w:equalWidth="0" w:num="2">
            <w:col w:w="3350" w:space="520"/>
            <w:col w:w="6359"/>
          </w:cols>
          <w:pgMar w:left="230" w:top="283" w:right="1440" w:bottom="1440" w:gutter="0" w:footer="0" w:header="0"/>
          <w:type w:val="continuous"/>
        </w:sectPr>
      </w:pPr>
    </w:p>
    <w:p>
      <w:pPr>
        <w:spacing w:after="0" w:line="144" w:lineRule="exact"/>
        <w:rPr>
          <w:sz w:val="20"/>
          <w:szCs w:val="20"/>
          <w:color w:val="auto"/>
        </w:rPr>
      </w:pPr>
    </w:p>
    <w:p>
      <w:pPr>
        <w:ind w:left="2910"/>
        <w:spacing w:after="0"/>
        <w:rPr>
          <w:sz w:val="20"/>
          <w:szCs w:val="20"/>
          <w:color w:val="auto"/>
        </w:rPr>
      </w:pPr>
      <w:r>
        <w:rPr>
          <w:rFonts w:ascii="Courier New" w:cs="Courier New" w:eastAsia="Courier New" w:hAnsi="Courier New"/>
          <w:sz w:val="14"/>
          <w:szCs w:val="14"/>
          <w:color w:val="auto"/>
        </w:rPr>
        <w:t>Page 17 of 19</w:t>
      </w:r>
    </w:p>
    <w:p>
      <w:pPr>
        <w:sectPr>
          <w:pgSz w:w="11900" w:h="16838" w:orient="portrait"/>
          <w:cols w:equalWidth="0" w:num="1">
            <w:col w:w="10229"/>
          </w:cols>
          <w:pgMar w:left="230" w:top="283" w:right="1440" w:bottom="1440" w:gutter="0" w:footer="0" w:header="0"/>
          <w:type w:val="continuous"/>
        </w:sectPr>
      </w:pPr>
    </w:p>
    <w:bookmarkStart w:id="132" w:name="page133"/>
    <w:bookmarkEnd w:id="132"/>
    <w:p>
      <w:pPr>
        <w:ind w:left="27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790" w:hanging="790"/>
        <w:spacing w:after="0"/>
        <w:tabs>
          <w:tab w:leader="none" w:pos="79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left="790" w:right="3179" w:hanging="790"/>
        <w:spacing w:after="0" w:line="259" w:lineRule="auto"/>
        <w:tabs>
          <w:tab w:leader="none" w:pos="79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2"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are used herein for convenience of reference only and shall not affect the meaning of any provision of this Agreement.</w:t>
      </w:r>
    </w:p>
    <w:p>
      <w:pPr>
        <w:spacing w:after="0" w:line="174" w:lineRule="exact"/>
        <w:rPr>
          <w:rFonts w:ascii="Courier New" w:cs="Courier New" w:eastAsia="Courier New" w:hAnsi="Courier New"/>
          <w:sz w:val="15"/>
          <w:szCs w:val="15"/>
          <w:color w:val="auto"/>
        </w:rPr>
      </w:pPr>
    </w:p>
    <w:p>
      <w:pPr>
        <w:ind w:left="790" w:right="3179" w:hanging="790"/>
        <w:spacing w:after="0" w:line="235" w:lineRule="auto"/>
        <w:tabs>
          <w:tab w:leader="none" w:pos="79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Whenever the context so requires, the use of the singular shall be deemed to include the plural and vice versa.</w:t>
      </w:r>
    </w:p>
    <w:p>
      <w:pPr>
        <w:spacing w:after="0" w:line="175" w:lineRule="exact"/>
        <w:rPr>
          <w:rFonts w:ascii="Courier New" w:cs="Courier New" w:eastAsia="Courier New" w:hAnsi="Courier New"/>
          <w:sz w:val="15"/>
          <w:szCs w:val="15"/>
          <w:color w:val="auto"/>
        </w:rPr>
      </w:pPr>
    </w:p>
    <w:p>
      <w:pPr>
        <w:ind w:left="790" w:right="3799" w:hanging="790"/>
        <w:spacing w:after="0" w:line="237" w:lineRule="auto"/>
        <w:tabs>
          <w:tab w:leader="none" w:pos="79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so executed shall be deemed to be an original, and such counterparts will together constitute but one Agreement.</w:t>
      </w:r>
    </w:p>
    <w:p>
      <w:pPr>
        <w:spacing w:after="0" w:line="176"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WASTE MANAGEMENT, INC.</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 /s/ A. Maurice Myers</w:t>
      </w:r>
    </w:p>
    <w:p>
      <w:pPr>
        <w:ind w:left="270"/>
        <w:spacing w:after="0"/>
        <w:rPr>
          <w:sz w:val="20"/>
          <w:szCs w:val="20"/>
          <w:color w:val="auto"/>
        </w:rPr>
      </w:pPr>
      <w:r>
        <w:rPr>
          <w:rFonts w:ascii="Courier New" w:cs="Courier New" w:eastAsia="Courier New" w:hAnsi="Courier New"/>
          <w:sz w:val="15"/>
          <w:szCs w:val="15"/>
          <w:color w:val="auto"/>
        </w:rPr>
        <w:t>-----------------------------</w:t>
      </w:r>
    </w:p>
    <w:p>
      <w:pPr>
        <w:ind w:left="10"/>
        <w:spacing w:after="0"/>
        <w:tabs>
          <w:tab w:leader="none" w:pos="5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 Maurice Myers</w:t>
      </w:r>
    </w:p>
    <w:p>
      <w:pPr>
        <w:ind w:left="10"/>
        <w:spacing w:after="0" w:line="238" w:lineRule="auto"/>
        <w:rPr>
          <w:sz w:val="20"/>
          <w:szCs w:val="20"/>
          <w:color w:val="auto"/>
        </w:rPr>
      </w:pPr>
      <w:r>
        <w:rPr>
          <w:rFonts w:ascii="Courier New" w:cs="Courier New" w:eastAsia="Courier New" w:hAnsi="Courier New"/>
          <w:sz w:val="15"/>
          <w:szCs w:val="15"/>
          <w:color w:val="auto"/>
        </w:rPr>
        <w:t>Title: Chairman, Chief Executive</w:t>
      </w:r>
    </w:p>
    <w:p>
      <w:pPr>
        <w:ind w:left="610"/>
        <w:spacing w:after="0"/>
        <w:rPr>
          <w:sz w:val="20"/>
          <w:szCs w:val="20"/>
          <w:color w:val="auto"/>
        </w:rPr>
      </w:pPr>
      <w:r>
        <w:rPr>
          <w:rFonts w:ascii="Courier New" w:cs="Courier New" w:eastAsia="Courier New" w:hAnsi="Courier New"/>
          <w:sz w:val="15"/>
          <w:szCs w:val="15"/>
          <w:color w:val="auto"/>
        </w:rPr>
        <w:t>Officer &amp; President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6/14/00</w:t>
      </w:r>
    </w:p>
    <w:p>
      <w:pPr>
        <w:ind w:left="61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18 of 19</w:t>
      </w:r>
    </w:p>
    <w:p>
      <w:pPr>
        <w:sectPr>
          <w:pgSz w:w="11900" w:h="16838" w:orient="portrait"/>
          <w:cols w:equalWidth="0" w:num="1">
            <w:col w:w="10229"/>
          </w:cols>
          <w:pgMar w:left="230" w:top="283" w:right="1440" w:bottom="1440" w:gutter="0" w:footer="0" w:header="0"/>
        </w:sectPr>
      </w:pPr>
    </w:p>
    <w:bookmarkStart w:id="133" w:name="page134"/>
    <w:bookmarkEnd w:id="133"/>
    <w:p>
      <w:pPr>
        <w:ind w:left="27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Charles E. Williams</w:t>
      </w:r>
    </w:p>
    <w:p>
      <w:pPr>
        <w:ind w:left="170" w:hanging="170"/>
        <w:spacing w:after="0"/>
        <w:tabs>
          <w:tab w:leader="none" w:pos="17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E. WILLIAMS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6/6/00</w:t>
      </w:r>
    </w:p>
    <w:p>
      <w:pPr>
        <w:ind w:left="4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w:t>
      </w:r>
    </w:p>
    <w:p>
      <w:pPr>
        <w:ind w:left="71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5"/>
          <w:szCs w:val="15"/>
          <w:color w:val="auto"/>
        </w:rPr>
        <w:t>Page 19 of 19</w:t>
      </w:r>
    </w:p>
    <w:p>
      <w:pPr>
        <w:sectPr>
          <w:pgSz w:w="11900" w:h="16838" w:orient="portrait"/>
          <w:cols w:equalWidth="0" w:num="1">
            <w:col w:w="10229"/>
          </w:cols>
          <w:pgMar w:left="230" w:top="283" w:right="1440" w:bottom="1440" w:gutter="0" w:footer="0" w:header="0"/>
        </w:sectPr>
      </w:pPr>
    </w:p>
    <w:bookmarkStart w:id="134" w:name="page135"/>
    <w:bookmarkEnd w:id="134"/>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10.22</w:t>
      </w:r>
    </w:p>
    <w:p>
      <w:pPr>
        <w:spacing w:after="0" w:line="33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WHEELABRATOR TECHNOLOGIES, INC., for and on behalf of its affiliated corporations (collectively referred to as the "Company") and RICHARD FELAGO (the "Employee") hereby enter into this EMPLOYMENT AGREEMENT ("Agreement") dated as of May 25, 1999, as follows: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EMPLOYMENT.</w:t>
      </w:r>
    </w:p>
    <w:p>
      <w:pPr>
        <w:spacing w:after="0" w:line="175" w:lineRule="exact"/>
        <w:rPr>
          <w:sz w:val="20"/>
          <w:szCs w:val="20"/>
          <w:color w:val="auto"/>
        </w:rPr>
      </w:pPr>
    </w:p>
    <w:p>
      <w:pPr>
        <w:ind w:left="10" w:right="3179"/>
        <w:spacing w:after="0" w:line="265" w:lineRule="auto"/>
        <w:rPr>
          <w:sz w:val="20"/>
          <w:szCs w:val="20"/>
          <w:color w:val="auto"/>
        </w:rPr>
      </w:pPr>
      <w:r>
        <w:rPr>
          <w:rFonts w:ascii="Courier New" w:cs="Courier New" w:eastAsia="Courier New" w:hAnsi="Courier New"/>
          <w:sz w:val="14"/>
          <w:szCs w:val="14"/>
          <w:color w:val="auto"/>
        </w:rPr>
        <w:t>The Company shall employ Employee, and Employee shall be employed by the Company upon the terms and subject to the conditions set forth in this Agreement.</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TERM OF EMPLOYMENT.</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period of Employee's employment under this Agreement shall begin as of May 25, 1999, and shall continue for a period of three (3) years thereafter (the "Initial Term") and shall be automatically renewed for successive one (1) year periods thereafter, unless Employee's employment is terminated in accordance with Section 6 below.</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DUTIES AND RESPONSIBILITIES.</w:t>
      </w:r>
    </w:p>
    <w:p>
      <w:pPr>
        <w:spacing w:after="0" w:line="175" w:lineRule="exact"/>
        <w:rPr>
          <w:sz w:val="20"/>
          <w:szCs w:val="20"/>
          <w:color w:val="auto"/>
        </w:rPr>
      </w:pPr>
    </w:p>
    <w:p>
      <w:pPr>
        <w:ind w:left="790" w:right="3179" w:hanging="790"/>
        <w:spacing w:after="0" w:line="237" w:lineRule="auto"/>
        <w:tabs>
          <w:tab w:leader="none" w:pos="79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serve as President, Wheelabrator Technologies, Inc. In such capacity, Employee shall perform such duties as may be assigned to Employee from time to time by the Company.</w:t>
      </w:r>
    </w:p>
    <w:p>
      <w:pPr>
        <w:spacing w:after="0" w:line="174"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faithfully serve the Company and/or its affiliated corporations, devote Employee's full working time, attention and energies to the business of the Company and/or its affiliated corporations, and perform the duties under this Agreement to the best of Employee's abilities.</w:t>
      </w:r>
    </w:p>
    <w:p>
      <w:pPr>
        <w:spacing w:after="0" w:line="178" w:lineRule="exact"/>
        <w:rPr>
          <w:rFonts w:ascii="Courier New" w:cs="Courier New" w:eastAsia="Courier New" w:hAnsi="Courier New"/>
          <w:sz w:val="15"/>
          <w:szCs w:val="15"/>
          <w:color w:val="auto"/>
        </w:rPr>
      </w:pPr>
    </w:p>
    <w:p>
      <w:pPr>
        <w:ind w:left="790" w:right="3439" w:hanging="790"/>
        <w:spacing w:after="0" w:line="238" w:lineRule="auto"/>
        <w:tabs>
          <w:tab w:leader="none" w:pos="79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COMPENSATION AND BENEFITS.</w:t>
      </w:r>
    </w:p>
    <w:p>
      <w:pPr>
        <w:spacing w:after="0" w:line="175" w:lineRule="exact"/>
        <w:rPr>
          <w:sz w:val="20"/>
          <w:szCs w:val="20"/>
          <w:color w:val="auto"/>
        </w:rPr>
      </w:pPr>
    </w:p>
    <w:p>
      <w:pPr>
        <w:ind w:left="790" w:right="3179" w:hanging="790"/>
        <w:spacing w:after="0" w:line="238" w:lineRule="auto"/>
        <w:tabs>
          <w:tab w:leader="none" w:pos="79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Term, the Company shall pay Employee a base salary at the annual rate of Two Hundred Fifty Thousand ($250,000) Dollars per year, or such higher rate as may be determined from time to time by the Company ("Base Salary"). Such Base Salary shall be paid in accordance with the Company's standard payroll practice for employees.</w:t>
      </w:r>
    </w:p>
    <w:p>
      <w:pPr>
        <w:spacing w:after="0" w:line="175"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 REIMBURSEMENT. The Company shall promptly reimburse Employee for the ordinary and necessary business expenses incurred by Employee in the performance of Employee's duties hereunder in accordance with the Company's</w:t>
      </w:r>
    </w:p>
    <w:p>
      <w:pPr>
        <w:spacing w:after="0" w:line="34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 of 11</w:t>
      </w:r>
    </w:p>
    <w:p>
      <w:pPr>
        <w:sectPr>
          <w:pgSz w:w="11900" w:h="16838" w:orient="portrait"/>
          <w:cols w:equalWidth="0" w:num="1">
            <w:col w:w="10229"/>
          </w:cols>
          <w:pgMar w:left="230" w:top="136" w:right="1440" w:bottom="1440" w:gutter="0" w:footer="0" w:header="0"/>
        </w:sectPr>
      </w:pPr>
    </w:p>
    <w:bookmarkStart w:id="135" w:name="page136"/>
    <w:bookmarkEnd w:id="135"/>
    <w:p>
      <w:pPr>
        <w:ind w:left="27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jc w:val="both"/>
        <w:ind w:left="790" w:right="3879"/>
        <w:spacing w:after="0" w:line="237" w:lineRule="auto"/>
        <w:rPr>
          <w:sz w:val="20"/>
          <w:szCs w:val="20"/>
          <w:color w:val="auto"/>
        </w:rPr>
      </w:pPr>
      <w:r>
        <w:rPr>
          <w:rFonts w:ascii="Courier New" w:cs="Courier New" w:eastAsia="Courier New" w:hAnsi="Courier New"/>
          <w:sz w:val="15"/>
          <w:szCs w:val="15"/>
          <w:color w:val="auto"/>
        </w:rPr>
        <w:t>customary practices applicable to employees, provided that such expenses are incurred and accounted for in accordance with the Company's policy.</w:t>
      </w:r>
    </w:p>
    <w:p>
      <w:pPr>
        <w:spacing w:after="0" w:line="175" w:lineRule="exact"/>
        <w:rPr>
          <w:sz w:val="20"/>
          <w:szCs w:val="20"/>
          <w:color w:val="auto"/>
        </w:rPr>
      </w:pPr>
    </w:p>
    <w:p>
      <w:pPr>
        <w:ind w:left="790" w:right="3259" w:hanging="790"/>
        <w:spacing w:after="0" w:line="257" w:lineRule="auto"/>
        <w:tabs>
          <w:tab w:leader="none" w:pos="79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Employee shall be eligible to participate in or receive benefits under any pension plan, profit sharing plan, medical and dental benefits plan, life insurance plan, short-term and long-term disability plans, supplemental and/or incentive compensation plans, or any other benefit plan or arrangement generally made available by the Company to employees of similar status and responsibilities (hereinafter referred to as "similarly situated employees").</w:t>
      </w:r>
    </w:p>
    <w:p>
      <w:pPr>
        <w:spacing w:after="0" w:line="167" w:lineRule="exact"/>
        <w:rPr>
          <w:rFonts w:ascii="Courier New" w:cs="Courier New" w:eastAsia="Courier New" w:hAnsi="Courier New"/>
          <w:sz w:val="14"/>
          <w:szCs w:val="14"/>
          <w:color w:val="auto"/>
        </w:rPr>
      </w:pPr>
    </w:p>
    <w:p>
      <w:pPr>
        <w:ind w:left="790" w:right="3359" w:hanging="790"/>
        <w:spacing w:after="0" w:line="237" w:lineRule="auto"/>
        <w:tabs>
          <w:tab w:leader="none" w:pos="79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INCENTIVE/BONUS. Employee shall be eligible for a bonus or incentive compensation payment ("bonus"). Qualification for the bonus shall be pursuant to the applicable Bonus Plan in effect for the year in which the bonus is earned.</w:t>
      </w:r>
    </w:p>
    <w:p>
      <w:pPr>
        <w:spacing w:after="0" w:line="176"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Employee shall be awarded Twenty-Five Thousand (25,000) WM stock options, subject to the approval of the Compensation Committee of the Board of Directors. The award, vesting and exercise of all options shall be subject to the provisions of the Waste Management, Inc. Stock Incentive Plan.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TERMINATION OF EMPLOYMENT.</w:t>
      </w:r>
    </w:p>
    <w:p>
      <w:pPr>
        <w:spacing w:after="0" w:line="175" w:lineRule="exact"/>
        <w:rPr>
          <w:sz w:val="20"/>
          <w:szCs w:val="20"/>
          <w:color w:val="auto"/>
        </w:rPr>
      </w:pPr>
    </w:p>
    <w:p>
      <w:pPr>
        <w:ind w:left="10" w:right="4139"/>
        <w:spacing w:after="0" w:line="235" w:lineRule="auto"/>
        <w:rPr>
          <w:sz w:val="20"/>
          <w:szCs w:val="20"/>
          <w:color w:val="auto"/>
        </w:rPr>
      </w:pPr>
      <w:r>
        <w:rPr>
          <w:rFonts w:ascii="Courier New" w:cs="Courier New" w:eastAsia="Courier New" w:hAnsi="Courier New"/>
          <w:sz w:val="15"/>
          <w:szCs w:val="15"/>
          <w:color w:val="auto"/>
        </w:rPr>
        <w:t>Employee's employment hereunder may be terminated under the following circumstances:</w:t>
      </w:r>
    </w:p>
    <w:p>
      <w:pPr>
        <w:spacing w:after="0" w:line="176" w:lineRule="exact"/>
        <w:rPr>
          <w:sz w:val="20"/>
          <w:szCs w:val="20"/>
          <w:color w:val="auto"/>
        </w:rPr>
      </w:pPr>
    </w:p>
    <w:p>
      <w:pPr>
        <w:ind w:left="790" w:right="3259" w:hanging="790"/>
        <w:spacing w:after="0" w:line="235" w:lineRule="auto"/>
        <w:tabs>
          <w:tab w:leader="none" w:pos="79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Employee's employment hereunder shall terminate upon Employee's death.</w:t>
      </w:r>
    </w:p>
    <w:p>
      <w:pPr>
        <w:spacing w:after="0" w:line="175"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DISABILITY. The Company may terminate Employee's employment hereunder upon Employee's becoming "Totally Disabled". For purposes of this Agreement, Employee shall be "Totally Disabled" if Employee is physically or mentally incapacitated so as to render Employee incapable of performing Employee's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or Social Security benefits, the Company may, in its reasonable discretion (but based upon appropriate medical evidence), determine that Employee is Totally Disabled.</w:t>
      </w:r>
    </w:p>
    <w:p>
      <w:pPr>
        <w:spacing w:after="0" w:line="182"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 The Company may terminate Employee's employment hereunder for "Cause" at any time after providing written notice to Employee.</w:t>
      </w:r>
    </w:p>
    <w:p>
      <w:pPr>
        <w:spacing w:after="0" w:line="174"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"Cause" shall mean any of the following: (a) conviction of a crime (including conviction on a nolo contendere plea) involving a felony or, in the good faith judgment of the Company, fraud, dishonesty, or moral turpitude; (b) deliberate and continual refusal to perform employment duties reasonably requested by the Company or an affiliate after thirty (30) days' written notice by certified mail of such</w:t>
      </w:r>
    </w:p>
    <w:p>
      <w:pPr>
        <w:spacing w:after="0" w:line="341"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2 of 11</w:t>
      </w:r>
    </w:p>
    <w:p>
      <w:pPr>
        <w:sectPr>
          <w:pgSz w:w="11900" w:h="16838" w:orient="portrait"/>
          <w:cols w:equalWidth="0" w:num="1">
            <w:col w:w="10229"/>
          </w:cols>
          <w:pgMar w:left="230" w:top="283" w:right="1440" w:bottom="1440" w:gutter="0" w:footer="0" w:header="0"/>
        </w:sectPr>
      </w:pPr>
    </w:p>
    <w:bookmarkStart w:id="136" w:name="page137"/>
    <w:bookmarkEnd w:id="136"/>
    <w:p>
      <w:pPr>
        <w:ind w:left="27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1590" w:right="3179"/>
        <w:spacing w:after="0" w:line="257" w:lineRule="auto"/>
        <w:rPr>
          <w:sz w:val="20"/>
          <w:szCs w:val="20"/>
          <w:color w:val="auto"/>
        </w:rPr>
      </w:pPr>
      <w:r>
        <w:rPr>
          <w:rFonts w:ascii="Courier New" w:cs="Courier New" w:eastAsia="Courier New" w:hAnsi="Courier New"/>
          <w:sz w:val="14"/>
          <w:szCs w:val="14"/>
          <w:color w:val="auto"/>
        </w:rPr>
        <w:t>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67" w:lineRule="exact"/>
        <w:rPr>
          <w:sz w:val="20"/>
          <w:szCs w:val="20"/>
          <w:color w:val="auto"/>
        </w:rPr>
      </w:pPr>
    </w:p>
    <w:p>
      <w:pPr>
        <w:ind w:left="1590" w:right="3179" w:hanging="796"/>
        <w:spacing w:after="0" w:line="238" w:lineRule="auto"/>
        <w:tabs>
          <w:tab w:leader="none" w:pos="159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76" w:lineRule="exact"/>
        <w:rPr>
          <w:rFonts w:ascii="Courier New" w:cs="Courier New" w:eastAsia="Courier New" w:hAnsi="Courier New"/>
          <w:sz w:val="15"/>
          <w:szCs w:val="15"/>
          <w:color w:val="auto"/>
        </w:rPr>
      </w:pPr>
    </w:p>
    <w:p>
      <w:pPr>
        <w:jc w:val="both"/>
        <w:ind w:left="1590" w:right="3259" w:hanging="796"/>
        <w:spacing w:after="0" w:line="237" w:lineRule="auto"/>
        <w:tabs>
          <w:tab w:leader="none" w:pos="159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determination of Cause under this Agreement shall be made by the Company after giving Employee a reasonable opportunity to be heard.</w:t>
      </w:r>
    </w:p>
    <w:p>
      <w:pPr>
        <w:spacing w:after="0" w:line="174"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EMPLOYEE. Employee may terminate employment hereunder at any time after providing ninety (90) days' written notice to the Company.</w:t>
      </w:r>
    </w:p>
    <w:p>
      <w:pPr>
        <w:spacing w:after="0" w:line="174" w:lineRule="exact"/>
        <w:rPr>
          <w:rFonts w:ascii="Courier New" w:cs="Courier New" w:eastAsia="Courier New" w:hAnsi="Courier New"/>
          <w:sz w:val="15"/>
          <w:szCs w:val="15"/>
          <w:color w:val="auto"/>
        </w:rPr>
      </w:pPr>
    </w:p>
    <w:p>
      <w:pPr>
        <w:ind w:left="790" w:right="3539" w:hanging="790"/>
        <w:spacing w:after="0" w:line="237" w:lineRule="auto"/>
        <w:tabs>
          <w:tab w:leader="none" w:pos="79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The Company may terminate Employee's employment hereunder without Cause at any time after providing written notice to Employee.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COMPENSATION FOLLOWING TERMINATION OF EMPLOYMENT.</w:t>
      </w:r>
    </w:p>
    <w:p>
      <w:pPr>
        <w:spacing w:after="0" w:line="175" w:lineRule="exact"/>
        <w:rPr>
          <w:sz w:val="20"/>
          <w:szCs w:val="20"/>
          <w:color w:val="auto"/>
        </w:rPr>
      </w:pPr>
    </w:p>
    <w:p>
      <w:pPr>
        <w:ind w:left="10" w:right="3259"/>
        <w:spacing w:after="0" w:line="265" w:lineRule="auto"/>
        <w:rPr>
          <w:sz w:val="20"/>
          <w:szCs w:val="20"/>
          <w:color w:val="auto"/>
        </w:rPr>
      </w:pPr>
      <w:r>
        <w:rPr>
          <w:rFonts w:ascii="Courier New" w:cs="Courier New" w:eastAsia="Courier New" w:hAnsi="Courier New"/>
          <w:sz w:val="14"/>
          <w:szCs w:val="14"/>
          <w:color w:val="auto"/>
        </w:rPr>
        <w:t>In the event that Employee's employment hereunder is terminated, Employee shall be entitled to the following compensation and benefits upon such termination:</w:t>
      </w:r>
    </w:p>
    <w:p>
      <w:pPr>
        <w:spacing w:after="0" w:line="158" w:lineRule="exact"/>
        <w:rPr>
          <w:sz w:val="20"/>
          <w:szCs w:val="20"/>
          <w:color w:val="auto"/>
        </w:rPr>
      </w:pPr>
    </w:p>
    <w:p>
      <w:pPr>
        <w:ind w:left="790" w:right="3179" w:hanging="790"/>
        <w:spacing w:after="0" w:line="237" w:lineRule="auto"/>
        <w:tabs>
          <w:tab w:leader="none" w:pos="79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DEATH. In the event that Employee's employment is terminated by reason of Employee's death, the Company shall pay the following amounts to Employee's beneficiary or estate:</w:t>
      </w:r>
    </w:p>
    <w:p>
      <w:pPr>
        <w:spacing w:after="0" w:line="174"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death, any accrued but unpaid expenses required to be reimbursed under this Agreement, and any vacation accrued to the date of death.</w:t>
      </w:r>
    </w:p>
    <w:p>
      <w:pPr>
        <w:spacing w:after="0" w:line="176"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Base Salary (at the rate in effect as of the date of Employee's death) which would have been payable to Employee if Employee had continued in employment until the end of the 30 day period beginning on</w:t>
      </w:r>
    </w:p>
    <w:p>
      <w:pPr>
        <w:spacing w:after="0" w:line="34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3 of 11</w:t>
      </w:r>
    </w:p>
    <w:p>
      <w:pPr>
        <w:sectPr>
          <w:pgSz w:w="11900" w:h="16838" w:orient="portrait"/>
          <w:cols w:equalWidth="0" w:num="1">
            <w:col w:w="10229"/>
          </w:cols>
          <w:pgMar w:left="230" w:top="283" w:right="1440" w:bottom="1440" w:gutter="0" w:footer="0" w:header="0"/>
        </w:sectPr>
      </w:pPr>
    </w:p>
    <w:bookmarkStart w:id="137" w:name="page138"/>
    <w:bookmarkEnd w:id="137"/>
    <w:p>
      <w:pPr>
        <w:ind w:left="27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left="1590" w:right="3359"/>
        <w:spacing w:after="0" w:line="237" w:lineRule="auto"/>
        <w:rPr>
          <w:sz w:val="20"/>
          <w:szCs w:val="20"/>
          <w:color w:val="auto"/>
        </w:rPr>
      </w:pPr>
      <w:r>
        <w:rPr>
          <w:rFonts w:ascii="Courier New" w:cs="Courier New" w:eastAsia="Courier New" w:hAnsi="Courier New"/>
          <w:sz w:val="15"/>
          <w:szCs w:val="15"/>
          <w:color w:val="auto"/>
        </w:rPr>
        <w:t>the date of Employee's death. Such amount shall be paid in a single lump sum cash payment within thirty (30) days after Employee's death.</w:t>
      </w:r>
    </w:p>
    <w:p>
      <w:pPr>
        <w:spacing w:after="0" w:line="175" w:lineRule="exact"/>
        <w:rPr>
          <w:sz w:val="20"/>
          <w:szCs w:val="20"/>
          <w:color w:val="auto"/>
        </w:rPr>
      </w:pPr>
    </w:p>
    <w:p>
      <w:pPr>
        <w:ind w:left="790" w:right="3179" w:hanging="790"/>
        <w:spacing w:after="0" w:line="237" w:lineRule="auto"/>
        <w:tabs>
          <w:tab w:leader="none" w:pos="79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TOTAL DISABILITY. In the event that Employee's employment is terminated by reason of Employee's Total Disability as determined in accordance with Section 5(b), the Company shall pay the following amounts to Employee:</w:t>
      </w:r>
    </w:p>
    <w:p>
      <w:pPr>
        <w:spacing w:after="0" w:line="176"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Employee shall also be entitled to a bonus or incentive compensation payment to the extent such awards are made to similarly situated executives, pro-rated for the year in which Executive is terminated and paid at the same time as similarly situated executives are paid.</w:t>
      </w:r>
    </w:p>
    <w:p>
      <w:pPr>
        <w:spacing w:after="0" w:line="178"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w:t>
      </w:r>
    </w:p>
    <w:p>
      <w:pPr>
        <w:spacing w:after="0" w:line="174" w:lineRule="exact"/>
        <w:rPr>
          <w:rFonts w:ascii="Courier New" w:cs="Courier New" w:eastAsia="Courier New" w:hAnsi="Courier New"/>
          <w:sz w:val="15"/>
          <w:szCs w:val="15"/>
          <w:color w:val="auto"/>
        </w:rPr>
      </w:pPr>
    </w:p>
    <w:p>
      <w:pPr>
        <w:ind w:left="2390" w:right="3179" w:hanging="803"/>
        <w:spacing w:after="0" w:line="238" w:lineRule="auto"/>
        <w:tabs>
          <w:tab w:leader="none" w:pos="2390" w:val="left"/>
        </w:tabs>
        <w:numPr>
          <w:ilvl w:val="2"/>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Salary (at the rate in effect as of the date of Employee's Total Disability) which would have been payable to Employee if Employee had continued in active employment until the end of the 12-month period beginning on the date of Employee's termination; reduced by</w:t>
      </w:r>
    </w:p>
    <w:p>
      <w:pPr>
        <w:spacing w:after="0" w:line="175" w:lineRule="exact"/>
        <w:rPr>
          <w:rFonts w:ascii="Courier New" w:cs="Courier New" w:eastAsia="Courier New" w:hAnsi="Courier New"/>
          <w:sz w:val="15"/>
          <w:szCs w:val="15"/>
          <w:color w:val="auto"/>
        </w:rPr>
      </w:pPr>
    </w:p>
    <w:p>
      <w:pPr>
        <w:ind w:left="2390" w:right="3179" w:hanging="803"/>
        <w:spacing w:after="0" w:line="237" w:lineRule="auto"/>
        <w:tabs>
          <w:tab w:leader="none" w:pos="2390" w:val="left"/>
        </w:tabs>
        <w:numPr>
          <w:ilvl w:val="2"/>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amount of the long term disability benefits payable to Employee under the Company's long-term disability plan as determined prior to the reduction of such benefits under the terms of the plan for other disability income.</w:t>
      </w:r>
    </w:p>
    <w:p>
      <w:pPr>
        <w:spacing w:after="0" w:line="178" w:lineRule="exact"/>
        <w:rPr>
          <w:sz w:val="20"/>
          <w:szCs w:val="20"/>
          <w:color w:val="auto"/>
        </w:rPr>
      </w:pPr>
    </w:p>
    <w:p>
      <w:pPr>
        <w:ind w:left="1590" w:right="3259"/>
        <w:spacing w:after="0" w:line="260" w:lineRule="auto"/>
        <w:rPr>
          <w:sz w:val="20"/>
          <w:szCs w:val="20"/>
          <w:color w:val="auto"/>
        </w:rPr>
      </w:pPr>
      <w:r>
        <w:rPr>
          <w:rFonts w:ascii="Courier New" w:cs="Courier New" w:eastAsia="Courier New" w:hAnsi="Courier New"/>
          <w:sz w:val="14"/>
          <w:szCs w:val="14"/>
          <w:color w:val="auto"/>
        </w:rPr>
        <w:t>Payment shall be made at the same time and in the same manner as such compensation would have been paid if Employee had remained in active employment until the end of such period.</w:t>
      </w:r>
    </w:p>
    <w:p>
      <w:pPr>
        <w:spacing w:after="0" w:line="163" w:lineRule="exact"/>
        <w:rPr>
          <w:sz w:val="20"/>
          <w:szCs w:val="20"/>
          <w:color w:val="auto"/>
        </w:rPr>
      </w:pPr>
    </w:p>
    <w:p>
      <w:pPr>
        <w:ind w:left="790" w:right="3179" w:hanging="790"/>
        <w:spacing w:after="0" w:line="259" w:lineRule="auto"/>
        <w:tabs>
          <w:tab w:leader="none" w:pos="79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OR VOLUNTARY TERMINATION BY EMPLOYEE. In the event that Employee's employment is terminated by the Company for Cause pursuant to Section 5(c), or Employee terminates employment pursuant to Section 5(d), the Company shall pay the following amounts to Employee:</w:t>
      </w:r>
    </w:p>
    <w:p>
      <w:pPr>
        <w:spacing w:after="0" w:line="162" w:lineRule="exact"/>
        <w:rPr>
          <w:rFonts w:ascii="Courier New" w:cs="Courier New" w:eastAsia="Courier New" w:hAnsi="Courier New"/>
          <w:sz w:val="14"/>
          <w:szCs w:val="14"/>
          <w:color w:val="auto"/>
        </w:rPr>
      </w:pPr>
    </w:p>
    <w:p>
      <w:pPr>
        <w:ind w:left="1590" w:right="3359" w:hanging="796"/>
        <w:spacing w:after="0" w:line="237" w:lineRule="auto"/>
        <w:tabs>
          <w:tab w:leader="none" w:pos="159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34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4 of 11</w:t>
      </w:r>
    </w:p>
    <w:p>
      <w:pPr>
        <w:sectPr>
          <w:pgSz w:w="11900" w:h="16838" w:orient="portrait"/>
          <w:cols w:equalWidth="0" w:num="1">
            <w:col w:w="10229"/>
          </w:cols>
          <w:pgMar w:left="230" w:top="283" w:right="1440" w:bottom="1440" w:gutter="0" w:footer="0" w:header="0"/>
        </w:sectPr>
      </w:pPr>
    </w:p>
    <w:bookmarkStart w:id="138" w:name="page139"/>
    <w:bookmarkEnd w:id="138"/>
    <w:p>
      <w:pPr>
        <w:ind w:left="270"/>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left="1590" w:right="3179" w:hanging="796"/>
        <w:spacing w:after="0" w:line="237" w:lineRule="auto"/>
        <w:tabs>
          <w:tab w:leader="none" w:pos="1590"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In the event that Employee's employment is terminated by the Company pursuant to Section 5(e) for reasons other than death, Total Disability or Cause, the Company shall pay the following amounts to Employee:</w:t>
      </w:r>
    </w:p>
    <w:p>
      <w:pPr>
        <w:spacing w:after="0" w:line="176"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sz w:val="20"/>
          <w:szCs w:val="20"/>
          <w:color w:val="auto"/>
        </w:rPr>
      </w:pPr>
    </w:p>
    <w:p>
      <w:pPr>
        <w:ind w:left="1590" w:right="3179" w:hanging="796"/>
        <w:spacing w:after="0" w:line="237" w:lineRule="auto"/>
        <w:tabs>
          <w:tab w:leader="none" w:pos="159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Salary (at the rate in effect as of the date of Employee's termination) which would have been payable to Employee if Employee had continued in active employment until the later of: (a) the period ending on the last day of the Initial Term; or (b) the end of the 12-month period beginning on the date of Employee's termination. Payment shall be made at the same time and in the same manner as such compensation would have been paid if Employee had remained in active employment until the end of such period. The Employee shall also be eligible for a bonus or incentive compensation payment, to the extent bonuses are paid to similarly situated employees, pro-rated for the year in which the Employee is terminated, and paid at the same time as similarly situated employees are paid.</w:t>
      </w:r>
    </w:p>
    <w:p>
      <w:pPr>
        <w:spacing w:after="0" w:line="183" w:lineRule="exact"/>
        <w:rPr>
          <w:rFonts w:ascii="Courier New" w:cs="Courier New" w:eastAsia="Courier New" w:hAnsi="Courier New"/>
          <w:sz w:val="15"/>
          <w:szCs w:val="15"/>
          <w:color w:val="auto"/>
        </w:rPr>
      </w:pPr>
    </w:p>
    <w:p>
      <w:pPr>
        <w:ind w:left="1590" w:right="3179" w:hanging="796"/>
        <w:spacing w:after="0" w:line="256" w:lineRule="auto"/>
        <w:tabs>
          <w:tab w:leader="none" w:pos="1590"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Employee and Employee's spouse and dependents, group health plans, programs or arrangements, in which Employee was entitled to participate at any time during the twelve-month period prior to the date of termination, until the earlier of:</w:t>
      </w:r>
    </w:p>
    <w:p>
      <w:pPr>
        <w:spacing w:after="0" w:line="1" w:lineRule="exact"/>
        <w:rPr>
          <w:rFonts w:ascii="Courier New" w:cs="Courier New" w:eastAsia="Courier New" w:hAnsi="Courier New"/>
          <w:sz w:val="14"/>
          <w:szCs w:val="14"/>
          <w:color w:val="auto"/>
        </w:rPr>
      </w:pPr>
    </w:p>
    <w:p>
      <w:pPr>
        <w:ind w:left="1590" w:right="3179" w:hanging="3"/>
        <w:spacing w:after="0" w:line="238" w:lineRule="auto"/>
        <w:tabs>
          <w:tab w:leader="none" w:pos="1942" w:val="left"/>
        </w:tabs>
        <w:numPr>
          <w:ilvl w:val="2"/>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last day of period during which Employee receives payment in accordance with clause (iii) above; (b) Employee's death (provided that benefits payable to Employee's beneficiaries shall not terminate upon Employee's death); or (c) with respect to any particular plan, program or arrangement, the date Employee becomes covered by a comparable benefit provided by a subsequent employer.</w:t>
      </w:r>
    </w:p>
    <w:p>
      <w:pPr>
        <w:spacing w:after="0" w:line="176"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BENEFITS OR COMPENSATION. Except as may be provided under this Agreement, under the terms of any incentive compensation, employee benefit, or fringe benefit plan applicable to Employee at the time of Employee's termination or resignation of employment, Employee shall have no right to receive any other</w:t>
      </w:r>
    </w:p>
    <w:p>
      <w:pPr>
        <w:spacing w:after="0" w:line="342"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5 of 11</w:t>
      </w:r>
    </w:p>
    <w:p>
      <w:pPr>
        <w:sectPr>
          <w:pgSz w:w="11900" w:h="16838" w:orient="portrait"/>
          <w:cols w:equalWidth="0" w:num="1">
            <w:col w:w="10229"/>
          </w:cols>
          <w:pgMar w:left="230" w:top="283" w:right="1440" w:bottom="1440" w:gutter="0" w:footer="0" w:header="0"/>
        </w:sectPr>
      </w:pPr>
    </w:p>
    <w:bookmarkStart w:id="139" w:name="page140"/>
    <w:bookmarkEnd w:id="139"/>
    <w:p>
      <w:pPr>
        <w:ind w:left="27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jc w:val="both"/>
        <w:ind w:left="790" w:right="3699"/>
        <w:spacing w:after="0" w:line="237" w:lineRule="auto"/>
        <w:rPr>
          <w:sz w:val="20"/>
          <w:szCs w:val="20"/>
          <w:color w:val="auto"/>
        </w:rPr>
      </w:pPr>
      <w:r>
        <w:rPr>
          <w:rFonts w:ascii="Courier New" w:cs="Courier New" w:eastAsia="Courier New" w:hAnsi="Courier New"/>
          <w:sz w:val="15"/>
          <w:szCs w:val="15"/>
          <w:color w:val="auto"/>
        </w:rPr>
        <w:t>compensation, or to participate in any other plan, arrangement or benefit, with respect to future periods after such termination or resignation.</w:t>
      </w:r>
    </w:p>
    <w:p>
      <w:pPr>
        <w:spacing w:after="0" w:line="175" w:lineRule="exact"/>
        <w:rPr>
          <w:sz w:val="20"/>
          <w:szCs w:val="20"/>
          <w:color w:val="auto"/>
        </w:rPr>
      </w:pPr>
    </w:p>
    <w:p>
      <w:pPr>
        <w:ind w:left="790" w:right="3359" w:hanging="790"/>
        <w:spacing w:after="0" w:line="237" w:lineRule="auto"/>
        <w:tabs>
          <w:tab w:leader="none" w:pos="79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OR TERMINATION OF BENEFITS AND COMPENSATION. In the event that the Company, in its sole discretion determines that, without the Company's express written consent, Employee has</w:t>
      </w:r>
    </w:p>
    <w:p>
      <w:pPr>
        <w:spacing w:after="0" w:line="174"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77"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183" w:lineRule="exact"/>
        <w:rPr>
          <w:sz w:val="20"/>
          <w:szCs w:val="20"/>
          <w:color w:val="auto"/>
        </w:rPr>
      </w:pPr>
    </w:p>
    <w:p>
      <w:pPr>
        <w:ind w:left="790" w:right="3259"/>
        <w:spacing w:after="0" w:line="237" w:lineRule="auto"/>
        <w:rPr>
          <w:sz w:val="20"/>
          <w:szCs w:val="20"/>
          <w:color w:val="auto"/>
        </w:rPr>
      </w:pPr>
      <w:r>
        <w:rPr>
          <w:rFonts w:ascii="Courier New" w:cs="Courier New" w:eastAsia="Courier New" w:hAnsi="Courier New"/>
          <w:sz w:val="15"/>
          <w:szCs w:val="15"/>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RESTRICTIVE COVENANTS</w:t>
      </w:r>
    </w:p>
    <w:p>
      <w:pPr>
        <w:spacing w:after="0" w:line="175" w:lineRule="exact"/>
        <w:rPr>
          <w:sz w:val="20"/>
          <w:szCs w:val="20"/>
          <w:color w:val="auto"/>
        </w:rPr>
      </w:pPr>
    </w:p>
    <w:p>
      <w:pPr>
        <w:ind w:left="790" w:right="3179" w:hanging="790"/>
        <w:spacing w:after="0" w:line="257" w:lineRule="auto"/>
        <w:tabs>
          <w:tab w:leader="none" w:pos="79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Employee covenants and agrees that at all times during Employee's period of employment with the Company, and while Employee is receiving payments pursuant to Section 6 of this Agreement, Employee will not, directly or indirectly,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Furthermore, for a period of one (1) year after the date of termination of Employee's employment, whether such termination is voluntary or involuntary, by wrongful discharge, or otherwise, or one (1) year following the cessation of payments made pursuant to Section 6 of this Agreement, or for a period of one (1) year following the date of termination, whichever date is later, Employee will not directly or indirectly, within 75 miles of the principal place of</w:t>
      </w:r>
    </w:p>
    <w:p>
      <w:pPr>
        <w:spacing w:after="0" w:line="200" w:lineRule="exact"/>
        <w:rPr>
          <w:sz w:val="20"/>
          <w:szCs w:val="20"/>
          <w:color w:val="auto"/>
        </w:rPr>
      </w:pPr>
    </w:p>
    <w:p>
      <w:pPr>
        <w:spacing w:after="0" w:line="297"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6 of 11</w:t>
      </w:r>
    </w:p>
    <w:p>
      <w:pPr>
        <w:sectPr>
          <w:pgSz w:w="11900" w:h="16838" w:orient="portrait"/>
          <w:cols w:equalWidth="0" w:num="1">
            <w:col w:w="10229"/>
          </w:cols>
          <w:pgMar w:left="230" w:top="283" w:right="1440" w:bottom="1440" w:gutter="0" w:footer="0" w:header="0"/>
        </w:sectPr>
      </w:pPr>
    </w:p>
    <w:bookmarkStart w:id="140" w:name="page141"/>
    <w:bookmarkEnd w:id="140"/>
    <w:p>
      <w:pPr>
        <w:ind w:left="27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business of the Company, the principal place of business of any corporation or other entity owned, controlled by (or otherwise affiliated with) the Company by which Employee may also be employed or served by Employee, or any other geographic location in which Employee has specifically represented the interests of the Company or such other affiliated entity, during the twelve (12) months prior to the termination of Employee's employment,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w:t>
      </w:r>
    </w:p>
    <w:p>
      <w:pPr>
        <w:spacing w:after="0" w:line="184" w:lineRule="exact"/>
        <w:rPr>
          <w:sz w:val="20"/>
          <w:szCs w:val="20"/>
          <w:color w:val="auto"/>
        </w:rPr>
      </w:pPr>
    </w:p>
    <w:p>
      <w:pPr>
        <w:ind w:left="790" w:right="3179" w:hanging="790"/>
        <w:spacing w:after="0" w:line="239" w:lineRule="auto"/>
        <w:tabs>
          <w:tab w:leader="none" w:pos="79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Employee covenants and agrees that at all times during Employee's period of employment with the Company, and for a period of one (1) year after the date of termination of Employee's employment, whether such termination is voluntary or involuntary by wrongful discharge, or otherwise, or the date of the cessation of payments made to the Employee pursuant to Section 6 of this Agreement, whichever date is later. Employee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of through any person, firm, association or corporation with which Employee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Employee covenants and agrees that Employee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78" w:lineRule="exact"/>
        <w:rPr>
          <w:sz w:val="20"/>
          <w:szCs w:val="20"/>
          <w:color w:val="auto"/>
        </w:rPr>
      </w:pPr>
    </w:p>
    <w:p>
      <w:pPr>
        <w:ind w:left="790" w:right="3179" w:hanging="790"/>
        <w:spacing w:after="0" w:line="237" w:lineRule="auto"/>
        <w:tabs>
          <w:tab w:leader="none" w:pos="79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PROTECTED INFORMATION. Employee recognizes and acknowledges that Employee has had and will continue to have access to various confidential or proprietary information concerning the Company and corporations affiliated with the Company, of a special and unique value which may include, without limitation, (i) books and</w:t>
      </w:r>
    </w:p>
    <w:p>
      <w:pPr>
        <w:spacing w:after="0" w:line="342"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7 of 11</w:t>
      </w:r>
    </w:p>
    <w:p>
      <w:pPr>
        <w:sectPr>
          <w:pgSz w:w="11900" w:h="16838" w:orient="portrait"/>
          <w:cols w:equalWidth="0" w:num="1">
            <w:col w:w="10229"/>
          </w:cols>
          <w:pgMar w:left="230" w:top="283" w:right="1440" w:bottom="1440" w:gutter="0" w:footer="0" w:header="0"/>
        </w:sectPr>
      </w:pPr>
    </w:p>
    <w:bookmarkStart w:id="141" w:name="page142"/>
    <w:bookmarkEnd w:id="141"/>
    <w:p>
      <w:pPr>
        <w:ind w:left="27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790" w:right="3179"/>
        <w:spacing w:after="0" w:line="257" w:lineRule="auto"/>
        <w:rPr>
          <w:sz w:val="20"/>
          <w:szCs w:val="20"/>
          <w:color w:val="auto"/>
        </w:rPr>
      </w:pPr>
      <w:r>
        <w:rPr>
          <w:rFonts w:ascii="Courier New" w:cs="Courier New" w:eastAsia="Courier New" w:hAnsi="Courier New"/>
          <w:sz w:val="14"/>
          <w:szCs w:val="14"/>
          <w:color w:val="auto"/>
        </w:rPr>
        <w:t>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 Employee therefore covenants and agrees that Employee will not at any time, either while employed by the Company or afterwards, knowingly make any independent use of, or knowingly disclose to any other person or organization (except as authorized by the Company) any of the Protected Information.</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8. ENFORCEMENT OF COVENANTS.</w:t>
      </w:r>
    </w:p>
    <w:p>
      <w:pPr>
        <w:spacing w:after="0" w:line="175" w:lineRule="exact"/>
        <w:rPr>
          <w:sz w:val="20"/>
          <w:szCs w:val="20"/>
          <w:color w:val="auto"/>
        </w:rPr>
      </w:pPr>
    </w:p>
    <w:p>
      <w:pPr>
        <w:ind w:left="790" w:right="3179" w:hanging="790"/>
        <w:spacing w:after="0" w:line="238" w:lineRule="auto"/>
        <w:tabs>
          <w:tab w:leader="none" w:pos="79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AND FORFEITURE OF COMPENSATION. Employee agrees that any breach by Employee of any of the covenants set forth in Section 7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177"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INJUNCTION. Employee acknowledges that a breach of the covenants set forth in Section 7 hereof will cause irreparable damage to the Company with respect to which the Company's remedy at law for damages will be inadequate. Therefore, in the event of breach of anticipatory breach of the covenants set forth in this section by Employee, Employee and the Company agree that the Company shall be entitled to the following particular forms of relief, in addition to remedies otherwise available to it at law or equity; (i) injunctions, both preliminary and permanent, enjoining or restraining such breach or anticipatory breach and Employee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183" w:lineRule="exact"/>
        <w:rPr>
          <w:rFonts w:ascii="Courier New" w:cs="Courier New" w:eastAsia="Courier New" w:hAnsi="Courier New"/>
          <w:sz w:val="15"/>
          <w:szCs w:val="15"/>
          <w:color w:val="auto"/>
        </w:rPr>
      </w:pPr>
    </w:p>
    <w:p>
      <w:pPr>
        <w:ind w:left="790" w:right="3179" w:hanging="790"/>
        <w:spacing w:after="0" w:line="257" w:lineRule="auto"/>
        <w:tabs>
          <w:tab w:leader="none" w:pos="79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7 hereof constitute a series of separate covenants, one for each applicable State in the United States and the District of Columbia, and one for each applicable foreign country. If in any judicial proceeding, a court shall hold that any of the covenants set forth in Section 7 exceed the time, geographic, or occupational 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w:t>
      </w:r>
    </w:p>
    <w:p>
      <w:pPr>
        <w:spacing w:after="0" w:line="32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8 of 11</w:t>
      </w:r>
    </w:p>
    <w:p>
      <w:pPr>
        <w:sectPr>
          <w:pgSz w:w="11900" w:h="16838" w:orient="portrait"/>
          <w:cols w:equalWidth="0" w:num="1">
            <w:col w:w="10229"/>
          </w:cols>
          <w:pgMar w:left="230" w:top="283"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left="780" w:right="3359"/>
        <w:spacing w:after="0" w:line="238" w:lineRule="auto"/>
        <w:rPr>
          <w:sz w:val="20"/>
          <w:szCs w:val="20"/>
          <w:color w:val="auto"/>
        </w:rPr>
      </w:pPr>
      <w:r>
        <w:rPr>
          <w:rFonts w:ascii="Courier New" w:cs="Courier New" w:eastAsia="Courier New" w:hAnsi="Courier New"/>
          <w:sz w:val="15"/>
          <w:szCs w:val="15"/>
          <w:color w:val="auto"/>
        </w:rPr>
        <w:t>proceeding. Employee and the Company further agree that the covenants in Section 7 shall each be construed as a separate agreement independent of any other provisions of this Agreement, and the existence of any claim or cause of action by Employee against the Company whether predicated on this Agreement or otherwise, shall not constitute a defense to the enforcement by the Company of any of the covenants of Section 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WITHHOLDING OF TAXES.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Company may withhold from any compensation and benefits payable under this Agreement all applicable federal, state, local, or other taxes.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NON-DISCLOSURE OF AGREEMENT TERMS.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SOURCE OF PAYMENTS.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ASSIGNMENT.</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Except as otherwise provided in this Agreement, this Agreement shall inure to the benefit of and be binding upon the parties hereto and their respective heirs, representatives, successors and assigns. This Agreement shall not be assignable by Employee.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ENTIRE AGREEMENT; AMENDMENT.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GOVERNING LAW.</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New Hampshire, applicable to agreements made and to be performed in that State, without regard to its conflict of laws provisions.</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9 of 11</w:t>
      </w:r>
    </w:p>
    <w:p>
      <w:pPr>
        <w:sectPr>
          <w:pgSz w:w="11900" w:h="16838" w:orient="portrait"/>
          <w:cols w:equalWidth="0" w:num="1">
            <w:col w:w="10219"/>
          </w:cols>
          <w:pgMar w:left="240" w:top="283" w:right="1440" w:bottom="1440" w:gutter="0" w:footer="0" w:header="0"/>
        </w:sectPr>
      </w:pPr>
    </w:p>
    <w:bookmarkStart w:id="143" w:name="page144"/>
    <w:bookmarkEnd w:id="143"/>
    <w:p>
      <w:pPr>
        <w:ind w:left="270"/>
        <w:spacing w:after="0"/>
        <w:rPr>
          <w:sz w:val="20"/>
          <w:szCs w:val="20"/>
          <w:color w:val="auto"/>
        </w:rPr>
      </w:pPr>
      <w:r>
        <w:rPr>
          <w:rFonts w:ascii="Courier New" w:cs="Courier New" w:eastAsia="Courier New" w:hAnsi="Courier New"/>
          <w:sz w:val="15"/>
          <w:szCs w:val="15"/>
          <w:color w:val="auto"/>
        </w:rPr>
        <w:t>10</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15. NOTICES.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29"/>
          </w:cols>
          <w:pgMar w:left="230" w:top="283" w:right="1440" w:bottom="1440" w:gutter="0" w:footer="0" w:header="0"/>
        </w:sectPr>
      </w:pPr>
    </w:p>
    <w:p>
      <w:pPr>
        <w:spacing w:after="0" w:line="176"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rPr>
          <w:sz w:val="20"/>
          <w:szCs w:val="20"/>
          <w:color w:val="auto"/>
        </w:rPr>
      </w:pPr>
      <w:r>
        <w:rPr>
          <w:rFonts w:ascii="Courier New" w:cs="Courier New" w:eastAsia="Courier New" w:hAnsi="Courier New"/>
          <w:sz w:val="15"/>
          <w:szCs w:val="15"/>
          <w:color w:val="auto"/>
        </w:rPr>
        <w:t>1001 Fannin, Suite 4000</w:t>
      </w:r>
    </w:p>
    <w:p>
      <w:pPr>
        <w:spacing w:after="0"/>
        <w:rPr>
          <w:sz w:val="20"/>
          <w:szCs w:val="20"/>
          <w:color w:val="auto"/>
        </w:rPr>
      </w:pPr>
      <w:r>
        <w:rPr>
          <w:rFonts w:ascii="Courier New" w:cs="Courier New" w:eastAsia="Courier New" w:hAnsi="Courier New"/>
          <w:sz w:val="15"/>
          <w:szCs w:val="15"/>
          <w:color w:val="auto"/>
        </w:rPr>
        <w:t>Houston, Texas 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80" w:lineRule="exact"/>
        <w:rPr>
          <w:sz w:val="20"/>
          <w:szCs w:val="20"/>
          <w:color w:val="auto"/>
        </w:rPr>
      </w:pPr>
    </w:p>
    <w:p>
      <w:pPr>
        <w:sectPr>
          <w:pgSz w:w="11900" w:h="16838" w:orient="portrait"/>
          <w:cols w:equalWidth="0" w:num="2">
            <w:col w:w="2110" w:space="620"/>
            <w:col w:w="7499"/>
          </w:cols>
          <w:pgMar w:left="230" w:top="283" w:right="1440" w:bottom="1440" w:gutter="0" w:footer="0" w:header="0"/>
          <w:type w:val="continuous"/>
        </w:sectPr>
      </w:pPr>
    </w:p>
    <w:p>
      <w:pPr>
        <w:ind w:left="790"/>
        <w:spacing w:after="0"/>
        <w:rPr>
          <w:sz w:val="20"/>
          <w:szCs w:val="20"/>
          <w:color w:val="auto"/>
        </w:rPr>
      </w:pPr>
      <w:r>
        <w:rPr>
          <w:rFonts w:ascii="Courier New" w:cs="Courier New" w:eastAsia="Courier New" w:hAnsi="Courier New"/>
          <w:sz w:val="14"/>
          <w:szCs w:val="14"/>
          <w:color w:val="auto"/>
        </w:rPr>
        <w:t>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the address for Employee set forth below.</w:t>
      </w:r>
    </w:p>
    <w:p>
      <w:pPr>
        <w:spacing w:after="0" w:line="175" w:lineRule="exact"/>
        <w:rPr>
          <w:sz w:val="20"/>
          <w:szCs w:val="20"/>
          <w:color w:val="auto"/>
        </w:rPr>
      </w:pPr>
    </w:p>
    <w:p>
      <w:pPr>
        <w:sectPr>
          <w:pgSz w:w="11900" w:h="16838" w:orient="portrait"/>
          <w:cols w:equalWidth="0" w:num="2">
            <w:col w:w="2010" w:space="720"/>
            <w:col w:w="749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16. MISCELLANEOUS.</w:t>
      </w:r>
    </w:p>
    <w:p>
      <w:pPr>
        <w:spacing w:after="0" w:line="175" w:lineRule="exact"/>
        <w:rPr>
          <w:sz w:val="20"/>
          <w:szCs w:val="20"/>
          <w:color w:val="auto"/>
        </w:rPr>
      </w:pPr>
    </w:p>
    <w:p>
      <w:pPr>
        <w:ind w:left="790" w:right="3179" w:hanging="790"/>
        <w:spacing w:after="0" w:line="259" w:lineRule="auto"/>
        <w:tabs>
          <w:tab w:leader="none" w:pos="79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2"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Subject to Section 8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are used herein for convenience of reference only and shall not affect the meaning of any provision of this Agreement.</w:t>
      </w:r>
    </w:p>
    <w:p>
      <w:pPr>
        <w:spacing w:after="0" w:line="174" w:lineRule="exact"/>
        <w:rPr>
          <w:rFonts w:ascii="Courier New" w:cs="Courier New" w:eastAsia="Courier New" w:hAnsi="Courier New"/>
          <w:sz w:val="15"/>
          <w:szCs w:val="15"/>
          <w:color w:val="auto"/>
        </w:rPr>
      </w:pPr>
    </w:p>
    <w:p>
      <w:pPr>
        <w:ind w:left="790" w:right="3179" w:hanging="790"/>
        <w:spacing w:after="0" w:line="235" w:lineRule="auto"/>
        <w:tabs>
          <w:tab w:leader="none" w:pos="79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Whenever the context so requires, the use of the singular shall be deemed to include the plural and vice versa.</w:t>
      </w:r>
    </w:p>
    <w:p>
      <w:pPr>
        <w:spacing w:after="0" w:line="175" w:lineRule="exact"/>
        <w:rPr>
          <w:rFonts w:ascii="Courier New" w:cs="Courier New" w:eastAsia="Courier New" w:hAnsi="Courier New"/>
          <w:sz w:val="15"/>
          <w:szCs w:val="15"/>
          <w:color w:val="auto"/>
        </w:rPr>
      </w:pPr>
    </w:p>
    <w:p>
      <w:pPr>
        <w:ind w:left="790" w:right="3799" w:hanging="790"/>
        <w:spacing w:after="0" w:line="237" w:lineRule="auto"/>
        <w:tabs>
          <w:tab w:leader="none" w:pos="79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so executed shall be deemed to be an original, and such counterparts will together constitute but one Agreement.</w:t>
      </w:r>
    </w:p>
    <w:p>
      <w:pPr>
        <w:spacing w:after="0" w:line="340"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10 of 11</w:t>
      </w:r>
    </w:p>
    <w:p>
      <w:pPr>
        <w:sectPr>
          <w:pgSz w:w="11900" w:h="16838" w:orient="portrait"/>
          <w:cols w:equalWidth="0" w:num="1">
            <w:col w:w="10229"/>
          </w:cols>
          <w:pgMar w:left="230" w:top="283" w:right="1440" w:bottom="1440" w:gutter="0" w:footer="0" w:header="0"/>
          <w:type w:val="continuous"/>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WHEELABRATOR TECHNOLOGIES, INC.</w:t>
      </w:r>
    </w:p>
    <w:p>
      <w:pPr>
        <w:spacing w:after="0" w:line="33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Rodney R. Proto</w:t>
      </w:r>
    </w:p>
    <w:p>
      <w:pPr>
        <w:ind w:left="3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ind w:left="5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President/COO</w:t>
      </w:r>
    </w:p>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ind w:left="5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Richard T. Felago</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ind w:left="5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ind w:left="78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11 of 11</w:t>
      </w:r>
    </w:p>
    <w:p>
      <w:pPr>
        <w:sectPr>
          <w:pgSz w:w="11900" w:h="16838" w:orient="portrait"/>
          <w:cols w:equalWidth="0" w:num="1">
            <w:col w:w="10219"/>
          </w:cols>
          <w:pgMar w:left="240" w:top="283" w:right="1440" w:bottom="1440" w:gutter="0" w:footer="0" w:header="0"/>
        </w:sectPr>
      </w:pPr>
    </w:p>
    <w:bookmarkStart w:id="145" w:name="page146"/>
    <w:bookmarkEnd w:id="145"/>
    <w:p>
      <w:pPr>
        <w:ind w:left="27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10.23</w:t>
      </w:r>
    </w:p>
    <w:p>
      <w:pPr>
        <w:spacing w:after="0" w:line="338"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CANADIAN WASTE SERVICES, INC., for and on behalf of its affiliated corporations (collectively referred to as the "Company"), and JEFF M. HARRIS (the "Employee") agree to enter into this EMPLOYMENT AGREEMENT (the "Agreement") dated as of November 3, 1999 as follows: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EMPLOYMENT.</w:t>
      </w:r>
    </w:p>
    <w:p>
      <w:pPr>
        <w:spacing w:after="0" w:line="175" w:lineRule="exact"/>
        <w:rPr>
          <w:sz w:val="20"/>
          <w:szCs w:val="20"/>
          <w:color w:val="auto"/>
        </w:rPr>
      </w:pPr>
    </w:p>
    <w:p>
      <w:pPr>
        <w:ind w:left="10" w:right="3179"/>
        <w:spacing w:after="0" w:line="265" w:lineRule="auto"/>
        <w:rPr>
          <w:sz w:val="20"/>
          <w:szCs w:val="20"/>
          <w:color w:val="auto"/>
        </w:rPr>
      </w:pPr>
      <w:r>
        <w:rPr>
          <w:rFonts w:ascii="Courier New" w:cs="Courier New" w:eastAsia="Courier New" w:hAnsi="Courier New"/>
          <w:sz w:val="14"/>
          <w:szCs w:val="14"/>
          <w:color w:val="auto"/>
        </w:rPr>
        <w:t>The Company shall employ Employee, and Employee shall be employed by the Company upon the terms and subject to the conditions set forth in this Agreement.</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2. TERM OF EMPLOYMENT.</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period of Employee's employment under this Agreement shall begin as of November 3, 1999, and shall continue for a period of two (2) years thereafter (the "Initial Term") and shall be automatically renewed for successive one (1) year periods thereafter, unless Employee's employment is terminated in accordance with Section 6 below.</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DUTIES AND RESPONSIBILITIES.</w:t>
      </w:r>
    </w:p>
    <w:p>
      <w:pPr>
        <w:spacing w:after="0" w:line="175" w:lineRule="exact"/>
        <w:rPr>
          <w:sz w:val="20"/>
          <w:szCs w:val="20"/>
          <w:color w:val="auto"/>
        </w:rPr>
      </w:pPr>
    </w:p>
    <w:p>
      <w:pPr>
        <w:ind w:left="790" w:right="3179" w:hanging="790"/>
        <w:spacing w:after="0" w:line="237" w:lineRule="auto"/>
        <w:tabs>
          <w:tab w:leader="none" w:pos="79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serve as President, Canadian Waste Services, Inc. In such capacity, Employee shall perform such duties as may be assigned to Employee from time to time by the Company.</w:t>
      </w:r>
    </w:p>
    <w:p>
      <w:pPr>
        <w:spacing w:after="0" w:line="174"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faithfully serve the Company, devote Employee's full working time, attention and energies to the business of the Company and perform the duties under this Agreement to the best of Employee's abilities.</w:t>
      </w:r>
    </w:p>
    <w:p>
      <w:pPr>
        <w:spacing w:after="0" w:line="176" w:lineRule="exact"/>
        <w:rPr>
          <w:rFonts w:ascii="Courier New" w:cs="Courier New" w:eastAsia="Courier New" w:hAnsi="Courier New"/>
          <w:sz w:val="15"/>
          <w:szCs w:val="15"/>
          <w:color w:val="auto"/>
        </w:rPr>
      </w:pPr>
    </w:p>
    <w:p>
      <w:pPr>
        <w:ind w:left="790" w:right="3439" w:hanging="790"/>
        <w:spacing w:after="0" w:line="238" w:lineRule="auto"/>
        <w:tabs>
          <w:tab w:leader="none" w:pos="79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COMPENSATION AND BENEFITS.</w:t>
      </w:r>
    </w:p>
    <w:p>
      <w:pPr>
        <w:spacing w:after="0" w:line="175" w:lineRule="exact"/>
        <w:rPr>
          <w:sz w:val="20"/>
          <w:szCs w:val="20"/>
          <w:color w:val="auto"/>
        </w:rPr>
      </w:pPr>
    </w:p>
    <w:p>
      <w:pPr>
        <w:ind w:left="790" w:right="3179" w:hanging="790"/>
        <w:spacing w:after="0" w:line="238" w:lineRule="auto"/>
        <w:tabs>
          <w:tab w:leader="none" w:pos="79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Term, the Company shall pay Employee a base salary at the annual rate of Three Hundred Thousand (US$300,000) United States Dollars per year, or such higher rate as may be determined from time to time by the Company ("Base Salary"). Such Base Salary shall be paid in accordance with the Company's standard payroll practice for employees.</w:t>
      </w:r>
    </w:p>
    <w:p>
      <w:pPr>
        <w:spacing w:after="0" w:line="175"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EQUALIZATION. Your annual income tax will be equalized as per the Waste Management Equalization Policy. According to this policy, Waste Management will take the benefit of the foreign earned income exclusion, but equalize you for income other than your base compensation, bonus, foreign service premium, stock options exercise and any personal income you have. In accordance with the expatriate tax equalization policy, the Company will provide you with assistance in the preparation of U.S. and foreign tax returns.</w:t>
      </w:r>
    </w:p>
    <w:p>
      <w:pPr>
        <w:spacing w:after="0" w:line="177" w:lineRule="exact"/>
        <w:rPr>
          <w:rFonts w:ascii="Courier New" w:cs="Courier New" w:eastAsia="Courier New" w:hAnsi="Courier New"/>
          <w:sz w:val="15"/>
          <w:szCs w:val="15"/>
          <w:color w:val="auto"/>
        </w:rPr>
      </w:pPr>
    </w:p>
    <w:p>
      <w:pPr>
        <w:ind w:left="790" w:right="3359" w:hanging="790"/>
        <w:spacing w:after="0" w:line="238" w:lineRule="auto"/>
        <w:tabs>
          <w:tab w:leader="none" w:pos="79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 REIMBURSEMENT. The Company shall promptly reimburse Employee for the ordinary and necessary business expenses incurred by Employee in the performance of Employee's duties hereunder in accordance with the Company's customary practices applicable to employees, provided that such expenses are incurred and accounted for in accordance with the Company's policy.</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1 of 11</w:t>
      </w:r>
    </w:p>
    <w:p>
      <w:pPr>
        <w:sectPr>
          <w:pgSz w:w="11900" w:h="16838" w:orient="portrait"/>
          <w:cols w:equalWidth="0" w:num="1">
            <w:col w:w="10229"/>
          </w:cols>
          <w:pgMar w:left="230" w:top="136" w:right="1440" w:bottom="1440" w:gutter="0" w:footer="0" w:header="0"/>
        </w:sectPr>
      </w:pPr>
    </w:p>
    <w:bookmarkStart w:id="146" w:name="page147"/>
    <w:bookmarkEnd w:id="146"/>
    <w:p>
      <w:pPr>
        <w:ind w:left="27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left="790" w:right="3259" w:hanging="790"/>
        <w:spacing w:after="0" w:line="238" w:lineRule="auto"/>
        <w:tabs>
          <w:tab w:leader="none" w:pos="79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Employee shall be eligible to participate in or receive benefits under any pension plan, profit sharing plan, medical and dental benefits plan, life insurance plan, short-term and long-term disability plans, supplemental and/or incentive compensation plans, practices or arrangements, or any other benefit plan or arrangement, generally made available by the Company to employees of similar status and responsibilities.</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Employee shall receive four (4) weeks vacation annually.</w:t>
      </w:r>
    </w:p>
    <w:p>
      <w:pPr>
        <w:spacing w:after="0" w:line="175" w:lineRule="exact"/>
        <w:rPr>
          <w:sz w:val="20"/>
          <w:szCs w:val="20"/>
          <w:color w:val="auto"/>
        </w:rPr>
      </w:pPr>
    </w:p>
    <w:p>
      <w:pPr>
        <w:ind w:left="790" w:right="3179" w:hanging="790"/>
        <w:spacing w:after="0" w:line="237" w:lineRule="auto"/>
        <w:tabs>
          <w:tab w:leader="none" w:pos="79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Employee shall be awarded Fifty-five Thousand (55,000) Waste Management stock options, subject to the approval of the Compensation Committee of the Board of Directors. The award, vesting and exercising of all options shall be subject to the provisions of the Waste Management, Inc. Stock Incentive Plan.</w:t>
      </w:r>
    </w:p>
    <w:p>
      <w:pPr>
        <w:spacing w:after="0" w:line="178" w:lineRule="exact"/>
        <w:rPr>
          <w:rFonts w:ascii="Courier New" w:cs="Courier New" w:eastAsia="Courier New" w:hAnsi="Courier New"/>
          <w:sz w:val="15"/>
          <w:szCs w:val="15"/>
          <w:color w:val="auto"/>
        </w:rPr>
      </w:pPr>
    </w:p>
    <w:p>
      <w:pPr>
        <w:ind w:left="790" w:right="3259" w:hanging="790"/>
        <w:spacing w:after="0" w:line="259" w:lineRule="auto"/>
        <w:tabs>
          <w:tab w:leader="none" w:pos="79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Company shall provide a vehicle (make and model to be determined by Company for the term of the contract) or a monthly auto allowance. Company's obligation to provide a vehicle or allowance will cease upon commencement of severance or termination of this Agreement.</w:t>
      </w:r>
    </w:p>
    <w:p>
      <w:pPr>
        <w:spacing w:after="0" w:line="162" w:lineRule="exact"/>
        <w:rPr>
          <w:rFonts w:ascii="Courier New" w:cs="Courier New" w:eastAsia="Courier New" w:hAnsi="Courier New"/>
          <w:sz w:val="14"/>
          <w:szCs w:val="14"/>
          <w:color w:val="auto"/>
        </w:rPr>
      </w:pPr>
    </w:p>
    <w:p>
      <w:pPr>
        <w:ind w:left="790" w:right="3359" w:hanging="790"/>
        <w:spacing w:after="0" w:line="237" w:lineRule="auto"/>
        <w:tabs>
          <w:tab w:leader="none" w:pos="79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Company will provide an apartment in Toronto and pay for reasonable living expenses including utilities, telephone (except for personal calls) and parking. Company will pay reasonable travel expenses to and from Detroit, one round trip per week, coach fare.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TERMINATION OF EMPLOYMENT.</w:t>
      </w:r>
    </w:p>
    <w:p>
      <w:pPr>
        <w:spacing w:after="0" w:line="175" w:lineRule="exact"/>
        <w:rPr>
          <w:sz w:val="20"/>
          <w:szCs w:val="20"/>
          <w:color w:val="auto"/>
        </w:rPr>
      </w:pPr>
    </w:p>
    <w:p>
      <w:pPr>
        <w:ind w:left="10" w:right="4139"/>
        <w:spacing w:after="0" w:line="235" w:lineRule="auto"/>
        <w:rPr>
          <w:sz w:val="20"/>
          <w:szCs w:val="20"/>
          <w:color w:val="auto"/>
        </w:rPr>
      </w:pPr>
      <w:r>
        <w:rPr>
          <w:rFonts w:ascii="Courier New" w:cs="Courier New" w:eastAsia="Courier New" w:hAnsi="Courier New"/>
          <w:sz w:val="15"/>
          <w:szCs w:val="15"/>
          <w:color w:val="auto"/>
        </w:rPr>
        <w:t>Employee's employment hereunder may be terminated under the following circumstances:</w:t>
      </w:r>
    </w:p>
    <w:p>
      <w:pPr>
        <w:spacing w:after="0" w:line="176" w:lineRule="exact"/>
        <w:rPr>
          <w:sz w:val="20"/>
          <w:szCs w:val="20"/>
          <w:color w:val="auto"/>
        </w:rPr>
      </w:pPr>
    </w:p>
    <w:p>
      <w:pPr>
        <w:ind w:left="790" w:right="3259" w:hanging="790"/>
        <w:spacing w:after="0" w:line="235" w:lineRule="auto"/>
        <w:tabs>
          <w:tab w:leader="none" w:pos="79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Employee's employment hereunder shall terminate upon Employee's death.</w:t>
      </w:r>
    </w:p>
    <w:p>
      <w:pPr>
        <w:spacing w:after="0" w:line="175" w:lineRule="exact"/>
        <w:rPr>
          <w:rFonts w:ascii="Courier New" w:cs="Courier New" w:eastAsia="Courier New" w:hAnsi="Courier New"/>
          <w:sz w:val="15"/>
          <w:szCs w:val="15"/>
          <w:color w:val="auto"/>
        </w:rPr>
      </w:pPr>
    </w:p>
    <w:p>
      <w:pPr>
        <w:ind w:left="790" w:right="3179" w:hanging="790"/>
        <w:spacing w:after="0" w:line="257" w:lineRule="auto"/>
        <w:tabs>
          <w:tab w:leader="none" w:pos="79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Employee's employment hereunder upon Employee's becoming "Totally Disabled". For purposes of this Agreement, Employee shall be "Totally Disabled" if Employee is physically or mentally incapacitated so as to render Employee incapable of performing the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or Social Security benefits, the Company may, in its reasonable discretion (but based upon appropriate medical evidence), determine that Employee is Totally Disabled.</w:t>
      </w:r>
    </w:p>
    <w:p>
      <w:pPr>
        <w:spacing w:after="0" w:line="165" w:lineRule="exact"/>
        <w:rPr>
          <w:rFonts w:ascii="Courier New" w:cs="Courier New" w:eastAsia="Courier New" w:hAnsi="Courier New"/>
          <w:sz w:val="14"/>
          <w:szCs w:val="14"/>
          <w:color w:val="auto"/>
        </w:rPr>
      </w:pPr>
    </w:p>
    <w:p>
      <w:pPr>
        <w:ind w:left="790" w:right="3179" w:hanging="790"/>
        <w:spacing w:after="0" w:line="237" w:lineRule="auto"/>
        <w:tabs>
          <w:tab w:leader="none" w:pos="79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 The Company may terminate Employee's employment hereunder for "Cause" at any time after providing written notice to Employee.</w:t>
      </w:r>
    </w:p>
    <w:p>
      <w:pPr>
        <w:spacing w:after="0" w:line="174" w:lineRule="exact"/>
        <w:rPr>
          <w:rFonts w:ascii="Courier New" w:cs="Courier New" w:eastAsia="Courier New" w:hAnsi="Courier New"/>
          <w:sz w:val="15"/>
          <w:szCs w:val="15"/>
          <w:color w:val="auto"/>
        </w:rPr>
      </w:pPr>
    </w:p>
    <w:p>
      <w:pPr>
        <w:ind w:left="1590" w:right="3179" w:hanging="796"/>
        <w:spacing w:after="0" w:line="257" w:lineRule="auto"/>
        <w:tabs>
          <w:tab w:leader="none" w:pos="159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7 hereof.</w:t>
      </w:r>
    </w:p>
    <w:p>
      <w:pPr>
        <w:spacing w:after="0" w:line="200" w:lineRule="exact"/>
        <w:rPr>
          <w:sz w:val="20"/>
          <w:szCs w:val="20"/>
          <w:color w:val="auto"/>
        </w:rPr>
      </w:pPr>
    </w:p>
    <w:p>
      <w:pPr>
        <w:spacing w:after="0" w:line="29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2 of 11</w:t>
      </w:r>
    </w:p>
    <w:p>
      <w:pPr>
        <w:sectPr>
          <w:pgSz w:w="11900" w:h="16838" w:orient="portrait"/>
          <w:cols w:equalWidth="0" w:num="1">
            <w:col w:w="10229"/>
          </w:cols>
          <w:pgMar w:left="230" w:top="283" w:right="1440" w:bottom="1440" w:gutter="0" w:footer="0" w:header="0"/>
        </w:sectPr>
      </w:pPr>
    </w:p>
    <w:bookmarkStart w:id="147" w:name="page148"/>
    <w:bookmarkEnd w:id="147"/>
    <w:p>
      <w:pPr>
        <w:ind w:left="27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1590" w:right="3179" w:hanging="796"/>
        <w:spacing w:after="0" w:line="238" w:lineRule="auto"/>
        <w:tabs>
          <w:tab w:leader="none" w:pos="159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76" w:lineRule="exact"/>
        <w:rPr>
          <w:rFonts w:ascii="Courier New" w:cs="Courier New" w:eastAsia="Courier New" w:hAnsi="Courier New"/>
          <w:sz w:val="15"/>
          <w:szCs w:val="15"/>
          <w:color w:val="auto"/>
        </w:rPr>
      </w:pPr>
    </w:p>
    <w:p>
      <w:pPr>
        <w:jc w:val="both"/>
        <w:ind w:left="1590" w:right="3259" w:hanging="796"/>
        <w:spacing w:after="0" w:line="237" w:lineRule="auto"/>
        <w:tabs>
          <w:tab w:leader="none" w:pos="159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determination of Cause under this Agreement shall be made by the Company after giving Employee a reasonable opportunity to be heard.</w:t>
      </w:r>
    </w:p>
    <w:p>
      <w:pPr>
        <w:spacing w:after="0" w:line="174"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EMPLOYEE. Employee may terminate employment hereunder at any time after providing ninety (90) days' written notice to the Company.</w:t>
      </w:r>
    </w:p>
    <w:p>
      <w:pPr>
        <w:spacing w:after="0" w:line="174" w:lineRule="exact"/>
        <w:rPr>
          <w:rFonts w:ascii="Courier New" w:cs="Courier New" w:eastAsia="Courier New" w:hAnsi="Courier New"/>
          <w:sz w:val="15"/>
          <w:szCs w:val="15"/>
          <w:color w:val="auto"/>
        </w:rPr>
      </w:pPr>
    </w:p>
    <w:p>
      <w:pPr>
        <w:ind w:left="790" w:right="3539" w:hanging="790"/>
        <w:spacing w:after="0" w:line="237" w:lineRule="auto"/>
        <w:tabs>
          <w:tab w:leader="none" w:pos="79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The Company may terminate Employee's employment hereunder without Cause at any time after providing written notice to Employee.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6. COMPENSATION FOLLOWING TERMINATION OF EMPLOYMENT.</w:t>
      </w:r>
    </w:p>
    <w:p>
      <w:pPr>
        <w:spacing w:after="0" w:line="175" w:lineRule="exact"/>
        <w:rPr>
          <w:sz w:val="20"/>
          <w:szCs w:val="20"/>
          <w:color w:val="auto"/>
        </w:rPr>
      </w:pPr>
    </w:p>
    <w:p>
      <w:pPr>
        <w:ind w:left="10" w:right="3259"/>
        <w:spacing w:after="0" w:line="265" w:lineRule="auto"/>
        <w:rPr>
          <w:sz w:val="20"/>
          <w:szCs w:val="20"/>
          <w:color w:val="auto"/>
        </w:rPr>
      </w:pPr>
      <w:r>
        <w:rPr>
          <w:rFonts w:ascii="Courier New" w:cs="Courier New" w:eastAsia="Courier New" w:hAnsi="Courier New"/>
          <w:sz w:val="14"/>
          <w:szCs w:val="14"/>
          <w:color w:val="auto"/>
        </w:rPr>
        <w:t>In the event that Employee's employment hereunder is terminated, Employee shall be entitled to the following compensation and benefits upon such termination:</w:t>
      </w:r>
    </w:p>
    <w:p>
      <w:pPr>
        <w:spacing w:after="0" w:line="158" w:lineRule="exact"/>
        <w:rPr>
          <w:sz w:val="20"/>
          <w:szCs w:val="20"/>
          <w:color w:val="auto"/>
        </w:rPr>
      </w:pPr>
    </w:p>
    <w:p>
      <w:pPr>
        <w:ind w:left="790" w:right="3179" w:hanging="790"/>
        <w:spacing w:after="0" w:line="237" w:lineRule="auto"/>
        <w:tabs>
          <w:tab w:leader="none" w:pos="79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DEATH. In the event that Employee's employment is terminated by reason of Employee's death, the Company shall pay the following amounts to Employee's beneficiary or estate:</w:t>
      </w:r>
    </w:p>
    <w:p>
      <w:pPr>
        <w:spacing w:after="0" w:line="174"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death, any accrued but unpaid expenses required to be reimbursed under this Agreement, and any vacation accrued to the date of death.</w:t>
      </w:r>
    </w:p>
    <w:p>
      <w:pPr>
        <w:spacing w:after="0" w:line="176"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1590" w:right="3179" w:hanging="796"/>
        <w:spacing w:after="0" w:line="258" w:lineRule="auto"/>
        <w:tabs>
          <w:tab w:leader="none" w:pos="1590"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Employee's death) which would have been payable to Employee if Employee had continued in employment until the end of the 30 day term beginning on the date of Employee's death. Such amount shall be paid in a single lump sum cash payment within thirty (30) days after Employee's death.</w:t>
      </w:r>
    </w:p>
    <w:p>
      <w:pPr>
        <w:spacing w:after="0" w:line="163" w:lineRule="exact"/>
        <w:rPr>
          <w:rFonts w:ascii="Courier New" w:cs="Courier New" w:eastAsia="Courier New" w:hAnsi="Courier New"/>
          <w:sz w:val="14"/>
          <w:szCs w:val="14"/>
          <w:color w:val="auto"/>
        </w:rPr>
      </w:pPr>
    </w:p>
    <w:p>
      <w:pPr>
        <w:ind w:left="790" w:right="3179" w:hanging="790"/>
        <w:spacing w:after="0" w:line="237" w:lineRule="auto"/>
        <w:tabs>
          <w:tab w:leader="none" w:pos="79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TOTAL DISABILITY. In the event that Employee's employment is terminated by reason of Employee's Total Disability as determined in accordance with Section 5(b), the Company shall pay the following amounts to Employee:</w:t>
      </w:r>
    </w:p>
    <w:p>
      <w:pPr>
        <w:spacing w:after="0" w:line="176"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0" w:lineRule="exact"/>
        <w:rPr>
          <w:rFonts w:ascii="Courier New" w:cs="Courier New" w:eastAsia="Courier New" w:hAnsi="Courier New"/>
          <w:sz w:val="15"/>
          <w:szCs w:val="15"/>
          <w:color w:val="auto"/>
        </w:rPr>
      </w:pPr>
    </w:p>
    <w:p>
      <w:pPr>
        <w:ind w:left="1590" w:hanging="796"/>
        <w:spacing w:after="0"/>
        <w:tabs>
          <w:tab w:leader="none" w:pos="159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w:t>
      </w:r>
    </w:p>
    <w:p>
      <w:pPr>
        <w:spacing w:after="0" w:line="174" w:lineRule="exact"/>
        <w:rPr>
          <w:rFonts w:ascii="Courier New" w:cs="Courier New" w:eastAsia="Courier New" w:hAnsi="Courier New"/>
          <w:sz w:val="15"/>
          <w:szCs w:val="15"/>
          <w:color w:val="auto"/>
        </w:rPr>
      </w:pPr>
    </w:p>
    <w:p>
      <w:pPr>
        <w:ind w:left="2390" w:right="3179" w:hanging="803"/>
        <w:spacing w:after="0" w:line="237" w:lineRule="auto"/>
        <w:tabs>
          <w:tab w:leader="none" w:pos="2390" w:val="left"/>
        </w:tabs>
        <w:numPr>
          <w:ilvl w:val="2"/>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Salary (at the rate in effect as of the date of Employee's Total Disability) which would have been payable to Employee if Employee had continued in active employment</w:t>
      </w:r>
    </w:p>
    <w:p>
      <w:pPr>
        <w:spacing w:after="0" w:line="34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3 of 11</w:t>
      </w:r>
    </w:p>
    <w:p>
      <w:pPr>
        <w:sectPr>
          <w:pgSz w:w="11900" w:h="16838" w:orient="portrait"/>
          <w:cols w:equalWidth="0" w:num="1">
            <w:col w:w="10229"/>
          </w:cols>
          <w:pgMar w:left="230" w:top="283" w:right="1440" w:bottom="1440" w:gutter="0" w:footer="0" w:header="0"/>
        </w:sectPr>
      </w:pPr>
    </w:p>
    <w:bookmarkStart w:id="148" w:name="page149"/>
    <w:bookmarkEnd w:id="148"/>
    <w:p>
      <w:pPr>
        <w:ind w:left="27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until the end of the 6-month period beginning on the</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date of Employee's termination; reduced by</w:t>
      </w:r>
    </w:p>
    <w:p>
      <w:pPr>
        <w:spacing w:after="0" w:line="175" w:lineRule="exact"/>
        <w:rPr>
          <w:sz w:val="20"/>
          <w:szCs w:val="20"/>
          <w:color w:val="auto"/>
        </w:rPr>
      </w:pPr>
    </w:p>
    <w:p>
      <w:pPr>
        <w:ind w:left="2390" w:right="3179" w:hanging="803"/>
        <w:spacing w:after="0" w:line="237" w:lineRule="auto"/>
        <w:tabs>
          <w:tab w:leader="none" w:pos="239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amount of the long term disability benefits payable to Employee under the Company's long-term disability plan as determined prior to the reduction of such benefits under the terms of the plan for other disability income.</w:t>
      </w:r>
    </w:p>
    <w:p>
      <w:pPr>
        <w:spacing w:after="0" w:line="178" w:lineRule="exact"/>
        <w:rPr>
          <w:sz w:val="20"/>
          <w:szCs w:val="20"/>
          <w:color w:val="auto"/>
        </w:rPr>
      </w:pPr>
    </w:p>
    <w:p>
      <w:pPr>
        <w:ind w:left="1590" w:right="3259"/>
        <w:spacing w:after="0" w:line="260" w:lineRule="auto"/>
        <w:rPr>
          <w:sz w:val="20"/>
          <w:szCs w:val="20"/>
          <w:color w:val="auto"/>
        </w:rPr>
      </w:pPr>
      <w:r>
        <w:rPr>
          <w:rFonts w:ascii="Courier New" w:cs="Courier New" w:eastAsia="Courier New" w:hAnsi="Courier New"/>
          <w:sz w:val="14"/>
          <w:szCs w:val="14"/>
          <w:color w:val="auto"/>
        </w:rPr>
        <w:t>Payment shall be made at the same time and in the same manner as such compensation would have been paid if Employee had remained in active employment until the end of such period.</w:t>
      </w:r>
    </w:p>
    <w:p>
      <w:pPr>
        <w:spacing w:after="0" w:line="163" w:lineRule="exact"/>
        <w:rPr>
          <w:sz w:val="20"/>
          <w:szCs w:val="20"/>
          <w:color w:val="auto"/>
        </w:rPr>
      </w:pPr>
    </w:p>
    <w:p>
      <w:pPr>
        <w:ind w:left="790" w:right="3179" w:hanging="790"/>
        <w:spacing w:after="0" w:line="259" w:lineRule="auto"/>
        <w:tabs>
          <w:tab w:leader="none" w:pos="79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OR VOLUNTARY TERMINATION BY EMPLOYEE. In the event that Employee's employment is terminated by the Company for Cause pursuant to Section 5(c), or Employee terminates employment pursuant to Section 5(d), the Company shall pay the following amounts to Employee:</w:t>
      </w:r>
    </w:p>
    <w:p>
      <w:pPr>
        <w:spacing w:after="0" w:line="162" w:lineRule="exact"/>
        <w:rPr>
          <w:rFonts w:ascii="Courier New" w:cs="Courier New" w:eastAsia="Courier New" w:hAnsi="Courier New"/>
          <w:sz w:val="14"/>
          <w:szCs w:val="14"/>
          <w:color w:val="auto"/>
        </w:rPr>
      </w:pPr>
    </w:p>
    <w:p>
      <w:pPr>
        <w:ind w:left="1590" w:right="3359" w:hanging="796"/>
        <w:spacing w:after="0" w:line="237" w:lineRule="auto"/>
        <w:tabs>
          <w:tab w:leader="none" w:pos="159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In the event that Employee's employment is terminated by the Company pursuant to Section 5(e) for reasons other than death, Total Disability or Cause, the Company shall pay the following amounts to Employee:</w:t>
      </w:r>
    </w:p>
    <w:p>
      <w:pPr>
        <w:spacing w:after="0" w:line="176"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Salary (at the rate in effect as of the date of Employee's termination) which would have been payable to Employee if Employee had continued in active employment until the later of: (a) the period ending on the last day of the current term; or (b) the end of the twelve (12) month period beginning on the date of Employee's termination. Payment shall be made at the same time and in the same manner as such compensation would have been paid if Employee had remained in active employment until the end of such period. The Employee shall also be eligible for a bonus or incentive compensation payment to the extent bonuses are paid to similarly situated employees, pro-rated for the year in which the Employee is terminated, and paid when similarly situated employees are paid.</w:t>
      </w:r>
    </w:p>
    <w:p>
      <w:pPr>
        <w:spacing w:after="0" w:line="183" w:lineRule="exact"/>
        <w:rPr>
          <w:rFonts w:ascii="Courier New" w:cs="Courier New" w:eastAsia="Courier New" w:hAnsi="Courier New"/>
          <w:sz w:val="15"/>
          <w:szCs w:val="15"/>
          <w:color w:val="auto"/>
        </w:rPr>
      </w:pPr>
    </w:p>
    <w:p>
      <w:pPr>
        <w:ind w:left="1590" w:right="3179" w:hanging="796"/>
        <w:spacing w:after="0" w:line="256" w:lineRule="auto"/>
        <w:tabs>
          <w:tab w:leader="none" w:pos="159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Employee and Employee's spouse and dependents, group health plans, programs or arrangements, in which Employee was entitled to participate at any time during the twelve-month period prior to the date of termination, until the earlier of:</w:t>
      </w:r>
    </w:p>
    <w:p>
      <w:pPr>
        <w:spacing w:after="0" w:line="1" w:lineRule="exact"/>
        <w:rPr>
          <w:rFonts w:ascii="Courier New" w:cs="Courier New" w:eastAsia="Courier New" w:hAnsi="Courier New"/>
          <w:sz w:val="14"/>
          <w:szCs w:val="14"/>
          <w:color w:val="auto"/>
        </w:rPr>
      </w:pPr>
    </w:p>
    <w:p>
      <w:pPr>
        <w:ind w:left="1590" w:right="3179" w:hanging="3"/>
        <w:spacing w:after="0" w:line="238" w:lineRule="auto"/>
        <w:tabs>
          <w:tab w:leader="none" w:pos="1942" w:val="left"/>
        </w:tabs>
        <w:numPr>
          <w:ilvl w:val="2"/>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last day of period during which Employee receives payment in accordance with clause (iii) above; (b) Employee's death (provided that benefits payable to Employee's beneficiaries shall not terminate upon Employee's death); or (c) with respect to any particular plan, program or arrangement, the date Employee becomes covered by a comparable benefit provided by a subsequent employer.</w:t>
      </w:r>
    </w:p>
    <w:p>
      <w:pPr>
        <w:spacing w:after="0" w:line="34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4 of 11</w:t>
      </w:r>
    </w:p>
    <w:p>
      <w:pPr>
        <w:sectPr>
          <w:pgSz w:w="11900" w:h="16838" w:orient="portrait"/>
          <w:cols w:equalWidth="0" w:num="1">
            <w:col w:w="10229"/>
          </w:cols>
          <w:pgMar w:left="230" w:top="283" w:right="1440" w:bottom="1440" w:gutter="0" w:footer="0" w:header="0"/>
        </w:sectPr>
      </w:pPr>
    </w:p>
    <w:bookmarkStart w:id="149" w:name="page150"/>
    <w:bookmarkEnd w:id="149"/>
    <w:p>
      <w:pPr>
        <w:ind w:left="270"/>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left="790" w:right="3179" w:hanging="790"/>
        <w:spacing w:after="0" w:line="238" w:lineRule="auto"/>
        <w:tabs>
          <w:tab w:leader="none" w:pos="79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BENEFITS OR COMPENSATION. Except as may be provided under this Agreement, under the terms of any incentive compensation, employee benefit, or fringe benefit plan applicable to Employee at the time of Employee's termination or resignation of employment, Employee shall have no right to receive any other compensation, or to participate in any other plan, arrangement or benefit, with respect to future periods after such termination or resignation.</w:t>
      </w:r>
    </w:p>
    <w:p>
      <w:pPr>
        <w:spacing w:after="0" w:line="177" w:lineRule="exact"/>
        <w:rPr>
          <w:sz w:val="20"/>
          <w:szCs w:val="20"/>
          <w:color w:val="auto"/>
        </w:rPr>
      </w:pPr>
    </w:p>
    <w:p>
      <w:pPr>
        <w:ind w:left="790" w:right="3359" w:hanging="790"/>
        <w:spacing w:after="0" w:line="237" w:lineRule="auto"/>
        <w:tabs>
          <w:tab w:leader="none" w:pos="79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OR TERMINATION OF BENEFITS AND COMPENSATION. In the event that the Company, in its sole discretion determines that, without the Company's express written consent, Employee has</w:t>
      </w:r>
    </w:p>
    <w:p>
      <w:pPr>
        <w:spacing w:after="0" w:line="174"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77"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183" w:lineRule="exact"/>
        <w:rPr>
          <w:sz w:val="20"/>
          <w:szCs w:val="20"/>
          <w:color w:val="auto"/>
        </w:rPr>
      </w:pPr>
    </w:p>
    <w:p>
      <w:pPr>
        <w:ind w:left="790" w:right="3259"/>
        <w:spacing w:after="0" w:line="237" w:lineRule="auto"/>
        <w:rPr>
          <w:sz w:val="20"/>
          <w:szCs w:val="20"/>
          <w:color w:val="auto"/>
        </w:rPr>
      </w:pPr>
      <w:r>
        <w:rPr>
          <w:rFonts w:ascii="Courier New" w:cs="Courier New" w:eastAsia="Courier New" w:hAnsi="Courier New"/>
          <w:sz w:val="15"/>
          <w:szCs w:val="15"/>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178" w:lineRule="exact"/>
        <w:rPr>
          <w:sz w:val="20"/>
          <w:szCs w:val="20"/>
          <w:color w:val="auto"/>
        </w:rPr>
      </w:pPr>
    </w:p>
    <w:p>
      <w:pPr>
        <w:ind w:left="10" w:right="3359" w:hanging="10"/>
        <w:spacing w:after="0" w:line="235" w:lineRule="auto"/>
        <w:tabs>
          <w:tab w:leader="none" w:pos="27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BY EXECUTIVE FOR GOOD REASON AND COMPENSATION PAYABLE FOLLOWING CHANGE IN CONTROL.</w:t>
      </w:r>
    </w:p>
    <w:p>
      <w:pPr>
        <w:spacing w:after="0" w:line="176" w:lineRule="exact"/>
        <w:rPr>
          <w:sz w:val="20"/>
          <w:szCs w:val="20"/>
          <w:color w:val="auto"/>
        </w:rPr>
      </w:pPr>
    </w:p>
    <w:p>
      <w:pPr>
        <w:ind w:left="790" w:right="3179" w:hanging="790"/>
        <w:spacing w:after="0" w:line="238" w:lineRule="auto"/>
        <w:tabs>
          <w:tab w:leader="none" w:pos="79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177"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removal of Executive as President of Canadian Waste Services, Inc., except in connection with the termination of Executive's employment as a result of death, or by the Company for Disability or Cause, or by Executive other than for the reasons described in this Section 7(a);</w:t>
      </w:r>
    </w:p>
    <w:p>
      <w:pPr>
        <w:spacing w:after="0" w:line="178" w:lineRule="exact"/>
        <w:rPr>
          <w:rFonts w:ascii="Courier New" w:cs="Courier New" w:eastAsia="Courier New" w:hAnsi="Courier New"/>
          <w:sz w:val="15"/>
          <w:szCs w:val="15"/>
          <w:color w:val="auto"/>
        </w:rPr>
      </w:pPr>
    </w:p>
    <w:p>
      <w:pPr>
        <w:ind w:left="1590" w:right="3439" w:hanging="796"/>
        <w:spacing w:after="0" w:line="237" w:lineRule="auto"/>
        <w:tabs>
          <w:tab w:leader="none" w:pos="159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by the Company in Executive's Base Salary as in effect immediately before a Change in Control plus all increases therein subsequent thereto;</w:t>
      </w:r>
    </w:p>
    <w:p>
      <w:pPr>
        <w:spacing w:after="0" w:line="174"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180" w:lineRule="exact"/>
        <w:rPr>
          <w:rFonts w:ascii="Courier New" w:cs="Courier New" w:eastAsia="Courier New" w:hAnsi="Courier New"/>
          <w:sz w:val="15"/>
          <w:szCs w:val="15"/>
          <w:color w:val="auto"/>
        </w:rPr>
      </w:pPr>
    </w:p>
    <w:p>
      <w:pPr>
        <w:ind w:left="1590" w:right="3799" w:hanging="796"/>
        <w:spacing w:after="0" w:line="235" w:lineRule="auto"/>
        <w:tabs>
          <w:tab w:leader="none" w:pos="159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to provide Executive with an appropriate adjustment to compensation</w:t>
      </w:r>
    </w:p>
    <w:p>
      <w:pPr>
        <w:sectPr>
          <w:pgSz w:w="11900" w:h="16838" w:orient="portrait"/>
          <w:cols w:equalWidth="0" w:num="1">
            <w:col w:w="10229"/>
          </w:cols>
          <w:pgMar w:left="230" w:top="283" w:right="1440" w:bottom="1440" w:gutter="0" w:footer="0" w:header="0"/>
        </w:sectPr>
      </w:pPr>
    </w:p>
    <w:p>
      <w:pPr>
        <w:spacing w:after="0" w:line="345"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Page 5 of 11</w:t>
      </w:r>
    </w:p>
    <w:p>
      <w:pPr>
        <w:sectPr>
          <w:pgSz w:w="11900" w:h="16838" w:orient="portrait"/>
          <w:cols w:equalWidth="0" w:num="1">
            <w:col w:w="10229"/>
          </w:cols>
          <w:pgMar w:left="230" w:top="283" w:right="1440" w:bottom="1440" w:gutter="0" w:footer="0" w:header="0"/>
          <w:type w:val="continuous"/>
        </w:sectPr>
      </w:pPr>
    </w:p>
    <w:bookmarkStart w:id="150" w:name="page151"/>
    <w:bookmarkEnd w:id="150"/>
    <w:p>
      <w:pPr>
        <w:ind w:left="27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left="1590" w:right="3259"/>
        <w:spacing w:after="0" w:line="238" w:lineRule="auto"/>
        <w:rPr>
          <w:sz w:val="20"/>
          <w:szCs w:val="20"/>
          <w:color w:val="auto"/>
        </w:rPr>
      </w:pPr>
      <w:r>
        <w:rPr>
          <w:rFonts w:ascii="Courier New" w:cs="Courier New" w:eastAsia="Courier New" w:hAnsi="Courier New"/>
          <w:sz w:val="15"/>
          <w:szCs w:val="15"/>
          <w:color w:val="auto"/>
        </w:rPr>
        <w:t>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185" w:lineRule="exact"/>
        <w:rPr>
          <w:sz w:val="20"/>
          <w:szCs w:val="20"/>
          <w:color w:val="auto"/>
        </w:rPr>
      </w:pPr>
    </w:p>
    <w:p>
      <w:pPr>
        <w:ind w:left="1590" w:right="3179" w:hanging="796"/>
        <w:spacing w:after="0" w:line="237" w:lineRule="auto"/>
        <w:tabs>
          <w:tab w:leader="none" w:pos="159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178"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obtain an assumption of, and agreement to perform the obligations of the Company under this Agreement by any successor to the Company.</w:t>
      </w:r>
    </w:p>
    <w:p>
      <w:pPr>
        <w:spacing w:after="0" w:line="174"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PAYABLE. In the event that Executive terminates employment pursuant to Section 7(a), the Company shall pay the following amounts to Executive:</w:t>
      </w:r>
    </w:p>
    <w:p>
      <w:pPr>
        <w:spacing w:after="0" w:line="174"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rFonts w:ascii="Courier New" w:cs="Courier New" w:eastAsia="Courier New" w:hAnsi="Courier New"/>
          <w:sz w:val="15"/>
          <w:szCs w:val="15"/>
          <w:color w:val="auto"/>
        </w:rPr>
      </w:pPr>
    </w:p>
    <w:p>
      <w:pPr>
        <w:ind w:left="1590" w:right="3179" w:hanging="796"/>
        <w:spacing w:after="0" w:line="237" w:lineRule="auto"/>
        <w:tabs>
          <w:tab w:leader="none" w:pos="159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1590" w:right="3259" w:hanging="796"/>
        <w:spacing w:after="0" w:line="237" w:lineRule="auto"/>
        <w:tabs>
          <w:tab w:leader="none" w:pos="159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payments and benefits provided for in Section 6(d) except that the period with respect to which severance is calculated pursuant to Section 6 (d) (iii) will be three years and the benefit continuation period in Section (d) (iv) will be three years.</w:t>
      </w:r>
    </w:p>
    <w:p>
      <w:pPr>
        <w:spacing w:after="0" w:line="178"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183" w:lineRule="exact"/>
        <w:rPr>
          <w:sz w:val="20"/>
          <w:szCs w:val="20"/>
          <w:color w:val="auto"/>
        </w:rPr>
      </w:pPr>
    </w:p>
    <w:p>
      <w:pPr>
        <w:ind w:left="790" w:right="3439"/>
        <w:spacing w:after="0" w:line="238" w:lineRule="auto"/>
        <w:rPr>
          <w:sz w:val="20"/>
          <w:szCs w:val="20"/>
          <w:color w:val="auto"/>
        </w:rPr>
      </w:pPr>
      <w:r>
        <w:rPr>
          <w:rFonts w:ascii="Courier New" w:cs="Courier New" w:eastAsia="Courier New" w:hAnsi="Courier New"/>
          <w:sz w:val="15"/>
          <w:szCs w:val="15"/>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77" w:lineRule="exact"/>
        <w:rPr>
          <w:sz w:val="20"/>
          <w:szCs w:val="20"/>
          <w:color w:val="auto"/>
        </w:rPr>
      </w:pPr>
    </w:p>
    <w:p>
      <w:pPr>
        <w:ind w:left="790" w:right="3259" w:hanging="790"/>
        <w:spacing w:after="0" w:line="238" w:lineRule="auto"/>
        <w:tabs>
          <w:tab w:leader="none" w:pos="79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w:t>
      </w:r>
    </w:p>
    <w:p>
      <w:pPr>
        <w:sectPr>
          <w:pgSz w:w="11900" w:h="16838" w:orient="portrait"/>
          <w:cols w:equalWidth="0" w:num="1">
            <w:col w:w="10229"/>
          </w:cols>
          <w:pgMar w:left="230" w:top="283" w:right="1440" w:bottom="1440" w:gutter="0" w:footer="0" w:header="0"/>
        </w:sectPr>
      </w:pPr>
    </w:p>
    <w:p>
      <w:pPr>
        <w:spacing w:after="0" w:line="351"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Page 6 of 11</w:t>
      </w:r>
    </w:p>
    <w:p>
      <w:pPr>
        <w:sectPr>
          <w:pgSz w:w="11900" w:h="16838" w:orient="portrait"/>
          <w:cols w:equalWidth="0" w:num="1">
            <w:col w:w="10229"/>
          </w:cols>
          <w:pgMar w:left="230" w:top="283" w:right="1440" w:bottom="1440" w:gutter="0" w:footer="0" w:header="0"/>
          <w:type w:val="continuous"/>
        </w:sectPr>
      </w:pPr>
    </w:p>
    <w:bookmarkStart w:id="151" w:name="page152"/>
    <w:bookmarkEnd w:id="151"/>
    <w:p>
      <w:pPr>
        <w:ind w:left="27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179"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178" w:lineRule="exact"/>
        <w:rPr>
          <w:sz w:val="20"/>
          <w:szCs w:val="20"/>
          <w:color w:val="auto"/>
        </w:rPr>
      </w:pPr>
    </w:p>
    <w:p>
      <w:pPr>
        <w:ind w:left="790" w:right="3259" w:hanging="790"/>
        <w:spacing w:after="0" w:line="235" w:lineRule="auto"/>
        <w:tabs>
          <w:tab w:leader="none" w:pos="79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For purposes of this Agreement, "Change in Control" means the occurrence of any of the following events:</w:t>
      </w:r>
    </w:p>
    <w:p>
      <w:pPr>
        <w:spacing w:after="0" w:line="175"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179" w:lineRule="exact"/>
        <w:rPr>
          <w:rFonts w:ascii="Courier New" w:cs="Courier New" w:eastAsia="Courier New" w:hAnsi="Courier New"/>
          <w:sz w:val="15"/>
          <w:szCs w:val="15"/>
          <w:color w:val="auto"/>
        </w:rPr>
      </w:pPr>
    </w:p>
    <w:p>
      <w:pPr>
        <w:ind w:left="1590" w:right="3179" w:hanging="796"/>
        <w:spacing w:after="0" w:line="238" w:lineRule="auto"/>
        <w:tabs>
          <w:tab w:leader="none" w:pos="1590"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8. RESTRICTIVE COVENANTS</w:t>
      </w:r>
    </w:p>
    <w:p>
      <w:pPr>
        <w:spacing w:after="0" w:line="175" w:lineRule="exact"/>
        <w:rPr>
          <w:sz w:val="20"/>
          <w:szCs w:val="20"/>
          <w:color w:val="auto"/>
        </w:rPr>
      </w:pPr>
    </w:p>
    <w:p>
      <w:pPr>
        <w:ind w:left="790" w:right="3179" w:hanging="790"/>
        <w:spacing w:after="0" w:line="239" w:lineRule="auto"/>
        <w:tabs>
          <w:tab w:leader="none" w:pos="79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ACTIVITY. Employee covenants and agrees that at all times during Employee's period of employment with the Company, and while Employee is receiving payments pursuant to Section 6 of this Agreement, Employee will not, directly or indirectly,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Furthermore, in consideration of the specialized training and access to confidential information, for a period of one (1) year after the date of termination of Employee's employment, or one (1) year following the cessation of payments made pursuant to Section 6 of this Agreement, whether such termination is voluntary or involuntary, by wrongful discharge, or otherwise, whichever date is later, Employee will not directly or indirectly, engage in a competitive activity in any of the geographic markets in which the Employee has worked for the twelve (12) months preceding his termination, or within 75 miles of the principal place of business of the Company, the principal place of business of any corporation or other entity owned, controlled by (or otherwise affiliated with) the Company by which Employee may also be employed or served by Employee, or any other geographic location in which Employee has specifically represented the interests of the Company or such other affiliated entity, during the twelve (12) months prior to the termination of Employee's employment,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w:t>
      </w:r>
    </w:p>
    <w:p>
      <w:pPr>
        <w:sectPr>
          <w:pgSz w:w="11900" w:h="16838" w:orient="portrait"/>
          <w:cols w:equalWidth="0" w:num="1">
            <w:col w:w="10229"/>
          </w:cols>
          <w:pgMar w:left="230" w:top="283" w:right="1440" w:bottom="1440" w:gutter="0" w:footer="0" w:header="0"/>
        </w:sectPr>
      </w:pPr>
    </w:p>
    <w:p>
      <w:pPr>
        <w:spacing w:after="0" w:line="348"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Page 7 of 11</w:t>
      </w:r>
    </w:p>
    <w:p>
      <w:pPr>
        <w:sectPr>
          <w:pgSz w:w="11900" w:h="16838" w:orient="portrait"/>
          <w:cols w:equalWidth="0" w:num="1">
            <w:col w:w="10229"/>
          </w:cols>
          <w:pgMar w:left="230" w:top="283" w:right="1440" w:bottom="1440" w:gutter="0" w:footer="0" w:header="0"/>
          <w:type w:val="continuous"/>
        </w:sectPr>
      </w:pPr>
    </w:p>
    <w:bookmarkStart w:id="152" w:name="page153"/>
    <w:bookmarkEnd w:id="152"/>
    <w:p>
      <w:pPr>
        <w:ind w:left="27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790" w:right="3179"/>
        <w:spacing w:after="0" w:line="237" w:lineRule="auto"/>
        <w:rPr>
          <w:sz w:val="20"/>
          <w:szCs w:val="20"/>
          <w:color w:val="auto"/>
        </w:rPr>
      </w:pPr>
      <w:r>
        <w:rPr>
          <w:rFonts w:ascii="Courier New" w:cs="Courier New" w:eastAsia="Courier New" w:hAnsi="Courier New"/>
          <w:sz w:val="15"/>
          <w:szCs w:val="15"/>
          <w:color w:val="auto"/>
        </w:rPr>
        <w:t>which, directly or indirectly, is engaged in the same business as that conducted and carried on by the Company, without the Company's specific written consent to do so.</w:t>
      </w:r>
    </w:p>
    <w:p>
      <w:pPr>
        <w:spacing w:after="0" w:line="175" w:lineRule="exact"/>
        <w:rPr>
          <w:sz w:val="20"/>
          <w:szCs w:val="20"/>
          <w:color w:val="auto"/>
        </w:rPr>
      </w:pPr>
    </w:p>
    <w:p>
      <w:pPr>
        <w:ind w:left="790" w:right="3179" w:hanging="790"/>
        <w:spacing w:after="0" w:line="239" w:lineRule="auto"/>
        <w:tabs>
          <w:tab w:leader="none" w:pos="79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Employee covenants and agrees that at all times during Employee's period of employment with the Company, and for a period of one (1) year after the date of termination of Employee's employment, or the date of the cessation of payments made to the Employee pursuant to Section 6 of this Agreement, whichever is later, whether such termination is voluntary or involuntary by wrongful discharge, or otherwise, Employee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of through any person, firm, association or corporation with which Employee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w:t>
      </w:r>
    </w:p>
    <w:p>
      <w:pPr>
        <w:spacing w:after="0" w:line="176"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Employee covenants and agrees that Employee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77" w:lineRule="exact"/>
        <w:rPr>
          <w:rFonts w:ascii="Courier New" w:cs="Courier New" w:eastAsia="Courier New" w:hAnsi="Courier New"/>
          <w:sz w:val="15"/>
          <w:szCs w:val="15"/>
          <w:color w:val="auto"/>
        </w:rPr>
      </w:pPr>
    </w:p>
    <w:p>
      <w:pPr>
        <w:ind w:left="790" w:right="3259" w:hanging="790"/>
        <w:spacing w:after="0" w:line="256" w:lineRule="auto"/>
        <w:tabs>
          <w:tab w:leader="none" w:pos="79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Employee recognizes and acknowledges that Employee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0" w:right="3179" w:firstLine="4"/>
        <w:spacing w:after="0" w:line="257" w:lineRule="auto"/>
        <w:tabs>
          <w:tab w:leader="none" w:pos="1230"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 Employee therefore covenants and agrees that Employee will not at any time, either while employed by the Company or afterwards, knowingly make any independent use of, or knowingly disclose to any other person or organization (except as authorized by the Company) any of the Protected Information.</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9. ENFORCEMENT OF COVENANTS.</w:t>
      </w:r>
    </w:p>
    <w:p>
      <w:pPr>
        <w:spacing w:after="0" w:line="175" w:lineRule="exact"/>
        <w:rPr>
          <w:sz w:val="20"/>
          <w:szCs w:val="20"/>
          <w:color w:val="auto"/>
        </w:rPr>
      </w:pPr>
    </w:p>
    <w:p>
      <w:pPr>
        <w:ind w:left="790" w:right="3179" w:hanging="790"/>
        <w:spacing w:after="0" w:line="238" w:lineRule="auto"/>
        <w:tabs>
          <w:tab w:leader="none" w:pos="79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AND FORFEITURE OF COMPENSATION. Employee agrees that any breach by Employee of any of the covenants set forth in Section 7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177"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INJUNCTION. Employee acknowledges that a breach of the covenants set forth in Section 7 hereof will cause irreparable damage to the Company with respect to which the Company's remedy at law for damages will be inadequate. Therefore, in the event of breach of anticipatory breach of the covenants set</w:t>
      </w:r>
    </w:p>
    <w:p>
      <w:pPr>
        <w:sectPr>
          <w:pgSz w:w="11900" w:h="16838" w:orient="portrait"/>
          <w:cols w:equalWidth="0" w:num="1">
            <w:col w:w="10229"/>
          </w:cols>
          <w:pgMar w:left="230" w:top="283" w:right="1440" w:bottom="1440" w:gutter="0" w:footer="0" w:header="0"/>
        </w:sectPr>
      </w:pPr>
    </w:p>
    <w:p>
      <w:pPr>
        <w:spacing w:after="0" w:line="348" w:lineRule="exact"/>
        <w:rPr>
          <w:sz w:val="20"/>
          <w:szCs w:val="20"/>
          <w:color w:val="auto"/>
        </w:rPr>
      </w:pPr>
    </w:p>
    <w:p>
      <w:pPr>
        <w:ind w:left="2990"/>
        <w:spacing w:after="0"/>
        <w:rPr>
          <w:sz w:val="20"/>
          <w:szCs w:val="20"/>
          <w:color w:val="auto"/>
        </w:rPr>
      </w:pPr>
      <w:r>
        <w:rPr>
          <w:rFonts w:ascii="Courier New" w:cs="Courier New" w:eastAsia="Courier New" w:hAnsi="Courier New"/>
          <w:sz w:val="14"/>
          <w:szCs w:val="14"/>
          <w:color w:val="auto"/>
        </w:rPr>
        <w:t>Page 8 of 11</w:t>
      </w:r>
    </w:p>
    <w:p>
      <w:pPr>
        <w:sectPr>
          <w:pgSz w:w="11900" w:h="16838" w:orient="portrait"/>
          <w:cols w:equalWidth="0" w:num="1">
            <w:col w:w="10229"/>
          </w:cols>
          <w:pgMar w:left="230" w:top="283" w:right="1440" w:bottom="1440" w:gutter="0" w:footer="0" w:header="0"/>
          <w:type w:val="continuous"/>
        </w:sectPr>
      </w:pPr>
    </w:p>
    <w:bookmarkStart w:id="153" w:name="page154"/>
    <w:bookmarkEnd w:id="153"/>
    <w:p>
      <w:pPr>
        <w:ind w:left="27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left="790" w:right="3179"/>
        <w:spacing w:after="0" w:line="257" w:lineRule="auto"/>
        <w:rPr>
          <w:sz w:val="20"/>
          <w:szCs w:val="20"/>
          <w:color w:val="auto"/>
        </w:rPr>
      </w:pPr>
      <w:r>
        <w:rPr>
          <w:rFonts w:ascii="Courier New" w:cs="Courier New" w:eastAsia="Courier New" w:hAnsi="Courier New"/>
          <w:sz w:val="14"/>
          <w:szCs w:val="14"/>
          <w:color w:val="auto"/>
        </w:rPr>
        <w:t>forth in this section by Employee, Employee and the Company agree that the Company shall be entitled to the following particular forms of relief, in addition to remedies otherwise available to it at law or equity; (i) injunctions, both preliminary and permanent, enjoining or retraining such breach or anticipatory breach and Employee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167" w:lineRule="exact"/>
        <w:rPr>
          <w:sz w:val="20"/>
          <w:szCs w:val="20"/>
          <w:color w:val="auto"/>
        </w:rPr>
      </w:pPr>
    </w:p>
    <w:p>
      <w:pPr>
        <w:ind w:left="790" w:right="3179" w:hanging="790"/>
        <w:spacing w:after="0" w:line="257" w:lineRule="auto"/>
        <w:tabs>
          <w:tab w:leader="none" w:pos="79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7 hereof constitute a series of separate covenants, one for each applicable State in the United States and the District of Columbia, and one for each applicable foreign country. If in any judicial proceeding, a court shall hold that any of the covenants set forth in Section 7 exceed the time, geographic, or occupational 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Employee and the Company further agree that the covenants in Section 7 shall each be construed as a separate agreement independent of any other provisions of this Agreement, and the existence of any claim or cause of action by Employee against the Company whether predicated on this Agreement or otherwise, shall not constitute a defense to the enforcement by the Company of any of the covenants of Section 7.</w:t>
      </w:r>
    </w:p>
    <w:p>
      <w:pPr>
        <w:spacing w:after="0" w:line="32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WITHHOLDING OF TAXES.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Company may withhold from any compensation and benefits payable under this Agreement all applicable federal, state, local, or other taxes.</w:t>
      </w:r>
    </w:p>
    <w:p>
      <w:pPr>
        <w:spacing w:after="0" w:line="340"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Page 9 of 11</w:t>
      </w:r>
    </w:p>
    <w:p>
      <w:pPr>
        <w:sectPr>
          <w:pgSz w:w="11900" w:h="16838" w:orient="portrait"/>
          <w:cols w:equalWidth="0" w:num="1">
            <w:col w:w="10229"/>
          </w:cols>
          <w:pgMar w:left="230" w:top="283"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10</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NON-DISCLOSURE OF AGREEMENT TERMS.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SOURCE OF PAYMENTS.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ASSIGNMENT.</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Except as otherwise provided in this Agreement, this Agreement shall inure to the benefit of and be binding upon the parties hereto and their respective heirs, representatives, successors and assigns. This Agreement shall not be assignable by Employee.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ENTIRE AGREEMENT; AMENDMENT.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GOVERNING LAW.</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Texas, applicable to agreements made and to be performed in that State, without regard to its conflict of laws provisions.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NOTICES.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219"/>
          </w:cols>
          <w:pgMar w:left="240" w:top="283" w:right="1440" w:bottom="1440" w:gutter="0" w:footer="0" w:header="0"/>
        </w:sectPr>
      </w:pPr>
    </w:p>
    <w:p>
      <w:pPr>
        <w:spacing w:after="0" w:line="176"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rPr>
          <w:sz w:val="20"/>
          <w:szCs w:val="20"/>
          <w:color w:val="auto"/>
        </w:rPr>
      </w:pPr>
      <w:r>
        <w:rPr>
          <w:rFonts w:ascii="Courier New" w:cs="Courier New" w:eastAsia="Courier New" w:hAnsi="Courier New"/>
          <w:sz w:val="15"/>
          <w:szCs w:val="15"/>
          <w:color w:val="auto"/>
        </w:rPr>
        <w:t>1001 Fannin, Suite 4000</w:t>
      </w:r>
    </w:p>
    <w:p>
      <w:pPr>
        <w:spacing w:after="0"/>
        <w:rPr>
          <w:sz w:val="20"/>
          <w:szCs w:val="20"/>
          <w:color w:val="auto"/>
        </w:rPr>
      </w:pPr>
      <w:r>
        <w:rPr>
          <w:rFonts w:ascii="Courier New" w:cs="Courier New" w:eastAsia="Courier New" w:hAnsi="Courier New"/>
          <w:sz w:val="15"/>
          <w:szCs w:val="15"/>
          <w:color w:val="auto"/>
        </w:rPr>
        <w:t>Houston, Texas 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80" w:lineRule="exact"/>
        <w:rPr>
          <w:sz w:val="20"/>
          <w:szCs w:val="20"/>
          <w:color w:val="auto"/>
        </w:rPr>
      </w:pPr>
    </w:p>
    <w:p>
      <w:pPr>
        <w:sectPr>
          <w:pgSz w:w="11900" w:h="16838" w:orient="portrait"/>
          <w:cols w:equalWidth="0" w:num="2">
            <w:col w:w="2180" w:space="720"/>
            <w:col w:w="731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the address for Employee set forth below.</w:t>
      </w:r>
    </w:p>
    <w:p>
      <w:pPr>
        <w:spacing w:after="0" w:line="200" w:lineRule="exact"/>
        <w:rPr>
          <w:sz w:val="20"/>
          <w:szCs w:val="20"/>
          <w:color w:val="auto"/>
        </w:rPr>
      </w:pPr>
    </w:p>
    <w:p>
      <w:pPr>
        <w:sectPr>
          <w:pgSz w:w="11900" w:h="16838" w:orient="portrait"/>
          <w:cols w:equalWidth="0" w:num="2">
            <w:col w:w="2180" w:space="720"/>
            <w:col w:w="7319"/>
          </w:cols>
          <w:pgMar w:left="240" w:top="283" w:right="1440" w:bottom="1440" w:gutter="0" w:footer="0" w:header="0"/>
          <w:type w:val="continuous"/>
        </w:sectPr>
      </w:pPr>
    </w:p>
    <w:p>
      <w:pPr>
        <w:spacing w:after="0" w:line="15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Page 10 of 11</w:t>
      </w:r>
    </w:p>
    <w:p>
      <w:pPr>
        <w:sectPr>
          <w:pgSz w:w="11900" w:h="16838" w:orient="portrait"/>
          <w:cols w:equalWidth="0" w:num="1">
            <w:col w:w="10219"/>
          </w:cols>
          <w:pgMar w:left="240" w:top="283" w:right="1440" w:bottom="1440" w:gutter="0" w:footer="0" w:header="0"/>
          <w:type w:val="continuous"/>
        </w:sectPr>
      </w:pPr>
    </w:p>
    <w:bookmarkStart w:id="155" w:name="page156"/>
    <w:bookmarkEnd w:id="155"/>
    <w:p>
      <w:pPr>
        <w:ind w:left="270"/>
        <w:spacing w:after="0"/>
        <w:rPr>
          <w:sz w:val="20"/>
          <w:szCs w:val="20"/>
          <w:color w:val="auto"/>
        </w:rPr>
      </w:pPr>
      <w:r>
        <w:rPr>
          <w:rFonts w:ascii="Courier New" w:cs="Courier New" w:eastAsia="Courier New" w:hAnsi="Courier New"/>
          <w:sz w:val="15"/>
          <w:szCs w:val="15"/>
          <w:color w:val="auto"/>
        </w:rPr>
        <w:t>11</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 MISCELLANEOUS.</w:t>
      </w:r>
    </w:p>
    <w:p>
      <w:pPr>
        <w:spacing w:after="0" w:line="175" w:lineRule="exact"/>
        <w:rPr>
          <w:sz w:val="20"/>
          <w:szCs w:val="20"/>
          <w:color w:val="auto"/>
        </w:rPr>
      </w:pPr>
    </w:p>
    <w:p>
      <w:pPr>
        <w:ind w:left="790" w:right="3179" w:hanging="790"/>
        <w:spacing w:after="0" w:line="259" w:lineRule="auto"/>
        <w:tabs>
          <w:tab w:leader="none" w:pos="79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2" w:lineRule="exact"/>
        <w:rPr>
          <w:rFonts w:ascii="Courier New" w:cs="Courier New" w:eastAsia="Courier New" w:hAnsi="Courier New"/>
          <w:sz w:val="14"/>
          <w:szCs w:val="14"/>
          <w:color w:val="auto"/>
        </w:rPr>
      </w:pPr>
    </w:p>
    <w:p>
      <w:pPr>
        <w:ind w:left="790" w:right="3259" w:hanging="790"/>
        <w:spacing w:after="0" w:line="237" w:lineRule="auto"/>
        <w:tabs>
          <w:tab w:leader="none" w:pos="79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Subject to Section 8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78" w:lineRule="exact"/>
        <w:rPr>
          <w:rFonts w:ascii="Courier New" w:cs="Courier New" w:eastAsia="Courier New" w:hAnsi="Courier New"/>
          <w:sz w:val="15"/>
          <w:szCs w:val="15"/>
          <w:color w:val="auto"/>
        </w:rPr>
      </w:pPr>
    </w:p>
    <w:p>
      <w:pPr>
        <w:ind w:left="790" w:right="3179" w:hanging="790"/>
        <w:spacing w:after="0" w:line="237" w:lineRule="auto"/>
        <w:tabs>
          <w:tab w:leader="none" w:pos="79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are used herein for convenience of reference only and shall not affect the meaning of any provision of this Agreement.</w:t>
      </w:r>
    </w:p>
    <w:p>
      <w:pPr>
        <w:spacing w:after="0" w:line="174" w:lineRule="exact"/>
        <w:rPr>
          <w:rFonts w:ascii="Courier New" w:cs="Courier New" w:eastAsia="Courier New" w:hAnsi="Courier New"/>
          <w:sz w:val="15"/>
          <w:szCs w:val="15"/>
          <w:color w:val="auto"/>
        </w:rPr>
      </w:pPr>
    </w:p>
    <w:p>
      <w:pPr>
        <w:ind w:left="790" w:right="3179" w:hanging="790"/>
        <w:spacing w:after="0" w:line="235" w:lineRule="auto"/>
        <w:tabs>
          <w:tab w:leader="none" w:pos="79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Whenever the context so requires, the use of the singular shall be deemed to include the plural and vice versa.</w:t>
      </w:r>
    </w:p>
    <w:p>
      <w:pPr>
        <w:spacing w:after="0" w:line="175" w:lineRule="exact"/>
        <w:rPr>
          <w:rFonts w:ascii="Courier New" w:cs="Courier New" w:eastAsia="Courier New" w:hAnsi="Courier New"/>
          <w:sz w:val="15"/>
          <w:szCs w:val="15"/>
          <w:color w:val="auto"/>
        </w:rPr>
      </w:pPr>
    </w:p>
    <w:p>
      <w:pPr>
        <w:ind w:left="790" w:right="3799" w:hanging="790"/>
        <w:spacing w:after="0" w:line="237" w:lineRule="auto"/>
        <w:tabs>
          <w:tab w:leader="none" w:pos="79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so executed shall be deemed to be an original, and such counterparts will together constitute but one Agreement.</w:t>
      </w:r>
    </w:p>
    <w:p>
      <w:pPr>
        <w:spacing w:after="0" w:line="176"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CANADIAN WASTE SERVICES, INC.</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By:</w:t>
        <w:tab/>
        <w:t>/s/ Susan Piller</w:t>
      </w:r>
    </w:p>
    <w:p>
      <w:pPr>
        <w:ind w:left="3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Susan Piller</w:t>
      </w:r>
    </w:p>
    <w:p>
      <w:pPr>
        <w:ind w:left="5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Title:</w:t>
        <w:tab/>
        <w:t>Senior Vice President of Employee Relations</w:t>
      </w:r>
    </w:p>
    <w:p>
      <w:pPr>
        <w:ind w:left="6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1/25/00</w:t>
      </w:r>
    </w:p>
    <w:p>
      <w:pPr>
        <w:ind w:left="53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EMPLOYEE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Jeff M. Harris</w:t>
      </w:r>
    </w:p>
    <w:p>
      <w:pPr>
        <w:ind w:left="3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58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1/20/00</w:t>
      </w:r>
    </w:p>
    <w:p>
      <w:pPr>
        <w:ind w:left="5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w:t>
      </w:r>
    </w:p>
    <w:p>
      <w:pPr>
        <w:ind w:left="7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70" w:hanging="170"/>
        <w:spacing w:after="0"/>
        <w:tabs>
          <w:tab w:leader="none" w:pos="17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8" w:lineRule="exact"/>
        <w:rPr>
          <w:rFonts w:ascii="Courier New" w:cs="Courier New" w:eastAsia="Courier New" w:hAnsi="Courier New"/>
          <w:sz w:val="15"/>
          <w:szCs w:val="15"/>
          <w:color w:val="auto"/>
        </w:rPr>
      </w:pPr>
    </w:p>
    <w:p>
      <w:pPr>
        <w:ind w:left="29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Page 11 of 11</w:t>
      </w:r>
    </w:p>
    <w:p>
      <w:pPr>
        <w:sectPr>
          <w:pgSz w:w="11900" w:h="16838" w:orient="portrait"/>
          <w:cols w:equalWidth="0" w:num="1">
            <w:col w:w="10229"/>
          </w:cols>
          <w:pgMar w:left="230" w:top="283" w:right="1440" w:bottom="1440" w:gutter="0" w:footer="0" w:header="0"/>
        </w:sectPr>
      </w:pPr>
    </w:p>
    <w:bookmarkStart w:id="156" w:name="page157"/>
    <w:bookmarkEnd w:id="156"/>
    <w:p>
      <w:pPr>
        <w:ind w:left="270"/>
        <w:spacing w:after="0"/>
        <w:rPr>
          <w:sz w:val="20"/>
          <w:szCs w:val="20"/>
          <w:color w:val="auto"/>
        </w:rPr>
      </w:pPr>
      <w:r>
        <w:rPr>
          <w:rFonts w:ascii="Courier New" w:cs="Courier New" w:eastAsia="Courier New" w:hAnsi="Courier New"/>
          <w:sz w:val="15"/>
          <w:szCs w:val="15"/>
          <w:color w:val="auto"/>
        </w:rPr>
        <w:t>1</w:t>
      </w:r>
    </w:p>
    <w:p>
      <w:pPr>
        <w:ind w:left="599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Computation of Ratio Earnings to Fixed Charges</w:t>
      </w:r>
    </w:p>
    <w:p>
      <w:pPr>
        <w:ind w:left="2290"/>
        <w:spacing w:after="0"/>
        <w:rPr>
          <w:sz w:val="20"/>
          <w:szCs w:val="20"/>
          <w:color w:val="auto"/>
        </w:rPr>
      </w:pPr>
      <w:r>
        <w:rPr>
          <w:rFonts w:ascii="Courier New" w:cs="Courier New" w:eastAsia="Courier New" w:hAnsi="Courier New"/>
          <w:sz w:val="15"/>
          <w:szCs w:val="15"/>
          <w:color w:val="auto"/>
        </w:rPr>
        <w:t>(In Millions, Except Ratios)</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880" w:type="dxa"/>
            <w:vAlign w:val="bottom"/>
          </w:tcPr>
          <w:p>
            <w:pPr>
              <w:spacing w:after="0"/>
              <w:rPr>
                <w:sz w:val="14"/>
                <w:szCs w:val="14"/>
                <w:color w:val="auto"/>
              </w:rPr>
            </w:pPr>
          </w:p>
        </w:tc>
      </w:tr>
      <w:tr>
        <w:trPr>
          <w:trHeight w:val="170"/>
        </w:trPr>
        <w:tc>
          <w:tcPr>
            <w:tcW w:w="5320" w:type="dxa"/>
            <w:vAlign w:val="bottom"/>
          </w:tcPr>
          <w:p>
            <w:pPr>
              <w:spacing w:after="0"/>
              <w:rPr>
                <w:sz w:val="14"/>
                <w:szCs w:val="14"/>
                <w:color w:val="auto"/>
              </w:rPr>
            </w:pPr>
          </w:p>
        </w:tc>
        <w:tc>
          <w:tcPr>
            <w:tcW w:w="3660" w:type="dxa"/>
            <w:vAlign w:val="bottom"/>
            <w:gridSpan w:val="6"/>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2000</w:t>
            </w:r>
          </w:p>
        </w:tc>
        <w:tc>
          <w:tcPr>
            <w:tcW w:w="2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1998</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w w:val="99"/>
              </w:rPr>
              <w:t>taxes, undistributed earnings from affiliated companies,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and minority interest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(679)</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770</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682</w:t>
            </w:r>
          </w:p>
        </w:tc>
      </w:tr>
      <w:tr>
        <w:trPr>
          <w:trHeight w:val="170"/>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Implicit interest in rents</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845</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761</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20" w:type="dxa"/>
            <w:vAlign w:val="bottom"/>
          </w:tcPr>
          <w:p>
            <w:pPr>
              <w:ind w:left="960"/>
              <w:spacing w:after="0"/>
              <w:rPr>
                <w:sz w:val="20"/>
                <w:szCs w:val="20"/>
                <w:color w:val="auto"/>
              </w:rPr>
            </w:pPr>
            <w:r>
              <w:rPr>
                <w:rFonts w:ascii="Courier New" w:cs="Courier New" w:eastAsia="Courier New" w:hAnsi="Courier New"/>
                <w:sz w:val="15"/>
                <w:szCs w:val="15"/>
                <w:color w:val="auto"/>
              </w:rPr>
              <w:t>Earnings available for fixed charges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706</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770</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682</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20" w:type="dxa"/>
            <w:vAlign w:val="bottom"/>
          </w:tcPr>
          <w:p>
            <w:pPr>
              <w:ind w:left="960"/>
              <w:spacing w:after="0"/>
              <w:rPr>
                <w:sz w:val="20"/>
                <w:szCs w:val="20"/>
                <w:color w:val="auto"/>
              </w:rPr>
            </w:pPr>
            <w:r>
              <w:rPr>
                <w:rFonts w:ascii="Courier New" w:cs="Courier New" w:eastAsia="Courier New" w:hAnsi="Courier New"/>
                <w:sz w:val="15"/>
                <w:szCs w:val="15"/>
                <w:color w:val="auto"/>
              </w:rPr>
              <w:t>Total fixed charges</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844</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879</w:t>
            </w:r>
          </w:p>
        </w:tc>
        <w:tc>
          <w:tcPr>
            <w:tcW w:w="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802</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4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1.4x</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n/a(1)</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n/a(2)</w:t>
            </w:r>
          </w:p>
        </w:tc>
      </w:tr>
      <w:tr>
        <w:trPr>
          <w:trHeight w:val="170"/>
        </w:trPr>
        <w:tc>
          <w:tcPr>
            <w:tcW w:w="532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790" w:right="3179" w:hanging="790"/>
        <w:spacing w:after="0" w:line="257" w:lineRule="auto"/>
        <w:tabs>
          <w:tab w:leader="none" w:pos="79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for 1999 was less than a one-to-one ratio. Additional earnings available for fixed charges of $173 were needed to have a one-to-one ratio. The earnings available for fixed charges were negatively impacted by merger cost of $45 primarily related to the merger between Waste Management, Inc. and Waste Management Holdings, Inc. during July 1998 and asset impairments and unusual items of $739 (see Note 16 to the financial statements).</w:t>
      </w:r>
    </w:p>
    <w:p>
      <w:pPr>
        <w:spacing w:after="0" w:line="167" w:lineRule="exact"/>
        <w:rPr>
          <w:rFonts w:ascii="Courier New" w:cs="Courier New" w:eastAsia="Courier New" w:hAnsi="Courier New"/>
          <w:sz w:val="14"/>
          <w:szCs w:val="14"/>
          <w:color w:val="auto"/>
        </w:rPr>
      </w:pPr>
    </w:p>
    <w:p>
      <w:pPr>
        <w:ind w:left="790" w:right="3179" w:hanging="790"/>
        <w:spacing w:after="0" w:line="238" w:lineRule="auto"/>
        <w:tabs>
          <w:tab w:leader="none" w:pos="79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for 1998 was less than a one-to-one ratio. Additional earnings available for fixed charges of $720 were needed to have a one-to-one ratio. The earnings available for fixed charges were negatively impacted by merger and acquisition related costs of $1,807 and unusual items of $864 related primarily to the mergers between Waste Management, Inc. and Waste Management Holdings, Inc. during July 1998, and Waste Management, Inc. and Eastern Environmental Services, Inc. during December 1998.</w:t>
      </w:r>
    </w:p>
    <w:p>
      <w:pPr>
        <w:sectPr>
          <w:pgSz w:w="11900" w:h="16838" w:orient="portrait"/>
          <w:cols w:equalWidth="0" w:num="1">
            <w:col w:w="10229"/>
          </w:cols>
          <w:pgMar w:left="230" w:top="136"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w:t>
      </w:r>
    </w:p>
    <w:p>
      <w:pPr>
        <w:spacing w:after="0" w:line="344"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EXHIBIT 21.1</w:t>
      </w:r>
    </w:p>
    <w:p>
      <w:pPr>
        <w:sectPr>
          <w:pgSz w:w="11900" w:h="16838" w:orient="portrait"/>
          <w:cols w:equalWidth="0" w:num="1">
            <w:col w:w="10219"/>
          </w:cols>
          <w:pgMar w:left="240" w:top="136"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640" w:space="720"/>
            <w:col w:w="485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1329409 Ontario Inc.</w:t>
      </w:r>
    </w:p>
    <w:p>
      <w:pPr>
        <w:spacing w:after="0"/>
        <w:rPr>
          <w:sz w:val="20"/>
          <w:szCs w:val="20"/>
          <w:color w:val="auto"/>
        </w:rPr>
      </w:pPr>
      <w:r>
        <w:rPr>
          <w:rFonts w:ascii="Courier New" w:cs="Courier New" w:eastAsia="Courier New" w:hAnsi="Courier New"/>
          <w:sz w:val="15"/>
          <w:szCs w:val="15"/>
          <w:color w:val="auto"/>
        </w:rPr>
        <w:t>3368084 Canada Inc.</w:t>
      </w:r>
    </w:p>
    <w:p>
      <w:pPr>
        <w:spacing w:after="0"/>
        <w:rPr>
          <w:sz w:val="20"/>
          <w:szCs w:val="20"/>
          <w:color w:val="auto"/>
        </w:rPr>
      </w:pPr>
      <w:r>
        <w:rPr>
          <w:rFonts w:ascii="Courier New" w:cs="Courier New" w:eastAsia="Courier New" w:hAnsi="Courier New"/>
          <w:sz w:val="15"/>
          <w:szCs w:val="15"/>
          <w:color w:val="auto"/>
        </w:rPr>
        <w:t>635952 Ontario Inc.</w:t>
      </w:r>
    </w:p>
    <w:p>
      <w:pPr>
        <w:spacing w:after="0" w:line="238" w:lineRule="auto"/>
        <w:rPr>
          <w:sz w:val="20"/>
          <w:szCs w:val="20"/>
          <w:color w:val="auto"/>
        </w:rPr>
      </w:pPr>
      <w:r>
        <w:rPr>
          <w:rFonts w:ascii="Courier New" w:cs="Courier New" w:eastAsia="Courier New" w:hAnsi="Courier New"/>
          <w:sz w:val="15"/>
          <w:szCs w:val="15"/>
          <w:color w:val="auto"/>
        </w:rPr>
        <w:t>709292 Alberta Ltd.</w:t>
      </w:r>
    </w:p>
    <w:p>
      <w:pPr>
        <w:spacing w:after="0"/>
        <w:rPr>
          <w:sz w:val="20"/>
          <w:szCs w:val="20"/>
          <w:color w:val="auto"/>
        </w:rPr>
      </w:pPr>
      <w:r>
        <w:rPr>
          <w:rFonts w:ascii="Courier New" w:cs="Courier New" w:eastAsia="Courier New" w:hAnsi="Courier New"/>
          <w:sz w:val="15"/>
          <w:szCs w:val="15"/>
          <w:color w:val="auto"/>
        </w:rPr>
        <w:t>730810 Alberta Ltd.</w:t>
      </w:r>
    </w:p>
    <w:p>
      <w:pPr>
        <w:spacing w:after="0"/>
        <w:rPr>
          <w:sz w:val="20"/>
          <w:szCs w:val="20"/>
          <w:color w:val="auto"/>
        </w:rPr>
      </w:pPr>
      <w:r>
        <w:rPr>
          <w:rFonts w:ascii="Courier New" w:cs="Courier New" w:eastAsia="Courier New" w:hAnsi="Courier New"/>
          <w:sz w:val="15"/>
          <w:szCs w:val="15"/>
          <w:color w:val="auto"/>
        </w:rPr>
        <w:t>740922 Alberta Ltd.</w:t>
      </w:r>
    </w:p>
    <w:p>
      <w:pPr>
        <w:spacing w:after="0" w:line="238" w:lineRule="auto"/>
        <w:rPr>
          <w:sz w:val="20"/>
          <w:szCs w:val="20"/>
          <w:color w:val="auto"/>
        </w:rPr>
      </w:pPr>
      <w:r>
        <w:rPr>
          <w:rFonts w:ascii="Courier New" w:cs="Courier New" w:eastAsia="Courier New" w:hAnsi="Courier New"/>
          <w:sz w:val="15"/>
          <w:szCs w:val="15"/>
          <w:color w:val="auto"/>
        </w:rPr>
        <w:t>762570 Alberta Ltd.</w:t>
      </w:r>
    </w:p>
    <w:p>
      <w:pPr>
        <w:spacing w:after="0"/>
        <w:rPr>
          <w:sz w:val="20"/>
          <w:szCs w:val="20"/>
          <w:color w:val="auto"/>
        </w:rPr>
      </w:pPr>
      <w:r>
        <w:rPr>
          <w:rFonts w:ascii="Courier New" w:cs="Courier New" w:eastAsia="Courier New" w:hAnsi="Courier New"/>
          <w:sz w:val="15"/>
          <w:szCs w:val="15"/>
          <w:color w:val="auto"/>
        </w:rPr>
        <w:t>A-1 Compaction, Inc.</w:t>
      </w:r>
    </w:p>
    <w:p>
      <w:pPr>
        <w:spacing w:after="0"/>
        <w:rPr>
          <w:sz w:val="20"/>
          <w:szCs w:val="20"/>
          <w:color w:val="auto"/>
        </w:rPr>
      </w:pPr>
      <w:r>
        <w:rPr>
          <w:rFonts w:ascii="Courier New" w:cs="Courier New" w:eastAsia="Courier New" w:hAnsi="Courier New"/>
          <w:sz w:val="15"/>
          <w:szCs w:val="15"/>
          <w:color w:val="auto"/>
        </w:rPr>
        <w:t>Advanced Environmental Technical Services, L.L.C.</w:t>
      </w:r>
    </w:p>
    <w:p>
      <w:pPr>
        <w:spacing w:after="0"/>
        <w:rPr>
          <w:sz w:val="20"/>
          <w:szCs w:val="20"/>
          <w:color w:val="auto"/>
        </w:rPr>
      </w:pPr>
      <w:r>
        <w:rPr>
          <w:rFonts w:ascii="Courier New" w:cs="Courier New" w:eastAsia="Courier New" w:hAnsi="Courier New"/>
          <w:sz w:val="15"/>
          <w:szCs w:val="15"/>
          <w:color w:val="auto"/>
        </w:rPr>
        <w:t>Akron Regional Landfill, Inc.</w:t>
      </w:r>
    </w:p>
    <w:p>
      <w:pPr>
        <w:spacing w:after="0" w:line="238" w:lineRule="auto"/>
        <w:rPr>
          <w:sz w:val="20"/>
          <w:szCs w:val="20"/>
          <w:color w:val="auto"/>
        </w:rPr>
      </w:pPr>
      <w:r>
        <w:rPr>
          <w:rFonts w:ascii="Courier New" w:cs="Courier New" w:eastAsia="Courier New" w:hAnsi="Courier New"/>
          <w:sz w:val="15"/>
          <w:szCs w:val="15"/>
          <w:color w:val="auto"/>
        </w:rPr>
        <w:t>Alabama Waste Disposal Solutions LLC</w:t>
      </w:r>
    </w:p>
    <w:p>
      <w:pPr>
        <w:spacing w:after="0"/>
        <w:rPr>
          <w:sz w:val="20"/>
          <w:szCs w:val="20"/>
          <w:color w:val="auto"/>
        </w:rPr>
      </w:pPr>
      <w:r>
        <w:rPr>
          <w:rFonts w:ascii="Courier New" w:cs="Courier New" w:eastAsia="Courier New" w:hAnsi="Courier New"/>
          <w:sz w:val="15"/>
          <w:szCs w:val="15"/>
          <w:color w:val="auto"/>
        </w:rPr>
        <w:t>Alliance Sanitary Landfill, Inc.</w:t>
      </w:r>
    </w:p>
    <w:p>
      <w:pPr>
        <w:spacing w:after="0"/>
        <w:rPr>
          <w:sz w:val="20"/>
          <w:szCs w:val="20"/>
          <w:color w:val="auto"/>
        </w:rPr>
      </w:pPr>
      <w:r>
        <w:rPr>
          <w:rFonts w:ascii="Courier New" w:cs="Courier New" w:eastAsia="Courier New" w:hAnsi="Courier New"/>
          <w:sz w:val="15"/>
          <w:szCs w:val="15"/>
          <w:color w:val="auto"/>
        </w:rPr>
        <w:t>All-Waste Systems, Inc.</w:t>
      </w:r>
    </w:p>
    <w:p>
      <w:pPr>
        <w:spacing w:after="0" w:line="238" w:lineRule="auto"/>
        <w:rPr>
          <w:sz w:val="20"/>
          <w:szCs w:val="20"/>
          <w:color w:val="auto"/>
        </w:rPr>
      </w:pPr>
      <w:r>
        <w:rPr>
          <w:rFonts w:ascii="Courier New" w:cs="Courier New" w:eastAsia="Courier New" w:hAnsi="Courier New"/>
          <w:sz w:val="15"/>
          <w:szCs w:val="15"/>
          <w:color w:val="auto"/>
        </w:rPr>
        <w:t>American Canyon Disposal Service, Inc.</w:t>
      </w:r>
    </w:p>
    <w:p>
      <w:pPr>
        <w:spacing w:after="0"/>
        <w:rPr>
          <w:sz w:val="20"/>
          <w:szCs w:val="20"/>
          <w:color w:val="auto"/>
        </w:rPr>
      </w:pPr>
      <w:r>
        <w:rPr>
          <w:rFonts w:ascii="Courier New" w:cs="Courier New" w:eastAsia="Courier New" w:hAnsi="Courier New"/>
          <w:sz w:val="15"/>
          <w:szCs w:val="15"/>
          <w:color w:val="auto"/>
        </w:rPr>
        <w:t>American Fiber Supply of Philadelphia, Inc.</w:t>
      </w:r>
    </w:p>
    <w:p>
      <w:pPr>
        <w:spacing w:after="0"/>
        <w:rPr>
          <w:sz w:val="20"/>
          <w:szCs w:val="20"/>
          <w:color w:val="auto"/>
        </w:rPr>
      </w:pPr>
      <w:r>
        <w:rPr>
          <w:rFonts w:ascii="Courier New" w:cs="Courier New" w:eastAsia="Courier New" w:hAnsi="Courier New"/>
          <w:sz w:val="15"/>
          <w:szCs w:val="15"/>
          <w:color w:val="auto"/>
        </w:rPr>
        <w:t>American Landfill Gas Co.</w:t>
      </w:r>
    </w:p>
    <w:p>
      <w:pPr>
        <w:spacing w:after="0"/>
        <w:rPr>
          <w:sz w:val="20"/>
          <w:szCs w:val="20"/>
          <w:color w:val="auto"/>
        </w:rPr>
      </w:pPr>
      <w:r>
        <w:rPr>
          <w:rFonts w:ascii="Courier New" w:cs="Courier New" w:eastAsia="Courier New" w:hAnsi="Courier New"/>
          <w:sz w:val="15"/>
          <w:szCs w:val="15"/>
          <w:color w:val="auto"/>
        </w:rPr>
        <w:t>American Landfill, Inc.</w:t>
      </w:r>
    </w:p>
    <w:p>
      <w:pPr>
        <w:spacing w:after="0" w:line="238" w:lineRule="auto"/>
        <w:rPr>
          <w:sz w:val="20"/>
          <w:szCs w:val="20"/>
          <w:color w:val="auto"/>
        </w:rPr>
      </w:pPr>
      <w:r>
        <w:rPr>
          <w:rFonts w:ascii="Courier New" w:cs="Courier New" w:eastAsia="Courier New" w:hAnsi="Courier New"/>
          <w:sz w:val="15"/>
          <w:szCs w:val="15"/>
          <w:color w:val="auto"/>
        </w:rPr>
        <w:t>American Waste Control of New York, Inc.</w:t>
      </w:r>
    </w:p>
    <w:p>
      <w:pPr>
        <w:spacing w:after="0"/>
        <w:rPr>
          <w:sz w:val="20"/>
          <w:szCs w:val="20"/>
          <w:color w:val="auto"/>
        </w:rPr>
      </w:pPr>
      <w:r>
        <w:rPr>
          <w:rFonts w:ascii="Courier New" w:cs="Courier New" w:eastAsia="Courier New" w:hAnsi="Courier New"/>
          <w:sz w:val="15"/>
          <w:szCs w:val="15"/>
          <w:color w:val="auto"/>
        </w:rPr>
        <w:t>Anchorage Refuse, Inc.</w:t>
      </w:r>
    </w:p>
    <w:p>
      <w:pPr>
        <w:spacing w:after="0"/>
        <w:rPr>
          <w:sz w:val="20"/>
          <w:szCs w:val="20"/>
          <w:color w:val="auto"/>
        </w:rPr>
      </w:pPr>
      <w:r>
        <w:rPr>
          <w:rFonts w:ascii="Courier New" w:cs="Courier New" w:eastAsia="Courier New" w:hAnsi="Courier New"/>
          <w:sz w:val="15"/>
          <w:szCs w:val="15"/>
          <w:color w:val="auto"/>
        </w:rPr>
        <w:t>Andersen, Incorporated</w:t>
      </w:r>
    </w:p>
    <w:p>
      <w:pPr>
        <w:spacing w:after="0" w:line="238" w:lineRule="auto"/>
        <w:rPr>
          <w:sz w:val="20"/>
          <w:szCs w:val="20"/>
          <w:color w:val="auto"/>
        </w:rPr>
      </w:pPr>
      <w:r>
        <w:rPr>
          <w:rFonts w:ascii="Courier New" w:cs="Courier New" w:eastAsia="Courier New" w:hAnsi="Courier New"/>
          <w:sz w:val="15"/>
          <w:szCs w:val="15"/>
          <w:color w:val="auto"/>
        </w:rPr>
        <w:t>Anderson Landfill, Inc.</w:t>
      </w:r>
    </w:p>
    <w:p>
      <w:pPr>
        <w:spacing w:after="0"/>
        <w:rPr>
          <w:sz w:val="20"/>
          <w:szCs w:val="20"/>
          <w:color w:val="auto"/>
        </w:rPr>
      </w:pPr>
      <w:r>
        <w:rPr>
          <w:rFonts w:ascii="Courier New" w:cs="Courier New" w:eastAsia="Courier New" w:hAnsi="Courier New"/>
          <w:sz w:val="15"/>
          <w:szCs w:val="15"/>
          <w:color w:val="auto"/>
        </w:rPr>
        <w:t>Anderson-Cottonwood Disposal Services, Inc.</w:t>
      </w:r>
    </w:p>
    <w:p>
      <w:pPr>
        <w:spacing w:after="0"/>
        <w:rPr>
          <w:sz w:val="20"/>
          <w:szCs w:val="20"/>
          <w:color w:val="auto"/>
        </w:rPr>
      </w:pPr>
      <w:r>
        <w:rPr>
          <w:rFonts w:ascii="Courier New" w:cs="Courier New" w:eastAsia="Courier New" w:hAnsi="Courier New"/>
          <w:sz w:val="15"/>
          <w:szCs w:val="15"/>
          <w:color w:val="auto"/>
        </w:rPr>
        <w:t>Antelope Valley Recycling and Disposal Facility, Inc.</w:t>
      </w:r>
    </w:p>
    <w:p>
      <w:pPr>
        <w:spacing w:after="0"/>
        <w:rPr>
          <w:sz w:val="20"/>
          <w:szCs w:val="20"/>
          <w:color w:val="auto"/>
        </w:rPr>
      </w:pPr>
      <w:r>
        <w:rPr>
          <w:rFonts w:ascii="Courier New" w:cs="Courier New" w:eastAsia="Courier New" w:hAnsi="Courier New"/>
          <w:sz w:val="15"/>
          <w:szCs w:val="15"/>
          <w:color w:val="auto"/>
        </w:rPr>
        <w:t>Arden Landfill, Inc.</w:t>
      </w:r>
    </w:p>
    <w:p>
      <w:pPr>
        <w:spacing w:after="0" w:line="238" w:lineRule="auto"/>
        <w:rPr>
          <w:sz w:val="20"/>
          <w:szCs w:val="20"/>
          <w:color w:val="auto"/>
        </w:rPr>
      </w:pPr>
      <w:r>
        <w:rPr>
          <w:rFonts w:ascii="Courier New" w:cs="Courier New" w:eastAsia="Courier New" w:hAnsi="Courier New"/>
          <w:sz w:val="15"/>
          <w:szCs w:val="15"/>
          <w:color w:val="auto"/>
        </w:rPr>
        <w:t>Arrow Refuse, Inc.</w:t>
      </w:r>
    </w:p>
    <w:p>
      <w:pPr>
        <w:spacing w:after="0"/>
        <w:rPr>
          <w:sz w:val="20"/>
          <w:szCs w:val="20"/>
          <w:color w:val="auto"/>
        </w:rPr>
      </w:pPr>
      <w:r>
        <w:rPr>
          <w:rFonts w:ascii="Courier New" w:cs="Courier New" w:eastAsia="Courier New" w:hAnsi="Courier New"/>
          <w:sz w:val="15"/>
          <w:szCs w:val="15"/>
          <w:color w:val="auto"/>
        </w:rPr>
        <w:t>Atascadero Waste Alternatives, Inc.</w:t>
      </w:r>
    </w:p>
    <w:p>
      <w:pPr>
        <w:spacing w:after="0"/>
        <w:rPr>
          <w:sz w:val="20"/>
          <w:szCs w:val="20"/>
          <w:color w:val="auto"/>
        </w:rPr>
      </w:pPr>
      <w:r>
        <w:rPr>
          <w:rFonts w:ascii="Courier New" w:cs="Courier New" w:eastAsia="Courier New" w:hAnsi="Courier New"/>
          <w:sz w:val="15"/>
          <w:szCs w:val="15"/>
          <w:color w:val="auto"/>
        </w:rPr>
        <w:t>Atlantic Waste Disposal, Inc.</w:t>
      </w:r>
    </w:p>
    <w:p>
      <w:pPr>
        <w:spacing w:after="0" w:line="238" w:lineRule="auto"/>
        <w:rPr>
          <w:sz w:val="20"/>
          <w:szCs w:val="20"/>
          <w:color w:val="auto"/>
        </w:rPr>
      </w:pPr>
      <w:r>
        <w:rPr>
          <w:rFonts w:ascii="Courier New" w:cs="Courier New" w:eastAsia="Courier New" w:hAnsi="Courier New"/>
          <w:sz w:val="15"/>
          <w:szCs w:val="15"/>
          <w:color w:val="auto"/>
        </w:rPr>
        <w:t>Automated Salvage Transport, Inc.</w:t>
      </w:r>
    </w:p>
    <w:p>
      <w:pPr>
        <w:spacing w:after="0"/>
        <w:rPr>
          <w:sz w:val="20"/>
          <w:szCs w:val="20"/>
          <w:color w:val="auto"/>
        </w:rPr>
      </w:pPr>
      <w:r>
        <w:rPr>
          <w:rFonts w:ascii="Courier New" w:cs="Courier New" w:eastAsia="Courier New" w:hAnsi="Courier New"/>
          <w:sz w:val="15"/>
          <w:szCs w:val="15"/>
          <w:color w:val="auto"/>
        </w:rPr>
        <w:t>Avenal Waste Alternatives, Inc.</w:t>
      </w:r>
    </w:p>
    <w:p>
      <w:pPr>
        <w:spacing w:after="0"/>
        <w:rPr>
          <w:sz w:val="20"/>
          <w:szCs w:val="20"/>
          <w:color w:val="auto"/>
        </w:rPr>
      </w:pPr>
      <w:r>
        <w:rPr>
          <w:rFonts w:ascii="Courier New" w:cs="Courier New" w:eastAsia="Courier New" w:hAnsi="Courier New"/>
          <w:sz w:val="15"/>
          <w:szCs w:val="15"/>
          <w:color w:val="auto"/>
        </w:rPr>
        <w:t>AW Disposal, Inc.</w:t>
      </w:r>
    </w:p>
    <w:p>
      <w:pPr>
        <w:spacing w:after="0" w:line="238" w:lineRule="auto"/>
        <w:rPr>
          <w:sz w:val="20"/>
          <w:szCs w:val="20"/>
          <w:color w:val="auto"/>
        </w:rPr>
      </w:pPr>
      <w:r>
        <w:rPr>
          <w:rFonts w:ascii="Courier New" w:cs="Courier New" w:eastAsia="Courier New" w:hAnsi="Courier New"/>
          <w:sz w:val="15"/>
          <w:szCs w:val="15"/>
          <w:color w:val="auto"/>
        </w:rPr>
        <w:t>Azusa Land Reclamation, Inc.</w:t>
      </w:r>
    </w:p>
    <w:p>
      <w:pPr>
        <w:spacing w:after="0"/>
        <w:rPr>
          <w:sz w:val="20"/>
          <w:szCs w:val="20"/>
          <w:color w:val="auto"/>
        </w:rPr>
      </w:pPr>
      <w:r>
        <w:rPr>
          <w:rFonts w:ascii="Courier New" w:cs="Courier New" w:eastAsia="Courier New" w:hAnsi="Courier New"/>
          <w:sz w:val="15"/>
          <w:szCs w:val="15"/>
          <w:color w:val="auto"/>
        </w:rPr>
        <w:t>B&amp;B Landfill, Inc.</w:t>
      </w:r>
    </w:p>
    <w:p>
      <w:pPr>
        <w:spacing w:after="0"/>
        <w:rPr>
          <w:sz w:val="20"/>
          <w:szCs w:val="20"/>
          <w:color w:val="auto"/>
        </w:rPr>
      </w:pPr>
      <w:r>
        <w:rPr>
          <w:rFonts w:ascii="Courier New" w:cs="Courier New" w:eastAsia="Courier New" w:hAnsi="Courier New"/>
          <w:sz w:val="15"/>
          <w:szCs w:val="15"/>
          <w:color w:val="auto"/>
        </w:rPr>
        <w:t>B&amp;C Refuse, Inc.</w:t>
      </w:r>
    </w:p>
    <w:p>
      <w:pPr>
        <w:spacing w:after="0"/>
        <w:rPr>
          <w:sz w:val="20"/>
          <w:szCs w:val="20"/>
          <w:color w:val="auto"/>
        </w:rPr>
      </w:pPr>
      <w:r>
        <w:rPr>
          <w:rFonts w:ascii="Courier New" w:cs="Courier New" w:eastAsia="Courier New" w:hAnsi="Courier New"/>
          <w:sz w:val="15"/>
          <w:szCs w:val="15"/>
          <w:color w:val="auto"/>
        </w:rPr>
        <w:t>B&amp;E Cartage, Inc.</w:t>
      </w:r>
    </w:p>
    <w:p>
      <w:pPr>
        <w:spacing w:after="0" w:line="238" w:lineRule="auto"/>
        <w:rPr>
          <w:sz w:val="20"/>
          <w:szCs w:val="20"/>
          <w:color w:val="auto"/>
        </w:rPr>
      </w:pPr>
      <w:r>
        <w:rPr>
          <w:rFonts w:ascii="Courier New" w:cs="Courier New" w:eastAsia="Courier New" w:hAnsi="Courier New"/>
          <w:sz w:val="15"/>
          <w:szCs w:val="15"/>
          <w:color w:val="auto"/>
        </w:rPr>
        <w:t>B&amp;L Disposal Co.</w:t>
      </w:r>
    </w:p>
    <w:p>
      <w:pPr>
        <w:spacing w:after="0"/>
        <w:rPr>
          <w:sz w:val="20"/>
          <w:szCs w:val="20"/>
          <w:color w:val="auto"/>
        </w:rPr>
      </w:pPr>
      <w:r>
        <w:rPr>
          <w:rFonts w:ascii="Courier New" w:cs="Courier New" w:eastAsia="Courier New" w:hAnsi="Courier New"/>
          <w:sz w:val="15"/>
          <w:szCs w:val="15"/>
          <w:color w:val="auto"/>
        </w:rPr>
        <w:t>Baltimore Environmental Recovery Group,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Baltimore Refuse Energy Systems Company,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Bayside of Marion, Inc.</w:t>
      </w:r>
    </w:p>
    <w:p>
      <w:pPr>
        <w:spacing w:after="0"/>
        <w:rPr>
          <w:sz w:val="20"/>
          <w:szCs w:val="20"/>
          <w:color w:val="auto"/>
        </w:rPr>
      </w:pPr>
      <w:r>
        <w:rPr>
          <w:rFonts w:ascii="Courier New" w:cs="Courier New" w:eastAsia="Courier New" w:hAnsi="Courier New"/>
          <w:sz w:val="15"/>
          <w:szCs w:val="15"/>
          <w:color w:val="auto"/>
        </w:rPr>
        <w:t>Bestan, Inc.</w:t>
      </w:r>
    </w:p>
    <w:p>
      <w:pPr>
        <w:spacing w:after="0"/>
        <w:rPr>
          <w:sz w:val="20"/>
          <w:szCs w:val="20"/>
          <w:color w:val="auto"/>
        </w:rPr>
      </w:pPr>
      <w:r>
        <w:rPr>
          <w:rFonts w:ascii="Courier New" w:cs="Courier New" w:eastAsia="Courier New" w:hAnsi="Courier New"/>
          <w:sz w:val="15"/>
          <w:szCs w:val="15"/>
          <w:color w:val="auto"/>
        </w:rPr>
        <w:t>Best Recycling &amp; Disposal, Inc.</w:t>
      </w:r>
    </w:p>
    <w:p>
      <w:pPr>
        <w:spacing w:after="0" w:line="238" w:lineRule="auto"/>
        <w:rPr>
          <w:sz w:val="20"/>
          <w:szCs w:val="20"/>
          <w:color w:val="auto"/>
        </w:rPr>
      </w:pPr>
      <w:r>
        <w:rPr>
          <w:rFonts w:ascii="Courier New" w:cs="Courier New" w:eastAsia="Courier New" w:hAnsi="Courier New"/>
          <w:sz w:val="15"/>
          <w:szCs w:val="15"/>
          <w:color w:val="auto"/>
        </w:rPr>
        <w:t>Big Dipper Enterprises, Inc.</w:t>
      </w:r>
    </w:p>
    <w:p>
      <w:pPr>
        <w:spacing w:after="0"/>
        <w:rPr>
          <w:sz w:val="20"/>
          <w:szCs w:val="20"/>
          <w:color w:val="auto"/>
        </w:rPr>
      </w:pPr>
      <w:r>
        <w:rPr>
          <w:rFonts w:ascii="Courier New" w:cs="Courier New" w:eastAsia="Courier New" w:hAnsi="Courier New"/>
          <w:sz w:val="15"/>
          <w:szCs w:val="15"/>
          <w:color w:val="auto"/>
        </w:rPr>
        <w:t>Big Valley Transport Inc.</w:t>
      </w:r>
    </w:p>
    <w:p>
      <w:pPr>
        <w:spacing w:after="0"/>
        <w:rPr>
          <w:sz w:val="20"/>
          <w:szCs w:val="20"/>
          <w:color w:val="auto"/>
        </w:rPr>
      </w:pPr>
      <w:r>
        <w:rPr>
          <w:rFonts w:ascii="Courier New" w:cs="Courier New" w:eastAsia="Courier New" w:hAnsi="Courier New"/>
          <w:sz w:val="15"/>
          <w:szCs w:val="15"/>
          <w:color w:val="auto"/>
        </w:rPr>
        <w:t>Bisig Disposal Service, Inc.</w:t>
      </w:r>
    </w:p>
    <w:p>
      <w:pPr>
        <w:spacing w:after="0" w:line="238" w:lineRule="auto"/>
        <w:rPr>
          <w:sz w:val="20"/>
          <w:szCs w:val="20"/>
          <w:color w:val="auto"/>
        </w:rPr>
      </w:pPr>
      <w:r>
        <w:rPr>
          <w:rFonts w:ascii="Courier New" w:cs="Courier New" w:eastAsia="Courier New" w:hAnsi="Courier New"/>
          <w:sz w:val="15"/>
          <w:szCs w:val="15"/>
          <w:color w:val="auto"/>
        </w:rPr>
        <w:t>Bluegrass Containment, L.L.C.</w:t>
      </w:r>
    </w:p>
    <w:p>
      <w:pPr>
        <w:spacing w:after="0"/>
        <w:rPr>
          <w:sz w:val="20"/>
          <w:szCs w:val="20"/>
          <w:color w:val="auto"/>
        </w:rPr>
      </w:pPr>
      <w:r>
        <w:rPr>
          <w:rFonts w:ascii="Courier New" w:cs="Courier New" w:eastAsia="Courier New" w:hAnsi="Courier New"/>
          <w:sz w:val="15"/>
          <w:szCs w:val="15"/>
          <w:color w:val="auto"/>
        </w:rPr>
        <w:t>Bolton Road Landfill, Inc.</w:t>
      </w:r>
    </w:p>
    <w:p>
      <w:pPr>
        <w:spacing w:after="0"/>
        <w:rPr>
          <w:sz w:val="20"/>
          <w:szCs w:val="20"/>
          <w:color w:val="auto"/>
        </w:rPr>
      </w:pPr>
      <w:r>
        <w:rPr>
          <w:rFonts w:ascii="Courier New" w:cs="Courier New" w:eastAsia="Courier New" w:hAnsi="Courier New"/>
          <w:sz w:val="15"/>
          <w:szCs w:val="15"/>
          <w:color w:val="auto"/>
        </w:rPr>
        <w:t>Boone Waste Industries, Inc.</w:t>
      </w:r>
    </w:p>
    <w:p>
      <w:pPr>
        <w:spacing w:after="0"/>
        <w:rPr>
          <w:sz w:val="20"/>
          <w:szCs w:val="20"/>
          <w:color w:val="auto"/>
        </w:rPr>
      </w:pPr>
      <w:r>
        <w:rPr>
          <w:rFonts w:ascii="Courier New" w:cs="Courier New" w:eastAsia="Courier New" w:hAnsi="Courier New"/>
          <w:sz w:val="15"/>
          <w:szCs w:val="15"/>
          <w:color w:val="auto"/>
        </w:rPr>
        <w:t>Boothscreek Sanitation, Inc.</w:t>
      </w:r>
    </w:p>
    <w:p>
      <w:pPr>
        <w:spacing w:after="0" w:line="238" w:lineRule="auto"/>
        <w:rPr>
          <w:sz w:val="20"/>
          <w:szCs w:val="20"/>
          <w:color w:val="auto"/>
        </w:rPr>
      </w:pPr>
      <w:r>
        <w:rPr>
          <w:rFonts w:ascii="Courier New" w:cs="Courier New" w:eastAsia="Courier New" w:hAnsi="Courier New"/>
          <w:sz w:val="15"/>
          <w:szCs w:val="15"/>
          <w:color w:val="auto"/>
        </w:rPr>
        <w:t>Borsage &amp; Edmonds Contractors, Inc.</w:t>
      </w:r>
    </w:p>
    <w:p>
      <w:pPr>
        <w:spacing w:after="0"/>
        <w:rPr>
          <w:sz w:val="20"/>
          <w:szCs w:val="20"/>
          <w:color w:val="auto"/>
        </w:rPr>
      </w:pPr>
      <w:r>
        <w:rPr>
          <w:rFonts w:ascii="Courier New" w:cs="Courier New" w:eastAsia="Courier New" w:hAnsi="Courier New"/>
          <w:sz w:val="15"/>
          <w:szCs w:val="15"/>
          <w:color w:val="auto"/>
        </w:rPr>
        <w:t>Boudin's Waste &amp; Recycling,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Ontario</w:t>
      </w:r>
    </w:p>
    <w:p>
      <w:pPr>
        <w:spacing w:after="0"/>
        <w:rPr>
          <w:sz w:val="20"/>
          <w:szCs w:val="20"/>
          <w:color w:val="auto"/>
        </w:rPr>
      </w:pPr>
      <w:r>
        <w:rPr>
          <w:rFonts w:ascii="Courier New" w:cs="Courier New" w:eastAsia="Courier New" w:hAnsi="Courier New"/>
          <w:sz w:val="15"/>
          <w:szCs w:val="15"/>
          <w:color w:val="auto"/>
        </w:rPr>
        <w:t>Ontario</w:t>
      </w:r>
    </w:p>
    <w:p>
      <w:pPr>
        <w:spacing w:after="0"/>
        <w:rPr>
          <w:sz w:val="20"/>
          <w:szCs w:val="20"/>
          <w:color w:val="auto"/>
        </w:rPr>
      </w:pPr>
      <w:r>
        <w:rPr>
          <w:rFonts w:ascii="Courier New" w:cs="Courier New" w:eastAsia="Courier New" w:hAnsi="Courier New"/>
          <w:sz w:val="15"/>
          <w:szCs w:val="15"/>
          <w:color w:val="auto"/>
        </w:rPr>
        <w:t>Ontario</w:t>
      </w:r>
    </w:p>
    <w:p>
      <w:pPr>
        <w:spacing w:after="0" w:line="238" w:lineRule="auto"/>
        <w:rPr>
          <w:sz w:val="20"/>
          <w:szCs w:val="20"/>
          <w:color w:val="auto"/>
        </w:rPr>
      </w:pPr>
      <w:r>
        <w:rPr>
          <w:rFonts w:ascii="Courier New" w:cs="Courier New" w:eastAsia="Courier New" w:hAnsi="Courier New"/>
          <w:sz w:val="15"/>
          <w:szCs w:val="15"/>
          <w:color w:val="auto"/>
        </w:rPr>
        <w:t>Alberta</w:t>
      </w:r>
    </w:p>
    <w:p>
      <w:pPr>
        <w:spacing w:after="0"/>
        <w:rPr>
          <w:sz w:val="20"/>
          <w:szCs w:val="20"/>
          <w:color w:val="auto"/>
        </w:rPr>
      </w:pPr>
      <w:r>
        <w:rPr>
          <w:rFonts w:ascii="Courier New" w:cs="Courier New" w:eastAsia="Courier New" w:hAnsi="Courier New"/>
          <w:sz w:val="15"/>
          <w:szCs w:val="15"/>
          <w:color w:val="auto"/>
        </w:rPr>
        <w:t>Alberta</w:t>
      </w:r>
    </w:p>
    <w:p>
      <w:pPr>
        <w:spacing w:after="0"/>
        <w:rPr>
          <w:sz w:val="20"/>
          <w:szCs w:val="20"/>
          <w:color w:val="auto"/>
        </w:rPr>
      </w:pPr>
      <w:r>
        <w:rPr>
          <w:rFonts w:ascii="Courier New" w:cs="Courier New" w:eastAsia="Courier New" w:hAnsi="Courier New"/>
          <w:sz w:val="15"/>
          <w:szCs w:val="15"/>
          <w:color w:val="auto"/>
        </w:rPr>
        <w:t>Alberta</w:t>
      </w:r>
    </w:p>
    <w:p>
      <w:pPr>
        <w:spacing w:after="0" w:line="238" w:lineRule="auto"/>
        <w:rPr>
          <w:sz w:val="20"/>
          <w:szCs w:val="20"/>
          <w:color w:val="auto"/>
        </w:rPr>
      </w:pPr>
      <w:r>
        <w:rPr>
          <w:rFonts w:ascii="Courier New" w:cs="Courier New" w:eastAsia="Courier New" w:hAnsi="Courier New"/>
          <w:sz w:val="15"/>
          <w:szCs w:val="15"/>
          <w:color w:val="auto"/>
        </w:rPr>
        <w:t>Alberta</w:t>
      </w: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Arizona</w:t>
      </w:r>
    </w:p>
    <w:p>
      <w:pPr>
        <w:spacing w:after="0"/>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New York</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Ohio</w:t>
      </w:r>
    </w:p>
    <w:p>
      <w:pPr>
        <w:spacing w:after="0"/>
        <w:rPr>
          <w:sz w:val="20"/>
          <w:szCs w:val="20"/>
          <w:color w:val="auto"/>
        </w:rPr>
      </w:pPr>
      <w:r>
        <w:rPr>
          <w:rFonts w:ascii="Courier New" w:cs="Courier New" w:eastAsia="Courier New" w:hAnsi="Courier New"/>
          <w:sz w:val="15"/>
          <w:szCs w:val="15"/>
          <w:color w:val="auto"/>
        </w:rPr>
        <w:t>Ohio</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Alaska</w:t>
      </w:r>
    </w:p>
    <w:p>
      <w:pPr>
        <w:spacing w:after="0"/>
        <w:rPr>
          <w:sz w:val="20"/>
          <w:szCs w:val="20"/>
          <w:color w:val="auto"/>
        </w:rPr>
      </w:pPr>
      <w:r>
        <w:rPr>
          <w:rFonts w:ascii="Courier New" w:cs="Courier New" w:eastAsia="Courier New" w:hAnsi="Courier New"/>
          <w:sz w:val="15"/>
          <w:szCs w:val="15"/>
          <w:color w:val="auto"/>
        </w:rPr>
        <w:t>Alaska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Pennsylvania</w:t>
      </w:r>
    </w:p>
    <w:p>
      <w:pPr>
        <w:spacing w:after="0" w:line="238" w:lineRule="auto"/>
        <w:rPr>
          <w:sz w:val="20"/>
          <w:szCs w:val="20"/>
          <w:color w:val="auto"/>
        </w:rPr>
      </w:pPr>
      <w:r>
        <w:rPr>
          <w:rFonts w:ascii="Courier New" w:cs="Courier New" w:eastAsia="Courier New" w:hAnsi="Courier New"/>
          <w:sz w:val="15"/>
          <w:szCs w:val="15"/>
          <w:color w:val="auto"/>
        </w:rPr>
        <w:t>Alaska</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Connecticut</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Minnesota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Colorado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Nevada</w:t>
      </w:r>
    </w:p>
    <w:p>
      <w:pPr>
        <w:spacing w:after="0"/>
        <w:rPr>
          <w:sz w:val="20"/>
          <w:szCs w:val="20"/>
          <w:color w:val="auto"/>
        </w:rPr>
      </w:pPr>
      <w:r>
        <w:rPr>
          <w:rFonts w:ascii="Courier New" w:cs="Courier New" w:eastAsia="Courier New" w:hAnsi="Courier New"/>
          <w:sz w:val="15"/>
          <w:szCs w:val="15"/>
          <w:color w:val="auto"/>
        </w:rPr>
        <w:t>Maryland</w:t>
      </w:r>
    </w:p>
    <w:p>
      <w:pPr>
        <w:spacing w:after="0"/>
        <w:rPr>
          <w:sz w:val="20"/>
          <w:szCs w:val="20"/>
          <w:color w:val="auto"/>
        </w:rPr>
      </w:pPr>
      <w:r>
        <w:rPr>
          <w:rFonts w:ascii="Courier New" w:cs="Courier New" w:eastAsia="Courier New" w:hAnsi="Courier New"/>
          <w:sz w:val="15"/>
          <w:szCs w:val="15"/>
          <w:color w:val="auto"/>
        </w:rPr>
        <w:t>Maryland</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Quebec</w:t>
      </w:r>
    </w:p>
    <w:p>
      <w:pPr>
        <w:spacing w:after="0"/>
        <w:rPr>
          <w:sz w:val="20"/>
          <w:szCs w:val="20"/>
          <w:color w:val="auto"/>
        </w:rPr>
      </w:pPr>
      <w:r>
        <w:rPr>
          <w:rFonts w:ascii="Courier New" w:cs="Courier New" w:eastAsia="Courier New" w:hAnsi="Courier New"/>
          <w:sz w:val="15"/>
          <w:szCs w:val="15"/>
          <w:color w:val="auto"/>
        </w:rPr>
        <w:t>Minnesota</w:t>
      </w:r>
    </w:p>
    <w:p>
      <w:pPr>
        <w:spacing w:after="0" w:line="238" w:lineRule="auto"/>
        <w:rPr>
          <w:sz w:val="20"/>
          <w:szCs w:val="20"/>
          <w:color w:val="auto"/>
        </w:rPr>
      </w:pPr>
      <w:r>
        <w:rPr>
          <w:rFonts w:ascii="Courier New" w:cs="Courier New" w:eastAsia="Courier New" w:hAnsi="Courier New"/>
          <w:sz w:val="15"/>
          <w:szCs w:val="15"/>
          <w:color w:val="auto"/>
        </w:rPr>
        <w:t>North Dakota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Mississippi</w:t>
      </w:r>
    </w:p>
    <w:p>
      <w:pPr>
        <w:spacing w:after="0"/>
        <w:rPr>
          <w:sz w:val="20"/>
          <w:szCs w:val="20"/>
          <w:color w:val="auto"/>
        </w:rPr>
      </w:pPr>
      <w:r>
        <w:rPr>
          <w:rFonts w:ascii="Courier New" w:cs="Courier New" w:eastAsia="Courier New" w:hAnsi="Courier New"/>
          <w:sz w:val="15"/>
          <w:szCs w:val="15"/>
          <w:color w:val="auto"/>
        </w:rPr>
        <w:t>Mississippi</w:t>
      </w:r>
    </w:p>
    <w:p>
      <w:pPr>
        <w:sectPr>
          <w:pgSz w:w="11900" w:h="16838" w:orient="portrait"/>
          <w:cols w:equalWidth="0" w:num="2">
            <w:col w:w="5360" w:space="720"/>
            <w:col w:w="4139"/>
          </w:cols>
          <w:pgMar w:left="240" w:top="136" w:right="1440" w:bottom="1440" w:gutter="0" w:footer="0" w:header="0"/>
          <w:type w:val="continuous"/>
        </w:sectPr>
      </w:pPr>
    </w:p>
    <w:bookmarkStart w:id="158" w:name="page159"/>
    <w:bookmarkEnd w:id="158"/>
    <w:p>
      <w:pPr>
        <w:ind w:left="2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8" w:right="1440" w:bottom="1440" w:gutter="0" w:footer="0" w:header="0"/>
        </w:sect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Braddon Enterprises, Inc.</w:t>
      </w:r>
    </w:p>
    <w:p>
      <w:pPr>
        <w:spacing w:after="0"/>
        <w:rPr>
          <w:sz w:val="20"/>
          <w:szCs w:val="20"/>
          <w:color w:val="auto"/>
        </w:rPr>
      </w:pPr>
      <w:r>
        <w:rPr>
          <w:rFonts w:ascii="Courier New" w:cs="Courier New" w:eastAsia="Courier New" w:hAnsi="Courier New"/>
          <w:sz w:val="15"/>
          <w:szCs w:val="15"/>
          <w:color w:val="auto"/>
        </w:rPr>
        <w:t>Brazoria County Recycling Center, Inc.</w:t>
      </w:r>
    </w:p>
    <w:p>
      <w:pPr>
        <w:spacing w:after="0"/>
        <w:rPr>
          <w:sz w:val="20"/>
          <w:szCs w:val="20"/>
          <w:color w:val="auto"/>
        </w:rPr>
      </w:pPr>
      <w:r>
        <w:rPr>
          <w:rFonts w:ascii="Courier New" w:cs="Courier New" w:eastAsia="Courier New" w:hAnsi="Courier New"/>
          <w:sz w:val="15"/>
          <w:szCs w:val="15"/>
          <w:color w:val="auto"/>
        </w:rPr>
        <w:t>Brem-Air Disposal, Inc.</w:t>
      </w:r>
    </w:p>
    <w:p>
      <w:pPr>
        <w:spacing w:after="0" w:line="238" w:lineRule="auto"/>
        <w:rPr>
          <w:sz w:val="20"/>
          <w:szCs w:val="20"/>
          <w:color w:val="auto"/>
        </w:rPr>
      </w:pPr>
      <w:r>
        <w:rPr>
          <w:rFonts w:ascii="Courier New" w:cs="Courier New" w:eastAsia="Courier New" w:hAnsi="Courier New"/>
          <w:sz w:val="15"/>
          <w:szCs w:val="15"/>
          <w:color w:val="auto"/>
        </w:rPr>
        <w:t>Bridgeport Resco Company, L.P.</w:t>
      </w:r>
    </w:p>
    <w:p>
      <w:pPr>
        <w:spacing w:after="0"/>
        <w:rPr>
          <w:sz w:val="20"/>
          <w:szCs w:val="20"/>
          <w:color w:val="auto"/>
        </w:rPr>
      </w:pPr>
      <w:r>
        <w:rPr>
          <w:rFonts w:ascii="Courier New" w:cs="Courier New" w:eastAsia="Courier New" w:hAnsi="Courier New"/>
          <w:sz w:val="15"/>
          <w:szCs w:val="15"/>
          <w:color w:val="auto"/>
        </w:rPr>
        <w:t>Burnsville Sanitary Landfill, Inc.</w:t>
      </w:r>
    </w:p>
    <w:p>
      <w:pPr>
        <w:spacing w:after="0"/>
        <w:rPr>
          <w:sz w:val="20"/>
          <w:szCs w:val="20"/>
          <w:color w:val="auto"/>
        </w:rPr>
      </w:pPr>
      <w:r>
        <w:rPr>
          <w:rFonts w:ascii="Courier New" w:cs="Courier New" w:eastAsia="Courier New" w:hAnsi="Courier New"/>
          <w:sz w:val="15"/>
          <w:szCs w:val="15"/>
          <w:color w:val="auto"/>
        </w:rPr>
        <w:t>C&amp;L Disposal Company, Inc.</w:t>
      </w:r>
    </w:p>
    <w:p>
      <w:pPr>
        <w:spacing w:after="0" w:line="238" w:lineRule="auto"/>
        <w:rPr>
          <w:sz w:val="20"/>
          <w:szCs w:val="20"/>
          <w:color w:val="auto"/>
        </w:rPr>
      </w:pPr>
      <w:r>
        <w:rPr>
          <w:rFonts w:ascii="Courier New" w:cs="Courier New" w:eastAsia="Courier New" w:hAnsi="Courier New"/>
          <w:sz w:val="15"/>
          <w:szCs w:val="15"/>
          <w:color w:val="auto"/>
        </w:rPr>
        <w:t>C.D.M. Sanitation, Inc.</w:t>
      </w:r>
    </w:p>
    <w:p>
      <w:pPr>
        <w:spacing w:after="0"/>
        <w:rPr>
          <w:sz w:val="20"/>
          <w:szCs w:val="20"/>
          <w:color w:val="auto"/>
        </w:rPr>
      </w:pPr>
      <w:r>
        <w:rPr>
          <w:rFonts w:ascii="Courier New" w:cs="Courier New" w:eastAsia="Courier New" w:hAnsi="Courier New"/>
          <w:sz w:val="15"/>
          <w:szCs w:val="15"/>
          <w:color w:val="auto"/>
        </w:rPr>
        <w:t>C.I.D. Landfill, Inc.</w:t>
      </w:r>
    </w:p>
    <w:p>
      <w:pPr>
        <w:spacing w:after="0"/>
        <w:rPr>
          <w:sz w:val="20"/>
          <w:szCs w:val="20"/>
          <w:color w:val="auto"/>
        </w:rPr>
      </w:pPr>
      <w:r>
        <w:rPr>
          <w:rFonts w:ascii="Courier New" w:cs="Courier New" w:eastAsia="Courier New" w:hAnsi="Courier New"/>
          <w:sz w:val="15"/>
          <w:szCs w:val="15"/>
          <w:color w:val="auto"/>
        </w:rPr>
        <w:t>C.I.D. Refuse Service, Inc.</w:t>
      </w:r>
    </w:p>
    <w:p>
      <w:pPr>
        <w:spacing w:after="0"/>
        <w:rPr>
          <w:sz w:val="20"/>
          <w:szCs w:val="20"/>
          <w:color w:val="auto"/>
        </w:rPr>
      </w:pPr>
      <w:r>
        <w:rPr>
          <w:rFonts w:ascii="Courier New" w:cs="Courier New" w:eastAsia="Courier New" w:hAnsi="Courier New"/>
          <w:sz w:val="15"/>
          <w:szCs w:val="15"/>
          <w:color w:val="auto"/>
        </w:rPr>
        <w:t>Cal Sierra Disposal</w:t>
      </w:r>
    </w:p>
    <w:p>
      <w:pPr>
        <w:spacing w:after="0" w:line="238" w:lineRule="auto"/>
        <w:rPr>
          <w:sz w:val="20"/>
          <w:szCs w:val="20"/>
          <w:color w:val="auto"/>
        </w:rPr>
      </w:pPr>
      <w:r>
        <w:rPr>
          <w:rFonts w:ascii="Courier New" w:cs="Courier New" w:eastAsia="Courier New" w:hAnsi="Courier New"/>
          <w:sz w:val="15"/>
          <w:szCs w:val="15"/>
          <w:color w:val="auto"/>
        </w:rPr>
        <w:t>Cal Sierra Transfer, Inc.</w:t>
      </w:r>
    </w:p>
    <w:p>
      <w:pPr>
        <w:spacing w:after="0"/>
        <w:rPr>
          <w:sz w:val="20"/>
          <w:szCs w:val="20"/>
          <w:color w:val="auto"/>
        </w:rPr>
      </w:pPr>
      <w:r>
        <w:rPr>
          <w:rFonts w:ascii="Courier New" w:cs="Courier New" w:eastAsia="Courier New" w:hAnsi="Courier New"/>
          <w:sz w:val="15"/>
          <w:szCs w:val="15"/>
          <w:color w:val="auto"/>
        </w:rPr>
        <w:t>California Asbestos Monofil, Inc.</w:t>
      </w:r>
    </w:p>
    <w:p>
      <w:pPr>
        <w:spacing w:after="0"/>
        <w:rPr>
          <w:sz w:val="20"/>
          <w:szCs w:val="20"/>
          <w:color w:val="auto"/>
        </w:rPr>
      </w:pPr>
      <w:r>
        <w:rPr>
          <w:rFonts w:ascii="Courier New" w:cs="Courier New" w:eastAsia="Courier New" w:hAnsi="Courier New"/>
          <w:sz w:val="15"/>
          <w:szCs w:val="15"/>
          <w:color w:val="auto"/>
        </w:rPr>
        <w:t>Campbell Wells NORM Corporation</w:t>
      </w:r>
    </w:p>
    <w:p>
      <w:pPr>
        <w:spacing w:after="0" w:line="238" w:lineRule="auto"/>
        <w:rPr>
          <w:sz w:val="20"/>
          <w:szCs w:val="20"/>
          <w:color w:val="auto"/>
        </w:rPr>
      </w:pPr>
      <w:r>
        <w:rPr>
          <w:rFonts w:ascii="Courier New" w:cs="Courier New" w:eastAsia="Courier New" w:hAnsi="Courier New"/>
          <w:sz w:val="15"/>
          <w:szCs w:val="15"/>
          <w:color w:val="auto"/>
        </w:rPr>
        <w:t>Canadian Waste Services Holdings Inc.</w:t>
      </w:r>
    </w:p>
    <w:p>
      <w:pPr>
        <w:spacing w:after="0"/>
        <w:rPr>
          <w:sz w:val="20"/>
          <w:szCs w:val="20"/>
          <w:color w:val="auto"/>
        </w:rPr>
      </w:pPr>
      <w:r>
        <w:rPr>
          <w:rFonts w:ascii="Courier New" w:cs="Courier New" w:eastAsia="Courier New" w:hAnsi="Courier New"/>
          <w:sz w:val="15"/>
          <w:szCs w:val="15"/>
          <w:color w:val="auto"/>
        </w:rPr>
        <w:t>Canadian Waste Services Inc.</w:t>
      </w:r>
    </w:p>
    <w:p>
      <w:pPr>
        <w:spacing w:after="0"/>
        <w:rPr>
          <w:sz w:val="20"/>
          <w:szCs w:val="20"/>
          <w:color w:val="auto"/>
        </w:rPr>
      </w:pPr>
      <w:r>
        <w:rPr>
          <w:rFonts w:ascii="Courier New" w:cs="Courier New" w:eastAsia="Courier New" w:hAnsi="Courier New"/>
          <w:sz w:val="15"/>
          <w:szCs w:val="15"/>
          <w:color w:val="auto"/>
        </w:rPr>
        <w:t>Capital City Disposal, L.L.C.</w:t>
      </w:r>
    </w:p>
    <w:p>
      <w:pPr>
        <w:spacing w:after="0"/>
        <w:rPr>
          <w:sz w:val="20"/>
          <w:szCs w:val="20"/>
          <w:color w:val="auto"/>
        </w:rPr>
      </w:pPr>
      <w:r>
        <w:rPr>
          <w:rFonts w:ascii="Courier New" w:cs="Courier New" w:eastAsia="Courier New" w:hAnsi="Courier New"/>
          <w:sz w:val="15"/>
          <w:szCs w:val="15"/>
          <w:color w:val="auto"/>
        </w:rPr>
        <w:t>Capital Sanitation Company</w:t>
      </w:r>
    </w:p>
    <w:p>
      <w:pPr>
        <w:spacing w:after="0" w:line="238" w:lineRule="auto"/>
        <w:rPr>
          <w:sz w:val="20"/>
          <w:szCs w:val="20"/>
          <w:color w:val="auto"/>
        </w:rPr>
      </w:pPr>
      <w:r>
        <w:rPr>
          <w:rFonts w:ascii="Courier New" w:cs="Courier New" w:eastAsia="Courier New" w:hAnsi="Courier New"/>
          <w:sz w:val="15"/>
          <w:szCs w:val="15"/>
          <w:color w:val="auto"/>
        </w:rPr>
        <w:t>Capitol Disposal, Inc.</w:t>
      </w:r>
    </w:p>
    <w:p>
      <w:pPr>
        <w:spacing w:after="0"/>
        <w:rPr>
          <w:sz w:val="20"/>
          <w:szCs w:val="20"/>
          <w:color w:val="auto"/>
        </w:rPr>
      </w:pPr>
      <w:r>
        <w:rPr>
          <w:rFonts w:ascii="Courier New" w:cs="Courier New" w:eastAsia="Courier New" w:hAnsi="Courier New"/>
          <w:sz w:val="15"/>
          <w:szCs w:val="15"/>
          <w:color w:val="auto"/>
        </w:rPr>
        <w:t>Caramella-Ballardini, Ltd.</w:t>
      </w:r>
    </w:p>
    <w:p>
      <w:pPr>
        <w:spacing w:after="0"/>
        <w:rPr>
          <w:sz w:val="20"/>
          <w:szCs w:val="20"/>
          <w:color w:val="auto"/>
        </w:rPr>
      </w:pPr>
      <w:r>
        <w:rPr>
          <w:rFonts w:ascii="Courier New" w:cs="Courier New" w:eastAsia="Courier New" w:hAnsi="Courier New"/>
          <w:sz w:val="15"/>
          <w:szCs w:val="15"/>
          <w:color w:val="auto"/>
        </w:rPr>
        <w:t>Cardinal Ridge Development, Inc.</w:t>
      </w:r>
    </w:p>
    <w:p>
      <w:pPr>
        <w:spacing w:after="0" w:line="238" w:lineRule="auto"/>
        <w:rPr>
          <w:sz w:val="20"/>
          <w:szCs w:val="20"/>
          <w:color w:val="auto"/>
        </w:rPr>
      </w:pPr>
      <w:r>
        <w:rPr>
          <w:rFonts w:ascii="Courier New" w:cs="Courier New" w:eastAsia="Courier New" w:hAnsi="Courier New"/>
          <w:sz w:val="15"/>
          <w:szCs w:val="15"/>
          <w:color w:val="auto"/>
        </w:rPr>
        <w:t>Carefree Disposal, Inc.</w:t>
      </w:r>
    </w:p>
    <w:p>
      <w:pPr>
        <w:spacing w:after="0"/>
        <w:rPr>
          <w:sz w:val="20"/>
          <w:szCs w:val="20"/>
          <w:color w:val="auto"/>
        </w:rPr>
      </w:pPr>
      <w:r>
        <w:rPr>
          <w:rFonts w:ascii="Courier New" w:cs="Courier New" w:eastAsia="Courier New" w:hAnsi="Courier New"/>
          <w:sz w:val="15"/>
          <w:szCs w:val="15"/>
          <w:color w:val="auto"/>
        </w:rPr>
        <w:t>Carleton Farms Landfill, Inc.</w:t>
      </w:r>
    </w:p>
    <w:p>
      <w:pPr>
        <w:spacing w:after="0"/>
        <w:rPr>
          <w:sz w:val="20"/>
          <w:szCs w:val="20"/>
          <w:color w:val="auto"/>
        </w:rPr>
      </w:pPr>
      <w:r>
        <w:rPr>
          <w:rFonts w:ascii="Courier New" w:cs="Courier New" w:eastAsia="Courier New" w:hAnsi="Courier New"/>
          <w:sz w:val="15"/>
          <w:szCs w:val="15"/>
          <w:color w:val="auto"/>
        </w:rPr>
        <w:t>Carmel Marina Corporation</w:t>
      </w:r>
    </w:p>
    <w:p>
      <w:pPr>
        <w:spacing w:after="0"/>
        <w:rPr>
          <w:sz w:val="20"/>
          <w:szCs w:val="20"/>
          <w:color w:val="auto"/>
        </w:rPr>
      </w:pPr>
      <w:r>
        <w:rPr>
          <w:rFonts w:ascii="Courier New" w:cs="Courier New" w:eastAsia="Courier New" w:hAnsi="Courier New"/>
          <w:sz w:val="15"/>
          <w:szCs w:val="15"/>
          <w:color w:val="auto"/>
        </w:rPr>
        <w:t>Carolina Grading, Inc.</w:t>
      </w:r>
    </w:p>
    <w:p>
      <w:pPr>
        <w:spacing w:after="0" w:line="238" w:lineRule="auto"/>
        <w:rPr>
          <w:sz w:val="20"/>
          <w:szCs w:val="20"/>
          <w:color w:val="auto"/>
        </w:rPr>
      </w:pPr>
      <w:r>
        <w:rPr>
          <w:rFonts w:ascii="Courier New" w:cs="Courier New" w:eastAsia="Courier New" w:hAnsi="Courier New"/>
          <w:sz w:val="15"/>
          <w:szCs w:val="15"/>
          <w:color w:val="auto"/>
        </w:rPr>
        <w:t>Carver Transfer &amp; Processing, Inc.</w:t>
      </w:r>
    </w:p>
    <w:p>
      <w:pPr>
        <w:spacing w:after="0"/>
        <w:rPr>
          <w:sz w:val="20"/>
          <w:szCs w:val="20"/>
          <w:color w:val="auto"/>
        </w:rPr>
      </w:pPr>
      <w:r>
        <w:rPr>
          <w:rFonts w:ascii="Courier New" w:cs="Courier New" w:eastAsia="Courier New" w:hAnsi="Courier New"/>
          <w:sz w:val="15"/>
          <w:szCs w:val="15"/>
          <w:color w:val="auto"/>
        </w:rPr>
        <w:t>Cedar Hammock Refuse Disposal Corporation</w:t>
      </w:r>
    </w:p>
    <w:p>
      <w:pPr>
        <w:spacing w:after="0"/>
        <w:rPr>
          <w:sz w:val="20"/>
          <w:szCs w:val="20"/>
          <w:color w:val="auto"/>
        </w:rPr>
      </w:pPr>
      <w:r>
        <w:rPr>
          <w:rFonts w:ascii="Courier New" w:cs="Courier New" w:eastAsia="Courier New" w:hAnsi="Courier New"/>
          <w:sz w:val="15"/>
          <w:szCs w:val="15"/>
          <w:color w:val="auto"/>
        </w:rPr>
        <w:t>Cedar Ridge Landfill, Inc.</w:t>
      </w:r>
    </w:p>
    <w:p>
      <w:pPr>
        <w:spacing w:after="0" w:line="238" w:lineRule="auto"/>
        <w:rPr>
          <w:sz w:val="20"/>
          <w:szCs w:val="20"/>
          <w:color w:val="auto"/>
        </w:rPr>
      </w:pPr>
      <w:r>
        <w:rPr>
          <w:rFonts w:ascii="Courier New" w:cs="Courier New" w:eastAsia="Courier New" w:hAnsi="Courier New"/>
          <w:sz w:val="15"/>
          <w:szCs w:val="15"/>
          <w:color w:val="auto"/>
        </w:rPr>
        <w:t>Central Disposal Systems, Inc.</w:t>
      </w:r>
    </w:p>
    <w:p>
      <w:pPr>
        <w:spacing w:after="0"/>
        <w:rPr>
          <w:sz w:val="20"/>
          <w:szCs w:val="20"/>
          <w:color w:val="auto"/>
        </w:rPr>
      </w:pPr>
      <w:r>
        <w:rPr>
          <w:rFonts w:ascii="Courier New" w:cs="Courier New" w:eastAsia="Courier New" w:hAnsi="Courier New"/>
          <w:sz w:val="15"/>
          <w:szCs w:val="15"/>
          <w:color w:val="auto"/>
        </w:rPr>
        <w:t>Central Missouri Landfill, Inc.</w:t>
      </w:r>
    </w:p>
    <w:p>
      <w:pPr>
        <w:spacing w:after="0"/>
        <w:rPr>
          <w:sz w:val="20"/>
          <w:szCs w:val="20"/>
          <w:color w:val="auto"/>
        </w:rPr>
      </w:pPr>
      <w:r>
        <w:rPr>
          <w:rFonts w:ascii="Courier New" w:cs="Courier New" w:eastAsia="Courier New" w:hAnsi="Courier New"/>
          <w:sz w:val="15"/>
          <w:szCs w:val="15"/>
          <w:color w:val="auto"/>
        </w:rPr>
        <w:t>Central Valley Waste Services, Inc.</w:t>
      </w:r>
    </w:p>
    <w:p>
      <w:pPr>
        <w:spacing w:after="0" w:line="238" w:lineRule="auto"/>
        <w:rPr>
          <w:sz w:val="20"/>
          <w:szCs w:val="20"/>
          <w:color w:val="auto"/>
        </w:rPr>
      </w:pPr>
      <w:r>
        <w:rPr>
          <w:rFonts w:ascii="Courier New" w:cs="Courier New" w:eastAsia="Courier New" w:hAnsi="Courier New"/>
          <w:sz w:val="15"/>
          <w:szCs w:val="15"/>
          <w:color w:val="auto"/>
        </w:rPr>
        <w:t>Chadwick Road Landfill, Inc.</w:t>
      </w:r>
    </w:p>
    <w:p>
      <w:pPr>
        <w:spacing w:after="0"/>
        <w:rPr>
          <w:sz w:val="20"/>
          <w:szCs w:val="20"/>
          <w:color w:val="auto"/>
        </w:rPr>
      </w:pPr>
      <w:r>
        <w:rPr>
          <w:rFonts w:ascii="Courier New" w:cs="Courier New" w:eastAsia="Courier New" w:hAnsi="Courier New"/>
          <w:sz w:val="15"/>
          <w:szCs w:val="15"/>
          <w:color w:val="auto"/>
        </w:rPr>
        <w:t>Chambers Clearview Environmental Landfill, Inc.</w:t>
      </w:r>
    </w:p>
    <w:p>
      <w:pPr>
        <w:spacing w:after="0"/>
        <w:rPr>
          <w:sz w:val="20"/>
          <w:szCs w:val="20"/>
          <w:color w:val="auto"/>
        </w:rPr>
      </w:pPr>
      <w:r>
        <w:rPr>
          <w:rFonts w:ascii="Courier New" w:cs="Courier New" w:eastAsia="Courier New" w:hAnsi="Courier New"/>
          <w:sz w:val="15"/>
          <w:szCs w:val="15"/>
          <w:color w:val="auto"/>
        </w:rPr>
        <w:t>Chambers Development Company, Inc.</w:t>
      </w:r>
    </w:p>
    <w:p>
      <w:pPr>
        <w:spacing w:after="0"/>
        <w:rPr>
          <w:sz w:val="20"/>
          <w:szCs w:val="20"/>
          <w:color w:val="auto"/>
        </w:rPr>
      </w:pPr>
      <w:r>
        <w:rPr>
          <w:rFonts w:ascii="Courier New" w:cs="Courier New" w:eastAsia="Courier New" w:hAnsi="Courier New"/>
          <w:sz w:val="15"/>
          <w:szCs w:val="15"/>
          <w:color w:val="auto"/>
        </w:rPr>
        <w:t>Chambers Development of Ohio, Inc.</w:t>
      </w:r>
    </w:p>
    <w:p>
      <w:pPr>
        <w:spacing w:after="0" w:line="238" w:lineRule="auto"/>
        <w:rPr>
          <w:sz w:val="20"/>
          <w:szCs w:val="20"/>
          <w:color w:val="auto"/>
        </w:rPr>
      </w:pPr>
      <w:r>
        <w:rPr>
          <w:rFonts w:ascii="Courier New" w:cs="Courier New" w:eastAsia="Courier New" w:hAnsi="Courier New"/>
          <w:sz w:val="15"/>
          <w:szCs w:val="15"/>
          <w:color w:val="auto"/>
        </w:rPr>
        <w:t>Chambers of Mississippi, Inc.</w:t>
      </w:r>
    </w:p>
    <w:p>
      <w:pPr>
        <w:spacing w:after="0"/>
        <w:rPr>
          <w:sz w:val="20"/>
          <w:szCs w:val="20"/>
          <w:color w:val="auto"/>
        </w:rPr>
      </w:pPr>
      <w:r>
        <w:rPr>
          <w:rFonts w:ascii="Courier New" w:cs="Courier New" w:eastAsia="Courier New" w:hAnsi="Courier New"/>
          <w:sz w:val="15"/>
          <w:szCs w:val="15"/>
          <w:color w:val="auto"/>
        </w:rPr>
        <w:t>Chambers of West Virginia, Inc.</w:t>
      </w:r>
    </w:p>
    <w:p>
      <w:pPr>
        <w:spacing w:after="0"/>
        <w:rPr>
          <w:sz w:val="20"/>
          <w:szCs w:val="20"/>
          <w:color w:val="auto"/>
        </w:rPr>
      </w:pPr>
      <w:r>
        <w:rPr>
          <w:rFonts w:ascii="Courier New" w:cs="Courier New" w:eastAsia="Courier New" w:hAnsi="Courier New"/>
          <w:sz w:val="15"/>
          <w:szCs w:val="15"/>
          <w:color w:val="auto"/>
        </w:rPr>
        <w:t>Chambers Services, Inc.</w:t>
      </w:r>
    </w:p>
    <w:p>
      <w:pPr>
        <w:spacing w:after="0" w:line="238" w:lineRule="auto"/>
        <w:rPr>
          <w:sz w:val="20"/>
          <w:szCs w:val="20"/>
          <w:color w:val="auto"/>
        </w:rPr>
      </w:pPr>
      <w:r>
        <w:rPr>
          <w:rFonts w:ascii="Courier New" w:cs="Courier New" w:eastAsia="Courier New" w:hAnsi="Courier New"/>
          <w:sz w:val="15"/>
          <w:szCs w:val="15"/>
          <w:color w:val="auto"/>
        </w:rPr>
        <w:t>Charlotte Landscaping and Sanitation Services Inc.</w:t>
      </w:r>
    </w:p>
    <w:p>
      <w:pPr>
        <w:spacing w:after="0"/>
        <w:rPr>
          <w:sz w:val="20"/>
          <w:szCs w:val="20"/>
          <w:color w:val="auto"/>
        </w:rPr>
      </w:pPr>
      <w:r>
        <w:rPr>
          <w:rFonts w:ascii="Courier New" w:cs="Courier New" w:eastAsia="Courier New" w:hAnsi="Courier New"/>
          <w:sz w:val="15"/>
          <w:szCs w:val="15"/>
          <w:color w:val="auto"/>
        </w:rPr>
        <w:t>Chastang Landfill, Inc.</w:t>
      </w:r>
    </w:p>
    <w:p>
      <w:pPr>
        <w:spacing w:after="0"/>
        <w:rPr>
          <w:sz w:val="20"/>
          <w:szCs w:val="20"/>
          <w:color w:val="auto"/>
        </w:rPr>
      </w:pPr>
      <w:r>
        <w:rPr>
          <w:rFonts w:ascii="Courier New" w:cs="Courier New" w:eastAsia="Courier New" w:hAnsi="Courier New"/>
          <w:sz w:val="15"/>
          <w:szCs w:val="15"/>
          <w:color w:val="auto"/>
        </w:rPr>
        <w:t>Chemical Waste Management de Mexico, S.A. de C.V.</w:t>
      </w:r>
    </w:p>
    <w:p>
      <w:pPr>
        <w:spacing w:after="0"/>
        <w:rPr>
          <w:sz w:val="20"/>
          <w:szCs w:val="20"/>
          <w:color w:val="auto"/>
        </w:rPr>
      </w:pPr>
      <w:r>
        <w:rPr>
          <w:rFonts w:ascii="Courier New" w:cs="Courier New" w:eastAsia="Courier New" w:hAnsi="Courier New"/>
          <w:sz w:val="15"/>
          <w:szCs w:val="15"/>
          <w:color w:val="auto"/>
        </w:rPr>
        <w:t>Chemical Waste Management of Indiana L.L.C.</w:t>
      </w:r>
    </w:p>
    <w:p>
      <w:pPr>
        <w:spacing w:after="0" w:line="238" w:lineRule="auto"/>
        <w:rPr>
          <w:sz w:val="20"/>
          <w:szCs w:val="20"/>
          <w:color w:val="auto"/>
        </w:rPr>
      </w:pPr>
      <w:r>
        <w:rPr>
          <w:rFonts w:ascii="Courier New" w:cs="Courier New" w:eastAsia="Courier New" w:hAnsi="Courier New"/>
          <w:sz w:val="15"/>
          <w:szCs w:val="15"/>
          <w:color w:val="auto"/>
        </w:rPr>
        <w:t>Chemical Waste Management of the Northwest, Inc.</w:t>
      </w:r>
    </w:p>
    <w:p>
      <w:pPr>
        <w:spacing w:after="0"/>
        <w:rPr>
          <w:sz w:val="20"/>
          <w:szCs w:val="20"/>
          <w:color w:val="auto"/>
        </w:rPr>
      </w:pPr>
      <w:r>
        <w:rPr>
          <w:rFonts w:ascii="Courier New" w:cs="Courier New" w:eastAsia="Courier New" w:hAnsi="Courier New"/>
          <w:sz w:val="15"/>
          <w:szCs w:val="15"/>
          <w:color w:val="auto"/>
        </w:rPr>
        <w:t>Chemical Waste Management, Inc.</w:t>
      </w:r>
    </w:p>
    <w:p>
      <w:pPr>
        <w:spacing w:after="0"/>
        <w:rPr>
          <w:sz w:val="20"/>
          <w:szCs w:val="20"/>
          <w:color w:val="auto"/>
        </w:rPr>
      </w:pPr>
      <w:r>
        <w:rPr>
          <w:rFonts w:ascii="Courier New" w:cs="Courier New" w:eastAsia="Courier New" w:hAnsi="Courier New"/>
          <w:sz w:val="15"/>
          <w:szCs w:val="15"/>
          <w:color w:val="auto"/>
        </w:rPr>
        <w:t>Chesser Island Road Landfill, Inc.</w:t>
      </w:r>
    </w:p>
    <w:p>
      <w:pPr>
        <w:spacing w:after="0" w:line="238" w:lineRule="auto"/>
        <w:rPr>
          <w:sz w:val="20"/>
          <w:szCs w:val="20"/>
          <w:color w:val="auto"/>
        </w:rPr>
      </w:pPr>
      <w:r>
        <w:rPr>
          <w:rFonts w:ascii="Courier New" w:cs="Courier New" w:eastAsia="Courier New" w:hAnsi="Courier New"/>
          <w:sz w:val="15"/>
          <w:szCs w:val="15"/>
          <w:color w:val="auto"/>
        </w:rPr>
        <w:t>Chiquita Canyon Landfill, Inc.</w:t>
      </w:r>
    </w:p>
    <w:p>
      <w:pPr>
        <w:spacing w:after="0"/>
        <w:rPr>
          <w:sz w:val="20"/>
          <w:szCs w:val="20"/>
          <w:color w:val="auto"/>
        </w:rPr>
      </w:pPr>
      <w:r>
        <w:rPr>
          <w:rFonts w:ascii="Courier New" w:cs="Courier New" w:eastAsia="Courier New" w:hAnsi="Courier New"/>
          <w:sz w:val="15"/>
          <w:szCs w:val="15"/>
          <w:color w:val="auto"/>
        </w:rPr>
        <w:t>CID MRRF, Inc.</w:t>
      </w:r>
    </w:p>
    <w:p>
      <w:pPr>
        <w:spacing w:after="0"/>
        <w:rPr>
          <w:sz w:val="20"/>
          <w:szCs w:val="20"/>
          <w:color w:val="auto"/>
        </w:rPr>
      </w:pPr>
      <w:r>
        <w:rPr>
          <w:rFonts w:ascii="Courier New" w:cs="Courier New" w:eastAsia="Courier New" w:hAnsi="Courier New"/>
          <w:sz w:val="15"/>
          <w:szCs w:val="15"/>
          <w:color w:val="auto"/>
        </w:rPr>
        <w:t>City Disposal Systems, Inc.</w:t>
      </w:r>
    </w:p>
    <w:p>
      <w:pPr>
        <w:spacing w:after="0"/>
        <w:rPr>
          <w:sz w:val="20"/>
          <w:szCs w:val="20"/>
          <w:color w:val="auto"/>
        </w:rPr>
      </w:pPr>
      <w:r>
        <w:rPr>
          <w:rFonts w:ascii="Courier New" w:cs="Courier New" w:eastAsia="Courier New" w:hAnsi="Courier New"/>
          <w:sz w:val="15"/>
          <w:szCs w:val="15"/>
          <w:color w:val="auto"/>
        </w:rPr>
        <w:t>City Environmental Services Landfill, Inc. of Florida</w:t>
      </w:r>
    </w:p>
    <w:p>
      <w:pPr>
        <w:spacing w:after="0" w:line="238" w:lineRule="auto"/>
        <w:rPr>
          <w:sz w:val="20"/>
          <w:szCs w:val="20"/>
          <w:color w:val="auto"/>
        </w:rPr>
      </w:pPr>
      <w:r>
        <w:rPr>
          <w:rFonts w:ascii="Courier New" w:cs="Courier New" w:eastAsia="Courier New" w:hAnsi="Courier New"/>
          <w:sz w:val="15"/>
          <w:szCs w:val="15"/>
          <w:color w:val="auto"/>
        </w:rPr>
        <w:t>City Environmental Services Landfill, Inc. of Hastings</w:t>
      </w:r>
    </w:p>
    <w:p>
      <w:pPr>
        <w:spacing w:after="0"/>
        <w:rPr>
          <w:sz w:val="20"/>
          <w:szCs w:val="20"/>
          <w:color w:val="auto"/>
        </w:rPr>
      </w:pPr>
      <w:r>
        <w:rPr>
          <w:rFonts w:ascii="Courier New" w:cs="Courier New" w:eastAsia="Courier New" w:hAnsi="Courier New"/>
          <w:sz w:val="15"/>
          <w:szCs w:val="15"/>
          <w:color w:val="auto"/>
        </w:rPr>
        <w:t>City Environmental Services Landfill, Inc. of Lapeer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Landfill, Inc. of Panama 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 Environmental Services Landfill, Inc. of Saginaw</w:t>
      </w:r>
    </w:p>
    <w:p>
      <w:pPr>
        <w:spacing w:after="0"/>
        <w:rPr>
          <w:sz w:val="20"/>
          <w:szCs w:val="20"/>
          <w:color w:val="auto"/>
        </w:rPr>
      </w:pPr>
      <w:r>
        <w:rPr>
          <w:rFonts w:ascii="Courier New" w:cs="Courier New" w:eastAsia="Courier New" w:hAnsi="Courier New"/>
          <w:sz w:val="15"/>
          <w:szCs w:val="15"/>
          <w:color w:val="auto"/>
        </w:rPr>
        <w:t>City Environmental Services, Inc. of Waters</w:t>
      </w:r>
    </w:p>
    <w:p>
      <w:pPr>
        <w:spacing w:after="0"/>
        <w:rPr>
          <w:sz w:val="20"/>
          <w:szCs w:val="20"/>
          <w:color w:val="auto"/>
        </w:rPr>
      </w:pPr>
      <w:r>
        <w:rPr>
          <w:rFonts w:ascii="Courier New" w:cs="Courier New" w:eastAsia="Courier New" w:hAnsi="Courier New"/>
          <w:sz w:val="15"/>
          <w:szCs w:val="15"/>
          <w:color w:val="auto"/>
        </w:rPr>
        <w:t>City Management Corporation</w:t>
      </w:r>
    </w:p>
    <w:p>
      <w:pPr>
        <w:spacing w:after="0" w:line="238" w:lineRule="auto"/>
        <w:rPr>
          <w:sz w:val="20"/>
          <w:szCs w:val="20"/>
          <w:color w:val="auto"/>
        </w:rPr>
      </w:pPr>
      <w:r>
        <w:rPr>
          <w:rFonts w:ascii="Courier New" w:cs="Courier New" w:eastAsia="Courier New" w:hAnsi="Courier New"/>
          <w:sz w:val="15"/>
          <w:szCs w:val="15"/>
          <w:color w:val="auto"/>
        </w:rPr>
        <w:t>Clayton-Ward Company, Inc.</w:t>
      </w:r>
    </w:p>
    <w:p>
      <w:pPr>
        <w:spacing w:after="0"/>
        <w:rPr>
          <w:sz w:val="20"/>
          <w:szCs w:val="20"/>
          <w:color w:val="auto"/>
        </w:rPr>
      </w:pPr>
      <w:r>
        <w:rPr>
          <w:rFonts w:ascii="Courier New" w:cs="Courier New" w:eastAsia="Courier New" w:hAnsi="Courier New"/>
          <w:sz w:val="15"/>
          <w:szCs w:val="15"/>
          <w:color w:val="auto"/>
        </w:rPr>
        <w:t>Cleburne Landfill Company Corp.</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Virginia</w:t>
      </w:r>
    </w:p>
    <w:p>
      <w:pPr>
        <w:spacing w:after="0"/>
        <w:rPr>
          <w:sz w:val="20"/>
          <w:szCs w:val="20"/>
          <w:color w:val="auto"/>
        </w:rPr>
      </w:pPr>
      <w:r>
        <w:rPr>
          <w:rFonts w:ascii="Courier New" w:cs="Courier New" w:eastAsia="Courier New" w:hAnsi="Courier New"/>
          <w:sz w:val="15"/>
          <w:szCs w:val="15"/>
          <w:color w:val="auto"/>
        </w:rPr>
        <w:t>Texas</w:t>
      </w:r>
    </w:p>
    <w:p>
      <w:pPr>
        <w:spacing w:after="0"/>
        <w:rPr>
          <w:sz w:val="20"/>
          <w:szCs w:val="20"/>
          <w:color w:val="auto"/>
        </w:rPr>
      </w:pPr>
      <w:r>
        <w:rPr>
          <w:rFonts w:ascii="Courier New" w:cs="Courier New" w:eastAsia="Courier New" w:hAnsi="Courier New"/>
          <w:sz w:val="15"/>
          <w:szCs w:val="15"/>
          <w:color w:val="auto"/>
        </w:rPr>
        <w:t>Oregon</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Louisiana</w:t>
      </w:r>
    </w:p>
    <w:p>
      <w:pPr>
        <w:spacing w:after="0" w:line="238" w:lineRule="auto"/>
        <w:rPr>
          <w:sz w:val="20"/>
          <w:szCs w:val="20"/>
          <w:color w:val="auto"/>
        </w:rPr>
      </w:pPr>
      <w:r>
        <w:rPr>
          <w:rFonts w:ascii="Courier New" w:cs="Courier New" w:eastAsia="Courier New" w:hAnsi="Courier New"/>
          <w:sz w:val="15"/>
          <w:szCs w:val="15"/>
          <w:color w:val="auto"/>
        </w:rPr>
        <w:t>Ontario</w:t>
      </w:r>
    </w:p>
    <w:p>
      <w:pPr>
        <w:spacing w:after="0"/>
        <w:rPr>
          <w:sz w:val="20"/>
          <w:szCs w:val="20"/>
          <w:color w:val="auto"/>
        </w:rPr>
      </w:pPr>
      <w:r>
        <w:rPr>
          <w:rFonts w:ascii="Courier New" w:cs="Courier New" w:eastAsia="Courier New" w:hAnsi="Courier New"/>
          <w:sz w:val="15"/>
          <w:szCs w:val="15"/>
          <w:color w:val="auto"/>
        </w:rPr>
        <w:t>Ontario</w:t>
      </w: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Nevada</w:t>
      </w:r>
    </w:p>
    <w:p>
      <w:pPr>
        <w:spacing w:after="0" w:line="238" w:lineRule="auto"/>
        <w:rPr>
          <w:sz w:val="20"/>
          <w:szCs w:val="20"/>
          <w:color w:val="auto"/>
        </w:rPr>
      </w:pPr>
      <w:r>
        <w:rPr>
          <w:rFonts w:ascii="Courier New" w:cs="Courier New" w:eastAsia="Courier New" w:hAnsi="Courier New"/>
          <w:sz w:val="15"/>
          <w:szCs w:val="15"/>
          <w:color w:val="auto"/>
        </w:rPr>
        <w:t>Alaska</w:t>
      </w:r>
    </w:p>
    <w:p>
      <w:pPr>
        <w:spacing w:after="0"/>
        <w:rPr>
          <w:sz w:val="20"/>
          <w:szCs w:val="20"/>
          <w:color w:val="auto"/>
        </w:rPr>
      </w:pPr>
      <w:r>
        <w:rPr>
          <w:rFonts w:ascii="Courier New" w:cs="Courier New" w:eastAsia="Courier New" w:hAnsi="Courier New"/>
          <w:sz w:val="15"/>
          <w:szCs w:val="15"/>
          <w:color w:val="auto"/>
        </w:rPr>
        <w:t>Nevada</w:t>
      </w:r>
    </w:p>
    <w:p>
      <w:pPr>
        <w:spacing w:after="0"/>
        <w:rPr>
          <w:sz w:val="20"/>
          <w:szCs w:val="20"/>
          <w:color w:val="auto"/>
        </w:rPr>
      </w:pPr>
      <w:r>
        <w:rPr>
          <w:rFonts w:ascii="Courier New" w:cs="Courier New" w:eastAsia="Courier New" w:hAnsi="Courier New"/>
          <w:sz w:val="15"/>
          <w:szCs w:val="15"/>
          <w:color w:val="auto"/>
        </w:rPr>
        <w:t>Ohio</w:t>
      </w:r>
    </w:p>
    <w:p>
      <w:pPr>
        <w:spacing w:after="0" w:line="238" w:lineRule="auto"/>
        <w:rPr>
          <w:sz w:val="20"/>
          <w:szCs w:val="20"/>
          <w:color w:val="auto"/>
        </w:rPr>
      </w:pPr>
      <w:r>
        <w:rPr>
          <w:rFonts w:ascii="Courier New" w:cs="Courier New" w:eastAsia="Courier New" w:hAnsi="Courier New"/>
          <w:sz w:val="15"/>
          <w:szCs w:val="15"/>
          <w:color w:val="auto"/>
        </w:rPr>
        <w:t>Arizona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Iowa</w:t>
      </w:r>
    </w:p>
    <w:p>
      <w:pPr>
        <w:spacing w:after="0"/>
        <w:rPr>
          <w:sz w:val="20"/>
          <w:szCs w:val="20"/>
          <w:color w:val="auto"/>
        </w:rPr>
      </w:pPr>
      <w:r>
        <w:rPr>
          <w:rFonts w:ascii="Courier New" w:cs="Courier New" w:eastAsia="Courier New" w:hAnsi="Courier New"/>
          <w:sz w:val="15"/>
          <w:szCs w:val="15"/>
          <w:color w:val="auto"/>
        </w:rPr>
        <w:t>Missouri</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Georgia</w:t>
      </w:r>
    </w:p>
    <w:p>
      <w:pPr>
        <w:spacing w:after="0"/>
        <w:rPr>
          <w:sz w:val="20"/>
          <w:szCs w:val="20"/>
          <w:color w:val="auto"/>
        </w:rPr>
      </w:pPr>
      <w:r>
        <w:rPr>
          <w:rFonts w:ascii="Courier New" w:cs="Courier New" w:eastAsia="Courier New" w:hAnsi="Courier New"/>
          <w:sz w:val="15"/>
          <w:szCs w:val="15"/>
          <w:color w:val="auto"/>
        </w:rPr>
        <w:t>Mississippi</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Ohio</w:t>
      </w:r>
    </w:p>
    <w:p>
      <w:pPr>
        <w:spacing w:after="0" w:line="238" w:lineRule="auto"/>
        <w:rPr>
          <w:sz w:val="20"/>
          <w:szCs w:val="20"/>
          <w:color w:val="auto"/>
        </w:rPr>
      </w:pPr>
      <w:r>
        <w:rPr>
          <w:rFonts w:ascii="Courier New" w:cs="Courier New" w:eastAsia="Courier New" w:hAnsi="Courier New"/>
          <w:sz w:val="15"/>
          <w:szCs w:val="15"/>
          <w:color w:val="auto"/>
        </w:rPr>
        <w:t>Mississippi</w:t>
      </w:r>
    </w:p>
    <w:p>
      <w:pPr>
        <w:spacing w:after="0"/>
        <w:rPr>
          <w:sz w:val="20"/>
          <w:szCs w:val="20"/>
          <w:color w:val="auto"/>
        </w:rPr>
      </w:pPr>
      <w:r>
        <w:rPr>
          <w:rFonts w:ascii="Courier New" w:cs="Courier New" w:eastAsia="Courier New" w:hAnsi="Courier New"/>
          <w:sz w:val="15"/>
          <w:szCs w:val="15"/>
          <w:color w:val="auto"/>
        </w:rPr>
        <w:t>West Virginia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Mexico</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Washington</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Georgia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Michigan</w:t>
      </w:r>
    </w:p>
    <w:p>
      <w:pPr>
        <w:spacing w:after="0" w:line="238" w:lineRule="auto"/>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Michigan</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Alabama</w:t>
      </w:r>
    </w:p>
    <w:p>
      <w:pPr>
        <w:sectPr>
          <w:pgSz w:w="11900" w:h="16838" w:orient="portrait"/>
          <w:cols w:equalWidth="0" w:num="2">
            <w:col w:w="5360" w:space="720"/>
            <w:col w:w="4139"/>
          </w:cols>
          <w:pgMar w:left="240" w:top="288" w:right="1440" w:bottom="1440" w:gutter="0" w:footer="0" w:header="0"/>
          <w:type w:val="continuous"/>
        </w:sectPr>
      </w:pPr>
    </w:p>
    <w:bookmarkStart w:id="159" w:name="page160"/>
    <w:bookmarkEnd w:id="159"/>
    <w:p>
      <w:pPr>
        <w:ind w:left="2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8" w:right="1440" w:bottom="1440" w:gutter="0" w:footer="0" w:header="0"/>
        </w:sect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Cleburne Landfill Corporation</w:t>
      </w:r>
    </w:p>
    <w:p>
      <w:pPr>
        <w:spacing w:after="0"/>
        <w:rPr>
          <w:sz w:val="20"/>
          <w:szCs w:val="20"/>
          <w:color w:val="auto"/>
        </w:rPr>
      </w:pPr>
      <w:r>
        <w:rPr>
          <w:rFonts w:ascii="Courier New" w:cs="Courier New" w:eastAsia="Courier New" w:hAnsi="Courier New"/>
          <w:sz w:val="15"/>
          <w:szCs w:val="15"/>
          <w:color w:val="auto"/>
        </w:rPr>
        <w:t>Cloverdale Disposal, Inc.</w:t>
      </w:r>
    </w:p>
    <w:p>
      <w:pPr>
        <w:spacing w:after="0"/>
        <w:rPr>
          <w:sz w:val="20"/>
          <w:szCs w:val="20"/>
          <w:color w:val="auto"/>
        </w:rPr>
      </w:pPr>
      <w:r>
        <w:rPr>
          <w:rFonts w:ascii="Courier New" w:cs="Courier New" w:eastAsia="Courier New" w:hAnsi="Courier New"/>
          <w:sz w:val="15"/>
          <w:szCs w:val="15"/>
          <w:color w:val="auto"/>
        </w:rPr>
        <w:t>CNS Holdings, Inc.</w:t>
      </w:r>
    </w:p>
    <w:p>
      <w:pPr>
        <w:spacing w:after="0" w:line="238" w:lineRule="auto"/>
        <w:rPr>
          <w:sz w:val="20"/>
          <w:szCs w:val="20"/>
          <w:color w:val="auto"/>
        </w:rPr>
      </w:pPr>
      <w:r>
        <w:rPr>
          <w:rFonts w:ascii="Courier New" w:cs="Courier New" w:eastAsia="Courier New" w:hAnsi="Courier New"/>
          <w:sz w:val="15"/>
          <w:szCs w:val="15"/>
          <w:color w:val="auto"/>
        </w:rPr>
        <w:t>CNSI Sub, Inc.</w:t>
      </w:r>
    </w:p>
    <w:p>
      <w:pPr>
        <w:spacing w:after="0"/>
        <w:rPr>
          <w:sz w:val="20"/>
          <w:szCs w:val="20"/>
          <w:color w:val="auto"/>
        </w:rPr>
      </w:pPr>
      <w:r>
        <w:rPr>
          <w:rFonts w:ascii="Courier New" w:cs="Courier New" w:eastAsia="Courier New" w:hAnsi="Courier New"/>
          <w:sz w:val="15"/>
          <w:szCs w:val="15"/>
          <w:color w:val="auto"/>
        </w:rPr>
        <w:t>Coast Waste Management, Inc.</w:t>
      </w:r>
    </w:p>
    <w:p>
      <w:pPr>
        <w:spacing w:after="0"/>
        <w:rPr>
          <w:sz w:val="20"/>
          <w:szCs w:val="20"/>
          <w:color w:val="auto"/>
        </w:rPr>
      </w:pPr>
      <w:r>
        <w:rPr>
          <w:rFonts w:ascii="Courier New" w:cs="Courier New" w:eastAsia="Courier New" w:hAnsi="Courier New"/>
          <w:sz w:val="15"/>
          <w:szCs w:val="15"/>
          <w:color w:val="auto"/>
        </w:rPr>
        <w:t>Cocopah Landfill, Inc.</w:t>
      </w:r>
    </w:p>
    <w:p>
      <w:pPr>
        <w:spacing w:after="0" w:line="238" w:lineRule="auto"/>
        <w:rPr>
          <w:sz w:val="20"/>
          <w:szCs w:val="20"/>
          <w:color w:val="auto"/>
        </w:rPr>
      </w:pPr>
      <w:r>
        <w:rPr>
          <w:rFonts w:ascii="Courier New" w:cs="Courier New" w:eastAsia="Courier New" w:hAnsi="Courier New"/>
          <w:sz w:val="15"/>
          <w:szCs w:val="15"/>
          <w:color w:val="auto"/>
        </w:rPr>
        <w:t>Colorado Landfill, Inc.</w:t>
      </w:r>
    </w:p>
    <w:p>
      <w:pPr>
        <w:spacing w:after="0"/>
        <w:rPr>
          <w:sz w:val="20"/>
          <w:szCs w:val="20"/>
          <w:color w:val="auto"/>
        </w:rPr>
      </w:pPr>
      <w:r>
        <w:rPr>
          <w:rFonts w:ascii="Courier New" w:cs="Courier New" w:eastAsia="Courier New" w:hAnsi="Courier New"/>
          <w:sz w:val="15"/>
          <w:szCs w:val="15"/>
          <w:color w:val="auto"/>
        </w:rPr>
        <w:t>Columbia Regional Transportation, Inc.</w:t>
      </w:r>
    </w:p>
    <w:p>
      <w:pPr>
        <w:spacing w:after="0"/>
        <w:rPr>
          <w:sz w:val="20"/>
          <w:szCs w:val="20"/>
          <w:color w:val="auto"/>
        </w:rPr>
      </w:pPr>
      <w:r>
        <w:rPr>
          <w:rFonts w:ascii="Courier New" w:cs="Courier New" w:eastAsia="Courier New" w:hAnsi="Courier New"/>
          <w:sz w:val="15"/>
          <w:szCs w:val="15"/>
          <w:color w:val="auto"/>
        </w:rPr>
        <w:t>Commercial Disposal Service,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Valley Sanitary Waste Disposal,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Conservation Services, Inc.</w:t>
      </w:r>
    </w:p>
    <w:p>
      <w:pPr>
        <w:spacing w:after="0"/>
        <w:rPr>
          <w:sz w:val="20"/>
          <w:szCs w:val="20"/>
          <w:color w:val="auto"/>
        </w:rPr>
      </w:pPr>
      <w:r>
        <w:rPr>
          <w:rFonts w:ascii="Courier New" w:cs="Courier New" w:eastAsia="Courier New" w:hAnsi="Courier New"/>
          <w:sz w:val="15"/>
          <w:szCs w:val="15"/>
          <w:color w:val="auto"/>
        </w:rPr>
        <w:t>Container Recycling Alliance, L.P.</w:t>
      </w:r>
    </w:p>
    <w:p>
      <w:pPr>
        <w:spacing w:after="0"/>
        <w:rPr>
          <w:sz w:val="20"/>
          <w:szCs w:val="20"/>
          <w:color w:val="auto"/>
        </w:rPr>
      </w:pPr>
      <w:r>
        <w:rPr>
          <w:rFonts w:ascii="Courier New" w:cs="Courier New" w:eastAsia="Courier New" w:hAnsi="Courier New"/>
          <w:sz w:val="15"/>
          <w:szCs w:val="15"/>
          <w:color w:val="auto"/>
        </w:rPr>
        <w:t>Continental Waste Industries Arizona, Inc.</w:t>
      </w:r>
    </w:p>
    <w:p>
      <w:pPr>
        <w:spacing w:after="0" w:line="238" w:lineRule="auto"/>
        <w:rPr>
          <w:sz w:val="20"/>
          <w:szCs w:val="20"/>
          <w:color w:val="auto"/>
        </w:rPr>
      </w:pPr>
      <w:r>
        <w:rPr>
          <w:rFonts w:ascii="Courier New" w:cs="Courier New" w:eastAsia="Courier New" w:hAnsi="Courier New"/>
          <w:sz w:val="15"/>
          <w:szCs w:val="15"/>
          <w:color w:val="auto"/>
        </w:rPr>
        <w:t>Copper Mountain Landfill, Inc.</w:t>
      </w:r>
    </w:p>
    <w:p>
      <w:pPr>
        <w:spacing w:after="0"/>
        <w:rPr>
          <w:sz w:val="20"/>
          <w:szCs w:val="20"/>
          <w:color w:val="auto"/>
        </w:rPr>
      </w:pPr>
      <w:r>
        <w:rPr>
          <w:rFonts w:ascii="Courier New" w:cs="Courier New" w:eastAsia="Courier New" w:hAnsi="Courier New"/>
          <w:sz w:val="15"/>
          <w:szCs w:val="15"/>
          <w:color w:val="auto"/>
        </w:rPr>
        <w:t>Coshocton Landfill, Inc.</w:t>
      </w:r>
    </w:p>
    <w:p>
      <w:pPr>
        <w:spacing w:after="0"/>
        <w:rPr>
          <w:sz w:val="20"/>
          <w:szCs w:val="20"/>
          <w:color w:val="auto"/>
        </w:rPr>
      </w:pPr>
      <w:r>
        <w:rPr>
          <w:rFonts w:ascii="Courier New" w:cs="Courier New" w:eastAsia="Courier New" w:hAnsi="Courier New"/>
          <w:sz w:val="15"/>
          <w:szCs w:val="15"/>
          <w:color w:val="auto"/>
        </w:rPr>
        <w:t>Cougar Landfill, Inc.</w:t>
      </w:r>
    </w:p>
    <w:p>
      <w:pPr>
        <w:spacing w:after="0" w:line="238" w:lineRule="auto"/>
        <w:rPr>
          <w:sz w:val="20"/>
          <w:szCs w:val="20"/>
          <w:color w:val="auto"/>
        </w:rPr>
      </w:pPr>
      <w:r>
        <w:rPr>
          <w:rFonts w:ascii="Courier New" w:cs="Courier New" w:eastAsia="Courier New" w:hAnsi="Courier New"/>
          <w:sz w:val="15"/>
          <w:szCs w:val="15"/>
          <w:color w:val="auto"/>
        </w:rPr>
        <w:t>Countryside Landfill, Inc.</w:t>
      </w:r>
    </w:p>
    <w:p>
      <w:pPr>
        <w:spacing w:after="0"/>
        <w:rPr>
          <w:sz w:val="20"/>
          <w:szCs w:val="20"/>
          <w:color w:val="auto"/>
        </w:rPr>
      </w:pPr>
      <w:r>
        <w:rPr>
          <w:rFonts w:ascii="Courier New" w:cs="Courier New" w:eastAsia="Courier New" w:hAnsi="Courier New"/>
          <w:sz w:val="15"/>
          <w:szCs w:val="15"/>
          <w:color w:val="auto"/>
        </w:rPr>
        <w:t>CWM Chemical Services, L.L.C.</w:t>
      </w:r>
    </w:p>
    <w:p>
      <w:pPr>
        <w:spacing w:after="0"/>
        <w:rPr>
          <w:sz w:val="20"/>
          <w:szCs w:val="20"/>
          <w:color w:val="auto"/>
        </w:rPr>
      </w:pPr>
      <w:r>
        <w:rPr>
          <w:rFonts w:ascii="Courier New" w:cs="Courier New" w:eastAsia="Courier New" w:hAnsi="Courier New"/>
          <w:sz w:val="15"/>
          <w:szCs w:val="15"/>
          <w:color w:val="auto"/>
        </w:rPr>
        <w:t>CWM Resource Recovery, Inc.</w:t>
      </w:r>
    </w:p>
    <w:p>
      <w:pPr>
        <w:spacing w:after="0"/>
        <w:rPr>
          <w:sz w:val="20"/>
          <w:szCs w:val="20"/>
          <w:color w:val="auto"/>
        </w:rPr>
      </w:pPr>
      <w:r>
        <w:rPr>
          <w:rFonts w:ascii="Courier New" w:cs="Courier New" w:eastAsia="Courier New" w:hAnsi="Courier New"/>
          <w:sz w:val="15"/>
          <w:szCs w:val="15"/>
          <w:color w:val="auto"/>
        </w:rPr>
        <w:t>Dafter Sanitary Landfill, Inc.</w:t>
      </w:r>
    </w:p>
    <w:p>
      <w:pPr>
        <w:spacing w:after="0" w:line="238" w:lineRule="auto"/>
        <w:rPr>
          <w:sz w:val="20"/>
          <w:szCs w:val="20"/>
          <w:color w:val="auto"/>
        </w:rPr>
      </w:pPr>
      <w:r>
        <w:rPr>
          <w:rFonts w:ascii="Courier New" w:cs="Courier New" w:eastAsia="Courier New" w:hAnsi="Courier New"/>
          <w:sz w:val="15"/>
          <w:szCs w:val="15"/>
          <w:color w:val="auto"/>
        </w:rPr>
        <w:t>Dakota Resource Recovery, Inc.</w:t>
      </w:r>
    </w:p>
    <w:p>
      <w:pPr>
        <w:spacing w:after="0"/>
        <w:rPr>
          <w:sz w:val="20"/>
          <w:szCs w:val="20"/>
          <w:color w:val="auto"/>
        </w:rPr>
      </w:pPr>
      <w:r>
        <w:rPr>
          <w:rFonts w:ascii="Courier New" w:cs="Courier New" w:eastAsia="Courier New" w:hAnsi="Courier New"/>
          <w:sz w:val="15"/>
          <w:szCs w:val="15"/>
          <w:color w:val="auto"/>
        </w:rPr>
        <w:t>Dauphin Meadows Landfill, Inc.</w:t>
      </w:r>
    </w:p>
    <w:p>
      <w:pPr>
        <w:spacing w:after="0"/>
        <w:rPr>
          <w:sz w:val="20"/>
          <w:szCs w:val="20"/>
          <w:color w:val="auto"/>
        </w:rPr>
      </w:pPr>
      <w:r>
        <w:rPr>
          <w:rFonts w:ascii="Courier New" w:cs="Courier New" w:eastAsia="Courier New" w:hAnsi="Courier New"/>
          <w:sz w:val="15"/>
          <w:szCs w:val="15"/>
          <w:color w:val="auto"/>
        </w:rPr>
        <w:t>Deep Valley Landfill, Inc.</w:t>
      </w:r>
    </w:p>
    <w:p>
      <w:pPr>
        <w:spacing w:after="0" w:line="238" w:lineRule="auto"/>
        <w:rPr>
          <w:sz w:val="20"/>
          <w:szCs w:val="20"/>
          <w:color w:val="auto"/>
        </w:rPr>
      </w:pPr>
      <w:r>
        <w:rPr>
          <w:rFonts w:ascii="Courier New" w:cs="Courier New" w:eastAsia="Courier New" w:hAnsi="Courier New"/>
          <w:sz w:val="15"/>
          <w:szCs w:val="15"/>
          <w:color w:val="auto"/>
        </w:rPr>
        <w:t>Deer Track Park Landfill, Inc.</w:t>
      </w:r>
    </w:p>
    <w:p>
      <w:pPr>
        <w:spacing w:after="0"/>
        <w:rPr>
          <w:sz w:val="20"/>
          <w:szCs w:val="20"/>
          <w:color w:val="auto"/>
        </w:rPr>
      </w:pPr>
      <w:r>
        <w:rPr>
          <w:rFonts w:ascii="Courier New" w:cs="Courier New" w:eastAsia="Courier New" w:hAnsi="Courier New"/>
          <w:sz w:val="15"/>
          <w:szCs w:val="15"/>
          <w:color w:val="auto"/>
        </w:rPr>
        <w:t>Deland Landfill, Inc.</w:t>
      </w:r>
    </w:p>
    <w:p>
      <w:pPr>
        <w:spacing w:after="0"/>
        <w:rPr>
          <w:sz w:val="20"/>
          <w:szCs w:val="20"/>
          <w:color w:val="auto"/>
        </w:rPr>
      </w:pPr>
      <w:r>
        <w:rPr>
          <w:rFonts w:ascii="Courier New" w:cs="Courier New" w:eastAsia="Courier New" w:hAnsi="Courier New"/>
          <w:sz w:val="15"/>
          <w:szCs w:val="15"/>
          <w:color w:val="auto"/>
        </w:rPr>
        <w:t>Delaware Recyclable Products, Inc.</w:t>
      </w:r>
    </w:p>
    <w:p>
      <w:pPr>
        <w:spacing w:after="0"/>
        <w:rPr>
          <w:sz w:val="20"/>
          <w:szCs w:val="20"/>
          <w:color w:val="auto"/>
        </w:rPr>
      </w:pPr>
      <w:r>
        <w:rPr>
          <w:rFonts w:ascii="Courier New" w:cs="Courier New" w:eastAsia="Courier New" w:hAnsi="Courier New"/>
          <w:sz w:val="15"/>
          <w:szCs w:val="15"/>
          <w:color w:val="auto"/>
        </w:rPr>
        <w:t>Desert Waste Systems, Inc.</w:t>
      </w:r>
    </w:p>
    <w:p>
      <w:pPr>
        <w:spacing w:after="0" w:line="238" w:lineRule="auto"/>
        <w:rPr>
          <w:sz w:val="20"/>
          <w:szCs w:val="20"/>
          <w:color w:val="auto"/>
        </w:rPr>
      </w:pPr>
      <w:r>
        <w:rPr>
          <w:rFonts w:ascii="Courier New" w:cs="Courier New" w:eastAsia="Courier New" w:hAnsi="Courier New"/>
          <w:sz w:val="15"/>
          <w:szCs w:val="15"/>
          <w:color w:val="auto"/>
        </w:rPr>
        <w:t>Dickinson Landfill, Inc.</w:t>
      </w:r>
    </w:p>
    <w:p>
      <w:pPr>
        <w:spacing w:after="0"/>
        <w:rPr>
          <w:sz w:val="20"/>
          <w:szCs w:val="20"/>
          <w:color w:val="auto"/>
        </w:rPr>
      </w:pPr>
      <w:r>
        <w:rPr>
          <w:rFonts w:ascii="Courier New" w:cs="Courier New" w:eastAsia="Courier New" w:hAnsi="Courier New"/>
          <w:sz w:val="15"/>
          <w:szCs w:val="15"/>
          <w:color w:val="auto"/>
        </w:rPr>
        <w:t>Disposal Service, Inc.</w:t>
      </w:r>
    </w:p>
    <w:p>
      <w:pPr>
        <w:spacing w:after="0"/>
        <w:rPr>
          <w:sz w:val="20"/>
          <w:szCs w:val="20"/>
          <w:color w:val="auto"/>
        </w:rPr>
      </w:pPr>
      <w:r>
        <w:rPr>
          <w:rFonts w:ascii="Courier New" w:cs="Courier New" w:eastAsia="Courier New" w:hAnsi="Courier New"/>
          <w:sz w:val="15"/>
          <w:szCs w:val="15"/>
          <w:color w:val="auto"/>
        </w:rPr>
        <w:t>Disposal Services, Inc.</w:t>
      </w:r>
    </w:p>
    <w:p>
      <w:pPr>
        <w:spacing w:after="0" w:line="238" w:lineRule="auto"/>
        <w:rPr>
          <w:sz w:val="20"/>
          <w:szCs w:val="20"/>
          <w:color w:val="auto"/>
        </w:rPr>
      </w:pPr>
      <w:r>
        <w:rPr>
          <w:rFonts w:ascii="Courier New" w:cs="Courier New" w:eastAsia="Courier New" w:hAnsi="Courier New"/>
          <w:sz w:val="15"/>
          <w:szCs w:val="15"/>
          <w:color w:val="auto"/>
        </w:rPr>
        <w:t>Dollar Trucking, Inc.</w:t>
      </w:r>
    </w:p>
    <w:p>
      <w:pPr>
        <w:spacing w:after="0"/>
        <w:rPr>
          <w:sz w:val="20"/>
          <w:szCs w:val="20"/>
          <w:color w:val="auto"/>
        </w:rPr>
      </w:pPr>
      <w:r>
        <w:rPr>
          <w:rFonts w:ascii="Courier New" w:cs="Courier New" w:eastAsia="Courier New" w:hAnsi="Courier New"/>
          <w:sz w:val="15"/>
          <w:szCs w:val="15"/>
          <w:color w:val="auto"/>
        </w:rPr>
        <w:t>Don's Garbage Service, Inc.</w:t>
      </w:r>
    </w:p>
    <w:p>
      <w:pPr>
        <w:spacing w:after="0"/>
        <w:rPr>
          <w:sz w:val="20"/>
          <w:szCs w:val="20"/>
          <w:color w:val="auto"/>
        </w:rPr>
      </w:pPr>
      <w:r>
        <w:rPr>
          <w:rFonts w:ascii="Courier New" w:cs="Courier New" w:eastAsia="Courier New" w:hAnsi="Courier New"/>
          <w:sz w:val="15"/>
          <w:szCs w:val="15"/>
          <w:color w:val="auto"/>
        </w:rPr>
        <w:t>Donno Company, Inc.</w:t>
      </w:r>
    </w:p>
    <w:p>
      <w:pPr>
        <w:spacing w:after="0"/>
        <w:rPr>
          <w:sz w:val="20"/>
          <w:szCs w:val="20"/>
          <w:color w:val="auto"/>
        </w:rPr>
      </w:pPr>
      <w:r>
        <w:rPr>
          <w:rFonts w:ascii="Courier New" w:cs="Courier New" w:eastAsia="Courier New" w:hAnsi="Courier New"/>
          <w:sz w:val="15"/>
          <w:szCs w:val="15"/>
          <w:color w:val="auto"/>
        </w:rPr>
        <w:t>Drake's Sanitation, Inc.</w:t>
      </w:r>
    </w:p>
    <w:p>
      <w:pPr>
        <w:spacing w:after="0" w:line="238" w:lineRule="auto"/>
        <w:rPr>
          <w:sz w:val="20"/>
          <w:szCs w:val="20"/>
          <w:color w:val="auto"/>
        </w:rPr>
      </w:pPr>
      <w:r>
        <w:rPr>
          <w:rFonts w:ascii="Courier New" w:cs="Courier New" w:eastAsia="Courier New" w:hAnsi="Courier New"/>
          <w:sz w:val="15"/>
          <w:szCs w:val="15"/>
          <w:color w:val="auto"/>
        </w:rPr>
        <w:t>Duluth Waste Marketing, Inc.</w:t>
      </w:r>
    </w:p>
    <w:p>
      <w:pPr>
        <w:spacing w:after="0"/>
        <w:rPr>
          <w:sz w:val="20"/>
          <w:szCs w:val="20"/>
          <w:color w:val="auto"/>
        </w:rPr>
      </w:pPr>
      <w:r>
        <w:rPr>
          <w:rFonts w:ascii="Courier New" w:cs="Courier New" w:eastAsia="Courier New" w:hAnsi="Courier New"/>
          <w:sz w:val="15"/>
          <w:szCs w:val="15"/>
          <w:color w:val="auto"/>
        </w:rPr>
        <w:t>Eagle River Refuse, Inc.</w:t>
      </w:r>
    </w:p>
    <w:p>
      <w:pPr>
        <w:spacing w:after="0"/>
        <w:rPr>
          <w:sz w:val="20"/>
          <w:szCs w:val="20"/>
          <w:color w:val="auto"/>
        </w:rPr>
      </w:pPr>
      <w:r>
        <w:rPr>
          <w:rFonts w:ascii="Courier New" w:cs="Courier New" w:eastAsia="Courier New" w:hAnsi="Courier New"/>
          <w:sz w:val="15"/>
          <w:szCs w:val="15"/>
          <w:color w:val="auto"/>
        </w:rPr>
        <w:t>Earthcorp, L.L.C.</w:t>
      </w:r>
    </w:p>
    <w:p>
      <w:pPr>
        <w:spacing w:after="0" w:line="238" w:lineRule="auto"/>
        <w:rPr>
          <w:sz w:val="20"/>
          <w:szCs w:val="20"/>
          <w:color w:val="auto"/>
        </w:rPr>
      </w:pPr>
      <w:r>
        <w:rPr>
          <w:rFonts w:ascii="Courier New" w:cs="Courier New" w:eastAsia="Courier New" w:hAnsi="Courier New"/>
          <w:sz w:val="15"/>
          <w:szCs w:val="15"/>
          <w:color w:val="auto"/>
        </w:rPr>
        <w:t>Earthmovers Landfill, L.L.C.</w:t>
      </w:r>
    </w:p>
    <w:p>
      <w:pPr>
        <w:spacing w:after="0"/>
        <w:rPr>
          <w:sz w:val="20"/>
          <w:szCs w:val="20"/>
          <w:color w:val="auto"/>
        </w:rPr>
      </w:pPr>
      <w:r>
        <w:rPr>
          <w:rFonts w:ascii="Courier New" w:cs="Courier New" w:eastAsia="Courier New" w:hAnsi="Courier New"/>
          <w:sz w:val="15"/>
          <w:szCs w:val="15"/>
          <w:color w:val="auto"/>
        </w:rPr>
        <w:t>East Liverpool Landfill, Inc.</w:t>
      </w:r>
    </w:p>
    <w:p>
      <w:pPr>
        <w:spacing w:after="0"/>
        <w:rPr>
          <w:sz w:val="20"/>
          <w:szCs w:val="20"/>
          <w:color w:val="auto"/>
        </w:rPr>
      </w:pPr>
      <w:r>
        <w:rPr>
          <w:rFonts w:ascii="Courier New" w:cs="Courier New" w:eastAsia="Courier New" w:hAnsi="Courier New"/>
          <w:sz w:val="15"/>
          <w:szCs w:val="15"/>
          <w:color w:val="auto"/>
        </w:rPr>
        <w:t>Eastern Development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Environmental Services of Florida,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Transfer of New York, Inc.</w:t>
      </w:r>
    </w:p>
    <w:p>
      <w:pPr>
        <w:spacing w:after="0"/>
        <w:rPr>
          <w:sz w:val="20"/>
          <w:szCs w:val="20"/>
          <w:color w:val="auto"/>
        </w:rPr>
      </w:pPr>
      <w:r>
        <w:rPr>
          <w:rFonts w:ascii="Courier New" w:cs="Courier New" w:eastAsia="Courier New" w:hAnsi="Courier New"/>
          <w:sz w:val="15"/>
          <w:szCs w:val="15"/>
          <w:color w:val="auto"/>
        </w:rPr>
        <w:t>Eastern Waste of New York, Inc.</w:t>
      </w:r>
    </w:p>
    <w:p>
      <w:pPr>
        <w:spacing w:after="0"/>
        <w:rPr>
          <w:sz w:val="20"/>
          <w:szCs w:val="20"/>
          <w:color w:val="auto"/>
        </w:rPr>
      </w:pPr>
      <w:r>
        <w:rPr>
          <w:rFonts w:ascii="Courier New" w:cs="Courier New" w:eastAsia="Courier New" w:hAnsi="Courier New"/>
          <w:sz w:val="15"/>
          <w:szCs w:val="15"/>
          <w:color w:val="auto"/>
        </w:rPr>
        <w:t>Eastern Waste of West Virginia, Inc.</w:t>
      </w:r>
    </w:p>
    <w:p>
      <w:pPr>
        <w:spacing w:after="0" w:line="238" w:lineRule="auto"/>
        <w:rPr>
          <w:sz w:val="20"/>
          <w:szCs w:val="20"/>
          <w:color w:val="auto"/>
        </w:rPr>
      </w:pPr>
      <w:r>
        <w:rPr>
          <w:rFonts w:ascii="Courier New" w:cs="Courier New" w:eastAsia="Courier New" w:hAnsi="Courier New"/>
          <w:sz w:val="15"/>
          <w:szCs w:val="15"/>
          <w:color w:val="auto"/>
        </w:rPr>
        <w:t>EC Waste, Inc.</w:t>
      </w:r>
    </w:p>
    <w:p>
      <w:pPr>
        <w:spacing w:after="0"/>
        <w:rPr>
          <w:sz w:val="20"/>
          <w:szCs w:val="20"/>
          <w:color w:val="auto"/>
        </w:rPr>
      </w:pPr>
      <w:r>
        <w:rPr>
          <w:rFonts w:ascii="Courier New" w:cs="Courier New" w:eastAsia="Courier New" w:hAnsi="Courier New"/>
          <w:sz w:val="15"/>
          <w:szCs w:val="15"/>
          <w:color w:val="auto"/>
        </w:rPr>
        <w:t>El Coqui de San Juan</w:t>
      </w:r>
    </w:p>
    <w:p>
      <w:pPr>
        <w:spacing w:after="0"/>
        <w:rPr>
          <w:sz w:val="20"/>
          <w:szCs w:val="20"/>
          <w:color w:val="auto"/>
        </w:rPr>
      </w:pPr>
      <w:r>
        <w:rPr>
          <w:rFonts w:ascii="Courier New" w:cs="Courier New" w:eastAsia="Courier New" w:hAnsi="Courier New"/>
          <w:sz w:val="15"/>
          <w:szCs w:val="15"/>
          <w:color w:val="auto"/>
        </w:rPr>
        <w:t>El Coqui Landfill Company, Inc.</w:t>
      </w:r>
    </w:p>
    <w:p>
      <w:pPr>
        <w:spacing w:after="0" w:line="238" w:lineRule="auto"/>
        <w:rPr>
          <w:sz w:val="20"/>
          <w:szCs w:val="20"/>
          <w:color w:val="auto"/>
        </w:rPr>
      </w:pPr>
      <w:r>
        <w:rPr>
          <w:rFonts w:ascii="Courier New" w:cs="Courier New" w:eastAsia="Courier New" w:hAnsi="Courier New"/>
          <w:sz w:val="15"/>
          <w:szCs w:val="15"/>
          <w:color w:val="auto"/>
        </w:rPr>
        <w:t>El Coqui Waste Disposal, Inc.</w:t>
      </w:r>
    </w:p>
    <w:p>
      <w:pPr>
        <w:spacing w:after="0"/>
        <w:rPr>
          <w:sz w:val="20"/>
          <w:szCs w:val="20"/>
          <w:color w:val="auto"/>
        </w:rPr>
      </w:pPr>
      <w:r>
        <w:rPr>
          <w:rFonts w:ascii="Courier New" w:cs="Courier New" w:eastAsia="Courier New" w:hAnsi="Courier New"/>
          <w:sz w:val="15"/>
          <w:szCs w:val="15"/>
          <w:color w:val="auto"/>
        </w:rPr>
        <w:t>ELDA Landfill, Inc.</w:t>
      </w:r>
    </w:p>
    <w:p>
      <w:pPr>
        <w:spacing w:after="0"/>
        <w:rPr>
          <w:sz w:val="20"/>
          <w:szCs w:val="20"/>
          <w:color w:val="auto"/>
        </w:rPr>
      </w:pPr>
      <w:r>
        <w:rPr>
          <w:rFonts w:ascii="Courier New" w:cs="Courier New" w:eastAsia="Courier New" w:hAnsi="Courier New"/>
          <w:sz w:val="15"/>
          <w:szCs w:val="15"/>
          <w:color w:val="auto"/>
        </w:rPr>
        <w:t>Elk River Landfill, Inc.</w:t>
      </w:r>
    </w:p>
    <w:p>
      <w:pPr>
        <w:spacing w:after="0"/>
        <w:rPr>
          <w:sz w:val="20"/>
          <w:szCs w:val="20"/>
          <w:color w:val="auto"/>
        </w:rPr>
      </w:pPr>
      <w:r>
        <w:rPr>
          <w:rFonts w:ascii="Courier New" w:cs="Courier New" w:eastAsia="Courier New" w:hAnsi="Courier New"/>
          <w:sz w:val="15"/>
          <w:szCs w:val="15"/>
          <w:color w:val="auto"/>
        </w:rPr>
        <w:t>Envirofil of Illinois, Inc.</w:t>
      </w:r>
    </w:p>
    <w:p>
      <w:pPr>
        <w:spacing w:after="0" w:line="238" w:lineRule="auto"/>
        <w:rPr>
          <w:sz w:val="20"/>
          <w:szCs w:val="20"/>
          <w:color w:val="auto"/>
        </w:rPr>
      </w:pPr>
      <w:r>
        <w:rPr>
          <w:rFonts w:ascii="Courier New" w:cs="Courier New" w:eastAsia="Courier New" w:hAnsi="Courier New"/>
          <w:sz w:val="15"/>
          <w:szCs w:val="15"/>
          <w:color w:val="auto"/>
        </w:rPr>
        <w:t>Envirofil, Inc.</w:t>
      </w:r>
    </w:p>
    <w:p>
      <w:pPr>
        <w:spacing w:after="0"/>
        <w:rPr>
          <w:sz w:val="20"/>
          <w:szCs w:val="20"/>
          <w:color w:val="auto"/>
        </w:rPr>
      </w:pPr>
      <w:r>
        <w:rPr>
          <w:rFonts w:ascii="Courier New" w:cs="Courier New" w:eastAsia="Courier New" w:hAnsi="Courier New"/>
          <w:sz w:val="15"/>
          <w:szCs w:val="15"/>
          <w:color w:val="auto"/>
        </w:rPr>
        <w:t>Environmental Control, Inc.</w:t>
      </w:r>
    </w:p>
    <w:p>
      <w:pPr>
        <w:spacing w:after="0"/>
        <w:rPr>
          <w:sz w:val="20"/>
          <w:szCs w:val="20"/>
          <w:color w:val="auto"/>
        </w:rPr>
      </w:pPr>
      <w:r>
        <w:rPr>
          <w:rFonts w:ascii="Courier New" w:cs="Courier New" w:eastAsia="Courier New" w:hAnsi="Courier New"/>
          <w:sz w:val="15"/>
          <w:szCs w:val="15"/>
          <w:color w:val="auto"/>
        </w:rPr>
        <w:t>Equipment Credit Corporation</w:t>
      </w:r>
    </w:p>
    <w:p>
      <w:pPr>
        <w:spacing w:after="0" w:line="238" w:lineRule="auto"/>
        <w:rPr>
          <w:sz w:val="20"/>
          <w:szCs w:val="20"/>
          <w:color w:val="auto"/>
        </w:rPr>
      </w:pPr>
      <w:r>
        <w:rPr>
          <w:rFonts w:ascii="Courier New" w:cs="Courier New" w:eastAsia="Courier New" w:hAnsi="Courier New"/>
          <w:sz w:val="15"/>
          <w:szCs w:val="15"/>
          <w:color w:val="auto"/>
        </w:rPr>
        <w:t>Evergreen Landfill, Inc.</w:t>
      </w:r>
    </w:p>
    <w:p>
      <w:pPr>
        <w:spacing w:after="0"/>
        <w:rPr>
          <w:sz w:val="20"/>
          <w:szCs w:val="20"/>
          <w:color w:val="auto"/>
        </w:rPr>
      </w:pPr>
      <w:r>
        <w:rPr>
          <w:rFonts w:ascii="Courier New" w:cs="Courier New" w:eastAsia="Courier New" w:hAnsi="Courier New"/>
          <w:sz w:val="15"/>
          <w:szCs w:val="15"/>
          <w:color w:val="auto"/>
        </w:rPr>
        <w:t>Evergreen Recycling &amp; Disposal Facility, Inc.</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Virginia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Jersey</w:t>
      </w:r>
    </w:p>
    <w:p>
      <w:pPr>
        <w:spacing w:after="0" w:line="238" w:lineRule="auto"/>
        <w:rPr>
          <w:sz w:val="20"/>
          <w:szCs w:val="20"/>
          <w:color w:val="auto"/>
        </w:rPr>
      </w:pPr>
      <w:r>
        <w:rPr>
          <w:rFonts w:ascii="Courier New" w:cs="Courier New" w:eastAsia="Courier New" w:hAnsi="Courier New"/>
          <w:sz w:val="15"/>
          <w:szCs w:val="15"/>
          <w:color w:val="auto"/>
        </w:rPr>
        <w:t>Arizona</w:t>
      </w:r>
    </w:p>
    <w:p>
      <w:pPr>
        <w:spacing w:after="0"/>
        <w:rPr>
          <w:sz w:val="20"/>
          <w:szCs w:val="20"/>
          <w:color w:val="auto"/>
        </w:rPr>
      </w:pPr>
      <w:r>
        <w:rPr>
          <w:rFonts w:ascii="Courier New" w:cs="Courier New" w:eastAsia="Courier New" w:hAnsi="Courier New"/>
          <w:sz w:val="15"/>
          <w:szCs w:val="15"/>
          <w:color w:val="auto"/>
        </w:rPr>
        <w:t>Ohio</w:t>
      </w:r>
    </w:p>
    <w:p>
      <w:pPr>
        <w:spacing w:after="0"/>
        <w:rPr>
          <w:sz w:val="20"/>
          <w:szCs w:val="20"/>
          <w:color w:val="auto"/>
        </w:rPr>
      </w:pPr>
      <w:r>
        <w:rPr>
          <w:rFonts w:ascii="Courier New" w:cs="Courier New" w:eastAsia="Courier New" w:hAnsi="Courier New"/>
          <w:sz w:val="15"/>
          <w:szCs w:val="15"/>
          <w:color w:val="auto"/>
        </w:rPr>
        <w:t>Texas</w:t>
      </w:r>
    </w:p>
    <w:p>
      <w:pPr>
        <w:spacing w:after="0" w:line="238" w:lineRule="auto"/>
        <w:rPr>
          <w:sz w:val="20"/>
          <w:szCs w:val="20"/>
          <w:color w:val="auto"/>
        </w:rPr>
      </w:pPr>
      <w:r>
        <w:rPr>
          <w:rFonts w:ascii="Courier New" w:cs="Courier New" w:eastAsia="Courier New" w:hAnsi="Courier New"/>
          <w:sz w:val="15"/>
          <w:szCs w:val="15"/>
          <w:color w:val="auto"/>
        </w:rPr>
        <w:t>Illinois</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Michigan</w:t>
      </w:r>
    </w:p>
    <w:p>
      <w:pPr>
        <w:spacing w:after="0" w:line="238" w:lineRule="auto"/>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Iowa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Nevada</w:t>
      </w:r>
    </w:p>
    <w:p>
      <w:pPr>
        <w:spacing w:after="0"/>
        <w:rPr>
          <w:sz w:val="20"/>
          <w:szCs w:val="20"/>
          <w:color w:val="auto"/>
        </w:rPr>
      </w:pPr>
      <w:r>
        <w:rPr>
          <w:rFonts w:ascii="Courier New" w:cs="Courier New" w:eastAsia="Courier New" w:hAnsi="Courier New"/>
          <w:sz w:val="15"/>
          <w:szCs w:val="15"/>
          <w:color w:val="auto"/>
        </w:rPr>
        <w:t>Louisiana</w:t>
      </w:r>
    </w:p>
    <w:p>
      <w:pPr>
        <w:spacing w:after="0"/>
        <w:rPr>
          <w:sz w:val="20"/>
          <w:szCs w:val="20"/>
          <w:color w:val="auto"/>
        </w:rPr>
      </w:pPr>
      <w:r>
        <w:rPr>
          <w:rFonts w:ascii="Courier New" w:cs="Courier New" w:eastAsia="Courier New" w:hAnsi="Courier New"/>
          <w:sz w:val="15"/>
          <w:szCs w:val="15"/>
          <w:color w:val="auto"/>
        </w:rPr>
        <w:t>Oregon</w:t>
      </w:r>
    </w:p>
    <w:p>
      <w:pPr>
        <w:spacing w:after="0" w:line="238" w:lineRule="auto"/>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Alaska</w:t>
      </w:r>
    </w:p>
    <w:p>
      <w:pPr>
        <w:spacing w:after="0"/>
        <w:rPr>
          <w:sz w:val="20"/>
          <w:szCs w:val="20"/>
          <w:color w:val="auto"/>
        </w:rPr>
      </w:pPr>
      <w:r>
        <w:rPr>
          <w:rFonts w:ascii="Courier New" w:cs="Courier New" w:eastAsia="Courier New" w:hAnsi="Courier New"/>
          <w:sz w:val="15"/>
          <w:szCs w:val="15"/>
          <w:color w:val="auto"/>
        </w:rPr>
        <w:t>Minnesota</w:t>
      </w:r>
    </w:p>
    <w:p>
      <w:pPr>
        <w:spacing w:after="0" w:line="238" w:lineRule="auto"/>
        <w:rPr>
          <w:sz w:val="20"/>
          <w:szCs w:val="20"/>
          <w:color w:val="auto"/>
        </w:rPr>
      </w:pPr>
      <w:r>
        <w:rPr>
          <w:rFonts w:ascii="Courier New" w:cs="Courier New" w:eastAsia="Courier New" w:hAnsi="Courier New"/>
          <w:sz w:val="15"/>
          <w:szCs w:val="15"/>
          <w:color w:val="auto"/>
        </w:rPr>
        <w:t>Alaska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Ohio</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Puerto Rico</w:t>
      </w:r>
    </w:p>
    <w:p>
      <w:pPr>
        <w:spacing w:after="0"/>
        <w:rPr>
          <w:sz w:val="20"/>
          <w:szCs w:val="20"/>
          <w:color w:val="auto"/>
        </w:rPr>
      </w:pPr>
      <w:r>
        <w:rPr>
          <w:rFonts w:ascii="Courier New" w:cs="Courier New" w:eastAsia="Courier New" w:hAnsi="Courier New"/>
          <w:sz w:val="15"/>
          <w:szCs w:val="15"/>
          <w:color w:val="auto"/>
        </w:rPr>
        <w:t>Puerto Rico</w:t>
      </w:r>
    </w:p>
    <w:p>
      <w:pPr>
        <w:spacing w:after="0" w:line="238" w:lineRule="auto"/>
        <w:rPr>
          <w:sz w:val="20"/>
          <w:szCs w:val="20"/>
          <w:color w:val="auto"/>
        </w:rPr>
      </w:pPr>
      <w:r>
        <w:rPr>
          <w:rFonts w:ascii="Courier New" w:cs="Courier New" w:eastAsia="Courier New" w:hAnsi="Courier New"/>
          <w:sz w:val="15"/>
          <w:szCs w:val="15"/>
          <w:color w:val="auto"/>
        </w:rPr>
        <w:t>Puerto Rico</w:t>
      </w:r>
    </w:p>
    <w:p>
      <w:pPr>
        <w:spacing w:after="0"/>
        <w:rPr>
          <w:sz w:val="20"/>
          <w:szCs w:val="20"/>
          <w:color w:val="auto"/>
        </w:rPr>
      </w:pPr>
      <w:r>
        <w:rPr>
          <w:rFonts w:ascii="Courier New" w:cs="Courier New" w:eastAsia="Courier New" w:hAnsi="Courier New"/>
          <w:sz w:val="15"/>
          <w:szCs w:val="15"/>
          <w:color w:val="auto"/>
        </w:rPr>
        <w:t>Puerto Rico</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Illinois</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Mexico</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5360" w:space="720"/>
            <w:col w:w="4139"/>
          </w:cols>
          <w:pgMar w:left="240" w:top="288" w:right="1440" w:bottom="1440" w:gutter="0" w:footer="0" w:header="0"/>
          <w:type w:val="continuous"/>
        </w:sectPr>
      </w:pPr>
    </w:p>
    <w:bookmarkStart w:id="160" w:name="page161"/>
    <w:bookmarkEnd w:id="160"/>
    <w:p>
      <w:pPr>
        <w:ind w:left="2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Farmer's Landfill, Inc.</w:t>
      </w:r>
    </w:p>
    <w:p>
      <w:pPr>
        <w:spacing w:after="0"/>
        <w:rPr>
          <w:sz w:val="20"/>
          <w:szCs w:val="20"/>
          <w:color w:val="auto"/>
        </w:rPr>
      </w:pPr>
      <w:r>
        <w:rPr>
          <w:rFonts w:ascii="Courier New" w:cs="Courier New" w:eastAsia="Courier New" w:hAnsi="Courier New"/>
          <w:sz w:val="15"/>
          <w:szCs w:val="15"/>
          <w:color w:val="auto"/>
        </w:rPr>
        <w:t>Feather River Disposal, Inc.</w:t>
      </w:r>
    </w:p>
    <w:p>
      <w:pPr>
        <w:spacing w:after="0"/>
        <w:rPr>
          <w:sz w:val="20"/>
          <w:szCs w:val="20"/>
          <w:color w:val="auto"/>
        </w:rPr>
      </w:pPr>
      <w:r>
        <w:rPr>
          <w:rFonts w:ascii="Courier New" w:cs="Courier New" w:eastAsia="Courier New" w:hAnsi="Courier New"/>
          <w:sz w:val="15"/>
          <w:szCs w:val="15"/>
          <w:color w:val="auto"/>
        </w:rPr>
        <w:t>Fernley Disposal, Inc.</w:t>
      </w:r>
    </w:p>
    <w:p>
      <w:pPr>
        <w:spacing w:after="0" w:line="238" w:lineRule="auto"/>
        <w:rPr>
          <w:sz w:val="20"/>
          <w:szCs w:val="20"/>
          <w:color w:val="auto"/>
        </w:rPr>
      </w:pPr>
      <w:r>
        <w:rPr>
          <w:rFonts w:ascii="Courier New" w:cs="Courier New" w:eastAsia="Courier New" w:hAnsi="Courier New"/>
          <w:sz w:val="15"/>
          <w:szCs w:val="15"/>
          <w:color w:val="auto"/>
        </w:rPr>
        <w:t>FFF, Inc.</w:t>
      </w:r>
    </w:p>
    <w:p>
      <w:pPr>
        <w:spacing w:after="0"/>
        <w:rPr>
          <w:sz w:val="20"/>
          <w:szCs w:val="20"/>
          <w:color w:val="auto"/>
        </w:rPr>
      </w:pPr>
      <w:r>
        <w:rPr>
          <w:rFonts w:ascii="Courier New" w:cs="Courier New" w:eastAsia="Courier New" w:hAnsi="Courier New"/>
          <w:sz w:val="15"/>
          <w:szCs w:val="15"/>
          <w:color w:val="auto"/>
        </w:rPr>
        <w:t>Front Range Landfill, Inc.</w:t>
      </w:r>
    </w:p>
    <w:p>
      <w:pPr>
        <w:spacing w:after="0"/>
        <w:rPr>
          <w:sz w:val="20"/>
          <w:szCs w:val="20"/>
          <w:color w:val="auto"/>
        </w:rPr>
      </w:pPr>
      <w:r>
        <w:rPr>
          <w:rFonts w:ascii="Courier New" w:cs="Courier New" w:eastAsia="Courier New" w:hAnsi="Courier New"/>
          <w:sz w:val="15"/>
          <w:szCs w:val="15"/>
          <w:color w:val="auto"/>
        </w:rPr>
        <w:t>Frontier Environmental, Inc.</w:t>
      </w:r>
    </w:p>
    <w:p>
      <w:pPr>
        <w:spacing w:after="0" w:line="238" w:lineRule="auto"/>
        <w:rPr>
          <w:sz w:val="20"/>
          <w:szCs w:val="20"/>
          <w:color w:val="auto"/>
        </w:rPr>
      </w:pPr>
      <w:r>
        <w:rPr>
          <w:rFonts w:ascii="Courier New" w:cs="Courier New" w:eastAsia="Courier New" w:hAnsi="Courier New"/>
          <w:sz w:val="15"/>
          <w:szCs w:val="15"/>
          <w:color w:val="auto"/>
        </w:rPr>
        <w:t>Future-Tech Environmental Services, Inc.</w:t>
      </w:r>
    </w:p>
    <w:p>
      <w:pPr>
        <w:spacing w:after="0"/>
        <w:rPr>
          <w:sz w:val="20"/>
          <w:szCs w:val="20"/>
          <w:color w:val="auto"/>
        </w:rPr>
      </w:pPr>
      <w:r>
        <w:rPr>
          <w:rFonts w:ascii="Courier New" w:cs="Courier New" w:eastAsia="Courier New" w:hAnsi="Courier New"/>
          <w:sz w:val="15"/>
          <w:szCs w:val="15"/>
          <w:color w:val="auto"/>
        </w:rPr>
        <w:t>G.C. Environmental, Inc.</w:t>
      </w:r>
    </w:p>
    <w:p>
      <w:pPr>
        <w:spacing w:after="0"/>
        <w:rPr>
          <w:sz w:val="20"/>
          <w:szCs w:val="20"/>
          <w:color w:val="auto"/>
        </w:rPr>
      </w:pPr>
      <w:r>
        <w:rPr>
          <w:rFonts w:ascii="Courier New" w:cs="Courier New" w:eastAsia="Courier New" w:hAnsi="Courier New"/>
          <w:sz w:val="15"/>
          <w:szCs w:val="15"/>
          <w:color w:val="auto"/>
        </w:rPr>
        <w:t>GA Landfill, Inc.</w:t>
      </w:r>
    </w:p>
    <w:p>
      <w:pPr>
        <w:spacing w:after="0"/>
        <w:rPr>
          <w:sz w:val="20"/>
          <w:szCs w:val="20"/>
          <w:color w:val="auto"/>
        </w:rPr>
      </w:pPr>
      <w:r>
        <w:rPr>
          <w:rFonts w:ascii="Courier New" w:cs="Courier New" w:eastAsia="Courier New" w:hAnsi="Courier New"/>
          <w:sz w:val="15"/>
          <w:szCs w:val="15"/>
          <w:color w:val="auto"/>
        </w:rPr>
        <w:t>Gallia Landfill, Inc.</w:t>
      </w:r>
    </w:p>
    <w:p>
      <w:pPr>
        <w:spacing w:after="0" w:line="238" w:lineRule="auto"/>
        <w:rPr>
          <w:sz w:val="20"/>
          <w:szCs w:val="20"/>
          <w:color w:val="auto"/>
        </w:rPr>
      </w:pPr>
      <w:r>
        <w:rPr>
          <w:rFonts w:ascii="Courier New" w:cs="Courier New" w:eastAsia="Courier New" w:hAnsi="Courier New"/>
          <w:sz w:val="15"/>
          <w:szCs w:val="15"/>
          <w:color w:val="auto"/>
        </w:rPr>
        <w:t>Garnet of Maryland, Inc.</w:t>
      </w:r>
    </w:p>
    <w:p>
      <w:pPr>
        <w:spacing w:after="0"/>
        <w:rPr>
          <w:sz w:val="20"/>
          <w:szCs w:val="20"/>
          <w:color w:val="auto"/>
        </w:rPr>
      </w:pPr>
      <w:r>
        <w:rPr>
          <w:rFonts w:ascii="Courier New" w:cs="Courier New" w:eastAsia="Courier New" w:hAnsi="Courier New"/>
          <w:sz w:val="15"/>
          <w:szCs w:val="15"/>
          <w:color w:val="auto"/>
        </w:rPr>
        <w:t>Georgia Waste Systems, Inc.</w:t>
      </w:r>
    </w:p>
    <w:p>
      <w:pPr>
        <w:spacing w:after="0"/>
        <w:rPr>
          <w:sz w:val="20"/>
          <w:szCs w:val="20"/>
          <w:color w:val="auto"/>
        </w:rPr>
      </w:pPr>
      <w:r>
        <w:rPr>
          <w:rFonts w:ascii="Courier New" w:cs="Courier New" w:eastAsia="Courier New" w:hAnsi="Courier New"/>
          <w:sz w:val="15"/>
          <w:szCs w:val="15"/>
          <w:color w:val="auto"/>
        </w:rPr>
        <w:t>Gestion Des Rebuts D.M.P. Inc.</w:t>
      </w:r>
    </w:p>
    <w:p>
      <w:pPr>
        <w:spacing w:after="0" w:line="238" w:lineRule="auto"/>
        <w:rPr>
          <w:sz w:val="20"/>
          <w:szCs w:val="20"/>
          <w:color w:val="auto"/>
        </w:rPr>
      </w:pPr>
      <w:r>
        <w:rPr>
          <w:rFonts w:ascii="Courier New" w:cs="Courier New" w:eastAsia="Courier New" w:hAnsi="Courier New"/>
          <w:sz w:val="15"/>
          <w:szCs w:val="15"/>
          <w:color w:val="auto"/>
        </w:rPr>
        <w:t>GI Industries, Inc.</w:t>
      </w:r>
    </w:p>
    <w:p>
      <w:pPr>
        <w:spacing w:after="0"/>
        <w:rPr>
          <w:sz w:val="20"/>
          <w:szCs w:val="20"/>
          <w:color w:val="auto"/>
        </w:rPr>
      </w:pPr>
      <w:r>
        <w:rPr>
          <w:rFonts w:ascii="Courier New" w:cs="Courier New" w:eastAsia="Courier New" w:hAnsi="Courier New"/>
          <w:sz w:val="15"/>
          <w:szCs w:val="15"/>
          <w:color w:val="auto"/>
        </w:rPr>
        <w:t>Glen's Sanitary Landfill,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Graham Road Recycling and Disposal Facility,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Central Sanitary Landfill, Inc.</w:t>
      </w:r>
    </w:p>
    <w:p>
      <w:pPr>
        <w:spacing w:after="0"/>
        <w:rPr>
          <w:sz w:val="20"/>
          <w:szCs w:val="20"/>
          <w:color w:val="auto"/>
        </w:rPr>
      </w:pPr>
      <w:r>
        <w:rPr>
          <w:rFonts w:ascii="Courier New" w:cs="Courier New" w:eastAsia="Courier New" w:hAnsi="Courier New"/>
          <w:sz w:val="15"/>
          <w:szCs w:val="15"/>
          <w:color w:val="auto"/>
        </w:rPr>
        <w:t>Green Valley Disposal Company, Inc.</w:t>
      </w:r>
    </w:p>
    <w:p>
      <w:pPr>
        <w:spacing w:after="0"/>
        <w:rPr>
          <w:sz w:val="20"/>
          <w:szCs w:val="20"/>
          <w:color w:val="auto"/>
        </w:rPr>
      </w:pPr>
      <w:r>
        <w:rPr>
          <w:rFonts w:ascii="Courier New" w:cs="Courier New" w:eastAsia="Courier New" w:hAnsi="Courier New"/>
          <w:sz w:val="15"/>
          <w:szCs w:val="15"/>
          <w:color w:val="auto"/>
        </w:rPr>
        <w:t>Grupo WMX, S.A. de C.V.</w:t>
      </w:r>
    </w:p>
    <w:p>
      <w:pPr>
        <w:spacing w:after="0" w:line="238" w:lineRule="auto"/>
        <w:rPr>
          <w:sz w:val="20"/>
          <w:szCs w:val="20"/>
          <w:color w:val="auto"/>
        </w:rPr>
      </w:pPr>
      <w:r>
        <w:rPr>
          <w:rFonts w:ascii="Courier New" w:cs="Courier New" w:eastAsia="Courier New" w:hAnsi="Courier New"/>
          <w:sz w:val="15"/>
          <w:szCs w:val="15"/>
          <w:color w:val="auto"/>
        </w:rPr>
        <w:t>Guadalupe Rubbish Disposal Co., Inc.</w:t>
      </w:r>
    </w:p>
    <w:p>
      <w:pPr>
        <w:spacing w:after="0"/>
        <w:rPr>
          <w:sz w:val="20"/>
          <w:szCs w:val="20"/>
          <w:color w:val="auto"/>
        </w:rPr>
      </w:pPr>
      <w:r>
        <w:rPr>
          <w:rFonts w:ascii="Courier New" w:cs="Courier New" w:eastAsia="Courier New" w:hAnsi="Courier New"/>
          <w:sz w:val="15"/>
          <w:szCs w:val="15"/>
          <w:color w:val="auto"/>
        </w:rPr>
        <w:t>Gulf Disposal, Inc.</w:t>
      </w:r>
    </w:p>
    <w:p>
      <w:pPr>
        <w:spacing w:after="0"/>
        <w:rPr>
          <w:sz w:val="20"/>
          <w:szCs w:val="20"/>
          <w:color w:val="auto"/>
        </w:rPr>
      </w:pPr>
      <w:r>
        <w:rPr>
          <w:rFonts w:ascii="Courier New" w:cs="Courier New" w:eastAsia="Courier New" w:hAnsi="Courier New"/>
          <w:sz w:val="15"/>
          <w:szCs w:val="15"/>
          <w:color w:val="auto"/>
        </w:rPr>
        <w:t>Guyan Transfer and Sanitation Services, Inc.</w:t>
      </w:r>
    </w:p>
    <w:p>
      <w:pPr>
        <w:spacing w:after="0" w:line="238" w:lineRule="auto"/>
        <w:rPr>
          <w:sz w:val="20"/>
          <w:szCs w:val="20"/>
          <w:color w:val="auto"/>
        </w:rPr>
      </w:pPr>
      <w:r>
        <w:rPr>
          <w:rFonts w:ascii="Courier New" w:cs="Courier New" w:eastAsia="Courier New" w:hAnsi="Courier New"/>
          <w:sz w:val="15"/>
          <w:szCs w:val="15"/>
          <w:color w:val="auto"/>
        </w:rPr>
        <w:t>Harris Disposal Service, Inc.</w:t>
      </w:r>
    </w:p>
    <w:p>
      <w:pPr>
        <w:spacing w:after="0"/>
        <w:rPr>
          <w:sz w:val="20"/>
          <w:szCs w:val="20"/>
          <w:color w:val="auto"/>
        </w:rPr>
      </w:pPr>
      <w:r>
        <w:rPr>
          <w:rFonts w:ascii="Courier New" w:cs="Courier New" w:eastAsia="Courier New" w:hAnsi="Courier New"/>
          <w:sz w:val="15"/>
          <w:szCs w:val="15"/>
          <w:color w:val="auto"/>
        </w:rPr>
        <w:t>Harwood Landfill, Inc.</w:t>
      </w:r>
    </w:p>
    <w:p>
      <w:pPr>
        <w:spacing w:after="0"/>
        <w:rPr>
          <w:sz w:val="20"/>
          <w:szCs w:val="20"/>
          <w:color w:val="auto"/>
        </w:rPr>
      </w:pPr>
      <w:r>
        <w:rPr>
          <w:rFonts w:ascii="Courier New" w:cs="Courier New" w:eastAsia="Courier New" w:hAnsi="Courier New"/>
          <w:sz w:val="15"/>
          <w:szCs w:val="15"/>
          <w:color w:val="auto"/>
        </w:rPr>
        <w:t>Hedco, Ltd.</w:t>
      </w:r>
    </w:p>
    <w:p>
      <w:pPr>
        <w:spacing w:after="0"/>
        <w:rPr>
          <w:sz w:val="20"/>
          <w:szCs w:val="20"/>
          <w:color w:val="auto"/>
        </w:rPr>
      </w:pPr>
      <w:r>
        <w:rPr>
          <w:rFonts w:ascii="Courier New" w:cs="Courier New" w:eastAsia="Courier New" w:hAnsi="Courier New"/>
          <w:sz w:val="15"/>
          <w:szCs w:val="15"/>
          <w:color w:val="auto"/>
        </w:rPr>
        <w:t>Hillsboro Landfill, Inc.</w:t>
      </w:r>
    </w:p>
    <w:p>
      <w:pPr>
        <w:spacing w:after="0" w:line="238" w:lineRule="auto"/>
        <w:rPr>
          <w:sz w:val="20"/>
          <w:szCs w:val="20"/>
          <w:color w:val="auto"/>
        </w:rPr>
      </w:pPr>
      <w:r>
        <w:rPr>
          <w:rFonts w:ascii="Courier New" w:cs="Courier New" w:eastAsia="Courier New" w:hAnsi="Courier New"/>
          <w:sz w:val="15"/>
          <w:szCs w:val="15"/>
          <w:color w:val="auto"/>
        </w:rPr>
        <w:t>Hite Construction, Inc.</w:t>
      </w:r>
    </w:p>
    <w:p>
      <w:pPr>
        <w:spacing w:after="0"/>
        <w:rPr>
          <w:sz w:val="20"/>
          <w:szCs w:val="20"/>
          <w:color w:val="auto"/>
        </w:rPr>
      </w:pPr>
      <w:r>
        <w:rPr>
          <w:rFonts w:ascii="Courier New" w:cs="Courier New" w:eastAsia="Courier New" w:hAnsi="Courier New"/>
          <w:sz w:val="15"/>
          <w:szCs w:val="15"/>
          <w:color w:val="auto"/>
        </w:rPr>
        <w:t>Hollister Disposal, Inc.</w:t>
      </w:r>
    </w:p>
    <w:p>
      <w:pPr>
        <w:spacing w:after="0"/>
        <w:rPr>
          <w:sz w:val="20"/>
          <w:szCs w:val="20"/>
          <w:color w:val="auto"/>
        </w:rPr>
      </w:pPr>
      <w:r>
        <w:rPr>
          <w:rFonts w:ascii="Courier New" w:cs="Courier New" w:eastAsia="Courier New" w:hAnsi="Courier New"/>
          <w:sz w:val="15"/>
          <w:szCs w:val="15"/>
          <w:color w:val="auto"/>
        </w:rPr>
        <w:t>Holyoke Sanitary Landfill, Inc.</w:t>
      </w:r>
    </w:p>
    <w:p>
      <w:pPr>
        <w:spacing w:after="0" w:line="238" w:lineRule="auto"/>
        <w:rPr>
          <w:sz w:val="20"/>
          <w:szCs w:val="20"/>
          <w:color w:val="auto"/>
        </w:rPr>
      </w:pPr>
      <w:r>
        <w:rPr>
          <w:rFonts w:ascii="Courier New" w:cs="Courier New" w:eastAsia="Courier New" w:hAnsi="Courier New"/>
          <w:sz w:val="15"/>
          <w:szCs w:val="15"/>
          <w:color w:val="auto"/>
        </w:rPr>
        <w:t>IN Landfill, L.L.C.</w:t>
      </w:r>
    </w:p>
    <w:p>
      <w:pPr>
        <w:spacing w:after="0"/>
        <w:rPr>
          <w:sz w:val="20"/>
          <w:szCs w:val="20"/>
          <w:color w:val="auto"/>
        </w:rPr>
      </w:pPr>
      <w:r>
        <w:rPr>
          <w:rFonts w:ascii="Courier New" w:cs="Courier New" w:eastAsia="Courier New" w:hAnsi="Courier New"/>
          <w:sz w:val="15"/>
          <w:szCs w:val="15"/>
          <w:color w:val="auto"/>
        </w:rPr>
        <w:t>Independent Sanitation Company</w:t>
      </w:r>
    </w:p>
    <w:p>
      <w:pPr>
        <w:spacing w:after="0"/>
        <w:rPr>
          <w:sz w:val="20"/>
          <w:szCs w:val="20"/>
          <w:color w:val="auto"/>
        </w:rPr>
      </w:pPr>
      <w:r>
        <w:rPr>
          <w:rFonts w:ascii="Courier New" w:cs="Courier New" w:eastAsia="Courier New" w:hAnsi="Courier New"/>
          <w:sz w:val="15"/>
          <w:szCs w:val="15"/>
          <w:color w:val="auto"/>
        </w:rPr>
        <w:t>Intersan Inc.</w:t>
      </w:r>
    </w:p>
    <w:p>
      <w:pPr>
        <w:spacing w:after="0"/>
        <w:rPr>
          <w:sz w:val="20"/>
          <w:szCs w:val="20"/>
          <w:color w:val="auto"/>
        </w:rPr>
      </w:pPr>
      <w:r>
        <w:rPr>
          <w:rFonts w:ascii="Courier New" w:cs="Courier New" w:eastAsia="Courier New" w:hAnsi="Courier New"/>
          <w:sz w:val="15"/>
          <w:szCs w:val="15"/>
          <w:color w:val="auto"/>
        </w:rPr>
        <w:t>J Bar J Land, Inc.</w:t>
      </w:r>
    </w:p>
    <w:p>
      <w:pPr>
        <w:spacing w:after="0" w:line="238" w:lineRule="auto"/>
        <w:rPr>
          <w:sz w:val="20"/>
          <w:szCs w:val="20"/>
          <w:color w:val="auto"/>
        </w:rPr>
      </w:pPr>
      <w:r>
        <w:rPr>
          <w:rFonts w:ascii="Courier New" w:cs="Courier New" w:eastAsia="Courier New" w:hAnsi="Courier New"/>
          <w:sz w:val="15"/>
          <w:szCs w:val="15"/>
          <w:color w:val="auto"/>
        </w:rPr>
        <w:t>Jahner Sanitation, Inc.</w:t>
      </w:r>
    </w:p>
    <w:p>
      <w:pPr>
        <w:spacing w:after="0"/>
        <w:rPr>
          <w:sz w:val="20"/>
          <w:szCs w:val="20"/>
          <w:color w:val="auto"/>
        </w:rPr>
      </w:pPr>
      <w:r>
        <w:rPr>
          <w:rFonts w:ascii="Courier New" w:cs="Courier New" w:eastAsia="Courier New" w:hAnsi="Courier New"/>
          <w:sz w:val="15"/>
          <w:szCs w:val="15"/>
          <w:color w:val="auto"/>
        </w:rPr>
        <w:t>Jay County Landfill, L.L.C.</w:t>
      </w:r>
    </w:p>
    <w:p>
      <w:pPr>
        <w:spacing w:after="0"/>
        <w:rPr>
          <w:sz w:val="20"/>
          <w:szCs w:val="20"/>
          <w:color w:val="auto"/>
        </w:rPr>
      </w:pPr>
      <w:r>
        <w:rPr>
          <w:rFonts w:ascii="Courier New" w:cs="Courier New" w:eastAsia="Courier New" w:hAnsi="Courier New"/>
          <w:sz w:val="15"/>
          <w:szCs w:val="15"/>
          <w:color w:val="auto"/>
        </w:rPr>
        <w:t>John Smith Landfill, Inc.</w:t>
      </w:r>
    </w:p>
    <w:p>
      <w:pPr>
        <w:spacing w:after="0" w:line="238" w:lineRule="auto"/>
        <w:rPr>
          <w:sz w:val="20"/>
          <w:szCs w:val="20"/>
          <w:color w:val="auto"/>
        </w:rPr>
      </w:pPr>
      <w:r>
        <w:rPr>
          <w:rFonts w:ascii="Courier New" w:cs="Courier New" w:eastAsia="Courier New" w:hAnsi="Courier New"/>
          <w:sz w:val="15"/>
          <w:szCs w:val="15"/>
          <w:color w:val="auto"/>
        </w:rPr>
        <w:t>Johnson Canyon Road Disposal Site, Inc.</w:t>
      </w:r>
    </w:p>
    <w:p>
      <w:pPr>
        <w:spacing w:after="0"/>
        <w:rPr>
          <w:sz w:val="20"/>
          <w:szCs w:val="20"/>
          <w:color w:val="auto"/>
        </w:rPr>
      </w:pPr>
      <w:r>
        <w:rPr>
          <w:rFonts w:ascii="Courier New" w:cs="Courier New" w:eastAsia="Courier New" w:hAnsi="Courier New"/>
          <w:sz w:val="15"/>
          <w:szCs w:val="15"/>
          <w:color w:val="auto"/>
        </w:rPr>
        <w:t>Jones Sanitation, L.L.C.</w:t>
      </w:r>
    </w:p>
    <w:p>
      <w:pPr>
        <w:spacing w:after="0"/>
        <w:rPr>
          <w:sz w:val="20"/>
          <w:szCs w:val="20"/>
          <w:color w:val="auto"/>
        </w:rPr>
      </w:pPr>
      <w:r>
        <w:rPr>
          <w:rFonts w:ascii="Courier New" w:cs="Courier New" w:eastAsia="Courier New" w:hAnsi="Courier New"/>
          <w:sz w:val="15"/>
          <w:szCs w:val="15"/>
          <w:color w:val="auto"/>
        </w:rPr>
        <w:t>Junker Sanitation Services, Inc.</w:t>
      </w:r>
    </w:p>
    <w:p>
      <w:pPr>
        <w:spacing w:after="0"/>
        <w:rPr>
          <w:sz w:val="20"/>
          <w:szCs w:val="20"/>
          <w:color w:val="auto"/>
        </w:rPr>
      </w:pPr>
      <w:r>
        <w:rPr>
          <w:rFonts w:ascii="Courier New" w:cs="Courier New" w:eastAsia="Courier New" w:hAnsi="Courier New"/>
          <w:sz w:val="15"/>
          <w:szCs w:val="15"/>
          <w:color w:val="auto"/>
        </w:rPr>
        <w:t>K and W Landfill, Inc.</w:t>
      </w:r>
    </w:p>
    <w:p>
      <w:pPr>
        <w:spacing w:after="0" w:line="238" w:lineRule="auto"/>
        <w:rPr>
          <w:sz w:val="20"/>
          <w:szCs w:val="20"/>
          <w:color w:val="auto"/>
        </w:rPr>
      </w:pPr>
      <w:r>
        <w:rPr>
          <w:rFonts w:ascii="Courier New" w:cs="Courier New" w:eastAsia="Courier New" w:hAnsi="Courier New"/>
          <w:sz w:val="15"/>
          <w:szCs w:val="15"/>
          <w:color w:val="auto"/>
        </w:rPr>
        <w:t>Kahle Landfill, Inc.</w:t>
      </w:r>
    </w:p>
    <w:p>
      <w:pPr>
        <w:spacing w:after="0"/>
        <w:rPr>
          <w:sz w:val="20"/>
          <w:szCs w:val="20"/>
          <w:color w:val="auto"/>
        </w:rPr>
      </w:pPr>
      <w:r>
        <w:rPr>
          <w:rFonts w:ascii="Courier New" w:cs="Courier New" w:eastAsia="Courier New" w:hAnsi="Courier New"/>
          <w:sz w:val="15"/>
          <w:szCs w:val="15"/>
          <w:color w:val="auto"/>
        </w:rPr>
        <w:t>Keene Road Landfill, Inc.</w:t>
      </w:r>
    </w:p>
    <w:p>
      <w:pPr>
        <w:spacing w:after="0"/>
        <w:rPr>
          <w:sz w:val="20"/>
          <w:szCs w:val="20"/>
          <w:color w:val="auto"/>
        </w:rPr>
      </w:pPr>
      <w:r>
        <w:rPr>
          <w:rFonts w:ascii="Courier New" w:cs="Courier New" w:eastAsia="Courier New" w:hAnsi="Courier New"/>
          <w:sz w:val="15"/>
          <w:szCs w:val="15"/>
          <w:color w:val="auto"/>
        </w:rPr>
        <w:t>Kelly Run Sanitation, Inc.</w:t>
      </w:r>
    </w:p>
    <w:p>
      <w:pPr>
        <w:spacing w:after="0" w:line="238" w:lineRule="auto"/>
        <w:rPr>
          <w:sz w:val="20"/>
          <w:szCs w:val="20"/>
          <w:color w:val="auto"/>
        </w:rPr>
      </w:pPr>
      <w:r>
        <w:rPr>
          <w:rFonts w:ascii="Courier New" w:cs="Courier New" w:eastAsia="Courier New" w:hAnsi="Courier New"/>
          <w:sz w:val="15"/>
          <w:szCs w:val="15"/>
          <w:color w:val="auto"/>
        </w:rPr>
        <w:t>Ken's Pickup Service, Inc.</w:t>
      </w:r>
    </w:p>
    <w:p>
      <w:pPr>
        <w:spacing w:after="0"/>
        <w:rPr>
          <w:sz w:val="20"/>
          <w:szCs w:val="20"/>
          <w:color w:val="auto"/>
        </w:rPr>
      </w:pPr>
      <w:r>
        <w:rPr>
          <w:rFonts w:ascii="Courier New" w:cs="Courier New" w:eastAsia="Courier New" w:hAnsi="Courier New"/>
          <w:sz w:val="15"/>
          <w:szCs w:val="15"/>
          <w:color w:val="auto"/>
        </w:rPr>
        <w:t>Key Disposal Ltd.</w:t>
      </w:r>
    </w:p>
    <w:p>
      <w:pPr>
        <w:spacing w:after="0"/>
        <w:rPr>
          <w:sz w:val="20"/>
          <w:szCs w:val="20"/>
          <w:color w:val="auto"/>
        </w:rPr>
      </w:pPr>
      <w:r>
        <w:rPr>
          <w:rFonts w:ascii="Courier New" w:cs="Courier New" w:eastAsia="Courier New" w:hAnsi="Courier New"/>
          <w:sz w:val="15"/>
          <w:szCs w:val="15"/>
          <w:color w:val="auto"/>
        </w:rPr>
        <w:t>Kimmins Recycling Corporation</w:t>
      </w:r>
    </w:p>
    <w:p>
      <w:pPr>
        <w:spacing w:after="0" w:line="238" w:lineRule="auto"/>
        <w:rPr>
          <w:sz w:val="20"/>
          <w:szCs w:val="20"/>
          <w:color w:val="auto"/>
        </w:rPr>
      </w:pPr>
      <w:r>
        <w:rPr>
          <w:rFonts w:ascii="Courier New" w:cs="Courier New" w:eastAsia="Courier New" w:hAnsi="Courier New"/>
          <w:sz w:val="15"/>
          <w:szCs w:val="15"/>
          <w:color w:val="auto"/>
        </w:rPr>
        <w:t>King George Landfill, Inc.</w:t>
      </w:r>
    </w:p>
    <w:p>
      <w:pPr>
        <w:spacing w:after="0"/>
        <w:rPr>
          <w:sz w:val="20"/>
          <w:szCs w:val="20"/>
          <w:color w:val="auto"/>
        </w:rPr>
      </w:pPr>
      <w:r>
        <w:rPr>
          <w:rFonts w:ascii="Courier New" w:cs="Courier New" w:eastAsia="Courier New" w:hAnsi="Courier New"/>
          <w:sz w:val="15"/>
          <w:szCs w:val="15"/>
          <w:color w:val="auto"/>
        </w:rPr>
        <w:t>Klamath Disposal, Inc.</w:t>
      </w:r>
    </w:p>
    <w:p>
      <w:pPr>
        <w:spacing w:after="0"/>
        <w:rPr>
          <w:sz w:val="20"/>
          <w:szCs w:val="20"/>
          <w:color w:val="auto"/>
        </w:rPr>
      </w:pPr>
      <w:r>
        <w:rPr>
          <w:rFonts w:ascii="Courier New" w:cs="Courier New" w:eastAsia="Courier New" w:hAnsi="Courier New"/>
          <w:sz w:val="15"/>
          <w:szCs w:val="15"/>
          <w:color w:val="auto"/>
        </w:rPr>
        <w:t>KN Industrial Services, Inc.</w:t>
      </w:r>
    </w:p>
    <w:p>
      <w:pPr>
        <w:spacing w:after="0"/>
        <w:rPr>
          <w:sz w:val="20"/>
          <w:szCs w:val="20"/>
          <w:color w:val="auto"/>
        </w:rPr>
      </w:pPr>
      <w:r>
        <w:rPr>
          <w:rFonts w:ascii="Courier New" w:cs="Courier New" w:eastAsia="Courier New" w:hAnsi="Courier New"/>
          <w:sz w:val="15"/>
          <w:szCs w:val="15"/>
          <w:color w:val="auto"/>
        </w:rPr>
        <w:t>Knutson Material Recovery Facility, Inc.</w:t>
      </w:r>
    </w:p>
    <w:p>
      <w:pPr>
        <w:spacing w:after="0" w:line="238" w:lineRule="auto"/>
        <w:rPr>
          <w:sz w:val="20"/>
          <w:szCs w:val="20"/>
          <w:color w:val="auto"/>
        </w:rPr>
      </w:pPr>
      <w:r>
        <w:rPr>
          <w:rFonts w:ascii="Courier New" w:cs="Courier New" w:eastAsia="Courier New" w:hAnsi="Courier New"/>
          <w:sz w:val="15"/>
          <w:szCs w:val="15"/>
          <w:color w:val="auto"/>
        </w:rPr>
        <w:t>Knutson Services, Inc.</w:t>
      </w:r>
    </w:p>
    <w:p>
      <w:pPr>
        <w:spacing w:after="0"/>
        <w:rPr>
          <w:sz w:val="20"/>
          <w:szCs w:val="20"/>
          <w:color w:val="auto"/>
        </w:rPr>
      </w:pPr>
      <w:r>
        <w:rPr>
          <w:rFonts w:ascii="Courier New" w:cs="Courier New" w:eastAsia="Courier New" w:hAnsi="Courier New"/>
          <w:sz w:val="15"/>
          <w:szCs w:val="15"/>
          <w:color w:val="auto"/>
        </w:rPr>
        <w:t>L&amp;M Landfill, Inc.</w:t>
      </w:r>
    </w:p>
    <w:p>
      <w:pPr>
        <w:spacing w:after="0"/>
        <w:rPr>
          <w:sz w:val="20"/>
          <w:szCs w:val="20"/>
          <w:color w:val="auto"/>
        </w:rPr>
      </w:pPr>
      <w:r>
        <w:rPr>
          <w:rFonts w:ascii="Courier New" w:cs="Courier New" w:eastAsia="Courier New" w:hAnsi="Courier New"/>
          <w:sz w:val="15"/>
          <w:szCs w:val="15"/>
          <w:color w:val="auto"/>
        </w:rPr>
        <w:t>Land Reclamation Company, Inc.</w:t>
      </w:r>
    </w:p>
    <w:p>
      <w:pPr>
        <w:spacing w:after="0" w:line="238" w:lineRule="auto"/>
        <w:rPr>
          <w:sz w:val="20"/>
          <w:szCs w:val="20"/>
          <w:color w:val="auto"/>
        </w:rPr>
      </w:pPr>
      <w:r>
        <w:rPr>
          <w:rFonts w:ascii="Courier New" w:cs="Courier New" w:eastAsia="Courier New" w:hAnsi="Courier New"/>
          <w:sz w:val="15"/>
          <w:szCs w:val="15"/>
          <w:color w:val="auto"/>
        </w:rPr>
        <w:t>Landfill of Pine Ridge, Inc.</w:t>
      </w:r>
    </w:p>
    <w:p>
      <w:pPr>
        <w:spacing w:after="0"/>
        <w:rPr>
          <w:sz w:val="20"/>
          <w:szCs w:val="20"/>
          <w:color w:val="auto"/>
        </w:rPr>
      </w:pPr>
      <w:r>
        <w:rPr>
          <w:rFonts w:ascii="Courier New" w:cs="Courier New" w:eastAsia="Courier New" w:hAnsi="Courier New"/>
          <w:sz w:val="15"/>
          <w:szCs w:val="15"/>
          <w:color w:val="auto"/>
        </w:rPr>
        <w:t>Landfill Services of Charleston, Inc.</w:t>
      </w:r>
    </w:p>
    <w:p>
      <w:pPr>
        <w:spacing w:after="0"/>
        <w:rPr>
          <w:sz w:val="20"/>
          <w:szCs w:val="20"/>
          <w:color w:val="auto"/>
        </w:rPr>
      </w:pPr>
      <w:r>
        <w:rPr>
          <w:rFonts w:ascii="Courier New" w:cs="Courier New" w:eastAsia="Courier New" w:hAnsi="Courier New"/>
          <w:sz w:val="15"/>
          <w:szCs w:val="15"/>
          <w:color w:val="auto"/>
        </w:rPr>
        <w:t>Landfill Systems,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Missouri</w:t>
      </w:r>
    </w:p>
    <w:p>
      <w:pPr>
        <w:ind w:left="100"/>
        <w:spacing w:after="0"/>
        <w:rPr>
          <w:sz w:val="20"/>
          <w:szCs w:val="20"/>
          <w:color w:val="auto"/>
        </w:rPr>
      </w:pPr>
      <w:r>
        <w:rPr>
          <w:rFonts w:ascii="Courier New" w:cs="Courier New" w:eastAsia="Courier New" w:hAnsi="Courier New"/>
          <w:sz w:val="15"/>
          <w:szCs w:val="15"/>
          <w:color w:val="auto"/>
        </w:rPr>
        <w:t>California</w:t>
      </w:r>
    </w:p>
    <w:p>
      <w:pPr>
        <w:ind w:left="100"/>
        <w:spacing w:after="0"/>
        <w:rPr>
          <w:sz w:val="20"/>
          <w:szCs w:val="20"/>
          <w:color w:val="auto"/>
        </w:rPr>
      </w:pPr>
      <w:r>
        <w:rPr>
          <w:rFonts w:ascii="Courier New" w:cs="Courier New" w:eastAsia="Courier New" w:hAnsi="Courier New"/>
          <w:sz w:val="15"/>
          <w:szCs w:val="15"/>
          <w:color w:val="auto"/>
        </w:rPr>
        <w:t>Nevada</w:t>
      </w:r>
    </w:p>
    <w:p>
      <w:pPr>
        <w:ind w:left="100"/>
        <w:spacing w:after="0" w:line="238" w:lineRule="auto"/>
        <w:rPr>
          <w:sz w:val="20"/>
          <w:szCs w:val="20"/>
          <w:color w:val="auto"/>
        </w:rPr>
      </w:pPr>
      <w:r>
        <w:rPr>
          <w:rFonts w:ascii="Courier New" w:cs="Courier New" w:eastAsia="Courier New" w:hAnsi="Courier New"/>
          <w:sz w:val="15"/>
          <w:szCs w:val="15"/>
          <w:color w:val="auto"/>
        </w:rPr>
        <w:t>Minnesota</w:t>
      </w:r>
    </w:p>
    <w:p>
      <w:pPr>
        <w:ind w:left="100"/>
        <w:spacing w:after="0"/>
        <w:rPr>
          <w:sz w:val="20"/>
          <w:szCs w:val="20"/>
          <w:color w:val="auto"/>
        </w:rPr>
      </w:pPr>
      <w:r>
        <w:rPr>
          <w:rFonts w:ascii="Courier New" w:cs="Courier New" w:eastAsia="Courier New" w:hAnsi="Courier New"/>
          <w:sz w:val="15"/>
          <w:szCs w:val="15"/>
          <w:color w:val="auto"/>
        </w:rPr>
        <w:t>Delaware</w:t>
      </w:r>
    </w:p>
    <w:p>
      <w:pPr>
        <w:ind w:left="100"/>
        <w:spacing w:after="0"/>
        <w:rPr>
          <w:sz w:val="20"/>
          <w:szCs w:val="20"/>
          <w:color w:val="auto"/>
        </w:rPr>
      </w:pPr>
      <w:r>
        <w:rPr>
          <w:rFonts w:ascii="Courier New" w:cs="Courier New" w:eastAsia="Courier New" w:hAnsi="Courier New"/>
          <w:sz w:val="15"/>
          <w:szCs w:val="15"/>
          <w:color w:val="auto"/>
        </w:rPr>
        <w:t>Florida</w:t>
      </w:r>
    </w:p>
    <w:p>
      <w:pPr>
        <w:ind w:left="100"/>
        <w:spacing w:after="0" w:line="238" w:lineRule="auto"/>
        <w:rPr>
          <w:sz w:val="20"/>
          <w:szCs w:val="20"/>
          <w:color w:val="auto"/>
        </w:rPr>
      </w:pPr>
      <w:r>
        <w:rPr>
          <w:rFonts w:ascii="Courier New" w:cs="Courier New" w:eastAsia="Courier New" w:hAnsi="Courier New"/>
          <w:sz w:val="15"/>
          <w:szCs w:val="15"/>
          <w:color w:val="auto"/>
        </w:rPr>
        <w:t>California</w:t>
      </w:r>
    </w:p>
    <w:p>
      <w:pPr>
        <w:ind w:left="100"/>
        <w:spacing w:after="0"/>
        <w:rPr>
          <w:sz w:val="20"/>
          <w:szCs w:val="20"/>
          <w:color w:val="auto"/>
        </w:rPr>
      </w:pPr>
      <w:r>
        <w:rPr>
          <w:rFonts w:ascii="Courier New" w:cs="Courier New" w:eastAsia="Courier New" w:hAnsi="Courier New"/>
          <w:sz w:val="15"/>
          <w:szCs w:val="15"/>
          <w:color w:val="auto"/>
        </w:rPr>
        <w:t>Texas</w:t>
      </w:r>
    </w:p>
    <w:p>
      <w:pPr>
        <w:ind w:left="100"/>
        <w:spacing w:after="0"/>
        <w:rPr>
          <w:sz w:val="20"/>
          <w:szCs w:val="20"/>
          <w:color w:val="auto"/>
        </w:rPr>
      </w:pPr>
      <w:r>
        <w:rPr>
          <w:rFonts w:ascii="Courier New" w:cs="Courier New" w:eastAsia="Courier New" w:hAnsi="Courier New"/>
          <w:sz w:val="15"/>
          <w:szCs w:val="15"/>
          <w:color w:val="auto"/>
        </w:rPr>
        <w:t>Delaware</w:t>
      </w:r>
    </w:p>
    <w:p>
      <w:pPr>
        <w:ind w:left="100"/>
        <w:spacing w:after="0"/>
        <w:rPr>
          <w:sz w:val="20"/>
          <w:szCs w:val="20"/>
          <w:color w:val="auto"/>
        </w:rPr>
      </w:pPr>
      <w:r>
        <w:rPr>
          <w:rFonts w:ascii="Courier New" w:cs="Courier New" w:eastAsia="Courier New" w:hAnsi="Courier New"/>
          <w:sz w:val="15"/>
          <w:szCs w:val="15"/>
          <w:color w:val="auto"/>
        </w:rPr>
        <w:t>Delaware</w:t>
      </w:r>
    </w:p>
    <w:p>
      <w:pPr>
        <w:ind w:left="100"/>
        <w:spacing w:after="0" w:line="238" w:lineRule="auto"/>
        <w:rPr>
          <w:sz w:val="20"/>
          <w:szCs w:val="20"/>
          <w:color w:val="auto"/>
        </w:rPr>
      </w:pPr>
      <w:r>
        <w:rPr>
          <w:rFonts w:ascii="Courier New" w:cs="Courier New" w:eastAsia="Courier New" w:hAnsi="Courier New"/>
          <w:sz w:val="15"/>
          <w:szCs w:val="15"/>
          <w:color w:val="auto"/>
        </w:rPr>
        <w:t>Maryland</w:t>
      </w:r>
    </w:p>
    <w:p>
      <w:pPr>
        <w:ind w:left="100"/>
        <w:spacing w:after="0"/>
        <w:rPr>
          <w:sz w:val="20"/>
          <w:szCs w:val="20"/>
          <w:color w:val="auto"/>
        </w:rPr>
      </w:pPr>
      <w:r>
        <w:rPr>
          <w:rFonts w:ascii="Courier New" w:cs="Courier New" w:eastAsia="Courier New" w:hAnsi="Courier New"/>
          <w:sz w:val="15"/>
          <w:szCs w:val="15"/>
          <w:color w:val="auto"/>
        </w:rPr>
        <w:t>Georgia</w:t>
      </w:r>
    </w:p>
    <w:p>
      <w:pPr>
        <w:ind w:left="100"/>
        <w:spacing w:after="0"/>
        <w:rPr>
          <w:sz w:val="20"/>
          <w:szCs w:val="20"/>
          <w:color w:val="auto"/>
        </w:rPr>
      </w:pPr>
      <w:r>
        <w:rPr>
          <w:rFonts w:ascii="Courier New" w:cs="Courier New" w:eastAsia="Courier New" w:hAnsi="Courier New"/>
          <w:sz w:val="15"/>
          <w:szCs w:val="15"/>
          <w:color w:val="auto"/>
        </w:rPr>
        <w:t>Quebec</w:t>
      </w:r>
    </w:p>
    <w:p>
      <w:pPr>
        <w:ind w:left="100"/>
        <w:spacing w:after="0" w:line="238" w:lineRule="auto"/>
        <w:rPr>
          <w:sz w:val="20"/>
          <w:szCs w:val="20"/>
          <w:color w:val="auto"/>
        </w:rPr>
      </w:pPr>
      <w:r>
        <w:rPr>
          <w:rFonts w:ascii="Courier New" w:cs="Courier New" w:eastAsia="Courier New" w:hAnsi="Courier New"/>
          <w:sz w:val="15"/>
          <w:szCs w:val="15"/>
          <w:color w:val="auto"/>
        </w:rPr>
        <w:t>Utah</w:t>
      </w:r>
    </w:p>
    <w:p>
      <w:pPr>
        <w:ind w:left="100"/>
        <w:spacing w:after="0"/>
        <w:rPr>
          <w:sz w:val="20"/>
          <w:szCs w:val="20"/>
          <w:color w:val="auto"/>
        </w:rPr>
      </w:pPr>
      <w:r>
        <w:rPr>
          <w:rFonts w:ascii="Courier New" w:cs="Courier New" w:eastAsia="Courier New" w:hAnsi="Courier New"/>
          <w:sz w:val="15"/>
          <w:szCs w:val="15"/>
          <w:color w:val="auto"/>
        </w:rPr>
        <w:t>Michigan</w:t>
      </w:r>
    </w:p>
    <w:p>
      <w:pPr>
        <w:ind w:left="100"/>
        <w:spacing w:after="0"/>
        <w:rPr>
          <w:sz w:val="20"/>
          <w:szCs w:val="20"/>
          <w:color w:val="auto"/>
        </w:rPr>
      </w:pPr>
      <w:r>
        <w:rPr>
          <w:rFonts w:ascii="Courier New" w:cs="Courier New" w:eastAsia="Courier New" w:hAnsi="Courier New"/>
          <w:sz w:val="15"/>
          <w:szCs w:val="15"/>
          <w:color w:val="auto"/>
        </w:rPr>
        <w:t>Washington</w:t>
      </w:r>
    </w:p>
    <w:p>
      <w:pPr>
        <w:ind w:left="100"/>
        <w:spacing w:after="0"/>
        <w:rPr>
          <w:sz w:val="20"/>
          <w:szCs w:val="20"/>
          <w:color w:val="auto"/>
        </w:rPr>
      </w:pPr>
      <w:r>
        <w:rPr>
          <w:rFonts w:ascii="Courier New" w:cs="Courier New" w:eastAsia="Courier New" w:hAnsi="Courier New"/>
          <w:sz w:val="15"/>
          <w:szCs w:val="15"/>
          <w:color w:val="auto"/>
        </w:rPr>
        <w:t>Pennsylvania</w:t>
      </w:r>
    </w:p>
    <w:p>
      <w:pPr>
        <w:ind w:left="100"/>
        <w:spacing w:after="0" w:line="238" w:lineRule="auto"/>
        <w:rPr>
          <w:sz w:val="20"/>
          <w:szCs w:val="20"/>
          <w:color w:val="auto"/>
        </w:rPr>
      </w:pPr>
      <w:r>
        <w:rPr>
          <w:rFonts w:ascii="Courier New" w:cs="Courier New" w:eastAsia="Courier New" w:hAnsi="Courier New"/>
          <w:sz w:val="15"/>
          <w:szCs w:val="15"/>
          <w:color w:val="auto"/>
        </w:rPr>
        <w:t>California</w:t>
      </w:r>
    </w:p>
    <w:p>
      <w:pPr>
        <w:ind w:left="100"/>
        <w:spacing w:after="0"/>
        <w:rPr>
          <w:sz w:val="20"/>
          <w:szCs w:val="20"/>
          <w:color w:val="auto"/>
        </w:rPr>
      </w:pPr>
      <w:r>
        <w:rPr>
          <w:rFonts w:ascii="Courier New" w:cs="Courier New" w:eastAsia="Courier New" w:hAnsi="Courier New"/>
          <w:sz w:val="15"/>
          <w:szCs w:val="15"/>
          <w:color w:val="auto"/>
        </w:rPr>
        <w:t>Mexico</w:t>
      </w:r>
    </w:p>
    <w:p>
      <w:pPr>
        <w:ind w:left="100"/>
        <w:spacing w:after="0"/>
        <w:rPr>
          <w:sz w:val="20"/>
          <w:szCs w:val="20"/>
          <w:color w:val="auto"/>
        </w:rPr>
      </w:pPr>
      <w:r>
        <w:rPr>
          <w:rFonts w:ascii="Courier New" w:cs="Courier New" w:eastAsia="Courier New" w:hAnsi="Courier New"/>
          <w:sz w:val="15"/>
          <w:szCs w:val="15"/>
          <w:color w:val="auto"/>
        </w:rPr>
        <w:t>California</w:t>
      </w:r>
    </w:p>
    <w:p>
      <w:pPr>
        <w:ind w:left="100"/>
        <w:spacing w:after="0" w:line="238" w:lineRule="auto"/>
        <w:rPr>
          <w:sz w:val="20"/>
          <w:szCs w:val="20"/>
          <w:color w:val="auto"/>
        </w:rPr>
      </w:pPr>
      <w:r>
        <w:rPr>
          <w:rFonts w:ascii="Courier New" w:cs="Courier New" w:eastAsia="Courier New" w:hAnsi="Courier New"/>
          <w:sz w:val="15"/>
          <w:szCs w:val="15"/>
          <w:color w:val="auto"/>
        </w:rPr>
        <w:t>Florida</w:t>
      </w:r>
    </w:p>
    <w:p>
      <w:pPr>
        <w:ind w:left="100"/>
        <w:spacing w:after="0"/>
        <w:rPr>
          <w:sz w:val="20"/>
          <w:szCs w:val="20"/>
          <w:color w:val="auto"/>
        </w:rPr>
      </w:pPr>
      <w:r>
        <w:rPr>
          <w:rFonts w:ascii="Courier New" w:cs="Courier New" w:eastAsia="Courier New" w:hAnsi="Courier New"/>
          <w:sz w:val="15"/>
          <w:szCs w:val="15"/>
          <w:color w:val="auto"/>
        </w:rPr>
        <w:t>West Virginia</w:t>
      </w:r>
    </w:p>
    <w:p>
      <w:pPr>
        <w:ind w:left="100"/>
        <w:spacing w:after="0"/>
        <w:rPr>
          <w:sz w:val="20"/>
          <w:szCs w:val="20"/>
          <w:color w:val="auto"/>
        </w:rPr>
      </w:pPr>
      <w:r>
        <w:rPr>
          <w:rFonts w:ascii="Courier New" w:cs="Courier New" w:eastAsia="Courier New" w:hAnsi="Courier New"/>
          <w:sz w:val="15"/>
          <w:szCs w:val="15"/>
          <w:color w:val="auto"/>
        </w:rPr>
        <w:t>Florida</w:t>
      </w:r>
    </w:p>
    <w:p>
      <w:pPr>
        <w:ind w:left="100"/>
        <w:spacing w:after="0"/>
        <w:rPr>
          <w:sz w:val="20"/>
          <w:szCs w:val="20"/>
          <w:color w:val="auto"/>
        </w:rPr>
      </w:pPr>
      <w:r>
        <w:rPr>
          <w:rFonts w:ascii="Courier New" w:cs="Courier New" w:eastAsia="Courier New" w:hAnsi="Courier New"/>
          <w:sz w:val="15"/>
          <w:szCs w:val="15"/>
          <w:color w:val="auto"/>
        </w:rPr>
        <w:t>Maryland</w:t>
      </w:r>
    </w:p>
    <w:p>
      <w:pPr>
        <w:ind w:left="100"/>
        <w:spacing w:after="0" w:line="238" w:lineRule="auto"/>
        <w:rPr>
          <w:sz w:val="20"/>
          <w:szCs w:val="20"/>
          <w:color w:val="auto"/>
        </w:rPr>
      </w:pPr>
      <w:r>
        <w:rPr>
          <w:rFonts w:ascii="Courier New" w:cs="Courier New" w:eastAsia="Courier New" w:hAnsi="Courier New"/>
          <w:sz w:val="15"/>
          <w:szCs w:val="15"/>
          <w:color w:val="auto"/>
        </w:rPr>
        <w:t>United Kingdom</w:t>
      </w:r>
    </w:p>
    <w:p>
      <w:pPr>
        <w:ind w:left="100"/>
        <w:spacing w:after="0"/>
        <w:rPr>
          <w:sz w:val="20"/>
          <w:szCs w:val="20"/>
          <w:color w:val="auto"/>
        </w:rPr>
      </w:pPr>
      <w:r>
        <w:rPr>
          <w:rFonts w:ascii="Courier New" w:cs="Courier New" w:eastAsia="Courier New" w:hAnsi="Courier New"/>
          <w:sz w:val="15"/>
          <w:szCs w:val="15"/>
          <w:color w:val="auto"/>
        </w:rPr>
        <w:t>Oregon</w:t>
      </w:r>
    </w:p>
    <w:p>
      <w:pPr>
        <w:ind w:left="100"/>
        <w:spacing w:after="0"/>
        <w:rPr>
          <w:sz w:val="20"/>
          <w:szCs w:val="20"/>
          <w:color w:val="auto"/>
        </w:rPr>
      </w:pPr>
      <w:r>
        <w:rPr>
          <w:rFonts w:ascii="Courier New" w:cs="Courier New" w:eastAsia="Courier New" w:hAnsi="Courier New"/>
          <w:sz w:val="15"/>
          <w:szCs w:val="15"/>
          <w:color w:val="auto"/>
        </w:rPr>
        <w:t>Alaska</w:t>
      </w:r>
    </w:p>
    <w:p>
      <w:pPr>
        <w:ind w:left="100"/>
        <w:spacing w:after="0" w:line="238" w:lineRule="auto"/>
        <w:rPr>
          <w:sz w:val="20"/>
          <w:szCs w:val="20"/>
          <w:color w:val="auto"/>
        </w:rPr>
      </w:pPr>
      <w:r>
        <w:rPr>
          <w:rFonts w:ascii="Courier New" w:cs="Courier New" w:eastAsia="Courier New" w:hAnsi="Courier New"/>
          <w:sz w:val="15"/>
          <w:szCs w:val="15"/>
          <w:color w:val="auto"/>
        </w:rPr>
        <w:t>California</w:t>
      </w:r>
    </w:p>
    <w:p>
      <w:pPr>
        <w:ind w:left="100"/>
        <w:spacing w:after="0"/>
        <w:rPr>
          <w:sz w:val="20"/>
          <w:szCs w:val="20"/>
          <w:color w:val="auto"/>
        </w:rPr>
      </w:pPr>
      <w:r>
        <w:rPr>
          <w:rFonts w:ascii="Courier New" w:cs="Courier New" w:eastAsia="Courier New" w:hAnsi="Courier New"/>
          <w:sz w:val="15"/>
          <w:szCs w:val="15"/>
          <w:color w:val="auto"/>
        </w:rPr>
        <w:t>Massachusetts</w:t>
      </w:r>
    </w:p>
    <w:p>
      <w:pPr>
        <w:ind w:left="100"/>
        <w:spacing w:after="0"/>
        <w:rPr>
          <w:sz w:val="20"/>
          <w:szCs w:val="20"/>
          <w:color w:val="auto"/>
        </w:rPr>
      </w:pPr>
      <w:r>
        <w:rPr>
          <w:rFonts w:ascii="Courier New" w:cs="Courier New" w:eastAsia="Courier New" w:hAnsi="Courier New"/>
          <w:sz w:val="15"/>
          <w:szCs w:val="15"/>
          <w:color w:val="auto"/>
        </w:rPr>
        <w:t>Delaware</w:t>
      </w:r>
    </w:p>
    <w:p>
      <w:pPr>
        <w:ind w:left="100"/>
        <w:spacing w:after="0" w:line="238" w:lineRule="auto"/>
        <w:rPr>
          <w:sz w:val="20"/>
          <w:szCs w:val="20"/>
          <w:color w:val="auto"/>
        </w:rPr>
      </w:pPr>
      <w:r>
        <w:rPr>
          <w:rFonts w:ascii="Courier New" w:cs="Courier New" w:eastAsia="Courier New" w:hAnsi="Courier New"/>
          <w:sz w:val="15"/>
          <w:szCs w:val="15"/>
          <w:color w:val="auto"/>
        </w:rPr>
        <w:t>Nevada</w:t>
      </w:r>
    </w:p>
    <w:p>
      <w:pPr>
        <w:ind w:left="100"/>
        <w:spacing w:after="0"/>
        <w:rPr>
          <w:sz w:val="20"/>
          <w:szCs w:val="20"/>
          <w:color w:val="auto"/>
        </w:rPr>
      </w:pPr>
      <w:r>
        <w:rPr>
          <w:rFonts w:ascii="Courier New" w:cs="Courier New" w:eastAsia="Courier New" w:hAnsi="Courier New"/>
          <w:sz w:val="15"/>
          <w:szCs w:val="15"/>
          <w:color w:val="auto"/>
        </w:rPr>
        <w:t>Canada</w:t>
      </w:r>
    </w:p>
    <w:p>
      <w:pPr>
        <w:ind w:left="100"/>
        <w:spacing w:after="0"/>
        <w:rPr>
          <w:sz w:val="20"/>
          <w:szCs w:val="20"/>
          <w:color w:val="auto"/>
        </w:rPr>
      </w:pPr>
      <w:r>
        <w:rPr>
          <w:rFonts w:ascii="Courier New" w:cs="Courier New" w:eastAsia="Courier New" w:hAnsi="Courier New"/>
          <w:sz w:val="15"/>
          <w:szCs w:val="15"/>
          <w:color w:val="auto"/>
        </w:rPr>
        <w:t>Nebraska</w:t>
      </w:r>
    </w:p>
    <w:p>
      <w:pPr>
        <w:ind w:left="100"/>
        <w:spacing w:after="0"/>
        <w:rPr>
          <w:sz w:val="20"/>
          <w:szCs w:val="20"/>
          <w:color w:val="auto"/>
        </w:rPr>
      </w:pPr>
      <w:r>
        <w:rPr>
          <w:rFonts w:ascii="Courier New" w:cs="Courier New" w:eastAsia="Courier New" w:hAnsi="Courier New"/>
          <w:sz w:val="15"/>
          <w:szCs w:val="15"/>
          <w:color w:val="auto"/>
        </w:rPr>
        <w:t>North Dakota</w:t>
      </w:r>
    </w:p>
    <w:p>
      <w:pPr>
        <w:ind w:left="100"/>
        <w:spacing w:after="0" w:line="238" w:lineRule="auto"/>
        <w:rPr>
          <w:sz w:val="20"/>
          <w:szCs w:val="20"/>
          <w:color w:val="auto"/>
        </w:rPr>
      </w:pPr>
      <w:r>
        <w:rPr>
          <w:rFonts w:ascii="Courier New" w:cs="Courier New" w:eastAsia="Courier New" w:hAnsi="Courier New"/>
          <w:sz w:val="15"/>
          <w:szCs w:val="15"/>
          <w:color w:val="auto"/>
        </w:rPr>
        <w:t>Delaware</w:t>
      </w:r>
    </w:p>
    <w:p>
      <w:pPr>
        <w:ind w:left="100"/>
        <w:spacing w:after="0"/>
        <w:rPr>
          <w:sz w:val="20"/>
          <w:szCs w:val="20"/>
          <w:color w:val="auto"/>
        </w:rPr>
      </w:pPr>
      <w:r>
        <w:rPr>
          <w:rFonts w:ascii="Courier New" w:cs="Courier New" w:eastAsia="Courier New" w:hAnsi="Courier New"/>
          <w:sz w:val="15"/>
          <w:szCs w:val="15"/>
          <w:color w:val="auto"/>
        </w:rPr>
        <w:t>California</w:t>
      </w:r>
    </w:p>
    <w:p>
      <w:pPr>
        <w:ind w:left="100"/>
        <w:spacing w:after="0"/>
        <w:rPr>
          <w:sz w:val="20"/>
          <w:szCs w:val="20"/>
          <w:color w:val="auto"/>
        </w:rPr>
      </w:pPr>
      <w:r>
        <w:rPr>
          <w:rFonts w:ascii="Courier New" w:cs="Courier New" w:eastAsia="Courier New" w:hAnsi="Courier New"/>
          <w:sz w:val="15"/>
          <w:szCs w:val="15"/>
          <w:color w:val="auto"/>
        </w:rPr>
        <w:t>California</w:t>
      </w:r>
    </w:p>
    <w:p>
      <w:pPr>
        <w:ind w:left="100"/>
        <w:spacing w:after="0" w:line="238" w:lineRule="auto"/>
        <w:rPr>
          <w:sz w:val="20"/>
          <w:szCs w:val="20"/>
          <w:color w:val="auto"/>
        </w:rPr>
      </w:pPr>
      <w:r>
        <w:rPr>
          <w:rFonts w:ascii="Courier New" w:cs="Courier New" w:eastAsia="Courier New" w:hAnsi="Courier New"/>
          <w:sz w:val="15"/>
          <w:szCs w:val="15"/>
          <w:color w:val="auto"/>
        </w:rPr>
        <w:t>Delaware</w:t>
      </w:r>
    </w:p>
    <w:p>
      <w:pPr>
        <w:ind w:left="100"/>
        <w:spacing w:after="0"/>
        <w:rPr>
          <w:sz w:val="20"/>
          <w:szCs w:val="20"/>
          <w:color w:val="auto"/>
        </w:rPr>
      </w:pPr>
      <w:r>
        <w:rPr>
          <w:rFonts w:ascii="Courier New" w:cs="Courier New" w:eastAsia="Courier New" w:hAnsi="Courier New"/>
          <w:sz w:val="15"/>
          <w:szCs w:val="15"/>
          <w:color w:val="auto"/>
        </w:rPr>
        <w:t>Minnesota</w:t>
      </w:r>
    </w:p>
    <w:p>
      <w:pPr>
        <w:ind w:left="100"/>
        <w:spacing w:after="0"/>
        <w:rPr>
          <w:sz w:val="20"/>
          <w:szCs w:val="20"/>
          <w:color w:val="auto"/>
        </w:rPr>
      </w:pPr>
      <w:r>
        <w:rPr>
          <w:rFonts w:ascii="Courier New" w:cs="Courier New" w:eastAsia="Courier New" w:hAnsi="Courier New"/>
          <w:sz w:val="15"/>
          <w:szCs w:val="15"/>
          <w:color w:val="auto"/>
        </w:rPr>
        <w:t>Michigan</w:t>
      </w:r>
    </w:p>
    <w:p>
      <w:pPr>
        <w:ind w:left="100"/>
        <w:spacing w:after="0"/>
        <w:rPr>
          <w:sz w:val="20"/>
          <w:szCs w:val="20"/>
          <w:color w:val="auto"/>
        </w:rPr>
      </w:pPr>
      <w:r>
        <w:rPr>
          <w:rFonts w:ascii="Courier New" w:cs="Courier New" w:eastAsia="Courier New" w:hAnsi="Courier New"/>
          <w:sz w:val="15"/>
          <w:szCs w:val="15"/>
          <w:color w:val="auto"/>
        </w:rPr>
        <w:t>Missouri</w:t>
      </w:r>
    </w:p>
    <w:p>
      <w:pPr>
        <w:ind w:left="100"/>
        <w:spacing w:after="0" w:line="238" w:lineRule="auto"/>
        <w:rPr>
          <w:sz w:val="20"/>
          <w:szCs w:val="20"/>
          <w:color w:val="auto"/>
        </w:rPr>
      </w:pPr>
      <w:r>
        <w:rPr>
          <w:rFonts w:ascii="Courier New" w:cs="Courier New" w:eastAsia="Courier New" w:hAnsi="Courier New"/>
          <w:sz w:val="15"/>
          <w:szCs w:val="15"/>
          <w:color w:val="auto"/>
        </w:rPr>
        <w:t>Florida</w:t>
      </w:r>
    </w:p>
    <w:p>
      <w:pPr>
        <w:ind w:left="100"/>
        <w:spacing w:after="0"/>
        <w:rPr>
          <w:sz w:val="20"/>
          <w:szCs w:val="20"/>
          <w:color w:val="auto"/>
        </w:rPr>
      </w:pPr>
      <w:r>
        <w:rPr>
          <w:rFonts w:ascii="Courier New" w:cs="Courier New" w:eastAsia="Courier New" w:hAnsi="Courier New"/>
          <w:sz w:val="15"/>
          <w:szCs w:val="15"/>
          <w:color w:val="auto"/>
        </w:rPr>
        <w:t>Pennsylvania</w:t>
      </w:r>
    </w:p>
    <w:p>
      <w:pPr>
        <w:ind w:left="100"/>
        <w:spacing w:after="0"/>
        <w:rPr>
          <w:sz w:val="20"/>
          <w:szCs w:val="20"/>
          <w:color w:val="auto"/>
        </w:rPr>
      </w:pPr>
      <w:r>
        <w:rPr>
          <w:rFonts w:ascii="Courier New" w:cs="Courier New" w:eastAsia="Courier New" w:hAnsi="Courier New"/>
          <w:sz w:val="15"/>
          <w:szCs w:val="15"/>
          <w:color w:val="auto"/>
        </w:rPr>
        <w:t>Michigan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British Columbia</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Florida</w:t>
      </w:r>
    </w:p>
    <w:p>
      <w:pPr>
        <w:ind w:left="100"/>
        <w:spacing w:after="0"/>
        <w:rPr>
          <w:sz w:val="20"/>
          <w:szCs w:val="20"/>
          <w:color w:val="auto"/>
        </w:rPr>
      </w:pPr>
      <w:r>
        <w:rPr>
          <w:rFonts w:ascii="Courier New" w:cs="Courier New" w:eastAsia="Courier New" w:hAnsi="Courier New"/>
          <w:sz w:val="15"/>
          <w:szCs w:val="15"/>
          <w:color w:val="auto"/>
        </w:rPr>
        <w:t>Virginia</w:t>
      </w:r>
    </w:p>
    <w:p>
      <w:pPr>
        <w:spacing w:after="0"/>
        <w:rPr>
          <w:sz w:val="20"/>
          <w:szCs w:val="20"/>
          <w:color w:val="auto"/>
        </w:rPr>
      </w:pPr>
      <w:r>
        <w:rPr>
          <w:rFonts w:ascii="Courier New" w:cs="Courier New" w:eastAsia="Courier New" w:hAnsi="Courier New"/>
          <w:sz w:val="15"/>
          <w:szCs w:val="15"/>
          <w:color w:val="auto"/>
        </w:rPr>
        <w:t>Oregon</w:t>
      </w:r>
    </w:p>
    <w:p>
      <w:pPr>
        <w:ind w:left="100"/>
        <w:spacing w:after="0" w:line="238" w:lineRule="auto"/>
        <w:rPr>
          <w:sz w:val="20"/>
          <w:szCs w:val="20"/>
          <w:color w:val="auto"/>
        </w:rPr>
      </w:pPr>
      <w:r>
        <w:rPr>
          <w:rFonts w:ascii="Courier New" w:cs="Courier New" w:eastAsia="Courier New" w:hAnsi="Courier New"/>
          <w:sz w:val="15"/>
          <w:szCs w:val="15"/>
          <w:color w:val="auto"/>
        </w:rPr>
        <w:t>Colorado</w:t>
      </w:r>
    </w:p>
    <w:p>
      <w:pPr>
        <w:ind w:left="100"/>
        <w:spacing w:after="0"/>
        <w:rPr>
          <w:sz w:val="20"/>
          <w:szCs w:val="20"/>
          <w:color w:val="auto"/>
        </w:rPr>
      </w:pPr>
      <w:r>
        <w:rPr>
          <w:rFonts w:ascii="Courier New" w:cs="Courier New" w:eastAsia="Courier New" w:hAnsi="Courier New"/>
          <w:sz w:val="15"/>
          <w:szCs w:val="15"/>
          <w:color w:val="auto"/>
        </w:rPr>
        <w:t>Minnesota</w:t>
      </w:r>
    </w:p>
    <w:p>
      <w:pPr>
        <w:ind w:left="100"/>
        <w:spacing w:after="0"/>
        <w:rPr>
          <w:sz w:val="20"/>
          <w:szCs w:val="20"/>
          <w:color w:val="auto"/>
        </w:rPr>
      </w:pPr>
      <w:r>
        <w:rPr>
          <w:rFonts w:ascii="Courier New" w:cs="Courier New" w:eastAsia="Courier New" w:hAnsi="Courier New"/>
          <w:sz w:val="15"/>
          <w:szCs w:val="15"/>
          <w:color w:val="auto"/>
        </w:rPr>
        <w:t>Minnesota</w:t>
      </w:r>
    </w:p>
    <w:p>
      <w:pPr>
        <w:ind w:left="100"/>
        <w:spacing w:after="0" w:line="238" w:lineRule="auto"/>
        <w:rPr>
          <w:sz w:val="20"/>
          <w:szCs w:val="20"/>
          <w:color w:val="auto"/>
        </w:rPr>
      </w:pPr>
      <w:r>
        <w:rPr>
          <w:rFonts w:ascii="Courier New" w:cs="Courier New" w:eastAsia="Courier New" w:hAnsi="Courier New"/>
          <w:sz w:val="15"/>
          <w:szCs w:val="15"/>
          <w:color w:val="auto"/>
        </w:rPr>
        <w:t>Delaware</w:t>
      </w:r>
    </w:p>
    <w:p>
      <w:pPr>
        <w:ind w:left="100"/>
        <w:spacing w:after="0"/>
        <w:rPr>
          <w:sz w:val="20"/>
          <w:szCs w:val="20"/>
          <w:color w:val="auto"/>
        </w:rPr>
      </w:pPr>
      <w:r>
        <w:rPr>
          <w:rFonts w:ascii="Courier New" w:cs="Courier New" w:eastAsia="Courier New" w:hAnsi="Courier New"/>
          <w:sz w:val="15"/>
          <w:szCs w:val="15"/>
          <w:color w:val="auto"/>
        </w:rPr>
        <w:t>Delaware</w:t>
      </w:r>
    </w:p>
    <w:p>
      <w:pPr>
        <w:ind w:left="100"/>
        <w:spacing w:after="0"/>
        <w:rPr>
          <w:sz w:val="20"/>
          <w:szCs w:val="20"/>
          <w:color w:val="auto"/>
        </w:rPr>
      </w:pPr>
      <w:r>
        <w:rPr>
          <w:rFonts w:ascii="Courier New" w:cs="Courier New" w:eastAsia="Courier New" w:hAnsi="Courier New"/>
          <w:sz w:val="15"/>
          <w:szCs w:val="15"/>
          <w:color w:val="auto"/>
        </w:rPr>
        <w:t>Delaware</w:t>
      </w:r>
    </w:p>
    <w:p>
      <w:pPr>
        <w:ind w:left="100"/>
        <w:spacing w:after="0"/>
        <w:rPr>
          <w:sz w:val="20"/>
          <w:szCs w:val="20"/>
          <w:color w:val="auto"/>
        </w:rPr>
      </w:pPr>
      <w:r>
        <w:rPr>
          <w:rFonts w:ascii="Courier New" w:cs="Courier New" w:eastAsia="Courier New" w:hAnsi="Courier New"/>
          <w:sz w:val="15"/>
          <w:szCs w:val="15"/>
          <w:color w:val="auto"/>
        </w:rPr>
        <w:t>West Virginia</w:t>
      </w:r>
    </w:p>
    <w:p>
      <w:pPr>
        <w:ind w:left="100"/>
        <w:spacing w:after="0" w:line="238" w:lineRule="auto"/>
        <w:rPr>
          <w:sz w:val="20"/>
          <w:szCs w:val="20"/>
          <w:color w:val="auto"/>
        </w:rPr>
      </w:pPr>
      <w:r>
        <w:rPr>
          <w:rFonts w:ascii="Courier New" w:cs="Courier New" w:eastAsia="Courier New" w:hAnsi="Courier New"/>
          <w:sz w:val="15"/>
          <w:szCs w:val="15"/>
          <w:color w:val="auto"/>
        </w:rPr>
        <w:t>New Mexico</w:t>
      </w:r>
    </w:p>
    <w:p>
      <w:pPr>
        <w:sectPr>
          <w:pgSz w:w="11900" w:h="16838" w:orient="portrait"/>
          <w:cols w:equalWidth="0" w:num="2">
            <w:col w:w="5260" w:space="720"/>
            <w:col w:w="4239"/>
          </w:cols>
          <w:pgMar w:left="240" w:top="289"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8"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Larry's Sanitary Service, Inc.</w:t>
      </w:r>
    </w:p>
    <w:p>
      <w:pPr>
        <w:spacing w:after="0"/>
        <w:rPr>
          <w:sz w:val="20"/>
          <w:szCs w:val="20"/>
          <w:color w:val="auto"/>
        </w:rPr>
      </w:pPr>
      <w:r>
        <w:rPr>
          <w:rFonts w:ascii="Courier New" w:cs="Courier New" w:eastAsia="Courier New" w:hAnsi="Courier New"/>
          <w:sz w:val="15"/>
          <w:szCs w:val="15"/>
          <w:color w:val="auto"/>
        </w:rPr>
        <w:t>Laurel Highlands Landfill, Inc.</w:t>
      </w:r>
    </w:p>
    <w:p>
      <w:pPr>
        <w:spacing w:after="0"/>
        <w:rPr>
          <w:sz w:val="20"/>
          <w:szCs w:val="20"/>
          <w:color w:val="auto"/>
        </w:rPr>
      </w:pPr>
      <w:r>
        <w:rPr>
          <w:rFonts w:ascii="Courier New" w:cs="Courier New" w:eastAsia="Courier New" w:hAnsi="Courier New"/>
          <w:sz w:val="15"/>
          <w:szCs w:val="15"/>
          <w:color w:val="auto"/>
        </w:rPr>
        <w:t>Laurel Ridge Landfill, L.L.C.</w:t>
      </w:r>
    </w:p>
    <w:p>
      <w:pPr>
        <w:spacing w:after="0" w:line="238" w:lineRule="auto"/>
        <w:rPr>
          <w:sz w:val="20"/>
          <w:szCs w:val="20"/>
          <w:color w:val="auto"/>
        </w:rPr>
      </w:pPr>
      <w:r>
        <w:rPr>
          <w:rFonts w:ascii="Courier New" w:cs="Courier New" w:eastAsia="Courier New" w:hAnsi="Courier New"/>
          <w:sz w:val="15"/>
          <w:szCs w:val="15"/>
          <w:color w:val="auto"/>
        </w:rPr>
        <w:t>LCS Services, Inc.</w:t>
      </w:r>
    </w:p>
    <w:p>
      <w:pPr>
        <w:spacing w:after="0"/>
        <w:rPr>
          <w:sz w:val="20"/>
          <w:szCs w:val="20"/>
          <w:color w:val="auto"/>
        </w:rPr>
      </w:pPr>
      <w:r>
        <w:rPr>
          <w:rFonts w:ascii="Courier New" w:cs="Courier New" w:eastAsia="Courier New" w:hAnsi="Courier New"/>
          <w:sz w:val="15"/>
          <w:szCs w:val="15"/>
          <w:color w:val="auto"/>
        </w:rPr>
        <w:t>Lewis Road Disposal Site, Inc.</w:t>
      </w:r>
    </w:p>
    <w:p>
      <w:pPr>
        <w:spacing w:after="0"/>
        <w:rPr>
          <w:sz w:val="20"/>
          <w:szCs w:val="20"/>
          <w:color w:val="auto"/>
        </w:rPr>
      </w:pPr>
      <w:r>
        <w:rPr>
          <w:rFonts w:ascii="Courier New" w:cs="Courier New" w:eastAsia="Courier New" w:hAnsi="Courier New"/>
          <w:sz w:val="15"/>
          <w:szCs w:val="15"/>
          <w:color w:val="auto"/>
        </w:rPr>
        <w:t>LFG Production, L.P.</w:t>
      </w:r>
    </w:p>
    <w:p>
      <w:pPr>
        <w:spacing w:after="0" w:line="238" w:lineRule="auto"/>
        <w:rPr>
          <w:sz w:val="20"/>
          <w:szCs w:val="20"/>
          <w:color w:val="auto"/>
        </w:rPr>
      </w:pPr>
      <w:r>
        <w:rPr>
          <w:rFonts w:ascii="Courier New" w:cs="Courier New" w:eastAsia="Courier New" w:hAnsi="Courier New"/>
          <w:sz w:val="15"/>
          <w:szCs w:val="15"/>
          <w:color w:val="auto"/>
        </w:rPr>
        <w:t>LG - Garnet of Maryland JV</w:t>
      </w:r>
    </w:p>
    <w:p>
      <w:pPr>
        <w:spacing w:after="0"/>
        <w:rPr>
          <w:sz w:val="20"/>
          <w:szCs w:val="20"/>
          <w:color w:val="auto"/>
        </w:rPr>
      </w:pPr>
      <w:r>
        <w:rPr>
          <w:rFonts w:ascii="Courier New" w:cs="Courier New" w:eastAsia="Courier New" w:hAnsi="Courier New"/>
          <w:sz w:val="15"/>
          <w:szCs w:val="15"/>
          <w:color w:val="auto"/>
        </w:rPr>
        <w:t>Liberty Landfill, L.L.C.</w:t>
      </w:r>
    </w:p>
    <w:p>
      <w:pPr>
        <w:spacing w:after="0"/>
        <w:rPr>
          <w:sz w:val="20"/>
          <w:szCs w:val="20"/>
          <w:color w:val="auto"/>
        </w:rPr>
      </w:pPr>
      <w:r>
        <w:rPr>
          <w:rFonts w:ascii="Courier New" w:cs="Courier New" w:eastAsia="Courier New" w:hAnsi="Courier New"/>
          <w:sz w:val="15"/>
          <w:szCs w:val="15"/>
          <w:color w:val="auto"/>
        </w:rPr>
        <w:t>Liberty Lane West Owner's Association</w:t>
      </w:r>
    </w:p>
    <w:p>
      <w:pPr>
        <w:spacing w:after="0"/>
        <w:rPr>
          <w:sz w:val="20"/>
          <w:szCs w:val="20"/>
          <w:color w:val="auto"/>
        </w:rPr>
      </w:pPr>
      <w:r>
        <w:rPr>
          <w:rFonts w:ascii="Courier New" w:cs="Courier New" w:eastAsia="Courier New" w:hAnsi="Courier New"/>
          <w:sz w:val="15"/>
          <w:szCs w:val="15"/>
          <w:color w:val="auto"/>
        </w:rPr>
        <w:t>Liquid Waste Management, Inc.</w:t>
      </w:r>
    </w:p>
    <w:p>
      <w:pPr>
        <w:spacing w:after="0" w:line="238" w:lineRule="auto"/>
        <w:rPr>
          <w:sz w:val="20"/>
          <w:szCs w:val="20"/>
          <w:color w:val="auto"/>
        </w:rPr>
      </w:pPr>
      <w:r>
        <w:rPr>
          <w:rFonts w:ascii="Courier New" w:cs="Courier New" w:eastAsia="Courier New" w:hAnsi="Courier New"/>
          <w:sz w:val="15"/>
          <w:szCs w:val="15"/>
          <w:color w:val="auto"/>
        </w:rPr>
        <w:t>Local Sanitation of Rowan County, L.L.C.</w:t>
      </w:r>
    </w:p>
    <w:p>
      <w:pPr>
        <w:spacing w:after="0"/>
        <w:rPr>
          <w:sz w:val="20"/>
          <w:szCs w:val="20"/>
          <w:color w:val="auto"/>
        </w:rPr>
      </w:pPr>
      <w:r>
        <w:rPr>
          <w:rFonts w:ascii="Courier New" w:cs="Courier New" w:eastAsia="Courier New" w:hAnsi="Courier New"/>
          <w:sz w:val="15"/>
          <w:szCs w:val="15"/>
          <w:color w:val="auto"/>
        </w:rPr>
        <w:t>Madison Lane Properties, Inc.</w:t>
      </w:r>
    </w:p>
    <w:p>
      <w:pPr>
        <w:spacing w:after="0"/>
        <w:rPr>
          <w:sz w:val="20"/>
          <w:szCs w:val="20"/>
          <w:color w:val="auto"/>
        </w:rPr>
      </w:pPr>
      <w:r>
        <w:rPr>
          <w:rFonts w:ascii="Courier New" w:cs="Courier New" w:eastAsia="Courier New" w:hAnsi="Courier New"/>
          <w:sz w:val="15"/>
          <w:szCs w:val="15"/>
          <w:color w:val="auto"/>
        </w:rPr>
        <w:t>Mahoning Landfill, Inc.</w:t>
      </w:r>
    </w:p>
    <w:p>
      <w:pPr>
        <w:spacing w:after="0" w:line="238" w:lineRule="auto"/>
        <w:rPr>
          <w:sz w:val="20"/>
          <w:szCs w:val="20"/>
          <w:color w:val="auto"/>
        </w:rPr>
      </w:pPr>
      <w:r>
        <w:rPr>
          <w:rFonts w:ascii="Courier New" w:cs="Courier New" w:eastAsia="Courier New" w:hAnsi="Courier New"/>
          <w:sz w:val="15"/>
          <w:szCs w:val="15"/>
          <w:color w:val="auto"/>
        </w:rPr>
        <w:t>Maplewood Landfill, Inc.</w:t>
      </w:r>
    </w:p>
    <w:p>
      <w:pPr>
        <w:spacing w:after="0"/>
        <w:rPr>
          <w:sz w:val="20"/>
          <w:szCs w:val="20"/>
          <w:color w:val="auto"/>
        </w:rPr>
      </w:pPr>
      <w:r>
        <w:rPr>
          <w:rFonts w:ascii="Courier New" w:cs="Courier New" w:eastAsia="Courier New" w:hAnsi="Courier New"/>
          <w:sz w:val="15"/>
          <w:szCs w:val="15"/>
          <w:color w:val="auto"/>
        </w:rPr>
        <w:t>Marangi Brothers, Inc.</w:t>
      </w:r>
    </w:p>
    <w:p>
      <w:pPr>
        <w:spacing w:after="0"/>
        <w:rPr>
          <w:sz w:val="20"/>
          <w:szCs w:val="20"/>
          <w:color w:val="auto"/>
        </w:rPr>
      </w:pPr>
      <w:r>
        <w:rPr>
          <w:rFonts w:ascii="Courier New" w:cs="Courier New" w:eastAsia="Courier New" w:hAnsi="Courier New"/>
          <w:sz w:val="15"/>
          <w:szCs w:val="15"/>
          <w:color w:val="auto"/>
        </w:rPr>
        <w:t>Massachusetts Refusetech, Inc.</w:t>
      </w:r>
    </w:p>
    <w:p>
      <w:pPr>
        <w:spacing w:after="0"/>
        <w:rPr>
          <w:sz w:val="20"/>
          <w:szCs w:val="20"/>
          <w:color w:val="auto"/>
        </w:rPr>
      </w:pPr>
      <w:r>
        <w:rPr>
          <w:rFonts w:ascii="Courier New" w:cs="Courier New" w:eastAsia="Courier New" w:hAnsi="Courier New"/>
          <w:sz w:val="15"/>
          <w:szCs w:val="15"/>
          <w:color w:val="auto"/>
        </w:rPr>
        <w:t>McDaniel Landfill, Inc.</w:t>
      </w:r>
    </w:p>
    <w:p>
      <w:pPr>
        <w:spacing w:after="0" w:line="238" w:lineRule="auto"/>
        <w:rPr>
          <w:sz w:val="20"/>
          <w:szCs w:val="20"/>
          <w:color w:val="auto"/>
        </w:rPr>
      </w:pPr>
      <w:r>
        <w:rPr>
          <w:rFonts w:ascii="Courier New" w:cs="Courier New" w:eastAsia="Courier New" w:hAnsi="Courier New"/>
          <w:sz w:val="15"/>
          <w:szCs w:val="15"/>
          <w:color w:val="auto"/>
        </w:rPr>
        <w:t>McGill Landfill, Inc.</w:t>
      </w:r>
    </w:p>
    <w:p>
      <w:pPr>
        <w:spacing w:after="0"/>
        <w:rPr>
          <w:sz w:val="20"/>
          <w:szCs w:val="20"/>
          <w:color w:val="auto"/>
        </w:rPr>
      </w:pPr>
      <w:r>
        <w:rPr>
          <w:rFonts w:ascii="Courier New" w:cs="Courier New" w:eastAsia="Courier New" w:hAnsi="Courier New"/>
          <w:sz w:val="15"/>
          <w:szCs w:val="15"/>
          <w:color w:val="auto"/>
        </w:rPr>
        <w:t>McGinnes Industrial Maintenance Corporation</w:t>
      </w:r>
    </w:p>
    <w:p>
      <w:pPr>
        <w:spacing w:after="0"/>
        <w:rPr>
          <w:sz w:val="20"/>
          <w:szCs w:val="20"/>
          <w:color w:val="auto"/>
        </w:rPr>
      </w:pPr>
      <w:r>
        <w:rPr>
          <w:rFonts w:ascii="Courier New" w:cs="Courier New" w:eastAsia="Courier New" w:hAnsi="Courier New"/>
          <w:sz w:val="15"/>
          <w:szCs w:val="15"/>
          <w:color w:val="auto"/>
        </w:rPr>
        <w:t>Meadowfill Landfill, Inc.</w:t>
      </w:r>
    </w:p>
    <w:p>
      <w:pPr>
        <w:spacing w:after="0" w:line="238" w:lineRule="auto"/>
        <w:rPr>
          <w:sz w:val="20"/>
          <w:szCs w:val="20"/>
          <w:color w:val="auto"/>
        </w:rPr>
      </w:pPr>
      <w:r>
        <w:rPr>
          <w:rFonts w:ascii="Courier New" w:cs="Courier New" w:eastAsia="Courier New" w:hAnsi="Courier New"/>
          <w:sz w:val="15"/>
          <w:szCs w:val="15"/>
          <w:color w:val="auto"/>
        </w:rPr>
        <w:t>Michigan Environs, Inc.</w:t>
      </w:r>
    </w:p>
    <w:p>
      <w:pPr>
        <w:spacing w:after="0"/>
        <w:rPr>
          <w:sz w:val="20"/>
          <w:szCs w:val="20"/>
          <w:color w:val="auto"/>
        </w:rPr>
      </w:pPr>
      <w:r>
        <w:rPr>
          <w:rFonts w:ascii="Courier New" w:cs="Courier New" w:eastAsia="Courier New" w:hAnsi="Courier New"/>
          <w:sz w:val="15"/>
          <w:szCs w:val="15"/>
          <w:color w:val="auto"/>
        </w:rPr>
        <w:t>Middle Island Enterprises, Inc.</w:t>
      </w:r>
    </w:p>
    <w:p>
      <w:pPr>
        <w:spacing w:after="0"/>
        <w:rPr>
          <w:sz w:val="20"/>
          <w:szCs w:val="20"/>
          <w:color w:val="auto"/>
        </w:rPr>
      </w:pPr>
      <w:r>
        <w:rPr>
          <w:rFonts w:ascii="Courier New" w:cs="Courier New" w:eastAsia="Courier New" w:hAnsi="Courier New"/>
          <w:sz w:val="15"/>
          <w:szCs w:val="15"/>
          <w:color w:val="auto"/>
        </w:rPr>
        <w:t>Midwest Transport, Inc.</w:t>
      </w:r>
    </w:p>
    <w:p>
      <w:pPr>
        <w:spacing w:after="0"/>
        <w:rPr>
          <w:sz w:val="20"/>
          <w:szCs w:val="20"/>
          <w:color w:val="auto"/>
        </w:rPr>
      </w:pPr>
      <w:r>
        <w:rPr>
          <w:rFonts w:ascii="Courier New" w:cs="Courier New" w:eastAsia="Courier New" w:hAnsi="Courier New"/>
          <w:sz w:val="15"/>
          <w:szCs w:val="15"/>
          <w:color w:val="auto"/>
        </w:rPr>
        <w:t>M-L Commercial Garbage Service, Inc.</w:t>
      </w:r>
    </w:p>
    <w:p>
      <w:pPr>
        <w:spacing w:after="0" w:line="238" w:lineRule="auto"/>
        <w:rPr>
          <w:sz w:val="20"/>
          <w:szCs w:val="20"/>
          <w:color w:val="auto"/>
        </w:rPr>
      </w:pPr>
      <w:r>
        <w:rPr>
          <w:rFonts w:ascii="Courier New" w:cs="Courier New" w:eastAsia="Courier New" w:hAnsi="Courier New"/>
          <w:sz w:val="15"/>
          <w:szCs w:val="15"/>
          <w:color w:val="auto"/>
        </w:rPr>
        <w:t>Modesto Garbage Co., Inc.</w:t>
      </w:r>
    </w:p>
    <w:p>
      <w:pPr>
        <w:spacing w:after="0"/>
        <w:rPr>
          <w:sz w:val="20"/>
          <w:szCs w:val="20"/>
          <w:color w:val="auto"/>
        </w:rPr>
      </w:pPr>
      <w:r>
        <w:rPr>
          <w:rFonts w:ascii="Courier New" w:cs="Courier New" w:eastAsia="Courier New" w:hAnsi="Courier New"/>
          <w:sz w:val="15"/>
          <w:szCs w:val="15"/>
          <w:color w:val="auto"/>
        </w:rPr>
        <w:t>Moor Refuse, Inc.</w:t>
      </w:r>
    </w:p>
    <w:p>
      <w:pPr>
        <w:spacing w:after="0"/>
        <w:rPr>
          <w:sz w:val="20"/>
          <w:szCs w:val="20"/>
          <w:color w:val="auto"/>
        </w:rPr>
      </w:pPr>
      <w:r>
        <w:rPr>
          <w:rFonts w:ascii="Courier New" w:cs="Courier New" w:eastAsia="Courier New" w:hAnsi="Courier New"/>
          <w:sz w:val="15"/>
          <w:szCs w:val="15"/>
          <w:color w:val="auto"/>
        </w:rPr>
        <w:t>Mountain Indemnity Insurance Company</w:t>
      </w:r>
    </w:p>
    <w:p>
      <w:pPr>
        <w:spacing w:after="0" w:line="238" w:lineRule="auto"/>
        <w:rPr>
          <w:sz w:val="20"/>
          <w:szCs w:val="20"/>
          <w:color w:val="auto"/>
        </w:rPr>
      </w:pPr>
      <w:r>
        <w:rPr>
          <w:rFonts w:ascii="Courier New" w:cs="Courier New" w:eastAsia="Courier New" w:hAnsi="Courier New"/>
          <w:sz w:val="15"/>
          <w:szCs w:val="15"/>
          <w:color w:val="auto"/>
        </w:rPr>
        <w:t>Mountain Waste, Inc.</w:t>
      </w:r>
    </w:p>
    <w:p>
      <w:pPr>
        <w:spacing w:after="0"/>
        <w:rPr>
          <w:sz w:val="20"/>
          <w:szCs w:val="20"/>
          <w:color w:val="auto"/>
        </w:rPr>
      </w:pPr>
      <w:r>
        <w:rPr>
          <w:rFonts w:ascii="Courier New" w:cs="Courier New" w:eastAsia="Courier New" w:hAnsi="Courier New"/>
          <w:sz w:val="15"/>
          <w:szCs w:val="15"/>
          <w:color w:val="auto"/>
        </w:rPr>
        <w:t>Mountainview Landfill, Inc.</w:t>
      </w:r>
    </w:p>
    <w:p>
      <w:pPr>
        <w:spacing w:after="0"/>
        <w:rPr>
          <w:sz w:val="20"/>
          <w:szCs w:val="20"/>
          <w:color w:val="auto"/>
        </w:rPr>
      </w:pPr>
      <w:r>
        <w:rPr>
          <w:rFonts w:ascii="Courier New" w:cs="Courier New" w:eastAsia="Courier New" w:hAnsi="Courier New"/>
          <w:sz w:val="15"/>
          <w:szCs w:val="15"/>
          <w:color w:val="auto"/>
        </w:rPr>
        <w:t>Mountainview Landfill, Inc.</w:t>
      </w:r>
    </w:p>
    <w:p>
      <w:pPr>
        <w:spacing w:after="0" w:line="238" w:lineRule="auto"/>
        <w:rPr>
          <w:sz w:val="20"/>
          <w:szCs w:val="20"/>
          <w:color w:val="auto"/>
        </w:rPr>
      </w:pPr>
      <w:r>
        <w:rPr>
          <w:rFonts w:ascii="Courier New" w:cs="Courier New" w:eastAsia="Courier New" w:hAnsi="Courier New"/>
          <w:sz w:val="15"/>
          <w:szCs w:val="15"/>
          <w:color w:val="auto"/>
        </w:rPr>
        <w:t>Napa Garbage Service, Inc.</w:t>
      </w:r>
    </w:p>
    <w:p>
      <w:pPr>
        <w:spacing w:after="0"/>
        <w:rPr>
          <w:sz w:val="20"/>
          <w:szCs w:val="20"/>
          <w:color w:val="auto"/>
        </w:rPr>
      </w:pPr>
      <w:r>
        <w:rPr>
          <w:rFonts w:ascii="Courier New" w:cs="Courier New" w:eastAsia="Courier New" w:hAnsi="Courier New"/>
          <w:sz w:val="15"/>
          <w:szCs w:val="15"/>
          <w:color w:val="auto"/>
        </w:rPr>
        <w:t>Napa Valley Disposal Service, Inc.</w:t>
      </w:r>
    </w:p>
    <w:p>
      <w:pPr>
        <w:spacing w:after="0"/>
        <w:rPr>
          <w:sz w:val="20"/>
          <w:szCs w:val="20"/>
          <w:color w:val="auto"/>
        </w:rPr>
      </w:pPr>
      <w:r>
        <w:rPr>
          <w:rFonts w:ascii="Courier New" w:cs="Courier New" w:eastAsia="Courier New" w:hAnsi="Courier New"/>
          <w:sz w:val="15"/>
          <w:szCs w:val="15"/>
          <w:color w:val="auto"/>
        </w:rPr>
        <w:t>National Guaranty Insurance Company</w:t>
      </w:r>
    </w:p>
    <w:p>
      <w:pPr>
        <w:spacing w:after="0"/>
        <w:rPr>
          <w:sz w:val="20"/>
          <w:szCs w:val="20"/>
          <w:color w:val="auto"/>
        </w:rPr>
      </w:pPr>
      <w:r>
        <w:rPr>
          <w:rFonts w:ascii="Courier New" w:cs="Courier New" w:eastAsia="Courier New" w:hAnsi="Courier New"/>
          <w:sz w:val="15"/>
          <w:szCs w:val="15"/>
          <w:color w:val="auto"/>
        </w:rPr>
        <w:t>Neal Road Landfill Corporation</w:t>
      </w:r>
    </w:p>
    <w:p>
      <w:pPr>
        <w:spacing w:after="0" w:line="238" w:lineRule="auto"/>
        <w:rPr>
          <w:sz w:val="20"/>
          <w:szCs w:val="20"/>
          <w:color w:val="auto"/>
        </w:rPr>
      </w:pPr>
      <w:r>
        <w:rPr>
          <w:rFonts w:ascii="Courier New" w:cs="Courier New" w:eastAsia="Courier New" w:hAnsi="Courier New"/>
          <w:sz w:val="15"/>
          <w:szCs w:val="15"/>
          <w:color w:val="auto"/>
        </w:rPr>
        <w:t>New England CR, Inc.</w:t>
      </w:r>
    </w:p>
    <w:p>
      <w:pPr>
        <w:spacing w:after="0"/>
        <w:rPr>
          <w:sz w:val="20"/>
          <w:szCs w:val="20"/>
          <w:color w:val="auto"/>
        </w:rPr>
      </w:pPr>
      <w:r>
        <w:rPr>
          <w:rFonts w:ascii="Courier New" w:cs="Courier New" w:eastAsia="Courier New" w:hAnsi="Courier New"/>
          <w:sz w:val="15"/>
          <w:szCs w:val="15"/>
          <w:color w:val="auto"/>
        </w:rPr>
        <w:t>New Milford Landfill, L.L.C.</w:t>
      </w:r>
    </w:p>
    <w:p>
      <w:pPr>
        <w:spacing w:after="0"/>
        <w:rPr>
          <w:sz w:val="20"/>
          <w:szCs w:val="20"/>
          <w:color w:val="auto"/>
        </w:rPr>
      </w:pPr>
      <w:r>
        <w:rPr>
          <w:rFonts w:ascii="Courier New" w:cs="Courier New" w:eastAsia="Courier New" w:hAnsi="Courier New"/>
          <w:sz w:val="15"/>
          <w:szCs w:val="15"/>
          <w:color w:val="auto"/>
        </w:rPr>
        <w:t>NH/VT Energy Recovery Corporation</w:t>
      </w:r>
    </w:p>
    <w:p>
      <w:pPr>
        <w:spacing w:after="0" w:line="238" w:lineRule="auto"/>
        <w:rPr>
          <w:sz w:val="20"/>
          <w:szCs w:val="20"/>
          <w:color w:val="auto"/>
        </w:rPr>
      </w:pPr>
      <w:r>
        <w:rPr>
          <w:rFonts w:ascii="Courier New" w:cs="Courier New" w:eastAsia="Courier New" w:hAnsi="Courier New"/>
          <w:sz w:val="15"/>
          <w:szCs w:val="15"/>
          <w:color w:val="auto"/>
        </w:rPr>
        <w:t>Nichols Sanitation,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Hennepin Recycling and Transfer Corporation,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Northern Recycling, Inc.</w:t>
      </w:r>
    </w:p>
    <w:p>
      <w:pPr>
        <w:spacing w:after="0"/>
        <w:rPr>
          <w:sz w:val="20"/>
          <w:szCs w:val="20"/>
          <w:color w:val="auto"/>
        </w:rPr>
      </w:pPr>
      <w:r>
        <w:rPr>
          <w:rFonts w:ascii="Courier New" w:cs="Courier New" w:eastAsia="Courier New" w:hAnsi="Courier New"/>
          <w:sz w:val="15"/>
          <w:szCs w:val="15"/>
          <w:color w:val="auto"/>
        </w:rPr>
        <w:t>Northwestern Landfill, Inc.</w:t>
      </w:r>
    </w:p>
    <w:p>
      <w:pPr>
        <w:spacing w:after="0"/>
        <w:rPr>
          <w:sz w:val="20"/>
          <w:szCs w:val="20"/>
          <w:color w:val="auto"/>
        </w:rPr>
      </w:pPr>
      <w:r>
        <w:rPr>
          <w:rFonts w:ascii="Courier New" w:cs="Courier New" w:eastAsia="Courier New" w:hAnsi="Courier New"/>
          <w:sz w:val="15"/>
          <w:szCs w:val="15"/>
          <w:color w:val="auto"/>
        </w:rPr>
        <w:t>Nu-Way Live Oak Landfill, Inc.</w:t>
      </w:r>
    </w:p>
    <w:p>
      <w:pPr>
        <w:spacing w:after="0" w:line="238" w:lineRule="auto"/>
        <w:rPr>
          <w:sz w:val="20"/>
          <w:szCs w:val="20"/>
          <w:color w:val="auto"/>
        </w:rPr>
      </w:pPr>
      <w:r>
        <w:rPr>
          <w:rFonts w:ascii="Courier New" w:cs="Courier New" w:eastAsia="Courier New" w:hAnsi="Courier New"/>
          <w:sz w:val="15"/>
          <w:szCs w:val="15"/>
          <w:color w:val="auto"/>
        </w:rPr>
        <w:t>Oakridge Landfill, Inc.</w:t>
      </w:r>
    </w:p>
    <w:p>
      <w:pPr>
        <w:spacing w:after="0"/>
        <w:rPr>
          <w:sz w:val="20"/>
          <w:szCs w:val="20"/>
          <w:color w:val="auto"/>
        </w:rPr>
      </w:pPr>
      <w:r>
        <w:rPr>
          <w:rFonts w:ascii="Courier New" w:cs="Courier New" w:eastAsia="Courier New" w:hAnsi="Courier New"/>
          <w:sz w:val="15"/>
          <w:szCs w:val="15"/>
          <w:color w:val="auto"/>
        </w:rPr>
        <w:t>Oakwood Landfill, Inc.</w:t>
      </w:r>
    </w:p>
    <w:p>
      <w:pPr>
        <w:spacing w:after="0"/>
        <w:rPr>
          <w:sz w:val="20"/>
          <w:szCs w:val="20"/>
          <w:color w:val="auto"/>
        </w:rPr>
      </w:pPr>
      <w:r>
        <w:rPr>
          <w:rFonts w:ascii="Courier New" w:cs="Courier New" w:eastAsia="Courier New" w:hAnsi="Courier New"/>
          <w:sz w:val="15"/>
          <w:szCs w:val="15"/>
          <w:color w:val="auto"/>
        </w:rPr>
        <w:t>Oil &amp; Solvent Process Company</w:t>
      </w:r>
    </w:p>
    <w:p>
      <w:pPr>
        <w:spacing w:after="0" w:line="238" w:lineRule="auto"/>
        <w:rPr>
          <w:sz w:val="20"/>
          <w:szCs w:val="20"/>
          <w:color w:val="auto"/>
        </w:rPr>
      </w:pPr>
      <w:r>
        <w:rPr>
          <w:rFonts w:ascii="Courier New" w:cs="Courier New" w:eastAsia="Courier New" w:hAnsi="Courier New"/>
          <w:sz w:val="15"/>
          <w:szCs w:val="15"/>
          <w:color w:val="auto"/>
        </w:rPr>
        <w:t>Okeechobee Landfill, Inc.</w:t>
      </w:r>
    </w:p>
    <w:p>
      <w:pPr>
        <w:spacing w:after="0"/>
        <w:rPr>
          <w:sz w:val="20"/>
          <w:szCs w:val="20"/>
          <w:color w:val="auto"/>
        </w:rPr>
      </w:pPr>
      <w:r>
        <w:rPr>
          <w:rFonts w:ascii="Courier New" w:cs="Courier New" w:eastAsia="Courier New" w:hAnsi="Courier New"/>
          <w:sz w:val="15"/>
          <w:szCs w:val="15"/>
          <w:color w:val="auto"/>
        </w:rPr>
        <w:t>Olympic View Sanitary Landfill, Inc.</w:t>
      </w:r>
    </w:p>
    <w:p>
      <w:pPr>
        <w:spacing w:after="0"/>
        <w:rPr>
          <w:sz w:val="20"/>
          <w:szCs w:val="20"/>
          <w:color w:val="auto"/>
        </w:rPr>
      </w:pPr>
      <w:r>
        <w:rPr>
          <w:rFonts w:ascii="Courier New" w:cs="Courier New" w:eastAsia="Courier New" w:hAnsi="Courier New"/>
          <w:sz w:val="15"/>
          <w:szCs w:val="15"/>
          <w:color w:val="auto"/>
        </w:rPr>
        <w:t>Orange County Landfill, Inc.</w:t>
      </w:r>
    </w:p>
    <w:p>
      <w:pPr>
        <w:spacing w:after="0"/>
        <w:rPr>
          <w:sz w:val="20"/>
          <w:szCs w:val="20"/>
          <w:color w:val="auto"/>
        </w:rPr>
      </w:pPr>
      <w:r>
        <w:rPr>
          <w:rFonts w:ascii="Courier New" w:cs="Courier New" w:eastAsia="Courier New" w:hAnsi="Courier New"/>
          <w:sz w:val="15"/>
          <w:szCs w:val="15"/>
          <w:color w:val="auto"/>
        </w:rPr>
        <w:t>Orange Resource Recovery Systems, Inc.</w:t>
      </w:r>
    </w:p>
    <w:p>
      <w:pPr>
        <w:spacing w:after="0" w:line="238" w:lineRule="auto"/>
        <w:rPr>
          <w:sz w:val="20"/>
          <w:szCs w:val="20"/>
          <w:color w:val="auto"/>
        </w:rPr>
      </w:pPr>
      <w:r>
        <w:rPr>
          <w:rFonts w:ascii="Courier New" w:cs="Courier New" w:eastAsia="Courier New" w:hAnsi="Courier New"/>
          <w:sz w:val="15"/>
          <w:szCs w:val="15"/>
          <w:color w:val="auto"/>
        </w:rPr>
        <w:t>P&amp;R Environmental Industries, Inc.</w:t>
      </w:r>
    </w:p>
    <w:p>
      <w:pPr>
        <w:spacing w:after="0"/>
        <w:rPr>
          <w:sz w:val="20"/>
          <w:szCs w:val="20"/>
          <w:color w:val="auto"/>
        </w:rPr>
      </w:pPr>
      <w:r>
        <w:rPr>
          <w:rFonts w:ascii="Courier New" w:cs="Courier New" w:eastAsia="Courier New" w:hAnsi="Courier New"/>
          <w:sz w:val="15"/>
          <w:szCs w:val="15"/>
          <w:color w:val="auto"/>
        </w:rPr>
        <w:t>Pacific Waste Alternatives, Inc.</w:t>
      </w:r>
    </w:p>
    <w:p>
      <w:pPr>
        <w:spacing w:after="0"/>
        <w:rPr>
          <w:sz w:val="20"/>
          <w:szCs w:val="20"/>
          <w:color w:val="auto"/>
        </w:rPr>
      </w:pPr>
      <w:r>
        <w:rPr>
          <w:rFonts w:ascii="Courier New" w:cs="Courier New" w:eastAsia="Courier New" w:hAnsi="Courier New"/>
          <w:sz w:val="15"/>
          <w:szCs w:val="15"/>
          <w:color w:val="auto"/>
        </w:rPr>
        <w:t>Pacific Waste Management, L.L.C.</w:t>
      </w:r>
    </w:p>
    <w:p>
      <w:pPr>
        <w:spacing w:after="0" w:line="238" w:lineRule="auto"/>
        <w:rPr>
          <w:sz w:val="20"/>
          <w:szCs w:val="20"/>
          <w:color w:val="auto"/>
        </w:rPr>
      </w:pPr>
      <w:r>
        <w:rPr>
          <w:rFonts w:ascii="Courier New" w:cs="Courier New" w:eastAsia="Courier New" w:hAnsi="Courier New"/>
          <w:sz w:val="15"/>
          <w:szCs w:val="15"/>
          <w:color w:val="auto"/>
        </w:rPr>
        <w:t>Palo Alto Sanitation Company</w:t>
      </w:r>
    </w:p>
    <w:p>
      <w:pPr>
        <w:spacing w:after="0"/>
        <w:rPr>
          <w:sz w:val="20"/>
          <w:szCs w:val="20"/>
          <w:color w:val="auto"/>
        </w:rPr>
      </w:pPr>
      <w:r>
        <w:rPr>
          <w:rFonts w:ascii="Courier New" w:cs="Courier New" w:eastAsia="Courier New" w:hAnsi="Courier New"/>
          <w:sz w:val="15"/>
          <w:szCs w:val="15"/>
          <w:color w:val="auto"/>
        </w:rPr>
        <w:t>Pappy, Inc.</w:t>
      </w:r>
    </w:p>
    <w:p>
      <w:pPr>
        <w:spacing w:after="0"/>
        <w:rPr>
          <w:sz w:val="20"/>
          <w:szCs w:val="20"/>
          <w:color w:val="auto"/>
        </w:rPr>
      </w:pPr>
      <w:r>
        <w:rPr>
          <w:rFonts w:ascii="Courier New" w:cs="Courier New" w:eastAsia="Courier New" w:hAnsi="Courier New"/>
          <w:sz w:val="15"/>
          <w:szCs w:val="15"/>
          <w:color w:val="auto"/>
        </w:rPr>
        <w:t>Pecan Grove Landfill, Inc.</w:t>
      </w:r>
    </w:p>
    <w:p>
      <w:pPr>
        <w:spacing w:after="0"/>
        <w:rPr>
          <w:sz w:val="20"/>
          <w:szCs w:val="20"/>
          <w:color w:val="auto"/>
        </w:rPr>
      </w:pPr>
      <w:r>
        <w:rPr>
          <w:rFonts w:ascii="Courier New" w:cs="Courier New" w:eastAsia="Courier New" w:hAnsi="Courier New"/>
          <w:sz w:val="15"/>
          <w:szCs w:val="15"/>
          <w:color w:val="auto"/>
        </w:rPr>
        <w:t>Peerless Landfill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West Virginia</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District of Columbia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Hampshire</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Ohio</w:t>
      </w:r>
    </w:p>
    <w:p>
      <w:pPr>
        <w:spacing w:after="0" w:line="238" w:lineRule="auto"/>
        <w:rPr>
          <w:sz w:val="20"/>
          <w:szCs w:val="20"/>
          <w:color w:val="auto"/>
        </w:rPr>
      </w:pPr>
      <w:r>
        <w:rPr>
          <w:rFonts w:ascii="Courier New" w:cs="Courier New" w:eastAsia="Courier New" w:hAnsi="Courier New"/>
          <w:sz w:val="15"/>
          <w:szCs w:val="15"/>
          <w:color w:val="auto"/>
        </w:rPr>
        <w:t>Virginia</w:t>
      </w:r>
    </w:p>
    <w:p>
      <w:pPr>
        <w:spacing w:after="0"/>
        <w:rPr>
          <w:sz w:val="20"/>
          <w:szCs w:val="20"/>
          <w:color w:val="auto"/>
        </w:rPr>
      </w:pPr>
      <w:r>
        <w:rPr>
          <w:rFonts w:ascii="Courier New" w:cs="Courier New" w:eastAsia="Courier New" w:hAnsi="Courier New"/>
          <w:sz w:val="15"/>
          <w:szCs w:val="15"/>
          <w:color w:val="auto"/>
        </w:rPr>
        <w:t>New Jersey</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North Dakota</w:t>
      </w:r>
    </w:p>
    <w:p>
      <w:pPr>
        <w:spacing w:after="0" w:line="238" w:lineRule="auto"/>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Texas</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West Virginia</w:t>
      </w:r>
    </w:p>
    <w:p>
      <w:pPr>
        <w:spacing w:after="0"/>
        <w:rPr>
          <w:sz w:val="20"/>
          <w:szCs w:val="20"/>
          <w:color w:val="auto"/>
        </w:rPr>
      </w:pPr>
      <w:r>
        <w:rPr>
          <w:rFonts w:ascii="Courier New" w:cs="Courier New" w:eastAsia="Courier New" w:hAnsi="Courier New"/>
          <w:sz w:val="15"/>
          <w:szCs w:val="15"/>
          <w:color w:val="auto"/>
        </w:rPr>
        <w:t>Wisconsin</w:t>
      </w:r>
    </w:p>
    <w:p>
      <w:pPr>
        <w:spacing w:after="0"/>
        <w:rPr>
          <w:sz w:val="20"/>
          <w:szCs w:val="20"/>
          <w:color w:val="auto"/>
        </w:rPr>
      </w:pPr>
      <w:r>
        <w:rPr>
          <w:rFonts w:ascii="Courier New" w:cs="Courier New" w:eastAsia="Courier New" w:hAnsi="Courier New"/>
          <w:sz w:val="15"/>
          <w:szCs w:val="15"/>
          <w:color w:val="auto"/>
        </w:rPr>
        <w:t>West Virginia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Vermont</w:t>
      </w:r>
    </w:p>
    <w:p>
      <w:pPr>
        <w:spacing w:after="0" w:line="238" w:lineRule="auto"/>
        <w:rPr>
          <w:sz w:val="20"/>
          <w:szCs w:val="20"/>
          <w:color w:val="auto"/>
        </w:rPr>
      </w:pPr>
      <w:r>
        <w:rPr>
          <w:rFonts w:ascii="Courier New" w:cs="Courier New" w:eastAsia="Courier New" w:hAnsi="Courier New"/>
          <w:sz w:val="15"/>
          <w:szCs w:val="15"/>
          <w:color w:val="auto"/>
        </w:rPr>
        <w:t>Arizona</w:t>
      </w:r>
    </w:p>
    <w:p>
      <w:pPr>
        <w:spacing w:after="0"/>
        <w:rPr>
          <w:sz w:val="20"/>
          <w:szCs w:val="20"/>
          <w:color w:val="auto"/>
        </w:rPr>
      </w:pPr>
      <w:r>
        <w:rPr>
          <w:rFonts w:ascii="Courier New" w:cs="Courier New" w:eastAsia="Courier New" w:hAnsi="Courier New"/>
          <w:sz w:val="15"/>
          <w:szCs w:val="15"/>
          <w:color w:val="auto"/>
        </w:rPr>
        <w:t>Maryland</w:t>
      </w:r>
    </w:p>
    <w:p>
      <w:pPr>
        <w:spacing w:after="0"/>
        <w:rPr>
          <w:sz w:val="20"/>
          <w:szCs w:val="20"/>
          <w:color w:val="auto"/>
        </w:rPr>
      </w:pPr>
      <w:r>
        <w:rPr>
          <w:rFonts w:ascii="Courier New" w:cs="Courier New" w:eastAsia="Courier New" w:hAnsi="Courier New"/>
          <w:sz w:val="15"/>
          <w:szCs w:val="15"/>
          <w:color w:val="auto"/>
        </w:rPr>
        <w:t>Utah</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Vermont</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Massachusetts</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Hampshire</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New York</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South Carolina</w:t>
      </w:r>
    </w:p>
    <w:p>
      <w:pPr>
        <w:spacing w:after="0"/>
        <w:rPr>
          <w:sz w:val="20"/>
          <w:szCs w:val="20"/>
          <w:color w:val="auto"/>
        </w:rPr>
      </w:pPr>
      <w:r>
        <w:rPr>
          <w:rFonts w:ascii="Courier New" w:cs="Courier New" w:eastAsia="Courier New" w:hAnsi="Courier New"/>
          <w:sz w:val="15"/>
          <w:szCs w:val="15"/>
          <w:color w:val="auto"/>
        </w:rPr>
        <w:t>South Carolina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Washington</w:t>
      </w:r>
    </w:p>
    <w:p>
      <w:pPr>
        <w:spacing w:after="0"/>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North Carolina</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Maryland</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Florida</w:t>
      </w:r>
    </w:p>
    <w:p>
      <w:pPr>
        <w:sectPr>
          <w:pgSz w:w="11900" w:h="16838" w:orient="portrait"/>
          <w:cols w:equalWidth="0" w:num="2">
            <w:col w:w="5360" w:space="720"/>
            <w:col w:w="4139"/>
          </w:cols>
          <w:pgMar w:left="240" w:top="288" w:right="1440" w:bottom="1440" w:gutter="0" w:footer="0" w:header="0"/>
          <w:type w:val="continuous"/>
        </w:sectPr>
      </w:pPr>
    </w:p>
    <w:bookmarkStart w:id="162" w:name="page163"/>
    <w:bookmarkEnd w:id="162"/>
    <w:p>
      <w:pPr>
        <w:ind w:left="2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Peninsula Sanitation Co., Inc.</w:t>
      </w:r>
    </w:p>
    <w:p>
      <w:pPr>
        <w:spacing w:after="0"/>
        <w:rPr>
          <w:sz w:val="20"/>
          <w:szCs w:val="20"/>
          <w:color w:val="auto"/>
        </w:rPr>
      </w:pPr>
      <w:r>
        <w:rPr>
          <w:rFonts w:ascii="Courier New" w:cs="Courier New" w:eastAsia="Courier New" w:hAnsi="Courier New"/>
          <w:sz w:val="15"/>
          <w:szCs w:val="15"/>
          <w:color w:val="auto"/>
        </w:rPr>
        <w:t>Penn-Warner Club, Inc.</w:t>
      </w:r>
    </w:p>
    <w:p>
      <w:pPr>
        <w:spacing w:after="0"/>
        <w:rPr>
          <w:sz w:val="20"/>
          <w:szCs w:val="20"/>
          <w:color w:val="auto"/>
        </w:rPr>
      </w:pPr>
      <w:r>
        <w:rPr>
          <w:rFonts w:ascii="Courier New" w:cs="Courier New" w:eastAsia="Courier New" w:hAnsi="Courier New"/>
          <w:sz w:val="15"/>
          <w:szCs w:val="15"/>
          <w:color w:val="auto"/>
        </w:rPr>
        <w:t>Pen-Rob, Inc.</w:t>
      </w:r>
    </w:p>
    <w:p>
      <w:pPr>
        <w:spacing w:after="0" w:line="238" w:lineRule="auto"/>
        <w:rPr>
          <w:sz w:val="20"/>
          <w:szCs w:val="20"/>
          <w:color w:val="auto"/>
        </w:rPr>
      </w:pPr>
      <w:r>
        <w:rPr>
          <w:rFonts w:ascii="Courier New" w:cs="Courier New" w:eastAsia="Courier New" w:hAnsi="Courier New"/>
          <w:sz w:val="15"/>
          <w:szCs w:val="15"/>
          <w:color w:val="auto"/>
        </w:rPr>
        <w:t>Penuelas Valley Landfill, Inc.</w:t>
      </w:r>
    </w:p>
    <w:p>
      <w:pPr>
        <w:spacing w:after="0"/>
        <w:rPr>
          <w:sz w:val="20"/>
          <w:szCs w:val="20"/>
          <w:color w:val="auto"/>
        </w:rPr>
      </w:pPr>
      <w:r>
        <w:rPr>
          <w:rFonts w:ascii="Courier New" w:cs="Courier New" w:eastAsia="Courier New" w:hAnsi="Courier New"/>
          <w:sz w:val="15"/>
          <w:szCs w:val="15"/>
          <w:color w:val="auto"/>
        </w:rPr>
        <w:t>People's Landfill, Inc.</w:t>
      </w:r>
    </w:p>
    <w:p>
      <w:pPr>
        <w:spacing w:after="0"/>
        <w:rPr>
          <w:sz w:val="20"/>
          <w:szCs w:val="20"/>
          <w:color w:val="auto"/>
        </w:rPr>
      </w:pPr>
      <w:r>
        <w:rPr>
          <w:rFonts w:ascii="Courier New" w:cs="Courier New" w:eastAsia="Courier New" w:hAnsi="Courier New"/>
          <w:sz w:val="15"/>
          <w:szCs w:val="15"/>
          <w:color w:val="auto"/>
        </w:rPr>
        <w:t>Peterson Demolition, Inc.</w:t>
      </w:r>
    </w:p>
    <w:p>
      <w:pPr>
        <w:spacing w:after="0" w:line="238" w:lineRule="auto"/>
        <w:rPr>
          <w:sz w:val="20"/>
          <w:szCs w:val="20"/>
          <w:color w:val="auto"/>
        </w:rPr>
      </w:pPr>
      <w:r>
        <w:rPr>
          <w:rFonts w:ascii="Courier New" w:cs="Courier New" w:eastAsia="Courier New" w:hAnsi="Courier New"/>
          <w:sz w:val="15"/>
          <w:szCs w:val="15"/>
          <w:color w:val="auto"/>
        </w:rPr>
        <w:t>Phillipps &amp; Cypher, Inc.</w:t>
      </w:r>
    </w:p>
    <w:p>
      <w:pPr>
        <w:spacing w:after="0"/>
        <w:rPr>
          <w:sz w:val="20"/>
          <w:szCs w:val="20"/>
          <w:color w:val="auto"/>
        </w:rPr>
      </w:pPr>
      <w:r>
        <w:rPr>
          <w:rFonts w:ascii="Courier New" w:cs="Courier New" w:eastAsia="Courier New" w:hAnsi="Courier New"/>
          <w:sz w:val="15"/>
          <w:szCs w:val="15"/>
          <w:color w:val="auto"/>
        </w:rPr>
        <w:t>Phoenix Resources, Inc.</w:t>
      </w:r>
    </w:p>
    <w:p>
      <w:pPr>
        <w:spacing w:after="0"/>
        <w:rPr>
          <w:sz w:val="20"/>
          <w:szCs w:val="20"/>
          <w:color w:val="auto"/>
        </w:rPr>
      </w:pPr>
      <w:r>
        <w:rPr>
          <w:rFonts w:ascii="Courier New" w:cs="Courier New" w:eastAsia="Courier New" w:hAnsi="Courier New"/>
          <w:sz w:val="15"/>
          <w:szCs w:val="15"/>
          <w:color w:val="auto"/>
        </w:rPr>
        <w:t>Pine Bluff Landfill, Inc.</w:t>
      </w:r>
    </w:p>
    <w:p>
      <w:pPr>
        <w:spacing w:after="0"/>
        <w:rPr>
          <w:sz w:val="20"/>
          <w:szCs w:val="20"/>
          <w:color w:val="auto"/>
        </w:rPr>
      </w:pPr>
      <w:r>
        <w:rPr>
          <w:rFonts w:ascii="Courier New" w:cs="Courier New" w:eastAsia="Courier New" w:hAnsi="Courier New"/>
          <w:sz w:val="15"/>
          <w:szCs w:val="15"/>
          <w:color w:val="auto"/>
        </w:rPr>
        <w:t>Pine Grove Landfill, Inc.</w:t>
      </w:r>
    </w:p>
    <w:p>
      <w:pPr>
        <w:spacing w:after="0" w:line="238" w:lineRule="auto"/>
        <w:rPr>
          <w:sz w:val="20"/>
          <w:szCs w:val="20"/>
          <w:color w:val="auto"/>
        </w:rPr>
      </w:pPr>
      <w:r>
        <w:rPr>
          <w:rFonts w:ascii="Courier New" w:cs="Courier New" w:eastAsia="Courier New" w:hAnsi="Courier New"/>
          <w:sz w:val="15"/>
          <w:szCs w:val="15"/>
          <w:color w:val="auto"/>
        </w:rPr>
        <w:t>Pine Grove Landfill, Inc.</w:t>
      </w:r>
    </w:p>
    <w:p>
      <w:pPr>
        <w:spacing w:after="0"/>
        <w:rPr>
          <w:sz w:val="20"/>
          <w:szCs w:val="20"/>
          <w:color w:val="auto"/>
        </w:rPr>
      </w:pPr>
      <w:r>
        <w:rPr>
          <w:rFonts w:ascii="Courier New" w:cs="Courier New" w:eastAsia="Courier New" w:hAnsi="Courier New"/>
          <w:sz w:val="15"/>
          <w:szCs w:val="15"/>
          <w:color w:val="auto"/>
        </w:rPr>
        <w:t>Pine Ridge Landfill, Inc.</w:t>
      </w:r>
    </w:p>
    <w:p>
      <w:pPr>
        <w:spacing w:after="0"/>
        <w:rPr>
          <w:sz w:val="20"/>
          <w:szCs w:val="20"/>
          <w:color w:val="auto"/>
        </w:rPr>
      </w:pPr>
      <w:r>
        <w:rPr>
          <w:rFonts w:ascii="Courier New" w:cs="Courier New" w:eastAsia="Courier New" w:hAnsi="Courier New"/>
          <w:sz w:val="15"/>
          <w:szCs w:val="15"/>
          <w:color w:val="auto"/>
        </w:rPr>
        <w:t>Pine Tree Acres, Inc.</w:t>
      </w:r>
    </w:p>
    <w:p>
      <w:pPr>
        <w:spacing w:after="0" w:line="238" w:lineRule="auto"/>
        <w:rPr>
          <w:sz w:val="20"/>
          <w:szCs w:val="20"/>
          <w:color w:val="auto"/>
        </w:rPr>
      </w:pPr>
      <w:r>
        <w:rPr>
          <w:rFonts w:ascii="Courier New" w:cs="Courier New" w:eastAsia="Courier New" w:hAnsi="Courier New"/>
          <w:sz w:val="15"/>
          <w:szCs w:val="15"/>
          <w:color w:val="auto"/>
        </w:rPr>
        <w:t>Plantation Oaks Landfill, Inc.</w:t>
      </w:r>
    </w:p>
    <w:p>
      <w:pPr>
        <w:spacing w:after="0"/>
        <w:rPr>
          <w:sz w:val="20"/>
          <w:szCs w:val="20"/>
          <w:color w:val="auto"/>
        </w:rPr>
      </w:pPr>
      <w:r>
        <w:rPr>
          <w:rFonts w:ascii="Courier New" w:cs="Courier New" w:eastAsia="Courier New" w:hAnsi="Courier New"/>
          <w:sz w:val="15"/>
          <w:szCs w:val="15"/>
          <w:color w:val="auto"/>
        </w:rPr>
        <w:t>Poly-Jon of Savannah, Inc.</w:t>
      </w:r>
    </w:p>
    <w:p>
      <w:pPr>
        <w:spacing w:after="0"/>
        <w:rPr>
          <w:sz w:val="20"/>
          <w:szCs w:val="20"/>
          <w:color w:val="auto"/>
        </w:rPr>
      </w:pPr>
      <w:r>
        <w:rPr>
          <w:rFonts w:ascii="Courier New" w:cs="Courier New" w:eastAsia="Courier New" w:hAnsi="Courier New"/>
          <w:sz w:val="15"/>
          <w:szCs w:val="15"/>
          <w:color w:val="auto"/>
        </w:rPr>
        <w:t>PPP Corporation</w:t>
      </w:r>
    </w:p>
    <w:p>
      <w:pPr>
        <w:spacing w:after="0"/>
        <w:rPr>
          <w:sz w:val="20"/>
          <w:szCs w:val="20"/>
          <w:color w:val="auto"/>
        </w:rPr>
      </w:pPr>
      <w:r>
        <w:rPr>
          <w:rFonts w:ascii="Courier New" w:cs="Courier New" w:eastAsia="Courier New" w:hAnsi="Courier New"/>
          <w:sz w:val="15"/>
          <w:szCs w:val="15"/>
          <w:color w:val="auto"/>
        </w:rPr>
        <w:t>Prairie Bluff Landfill, Inc.</w:t>
      </w:r>
    </w:p>
    <w:p>
      <w:pPr>
        <w:spacing w:after="0" w:line="238" w:lineRule="auto"/>
        <w:rPr>
          <w:sz w:val="20"/>
          <w:szCs w:val="20"/>
          <w:color w:val="auto"/>
        </w:rPr>
      </w:pPr>
      <w:r>
        <w:rPr>
          <w:rFonts w:ascii="Courier New" w:cs="Courier New" w:eastAsia="Courier New" w:hAnsi="Courier New"/>
          <w:sz w:val="15"/>
          <w:szCs w:val="15"/>
          <w:color w:val="auto"/>
        </w:rPr>
        <w:t>Pulaski Grading, L.L.C.</w:t>
      </w:r>
    </w:p>
    <w:p>
      <w:pPr>
        <w:spacing w:after="0"/>
        <w:rPr>
          <w:sz w:val="20"/>
          <w:szCs w:val="20"/>
          <w:color w:val="auto"/>
        </w:rPr>
      </w:pPr>
      <w:r>
        <w:rPr>
          <w:rFonts w:ascii="Courier New" w:cs="Courier New" w:eastAsia="Courier New" w:hAnsi="Courier New"/>
          <w:sz w:val="15"/>
          <w:szCs w:val="15"/>
          <w:color w:val="auto"/>
        </w:rPr>
        <w:t>Quail Hollow Landfill, Inc.</w:t>
      </w:r>
    </w:p>
    <w:p>
      <w:pPr>
        <w:spacing w:after="0"/>
        <w:rPr>
          <w:sz w:val="20"/>
          <w:szCs w:val="20"/>
          <w:color w:val="auto"/>
        </w:rPr>
      </w:pPr>
      <w:r>
        <w:rPr>
          <w:rFonts w:ascii="Courier New" w:cs="Courier New" w:eastAsia="Courier New" w:hAnsi="Courier New"/>
          <w:sz w:val="15"/>
          <w:szCs w:val="15"/>
          <w:color w:val="auto"/>
        </w:rPr>
        <w:t>Quality Waste Control, Inc.</w:t>
      </w:r>
    </w:p>
    <w:p>
      <w:pPr>
        <w:spacing w:after="0" w:line="238" w:lineRule="auto"/>
        <w:rPr>
          <w:sz w:val="20"/>
          <w:szCs w:val="20"/>
          <w:color w:val="auto"/>
        </w:rPr>
      </w:pPr>
      <w:r>
        <w:rPr>
          <w:rFonts w:ascii="Courier New" w:cs="Courier New" w:eastAsia="Courier New" w:hAnsi="Courier New"/>
          <w:sz w:val="15"/>
          <w:szCs w:val="15"/>
          <w:color w:val="auto"/>
        </w:rPr>
        <w:t>Questquill, Ltd.</w:t>
      </w:r>
    </w:p>
    <w:p>
      <w:pPr>
        <w:spacing w:after="0"/>
        <w:tabs>
          <w:tab w:leader="none" w:pos="1460" w:val="left"/>
        </w:tabs>
        <w:rPr>
          <w:sz w:val="20"/>
          <w:szCs w:val="20"/>
          <w:color w:val="auto"/>
        </w:rPr>
      </w:pPr>
      <w:r>
        <w:rPr>
          <w:rFonts w:ascii="Courier New" w:cs="Courier New" w:eastAsia="Courier New" w:hAnsi="Courier New"/>
          <w:sz w:val="15"/>
          <w:szCs w:val="15"/>
          <w:color w:val="auto"/>
        </w:rPr>
        <w:t>R &amp; B Landfill,</w:t>
        <w:tab/>
        <w:t>Inc.</w:t>
      </w:r>
    </w:p>
    <w:p>
      <w:pPr>
        <w:spacing w:after="0"/>
        <w:rPr>
          <w:sz w:val="20"/>
          <w:szCs w:val="20"/>
          <w:color w:val="auto"/>
        </w:rPr>
      </w:pPr>
      <w:r>
        <w:rPr>
          <w:rFonts w:ascii="Courier New" w:cs="Courier New" w:eastAsia="Courier New" w:hAnsi="Courier New"/>
          <w:sz w:val="15"/>
          <w:szCs w:val="15"/>
          <w:color w:val="auto"/>
        </w:rPr>
        <w:t>R.S.W. Recycling, Inc.</w:t>
      </w:r>
    </w:p>
    <w:p>
      <w:pPr>
        <w:spacing w:after="0"/>
        <w:rPr>
          <w:sz w:val="20"/>
          <w:szCs w:val="20"/>
          <w:color w:val="auto"/>
        </w:rPr>
      </w:pPr>
      <w:r>
        <w:rPr>
          <w:rFonts w:ascii="Courier New" w:cs="Courier New" w:eastAsia="Courier New" w:hAnsi="Courier New"/>
          <w:sz w:val="15"/>
          <w:szCs w:val="15"/>
          <w:color w:val="auto"/>
        </w:rPr>
        <w:t>Rail Cycle North Ltd.</w:t>
      </w:r>
    </w:p>
    <w:p>
      <w:pPr>
        <w:spacing w:after="0" w:line="238" w:lineRule="auto"/>
        <w:rPr>
          <w:sz w:val="20"/>
          <w:szCs w:val="20"/>
          <w:color w:val="auto"/>
        </w:rPr>
      </w:pPr>
      <w:r>
        <w:rPr>
          <w:rFonts w:ascii="Courier New" w:cs="Courier New" w:eastAsia="Courier New" w:hAnsi="Courier New"/>
          <w:sz w:val="15"/>
          <w:szCs w:val="15"/>
          <w:color w:val="auto"/>
        </w:rPr>
        <w:t>Rail Cycle, L.P.</w:t>
      </w:r>
    </w:p>
    <w:p>
      <w:pPr>
        <w:spacing w:after="0"/>
        <w:rPr>
          <w:sz w:val="20"/>
          <w:szCs w:val="20"/>
          <w:color w:val="auto"/>
        </w:rPr>
      </w:pPr>
      <w:r>
        <w:rPr>
          <w:rFonts w:ascii="Courier New" w:cs="Courier New" w:eastAsia="Courier New" w:hAnsi="Courier New"/>
          <w:sz w:val="15"/>
          <w:szCs w:val="15"/>
          <w:color w:val="auto"/>
        </w:rPr>
        <w:t>RCC Fiber Company, Inc.</w:t>
      </w:r>
    </w:p>
    <w:p>
      <w:pPr>
        <w:spacing w:after="0"/>
        <w:rPr>
          <w:sz w:val="20"/>
          <w:szCs w:val="20"/>
          <w:color w:val="auto"/>
        </w:rPr>
      </w:pPr>
      <w:r>
        <w:rPr>
          <w:rFonts w:ascii="Courier New" w:cs="Courier New" w:eastAsia="Courier New" w:hAnsi="Courier New"/>
          <w:sz w:val="15"/>
          <w:szCs w:val="15"/>
          <w:color w:val="auto"/>
        </w:rPr>
        <w:t>RCI Hudson, Inc.</w:t>
      </w:r>
    </w:p>
    <w:p>
      <w:pPr>
        <w:spacing w:after="0" w:line="238" w:lineRule="auto"/>
        <w:rPr>
          <w:sz w:val="20"/>
          <w:szCs w:val="20"/>
          <w:color w:val="auto"/>
        </w:rPr>
      </w:pPr>
      <w:r>
        <w:rPr>
          <w:rFonts w:ascii="Courier New" w:cs="Courier New" w:eastAsia="Courier New" w:hAnsi="Courier New"/>
          <w:sz w:val="15"/>
          <w:szCs w:val="15"/>
          <w:color w:val="auto"/>
        </w:rPr>
        <w:t>Recycle &amp; Recover, Inc.</w:t>
      </w:r>
    </w:p>
    <w:p>
      <w:pPr>
        <w:spacing w:after="0"/>
        <w:rPr>
          <w:sz w:val="20"/>
          <w:szCs w:val="20"/>
          <w:color w:val="auto"/>
        </w:rPr>
      </w:pPr>
      <w:r>
        <w:rPr>
          <w:rFonts w:ascii="Courier New" w:cs="Courier New" w:eastAsia="Courier New" w:hAnsi="Courier New"/>
          <w:sz w:val="15"/>
          <w:szCs w:val="15"/>
          <w:color w:val="auto"/>
        </w:rPr>
        <w:t>Recycle America, Inc.</w:t>
      </w:r>
    </w:p>
    <w:p>
      <w:pPr>
        <w:spacing w:after="0"/>
        <w:rPr>
          <w:sz w:val="20"/>
          <w:szCs w:val="20"/>
          <w:color w:val="auto"/>
        </w:rPr>
      </w:pPr>
      <w:r>
        <w:rPr>
          <w:rFonts w:ascii="Courier New" w:cs="Courier New" w:eastAsia="Courier New" w:hAnsi="Courier New"/>
          <w:sz w:val="15"/>
          <w:szCs w:val="15"/>
          <w:color w:val="auto"/>
        </w:rPr>
        <w:t>Recycle Minnesota Resources, Inc.</w:t>
      </w:r>
    </w:p>
    <w:p>
      <w:pPr>
        <w:spacing w:after="0" w:line="238" w:lineRule="auto"/>
        <w:rPr>
          <w:sz w:val="20"/>
          <w:szCs w:val="20"/>
          <w:color w:val="auto"/>
        </w:rPr>
      </w:pPr>
      <w:r>
        <w:rPr>
          <w:rFonts w:ascii="Courier New" w:cs="Courier New" w:eastAsia="Courier New" w:hAnsi="Courier New"/>
          <w:sz w:val="15"/>
          <w:szCs w:val="15"/>
          <w:color w:val="auto"/>
        </w:rPr>
        <w:t>Re-cy-co, Inc.</w:t>
      </w:r>
    </w:p>
    <w:p>
      <w:pPr>
        <w:spacing w:after="0"/>
        <w:rPr>
          <w:sz w:val="20"/>
          <w:szCs w:val="20"/>
          <w:color w:val="auto"/>
        </w:rPr>
      </w:pPr>
      <w:r>
        <w:rPr>
          <w:rFonts w:ascii="Courier New" w:cs="Courier New" w:eastAsia="Courier New" w:hAnsi="Courier New"/>
          <w:sz w:val="15"/>
          <w:szCs w:val="15"/>
          <w:color w:val="auto"/>
        </w:rPr>
        <w:t>Redwood Landfill, Inc.</w:t>
      </w:r>
    </w:p>
    <w:p>
      <w:pPr>
        <w:spacing w:after="0"/>
        <w:rPr>
          <w:sz w:val="20"/>
          <w:szCs w:val="20"/>
          <w:color w:val="auto"/>
        </w:rPr>
      </w:pPr>
      <w:r>
        <w:rPr>
          <w:rFonts w:ascii="Courier New" w:cs="Courier New" w:eastAsia="Courier New" w:hAnsi="Courier New"/>
          <w:sz w:val="15"/>
          <w:szCs w:val="15"/>
          <w:color w:val="auto"/>
        </w:rPr>
        <w:t>Refuse Disposal, Inc.</w:t>
      </w:r>
    </w:p>
    <w:p>
      <w:pPr>
        <w:spacing w:after="0"/>
        <w:rPr>
          <w:sz w:val="20"/>
          <w:szCs w:val="20"/>
          <w:color w:val="auto"/>
        </w:rPr>
      </w:pPr>
      <w:r>
        <w:rPr>
          <w:rFonts w:ascii="Courier New" w:cs="Courier New" w:eastAsia="Courier New" w:hAnsi="Courier New"/>
          <w:sz w:val="15"/>
          <w:szCs w:val="15"/>
          <w:color w:val="auto"/>
        </w:rPr>
        <w:t>Refuse Energy Systems Company J.V.</w:t>
      </w:r>
    </w:p>
    <w:p>
      <w:pPr>
        <w:spacing w:after="0" w:line="238" w:lineRule="auto"/>
        <w:rPr>
          <w:sz w:val="20"/>
          <w:szCs w:val="20"/>
          <w:color w:val="auto"/>
        </w:rPr>
      </w:pPr>
      <w:r>
        <w:rPr>
          <w:rFonts w:ascii="Courier New" w:cs="Courier New" w:eastAsia="Courier New" w:hAnsi="Courier New"/>
          <w:sz w:val="15"/>
          <w:szCs w:val="15"/>
          <w:color w:val="auto"/>
        </w:rPr>
        <w:t>Refuse Services, Inc.</w:t>
      </w:r>
    </w:p>
    <w:p>
      <w:pPr>
        <w:spacing w:after="0"/>
        <w:rPr>
          <w:sz w:val="20"/>
          <w:szCs w:val="20"/>
          <w:color w:val="auto"/>
        </w:rPr>
      </w:pPr>
      <w:r>
        <w:rPr>
          <w:rFonts w:ascii="Courier New" w:cs="Courier New" w:eastAsia="Courier New" w:hAnsi="Courier New"/>
          <w:sz w:val="15"/>
          <w:szCs w:val="15"/>
          <w:color w:val="auto"/>
        </w:rPr>
        <w:t>Refuse, Inc.</w:t>
      </w:r>
    </w:p>
    <w:p>
      <w:pPr>
        <w:spacing w:after="0"/>
        <w:rPr>
          <w:sz w:val="20"/>
          <w:szCs w:val="20"/>
          <w:color w:val="auto"/>
        </w:rPr>
      </w:pPr>
      <w:r>
        <w:rPr>
          <w:rFonts w:ascii="Courier New" w:cs="Courier New" w:eastAsia="Courier New" w:hAnsi="Courier New"/>
          <w:sz w:val="15"/>
          <w:szCs w:val="15"/>
          <w:color w:val="auto"/>
        </w:rPr>
        <w:t>Regional Recycling Corporation</w:t>
      </w:r>
    </w:p>
    <w:p>
      <w:pPr>
        <w:spacing w:after="0" w:line="238" w:lineRule="auto"/>
        <w:rPr>
          <w:sz w:val="20"/>
          <w:szCs w:val="20"/>
          <w:color w:val="auto"/>
        </w:rPr>
      </w:pPr>
      <w:r>
        <w:rPr>
          <w:rFonts w:ascii="Courier New" w:cs="Courier New" w:eastAsia="Courier New" w:hAnsi="Courier New"/>
          <w:sz w:val="15"/>
          <w:szCs w:val="15"/>
          <w:color w:val="auto"/>
        </w:rPr>
        <w:t>REI Holdings Inc.</w:t>
      </w:r>
    </w:p>
    <w:p>
      <w:pPr>
        <w:spacing w:after="0"/>
        <w:rPr>
          <w:sz w:val="20"/>
          <w:szCs w:val="20"/>
          <w:color w:val="auto"/>
        </w:rPr>
      </w:pPr>
      <w:r>
        <w:rPr>
          <w:rFonts w:ascii="Courier New" w:cs="Courier New" w:eastAsia="Courier New" w:hAnsi="Courier New"/>
          <w:sz w:val="15"/>
          <w:szCs w:val="15"/>
          <w:color w:val="auto"/>
        </w:rPr>
        <w:t>Reliable Landfill, L.L.C.</w:t>
      </w:r>
    </w:p>
    <w:p>
      <w:pPr>
        <w:spacing w:after="0"/>
        <w:rPr>
          <w:sz w:val="20"/>
          <w:szCs w:val="20"/>
          <w:color w:val="auto"/>
        </w:rPr>
      </w:pPr>
      <w:r>
        <w:rPr>
          <w:rFonts w:ascii="Courier New" w:cs="Courier New" w:eastAsia="Courier New" w:hAnsi="Courier New"/>
          <w:sz w:val="15"/>
          <w:szCs w:val="15"/>
          <w:color w:val="auto"/>
        </w:rPr>
        <w:t>Reliable Trash Hauling, Inc.</w:t>
      </w:r>
    </w:p>
    <w:p>
      <w:pPr>
        <w:spacing w:after="0"/>
        <w:rPr>
          <w:sz w:val="20"/>
          <w:szCs w:val="20"/>
          <w:color w:val="auto"/>
        </w:rPr>
      </w:pPr>
      <w:r>
        <w:rPr>
          <w:rFonts w:ascii="Courier New" w:cs="Courier New" w:eastAsia="Courier New" w:hAnsi="Courier New"/>
          <w:sz w:val="15"/>
          <w:szCs w:val="15"/>
          <w:color w:val="auto"/>
        </w:rPr>
        <w:t>Remote Landfill Services, Inc.</w:t>
      </w:r>
    </w:p>
    <w:p>
      <w:pPr>
        <w:spacing w:after="0" w:line="238" w:lineRule="auto"/>
        <w:rPr>
          <w:sz w:val="20"/>
          <w:szCs w:val="20"/>
          <w:color w:val="auto"/>
        </w:rPr>
      </w:pPr>
      <w:r>
        <w:rPr>
          <w:rFonts w:ascii="Courier New" w:cs="Courier New" w:eastAsia="Courier New" w:hAnsi="Courier New"/>
          <w:sz w:val="15"/>
          <w:szCs w:val="15"/>
          <w:color w:val="auto"/>
        </w:rPr>
        <w:t>Reno Disposal Co.</w:t>
      </w:r>
    </w:p>
    <w:p>
      <w:pPr>
        <w:spacing w:after="0"/>
        <w:rPr>
          <w:sz w:val="20"/>
          <w:szCs w:val="20"/>
          <w:color w:val="auto"/>
        </w:rPr>
      </w:pPr>
      <w:r>
        <w:rPr>
          <w:rFonts w:ascii="Courier New" w:cs="Courier New" w:eastAsia="Courier New" w:hAnsi="Courier New"/>
          <w:sz w:val="15"/>
          <w:szCs w:val="15"/>
          <w:color w:val="auto"/>
        </w:rPr>
        <w:t>Resco Holdings Inc.</w:t>
      </w:r>
    </w:p>
    <w:p>
      <w:pPr>
        <w:spacing w:after="0"/>
        <w:rPr>
          <w:sz w:val="20"/>
          <w:szCs w:val="20"/>
          <w:color w:val="auto"/>
        </w:rPr>
      </w:pPr>
      <w:r>
        <w:rPr>
          <w:rFonts w:ascii="Courier New" w:cs="Courier New" w:eastAsia="Courier New" w:hAnsi="Courier New"/>
          <w:sz w:val="15"/>
          <w:szCs w:val="15"/>
          <w:color w:val="auto"/>
        </w:rPr>
        <w:t>Residual Processing, Inc.</w:t>
      </w:r>
    </w:p>
    <w:p>
      <w:pPr>
        <w:spacing w:after="0" w:line="238" w:lineRule="auto"/>
        <w:rPr>
          <w:sz w:val="20"/>
          <w:szCs w:val="20"/>
          <w:color w:val="auto"/>
        </w:rPr>
      </w:pPr>
      <w:r>
        <w:rPr>
          <w:rFonts w:ascii="Courier New" w:cs="Courier New" w:eastAsia="Courier New" w:hAnsi="Courier New"/>
          <w:sz w:val="15"/>
          <w:szCs w:val="15"/>
          <w:color w:val="auto"/>
        </w:rPr>
        <w:t>Resource Control Composting, Inc.</w:t>
      </w:r>
    </w:p>
    <w:p>
      <w:pPr>
        <w:spacing w:after="0"/>
        <w:rPr>
          <w:sz w:val="20"/>
          <w:szCs w:val="20"/>
          <w:color w:val="auto"/>
        </w:rPr>
      </w:pPr>
      <w:r>
        <w:rPr>
          <w:rFonts w:ascii="Courier New" w:cs="Courier New" w:eastAsia="Courier New" w:hAnsi="Courier New"/>
          <w:sz w:val="15"/>
          <w:szCs w:val="15"/>
          <w:color w:val="auto"/>
        </w:rPr>
        <w:t>Resource Control, Inc.</w:t>
      </w:r>
    </w:p>
    <w:p>
      <w:pPr>
        <w:spacing w:after="0"/>
        <w:rPr>
          <w:sz w:val="20"/>
          <w:szCs w:val="20"/>
          <w:color w:val="auto"/>
        </w:rPr>
      </w:pPr>
      <w:r>
        <w:rPr>
          <w:rFonts w:ascii="Courier New" w:cs="Courier New" w:eastAsia="Courier New" w:hAnsi="Courier New"/>
          <w:sz w:val="15"/>
          <w:szCs w:val="15"/>
          <w:color w:val="auto"/>
        </w:rPr>
        <w:t>Reuter Recycling of Florida, Inc.</w:t>
      </w:r>
    </w:p>
    <w:p>
      <w:pPr>
        <w:spacing w:after="0"/>
        <w:rPr>
          <w:sz w:val="20"/>
          <w:szCs w:val="20"/>
          <w:color w:val="auto"/>
        </w:rPr>
      </w:pPr>
      <w:r>
        <w:rPr>
          <w:rFonts w:ascii="Courier New" w:cs="Courier New" w:eastAsia="Courier New" w:hAnsi="Courier New"/>
          <w:sz w:val="15"/>
          <w:szCs w:val="15"/>
          <w:color w:val="auto"/>
        </w:rPr>
        <w:t>Richland County Landfill, Inc.</w:t>
      </w:r>
    </w:p>
    <w:p>
      <w:pPr>
        <w:spacing w:after="0" w:line="238" w:lineRule="auto"/>
        <w:rPr>
          <w:sz w:val="20"/>
          <w:szCs w:val="20"/>
          <w:color w:val="auto"/>
        </w:rPr>
      </w:pPr>
      <w:r>
        <w:rPr>
          <w:rFonts w:ascii="Courier New" w:cs="Courier New" w:eastAsia="Courier New" w:hAnsi="Courier New"/>
          <w:sz w:val="15"/>
          <w:szCs w:val="15"/>
          <w:color w:val="auto"/>
        </w:rPr>
        <w:t>RIH,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Riley Energy Systems of Lisbon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 Risk Management, Inc.</w:t>
      </w:r>
    </w:p>
    <w:p>
      <w:pPr>
        <w:spacing w:after="0"/>
        <w:rPr>
          <w:sz w:val="20"/>
          <w:szCs w:val="20"/>
          <w:color w:val="auto"/>
        </w:rPr>
      </w:pPr>
      <w:r>
        <w:rPr>
          <w:rFonts w:ascii="Courier New" w:cs="Courier New" w:eastAsia="Courier New" w:hAnsi="Courier New"/>
          <w:sz w:val="15"/>
          <w:szCs w:val="15"/>
          <w:color w:val="auto"/>
        </w:rPr>
        <w:t>Riverbend Landfill Co., Inc.</w:t>
      </w:r>
    </w:p>
    <w:p>
      <w:pPr>
        <w:spacing w:after="0"/>
        <w:rPr>
          <w:sz w:val="20"/>
          <w:szCs w:val="20"/>
          <w:color w:val="auto"/>
        </w:rPr>
      </w:pPr>
      <w:r>
        <w:rPr>
          <w:rFonts w:ascii="Courier New" w:cs="Courier New" w:eastAsia="Courier New" w:hAnsi="Courier New"/>
          <w:sz w:val="15"/>
          <w:szCs w:val="15"/>
          <w:color w:val="auto"/>
        </w:rPr>
        <w:t>Rolling Meadows Landfill, Inc.</w:t>
      </w:r>
    </w:p>
    <w:p>
      <w:pPr>
        <w:spacing w:after="0" w:line="238" w:lineRule="auto"/>
        <w:rPr>
          <w:sz w:val="20"/>
          <w:szCs w:val="20"/>
          <w:color w:val="auto"/>
        </w:rPr>
      </w:pPr>
      <w:r>
        <w:rPr>
          <w:rFonts w:ascii="Courier New" w:cs="Courier New" w:eastAsia="Courier New" w:hAnsi="Courier New"/>
          <w:sz w:val="15"/>
          <w:szCs w:val="15"/>
          <w:color w:val="auto"/>
        </w:rPr>
        <w:t>Ronnie's Sanitation Service, Incorporated</w:t>
      </w:r>
    </w:p>
    <w:p>
      <w:pPr>
        <w:spacing w:after="0"/>
        <w:rPr>
          <w:sz w:val="20"/>
          <w:szCs w:val="20"/>
          <w:color w:val="auto"/>
        </w:rPr>
      </w:pPr>
      <w:r>
        <w:rPr>
          <w:rFonts w:ascii="Courier New" w:cs="Courier New" w:eastAsia="Courier New" w:hAnsi="Courier New"/>
          <w:sz w:val="15"/>
          <w:szCs w:val="15"/>
          <w:color w:val="auto"/>
        </w:rPr>
        <w:t>RRT Design &amp; Construction Corporation</w:t>
      </w:r>
    </w:p>
    <w:p>
      <w:pPr>
        <w:spacing w:after="0"/>
        <w:rPr>
          <w:sz w:val="20"/>
          <w:szCs w:val="20"/>
          <w:color w:val="auto"/>
        </w:rPr>
      </w:pPr>
      <w:r>
        <w:rPr>
          <w:rFonts w:ascii="Courier New" w:cs="Courier New" w:eastAsia="Courier New" w:hAnsi="Courier New"/>
          <w:sz w:val="15"/>
          <w:szCs w:val="15"/>
          <w:color w:val="auto"/>
        </w:rPr>
        <w:t>RRT Empire of Monroe County,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Alaska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Arizona</w:t>
      </w:r>
    </w:p>
    <w:p>
      <w:pPr>
        <w:spacing w:after="0" w:line="238" w:lineRule="auto"/>
        <w:rPr>
          <w:sz w:val="20"/>
          <w:szCs w:val="20"/>
          <w:color w:val="auto"/>
        </w:rPr>
      </w:pPr>
      <w:r>
        <w:rPr>
          <w:rFonts w:ascii="Courier New" w:cs="Courier New" w:eastAsia="Courier New" w:hAnsi="Courier New"/>
          <w:sz w:val="15"/>
          <w:szCs w:val="15"/>
          <w:color w:val="auto"/>
        </w:rPr>
        <w:t>Puerto Rico</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Minnesota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Georgia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Michigan</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Georgia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Minnesota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Georgia</w:t>
      </w:r>
    </w:p>
    <w:p>
      <w:pPr>
        <w:spacing w:after="0"/>
        <w:rPr>
          <w:sz w:val="20"/>
          <w:szCs w:val="20"/>
          <w:color w:val="auto"/>
        </w:rPr>
      </w:pPr>
      <w:r>
        <w:rPr>
          <w:rFonts w:ascii="Courier New" w:cs="Courier New" w:eastAsia="Courier New" w:hAnsi="Courier New"/>
          <w:sz w:val="15"/>
          <w:szCs w:val="15"/>
          <w:color w:val="auto"/>
        </w:rPr>
        <w:t>Nevada</w:t>
      </w:r>
    </w:p>
    <w:p>
      <w:pPr>
        <w:spacing w:after="0"/>
        <w:rPr>
          <w:sz w:val="20"/>
          <w:szCs w:val="20"/>
          <w:color w:val="auto"/>
        </w:rPr>
      </w:pPr>
      <w:r>
        <w:rPr>
          <w:rFonts w:ascii="Courier New" w:cs="Courier New" w:eastAsia="Courier New" w:hAnsi="Courier New"/>
          <w:sz w:val="15"/>
          <w:szCs w:val="15"/>
          <w:color w:val="auto"/>
        </w:rPr>
        <w:t>Ontario</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Massachusetts</w:t>
      </w:r>
    </w:p>
    <w:p>
      <w:pPr>
        <w:spacing w:after="0" w:line="238" w:lineRule="auto"/>
        <w:rPr>
          <w:sz w:val="20"/>
          <w:szCs w:val="20"/>
          <w:color w:val="auto"/>
        </w:rPr>
      </w:pPr>
      <w:r>
        <w:rPr>
          <w:rFonts w:ascii="Courier New" w:cs="Courier New" w:eastAsia="Courier New" w:hAnsi="Courier New"/>
          <w:sz w:val="15"/>
          <w:szCs w:val="15"/>
          <w:color w:val="auto"/>
        </w:rPr>
        <w:t>Georgia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Minnesota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West Virginia</w:t>
      </w:r>
    </w:p>
    <w:p>
      <w:pPr>
        <w:spacing w:after="0"/>
        <w:rPr>
          <w:sz w:val="20"/>
          <w:szCs w:val="20"/>
          <w:color w:val="auto"/>
        </w:rPr>
      </w:pPr>
      <w:r>
        <w:rPr>
          <w:rFonts w:ascii="Courier New" w:cs="Courier New" w:eastAsia="Courier New" w:hAnsi="Courier New"/>
          <w:sz w:val="15"/>
          <w:szCs w:val="15"/>
          <w:color w:val="auto"/>
        </w:rPr>
        <w:t>Massachusetts</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Nevada</w:t>
      </w:r>
    </w:p>
    <w:p>
      <w:pPr>
        <w:spacing w:after="0"/>
        <w:rPr>
          <w:sz w:val="20"/>
          <w:szCs w:val="20"/>
          <w:color w:val="auto"/>
        </w:rPr>
      </w:pPr>
      <w:r>
        <w:rPr>
          <w:rFonts w:ascii="Courier New" w:cs="Courier New" w:eastAsia="Courier New" w:hAnsi="Courier New"/>
          <w:sz w:val="15"/>
          <w:szCs w:val="15"/>
          <w:color w:val="auto"/>
        </w:rPr>
        <w:t>New Jersey</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Tennessee</w:t>
      </w:r>
    </w:p>
    <w:p>
      <w:pPr>
        <w:spacing w:after="0" w:line="238" w:lineRule="auto"/>
        <w:rPr>
          <w:sz w:val="20"/>
          <w:szCs w:val="20"/>
          <w:color w:val="auto"/>
        </w:rPr>
      </w:pPr>
      <w:r>
        <w:rPr>
          <w:rFonts w:ascii="Courier New" w:cs="Courier New" w:eastAsia="Courier New" w:hAnsi="Courier New"/>
          <w:sz w:val="15"/>
          <w:szCs w:val="15"/>
          <w:color w:val="auto"/>
        </w:rPr>
        <w:t>Nevada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Massachusetts</w:t>
      </w:r>
    </w:p>
    <w:p>
      <w:pPr>
        <w:spacing w:after="0" w:line="238" w:lineRule="auto"/>
        <w:rPr>
          <w:sz w:val="20"/>
          <w:szCs w:val="20"/>
          <w:color w:val="auto"/>
        </w:rPr>
      </w:pPr>
      <w:r>
        <w:rPr>
          <w:rFonts w:ascii="Courier New" w:cs="Courier New" w:eastAsia="Courier New" w:hAnsi="Courier New"/>
          <w:sz w:val="15"/>
          <w:szCs w:val="15"/>
          <w:color w:val="auto"/>
        </w:rPr>
        <w:t>Massachusetts</w:t>
      </w:r>
    </w:p>
    <w:p>
      <w:pPr>
        <w:spacing w:after="0"/>
        <w:rPr>
          <w:sz w:val="20"/>
          <w:szCs w:val="20"/>
          <w:color w:val="auto"/>
        </w:rPr>
      </w:pPr>
      <w:r>
        <w:rPr>
          <w:rFonts w:ascii="Courier New" w:cs="Courier New" w:eastAsia="Courier New" w:hAnsi="Courier New"/>
          <w:sz w:val="15"/>
          <w:szCs w:val="15"/>
          <w:color w:val="auto"/>
        </w:rPr>
        <w:t>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Oregon</w:t>
      </w: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New York</w:t>
      </w:r>
    </w:p>
    <w:p>
      <w:pPr>
        <w:sectPr>
          <w:pgSz w:w="11900" w:h="16838" w:orient="portrait"/>
          <w:cols w:equalWidth="0" w:num="2">
            <w:col w:w="5360" w:space="720"/>
            <w:col w:w="4139"/>
          </w:cols>
          <w:pgMar w:left="240" w:top="289" w:right="1440" w:bottom="1440" w:gutter="0" w:footer="0" w:header="0"/>
          <w:type w:val="continuous"/>
        </w:sectPr>
      </w:pPr>
    </w:p>
    <w:bookmarkStart w:id="163" w:name="page164"/>
    <w:bookmarkEnd w:id="163"/>
    <w:p>
      <w:pPr>
        <w:ind w:left="2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8"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RRT of New Jersey, Inc.</w:t>
      </w:r>
    </w:p>
    <w:p>
      <w:pPr>
        <w:spacing w:after="0"/>
        <w:rPr>
          <w:sz w:val="20"/>
          <w:szCs w:val="20"/>
          <w:color w:val="auto"/>
        </w:rPr>
      </w:pPr>
      <w:r>
        <w:rPr>
          <w:rFonts w:ascii="Courier New" w:cs="Courier New" w:eastAsia="Courier New" w:hAnsi="Courier New"/>
          <w:sz w:val="15"/>
          <w:szCs w:val="15"/>
          <w:color w:val="auto"/>
        </w:rPr>
        <w:t>RTS Landfill, Inc.</w:t>
      </w:r>
    </w:p>
    <w:p>
      <w:pPr>
        <w:spacing w:after="0"/>
        <w:rPr>
          <w:sz w:val="20"/>
          <w:szCs w:val="20"/>
          <w:color w:val="auto"/>
        </w:rPr>
      </w:pPr>
      <w:r>
        <w:rPr>
          <w:rFonts w:ascii="Courier New" w:cs="Courier New" w:eastAsia="Courier New" w:hAnsi="Courier New"/>
          <w:sz w:val="15"/>
          <w:szCs w:val="15"/>
          <w:color w:val="auto"/>
        </w:rPr>
        <w:t>Rust Architecture, Inc.</w:t>
      </w:r>
    </w:p>
    <w:p>
      <w:pPr>
        <w:spacing w:after="0" w:line="238" w:lineRule="auto"/>
        <w:rPr>
          <w:sz w:val="20"/>
          <w:szCs w:val="20"/>
          <w:color w:val="auto"/>
        </w:rPr>
      </w:pPr>
      <w:r>
        <w:rPr>
          <w:rFonts w:ascii="Courier New" w:cs="Courier New" w:eastAsia="Courier New" w:hAnsi="Courier New"/>
          <w:sz w:val="15"/>
          <w:szCs w:val="15"/>
          <w:color w:val="auto"/>
        </w:rPr>
        <w:t>Rust Capital Corporation</w:t>
      </w:r>
    </w:p>
    <w:p>
      <w:pPr>
        <w:spacing w:after="0"/>
        <w:rPr>
          <w:sz w:val="20"/>
          <w:szCs w:val="20"/>
          <w:color w:val="auto"/>
        </w:rPr>
      </w:pPr>
      <w:r>
        <w:rPr>
          <w:rFonts w:ascii="Courier New" w:cs="Courier New" w:eastAsia="Courier New" w:hAnsi="Courier New"/>
          <w:sz w:val="15"/>
          <w:szCs w:val="15"/>
          <w:color w:val="auto"/>
        </w:rPr>
        <w:t>Rust China, Inc.</w:t>
      </w:r>
    </w:p>
    <w:p>
      <w:pPr>
        <w:spacing w:after="0"/>
        <w:rPr>
          <w:sz w:val="20"/>
          <w:szCs w:val="20"/>
          <w:color w:val="auto"/>
        </w:rPr>
      </w:pPr>
      <w:r>
        <w:rPr>
          <w:rFonts w:ascii="Courier New" w:cs="Courier New" w:eastAsia="Courier New" w:hAnsi="Courier New"/>
          <w:sz w:val="15"/>
          <w:szCs w:val="15"/>
          <w:color w:val="auto"/>
        </w:rPr>
        <w:t>Rust Engineering &amp; Construction, Inc.</w:t>
      </w:r>
    </w:p>
    <w:p>
      <w:pPr>
        <w:spacing w:after="0" w:line="238" w:lineRule="auto"/>
        <w:rPr>
          <w:sz w:val="20"/>
          <w:szCs w:val="20"/>
          <w:color w:val="auto"/>
        </w:rPr>
      </w:pPr>
      <w:r>
        <w:rPr>
          <w:rFonts w:ascii="Courier New" w:cs="Courier New" w:eastAsia="Courier New" w:hAnsi="Courier New"/>
          <w:sz w:val="15"/>
          <w:szCs w:val="15"/>
          <w:color w:val="auto"/>
        </w:rPr>
        <w:t>Rust International Holdings Inc.</w:t>
      </w:r>
    </w:p>
    <w:p>
      <w:pPr>
        <w:spacing w:after="0"/>
        <w:rPr>
          <w:sz w:val="20"/>
          <w:szCs w:val="20"/>
          <w:color w:val="auto"/>
        </w:rPr>
      </w:pPr>
      <w:r>
        <w:rPr>
          <w:rFonts w:ascii="Courier New" w:cs="Courier New" w:eastAsia="Courier New" w:hAnsi="Courier New"/>
          <w:sz w:val="15"/>
          <w:szCs w:val="15"/>
          <w:color w:val="auto"/>
        </w:rPr>
        <w:t>Rust International Inc.</w:t>
      </w:r>
    </w:p>
    <w:p>
      <w:pPr>
        <w:spacing w:after="0"/>
        <w:rPr>
          <w:sz w:val="20"/>
          <w:szCs w:val="20"/>
          <w:color w:val="auto"/>
        </w:rPr>
      </w:pPr>
      <w:r>
        <w:rPr>
          <w:rFonts w:ascii="Courier New" w:cs="Courier New" w:eastAsia="Courier New" w:hAnsi="Courier New"/>
          <w:sz w:val="15"/>
          <w:szCs w:val="15"/>
          <w:color w:val="auto"/>
        </w:rPr>
        <w:t>S&amp;J Landfill Limited Partnership</w:t>
      </w:r>
    </w:p>
    <w:p>
      <w:pPr>
        <w:spacing w:after="0"/>
        <w:rPr>
          <w:sz w:val="20"/>
          <w:szCs w:val="20"/>
          <w:color w:val="auto"/>
        </w:rPr>
      </w:pPr>
      <w:r>
        <w:rPr>
          <w:rFonts w:ascii="Courier New" w:cs="Courier New" w:eastAsia="Courier New" w:hAnsi="Courier New"/>
          <w:sz w:val="15"/>
          <w:szCs w:val="15"/>
          <w:color w:val="auto"/>
        </w:rPr>
        <w:t>S&amp;S Grading, Inc.</w:t>
      </w:r>
    </w:p>
    <w:p>
      <w:pPr>
        <w:spacing w:after="0" w:line="238" w:lineRule="auto"/>
        <w:rPr>
          <w:sz w:val="20"/>
          <w:szCs w:val="20"/>
          <w:color w:val="auto"/>
        </w:rPr>
      </w:pPr>
      <w:r>
        <w:rPr>
          <w:rFonts w:ascii="Courier New" w:cs="Courier New" w:eastAsia="Courier New" w:hAnsi="Courier New"/>
          <w:sz w:val="15"/>
          <w:szCs w:val="15"/>
          <w:color w:val="auto"/>
        </w:rPr>
        <w:t>S.V. Farming Corporation</w:t>
      </w:r>
    </w:p>
    <w:p>
      <w:pPr>
        <w:spacing w:after="0"/>
        <w:rPr>
          <w:sz w:val="20"/>
          <w:szCs w:val="20"/>
          <w:color w:val="auto"/>
        </w:rPr>
      </w:pPr>
      <w:r>
        <w:rPr>
          <w:rFonts w:ascii="Courier New" w:cs="Courier New" w:eastAsia="Courier New" w:hAnsi="Courier New"/>
          <w:sz w:val="15"/>
          <w:szCs w:val="15"/>
          <w:color w:val="auto"/>
        </w:rPr>
        <w:t>Salinas Disposal Service, Inc.</w:t>
      </w:r>
    </w:p>
    <w:p>
      <w:pPr>
        <w:spacing w:after="0"/>
        <w:rPr>
          <w:sz w:val="20"/>
          <w:szCs w:val="20"/>
          <w:color w:val="auto"/>
        </w:rPr>
      </w:pPr>
      <w:r>
        <w:rPr>
          <w:rFonts w:ascii="Courier New" w:cs="Courier New" w:eastAsia="Courier New" w:hAnsi="Courier New"/>
          <w:sz w:val="15"/>
          <w:szCs w:val="15"/>
          <w:color w:val="auto"/>
        </w:rPr>
        <w:t>Sanifill Arizona Acquisition Corporation</w:t>
      </w:r>
    </w:p>
    <w:p>
      <w:pPr>
        <w:spacing w:after="0" w:line="238" w:lineRule="auto"/>
        <w:rPr>
          <w:sz w:val="20"/>
          <w:szCs w:val="20"/>
          <w:color w:val="auto"/>
        </w:rPr>
      </w:pPr>
      <w:r>
        <w:rPr>
          <w:rFonts w:ascii="Courier New" w:cs="Courier New" w:eastAsia="Courier New" w:hAnsi="Courier New"/>
          <w:sz w:val="15"/>
          <w:szCs w:val="15"/>
          <w:color w:val="auto"/>
        </w:rPr>
        <w:t>Sanifill de Mexico (US), Inc.</w:t>
      </w:r>
    </w:p>
    <w:p>
      <w:pPr>
        <w:spacing w:after="0"/>
        <w:rPr>
          <w:sz w:val="20"/>
          <w:szCs w:val="20"/>
          <w:color w:val="auto"/>
        </w:rPr>
      </w:pPr>
      <w:r>
        <w:rPr>
          <w:rFonts w:ascii="Courier New" w:cs="Courier New" w:eastAsia="Courier New" w:hAnsi="Courier New"/>
          <w:sz w:val="15"/>
          <w:szCs w:val="15"/>
          <w:color w:val="auto"/>
        </w:rPr>
        <w:t>Sanifill de Mexico, S.A. de C.V.</w:t>
      </w:r>
    </w:p>
    <w:p>
      <w:pPr>
        <w:spacing w:after="0"/>
        <w:rPr>
          <w:sz w:val="20"/>
          <w:szCs w:val="20"/>
          <w:color w:val="auto"/>
        </w:rPr>
      </w:pPr>
      <w:r>
        <w:rPr>
          <w:rFonts w:ascii="Courier New" w:cs="Courier New" w:eastAsia="Courier New" w:hAnsi="Courier New"/>
          <w:sz w:val="15"/>
          <w:szCs w:val="15"/>
          <w:color w:val="auto"/>
        </w:rPr>
        <w:t>Sanifill of Florida, Inc.</w:t>
      </w:r>
    </w:p>
    <w:p>
      <w:pPr>
        <w:spacing w:after="0"/>
        <w:rPr>
          <w:sz w:val="20"/>
          <w:szCs w:val="20"/>
          <w:color w:val="auto"/>
        </w:rPr>
      </w:pPr>
      <w:r>
        <w:rPr>
          <w:rFonts w:ascii="Courier New" w:cs="Courier New" w:eastAsia="Courier New" w:hAnsi="Courier New"/>
          <w:sz w:val="15"/>
          <w:szCs w:val="15"/>
          <w:color w:val="auto"/>
        </w:rPr>
        <w:t>Sanifill of San Juan, Inc.</w:t>
      </w:r>
    </w:p>
    <w:p>
      <w:pPr>
        <w:spacing w:after="0" w:line="238" w:lineRule="auto"/>
        <w:rPr>
          <w:sz w:val="20"/>
          <w:szCs w:val="20"/>
          <w:color w:val="auto"/>
        </w:rPr>
      </w:pPr>
      <w:r>
        <w:rPr>
          <w:rFonts w:ascii="Courier New" w:cs="Courier New" w:eastAsia="Courier New" w:hAnsi="Courier New"/>
          <w:sz w:val="15"/>
          <w:szCs w:val="15"/>
          <w:color w:val="auto"/>
        </w:rPr>
        <w:t>Sanifill Power Corporation</w:t>
      </w:r>
    </w:p>
    <w:p>
      <w:pPr>
        <w:spacing w:after="0"/>
        <w:rPr>
          <w:sz w:val="20"/>
          <w:szCs w:val="20"/>
          <w:color w:val="auto"/>
        </w:rPr>
      </w:pPr>
      <w:r>
        <w:rPr>
          <w:rFonts w:ascii="Courier New" w:cs="Courier New" w:eastAsia="Courier New" w:hAnsi="Courier New"/>
          <w:sz w:val="15"/>
          <w:szCs w:val="15"/>
          <w:color w:val="auto"/>
        </w:rPr>
        <w:t>SC Holdings, Inc.</w:t>
      </w:r>
    </w:p>
    <w:p>
      <w:pPr>
        <w:spacing w:after="0"/>
        <w:rPr>
          <w:sz w:val="20"/>
          <w:szCs w:val="20"/>
          <w:color w:val="auto"/>
        </w:rPr>
      </w:pPr>
      <w:r>
        <w:rPr>
          <w:rFonts w:ascii="Courier New" w:cs="Courier New" w:eastAsia="Courier New" w:hAnsi="Courier New"/>
          <w:sz w:val="15"/>
          <w:szCs w:val="15"/>
          <w:color w:val="auto"/>
        </w:rPr>
        <w:t>Serrot International, Inc.</w:t>
      </w:r>
    </w:p>
    <w:p>
      <w:pPr>
        <w:spacing w:after="0" w:line="238" w:lineRule="auto"/>
        <w:rPr>
          <w:sz w:val="20"/>
          <w:szCs w:val="20"/>
          <w:color w:val="auto"/>
        </w:rPr>
      </w:pPr>
      <w:r>
        <w:rPr>
          <w:rFonts w:ascii="Courier New" w:cs="Courier New" w:eastAsia="Courier New" w:hAnsi="Courier New"/>
          <w:sz w:val="15"/>
          <w:szCs w:val="15"/>
          <w:color w:val="auto"/>
        </w:rPr>
        <w:t>SES Bridgeport, L.L.C.</w:t>
      </w:r>
    </w:p>
    <w:p>
      <w:pPr>
        <w:spacing w:after="0"/>
        <w:rPr>
          <w:sz w:val="20"/>
          <w:szCs w:val="20"/>
          <w:color w:val="auto"/>
        </w:rPr>
      </w:pPr>
      <w:r>
        <w:rPr>
          <w:rFonts w:ascii="Courier New" w:cs="Courier New" w:eastAsia="Courier New" w:hAnsi="Courier New"/>
          <w:sz w:val="15"/>
          <w:szCs w:val="15"/>
          <w:color w:val="auto"/>
        </w:rPr>
        <w:t>SES Connecticut Inc.</w:t>
      </w:r>
    </w:p>
    <w:p>
      <w:pPr>
        <w:spacing w:after="0"/>
        <w:rPr>
          <w:sz w:val="20"/>
          <w:szCs w:val="20"/>
          <w:color w:val="auto"/>
        </w:rPr>
      </w:pPr>
      <w:r>
        <w:rPr>
          <w:rFonts w:ascii="Courier New" w:cs="Courier New" w:eastAsia="Courier New" w:hAnsi="Courier New"/>
          <w:sz w:val="15"/>
          <w:szCs w:val="15"/>
          <w:color w:val="auto"/>
        </w:rPr>
        <w:t>SF, Inc.</w:t>
      </w:r>
    </w:p>
    <w:p>
      <w:pPr>
        <w:spacing w:after="0"/>
        <w:rPr>
          <w:sz w:val="20"/>
          <w:szCs w:val="20"/>
          <w:color w:val="auto"/>
        </w:rPr>
      </w:pPr>
      <w:r>
        <w:rPr>
          <w:rFonts w:ascii="Courier New" w:cs="Courier New" w:eastAsia="Courier New" w:hAnsi="Courier New"/>
          <w:sz w:val="15"/>
          <w:szCs w:val="15"/>
          <w:color w:val="auto"/>
        </w:rPr>
        <w:t>Shade Landfill, Inc.</w:t>
      </w:r>
    </w:p>
    <w:p>
      <w:pPr>
        <w:spacing w:after="0" w:line="238" w:lineRule="auto"/>
        <w:rPr>
          <w:sz w:val="20"/>
          <w:szCs w:val="20"/>
          <w:color w:val="auto"/>
        </w:rPr>
      </w:pPr>
      <w:r>
        <w:rPr>
          <w:rFonts w:ascii="Courier New" w:cs="Courier New" w:eastAsia="Courier New" w:hAnsi="Courier New"/>
          <w:sz w:val="15"/>
          <w:szCs w:val="15"/>
          <w:color w:val="auto"/>
        </w:rPr>
        <w:t>Shore Disposal, Inc.</w:t>
      </w:r>
    </w:p>
    <w:p>
      <w:pPr>
        <w:spacing w:after="0"/>
        <w:rPr>
          <w:sz w:val="20"/>
          <w:szCs w:val="20"/>
          <w:color w:val="auto"/>
        </w:rPr>
      </w:pPr>
      <w:r>
        <w:rPr>
          <w:rFonts w:ascii="Courier New" w:cs="Courier New" w:eastAsia="Courier New" w:hAnsi="Courier New"/>
          <w:sz w:val="15"/>
          <w:szCs w:val="15"/>
          <w:color w:val="auto"/>
        </w:rPr>
        <w:t>Shoreline Disposal Service, Inc.</w:t>
      </w:r>
    </w:p>
    <w:p>
      <w:pPr>
        <w:spacing w:after="0"/>
        <w:rPr>
          <w:sz w:val="20"/>
          <w:szCs w:val="20"/>
          <w:color w:val="auto"/>
        </w:rPr>
      </w:pPr>
      <w:r>
        <w:rPr>
          <w:rFonts w:ascii="Courier New" w:cs="Courier New" w:eastAsia="Courier New" w:hAnsi="Courier New"/>
          <w:sz w:val="15"/>
          <w:szCs w:val="15"/>
          <w:color w:val="auto"/>
        </w:rPr>
        <w:t>Sierra Estrella Landfill, Inc.</w:t>
      </w:r>
    </w:p>
    <w:p>
      <w:pPr>
        <w:spacing w:after="0" w:line="238" w:lineRule="auto"/>
        <w:rPr>
          <w:sz w:val="20"/>
          <w:szCs w:val="20"/>
          <w:color w:val="auto"/>
        </w:rPr>
      </w:pPr>
      <w:r>
        <w:rPr>
          <w:rFonts w:ascii="Courier New" w:cs="Courier New" w:eastAsia="Courier New" w:hAnsi="Courier New"/>
          <w:sz w:val="15"/>
          <w:szCs w:val="15"/>
          <w:color w:val="auto"/>
        </w:rPr>
        <w:t>Signal Capital Sherman Station Inc.</w:t>
      </w:r>
    </w:p>
    <w:p>
      <w:pPr>
        <w:spacing w:after="0"/>
        <w:rPr>
          <w:sz w:val="20"/>
          <w:szCs w:val="20"/>
          <w:color w:val="auto"/>
        </w:rPr>
      </w:pPr>
      <w:r>
        <w:rPr>
          <w:rFonts w:ascii="Courier New" w:cs="Courier New" w:eastAsia="Courier New" w:hAnsi="Courier New"/>
          <w:sz w:val="15"/>
          <w:szCs w:val="15"/>
          <w:color w:val="auto"/>
        </w:rPr>
        <w:t>Signal RESCO, Inc.</w:t>
      </w:r>
    </w:p>
    <w:p>
      <w:pPr>
        <w:spacing w:after="0"/>
        <w:rPr>
          <w:sz w:val="20"/>
          <w:szCs w:val="20"/>
          <w:color w:val="auto"/>
        </w:rPr>
      </w:pPr>
      <w:r>
        <w:rPr>
          <w:rFonts w:ascii="Courier New" w:cs="Courier New" w:eastAsia="Courier New" w:hAnsi="Courier New"/>
          <w:sz w:val="15"/>
          <w:szCs w:val="15"/>
          <w:color w:val="auto"/>
        </w:rPr>
        <w:t>Smyrna Landfill, Inc.</w:t>
      </w:r>
    </w:p>
    <w:p>
      <w:pPr>
        <w:spacing w:after="0" w:line="238" w:lineRule="auto"/>
        <w:rPr>
          <w:sz w:val="20"/>
          <w:szCs w:val="20"/>
          <w:color w:val="auto"/>
        </w:rPr>
      </w:pPr>
      <w:r>
        <w:rPr>
          <w:rFonts w:ascii="Courier New" w:cs="Courier New" w:eastAsia="Courier New" w:hAnsi="Courier New"/>
          <w:sz w:val="15"/>
          <w:szCs w:val="15"/>
          <w:color w:val="auto"/>
        </w:rPr>
        <w:t>Sokins Enterprises, Inc.</w:t>
      </w:r>
    </w:p>
    <w:p>
      <w:pPr>
        <w:spacing w:after="0"/>
        <w:rPr>
          <w:sz w:val="20"/>
          <w:szCs w:val="20"/>
          <w:color w:val="auto"/>
        </w:rPr>
      </w:pPr>
      <w:r>
        <w:rPr>
          <w:rFonts w:ascii="Courier New" w:cs="Courier New" w:eastAsia="Courier New" w:hAnsi="Courier New"/>
          <w:sz w:val="15"/>
          <w:szCs w:val="15"/>
          <w:color w:val="auto"/>
        </w:rPr>
        <w:t>Sonoma-Marin Waste Management, Inc.</w:t>
      </w:r>
    </w:p>
    <w:p>
      <w:pPr>
        <w:spacing w:after="0"/>
        <w:rPr>
          <w:sz w:val="20"/>
          <w:szCs w:val="20"/>
          <w:color w:val="auto"/>
        </w:rPr>
      </w:pPr>
      <w:r>
        <w:rPr>
          <w:rFonts w:ascii="Courier New" w:cs="Courier New" w:eastAsia="Courier New" w:hAnsi="Courier New"/>
          <w:sz w:val="15"/>
          <w:szCs w:val="15"/>
          <w:color w:val="auto"/>
        </w:rPr>
        <w:t>Southern Alleghenies Landfill, Inc.</w:t>
      </w:r>
    </w:p>
    <w:p>
      <w:pPr>
        <w:spacing w:after="0"/>
        <w:rPr>
          <w:sz w:val="20"/>
          <w:szCs w:val="20"/>
          <w:color w:val="auto"/>
        </w:rPr>
      </w:pPr>
      <w:r>
        <w:rPr>
          <w:rFonts w:ascii="Courier New" w:cs="Courier New" w:eastAsia="Courier New" w:hAnsi="Courier New"/>
          <w:sz w:val="15"/>
          <w:szCs w:val="15"/>
          <w:color w:val="auto"/>
        </w:rPr>
        <w:t>Southern Plains Landfill, Inc.</w:t>
      </w:r>
    </w:p>
    <w:p>
      <w:pPr>
        <w:spacing w:after="0" w:line="238" w:lineRule="auto"/>
        <w:rPr>
          <w:sz w:val="20"/>
          <w:szCs w:val="20"/>
          <w:color w:val="auto"/>
        </w:rPr>
      </w:pPr>
      <w:r>
        <w:rPr>
          <w:rFonts w:ascii="Courier New" w:cs="Courier New" w:eastAsia="Courier New" w:hAnsi="Courier New"/>
          <w:sz w:val="15"/>
          <w:szCs w:val="15"/>
          <w:color w:val="auto"/>
        </w:rPr>
        <w:t>Southern Waste Services, L.L.C.</w:t>
      </w:r>
    </w:p>
    <w:p>
      <w:pPr>
        <w:spacing w:after="0"/>
        <w:rPr>
          <w:sz w:val="20"/>
          <w:szCs w:val="20"/>
          <w:color w:val="auto"/>
        </w:rPr>
      </w:pPr>
      <w:r>
        <w:rPr>
          <w:rFonts w:ascii="Courier New" w:cs="Courier New" w:eastAsia="Courier New" w:hAnsi="Courier New"/>
          <w:sz w:val="15"/>
          <w:szCs w:val="15"/>
          <w:color w:val="auto"/>
        </w:rPr>
        <w:t>Spruce Ridge, Inc.</w:t>
      </w:r>
    </w:p>
    <w:p>
      <w:pPr>
        <w:spacing w:after="0"/>
        <w:rPr>
          <w:sz w:val="20"/>
          <w:szCs w:val="20"/>
          <w:color w:val="auto"/>
        </w:rPr>
      </w:pPr>
      <w:r>
        <w:rPr>
          <w:rFonts w:ascii="Courier New" w:cs="Courier New" w:eastAsia="Courier New" w:hAnsi="Courier New"/>
          <w:sz w:val="15"/>
          <w:szCs w:val="15"/>
          <w:color w:val="auto"/>
        </w:rPr>
        <w:t>Star Sanitation Services, Inc.</w:t>
      </w:r>
    </w:p>
    <w:p>
      <w:pPr>
        <w:spacing w:after="0" w:line="238" w:lineRule="auto"/>
        <w:rPr>
          <w:sz w:val="20"/>
          <w:szCs w:val="20"/>
          <w:color w:val="auto"/>
        </w:rPr>
      </w:pPr>
      <w:r>
        <w:rPr>
          <w:rFonts w:ascii="Courier New" w:cs="Courier New" w:eastAsia="Courier New" w:hAnsi="Courier New"/>
          <w:sz w:val="15"/>
          <w:szCs w:val="15"/>
          <w:color w:val="auto"/>
        </w:rPr>
        <w:t>Stockton Scavenger Association</w:t>
      </w:r>
    </w:p>
    <w:p>
      <w:pPr>
        <w:spacing w:after="0"/>
        <w:rPr>
          <w:sz w:val="20"/>
          <w:szCs w:val="20"/>
          <w:color w:val="auto"/>
        </w:rPr>
      </w:pPr>
      <w:r>
        <w:rPr>
          <w:rFonts w:ascii="Courier New" w:cs="Courier New" w:eastAsia="Courier New" w:hAnsi="Courier New"/>
          <w:sz w:val="15"/>
          <w:szCs w:val="15"/>
          <w:color w:val="auto"/>
        </w:rPr>
        <w:t>Stony Hollow Landfill, Inc.</w:t>
      </w:r>
    </w:p>
    <w:p>
      <w:pPr>
        <w:spacing w:after="0"/>
        <w:rPr>
          <w:sz w:val="20"/>
          <w:szCs w:val="20"/>
          <w:color w:val="auto"/>
        </w:rPr>
      </w:pPr>
      <w:r>
        <w:rPr>
          <w:rFonts w:ascii="Courier New" w:cs="Courier New" w:eastAsia="Courier New" w:hAnsi="Courier New"/>
          <w:sz w:val="15"/>
          <w:szCs w:val="15"/>
          <w:color w:val="auto"/>
        </w:rPr>
        <w:t>Storey County Sanitation, Inc.</w:t>
      </w:r>
    </w:p>
    <w:p>
      <w:pPr>
        <w:spacing w:after="0"/>
        <w:rPr>
          <w:sz w:val="20"/>
          <w:szCs w:val="20"/>
          <w:color w:val="auto"/>
        </w:rPr>
      </w:pPr>
      <w:r>
        <w:rPr>
          <w:rFonts w:ascii="Courier New" w:cs="Courier New" w:eastAsia="Courier New" w:hAnsi="Courier New"/>
          <w:sz w:val="15"/>
          <w:szCs w:val="15"/>
          <w:color w:val="auto"/>
        </w:rPr>
        <w:t>Suburban Landfill, Inc.</w:t>
      </w:r>
    </w:p>
    <w:p>
      <w:pPr>
        <w:spacing w:after="0" w:line="238" w:lineRule="auto"/>
        <w:rPr>
          <w:sz w:val="20"/>
          <w:szCs w:val="20"/>
          <w:color w:val="auto"/>
        </w:rPr>
      </w:pPr>
      <w:r>
        <w:rPr>
          <w:rFonts w:ascii="Courier New" w:cs="Courier New" w:eastAsia="Courier New" w:hAnsi="Courier New"/>
          <w:sz w:val="15"/>
          <w:szCs w:val="15"/>
          <w:color w:val="auto"/>
        </w:rPr>
        <w:t>Sun Waste Alternatives, Inc.</w:t>
      </w:r>
    </w:p>
    <w:p>
      <w:pPr>
        <w:spacing w:after="0"/>
        <w:rPr>
          <w:sz w:val="20"/>
          <w:szCs w:val="20"/>
          <w:color w:val="auto"/>
        </w:rPr>
      </w:pPr>
      <w:r>
        <w:rPr>
          <w:rFonts w:ascii="Courier New" w:cs="Courier New" w:eastAsia="Courier New" w:hAnsi="Courier New"/>
          <w:sz w:val="15"/>
          <w:szCs w:val="15"/>
          <w:color w:val="auto"/>
        </w:rPr>
        <w:t>Super Cycle, Inc.</w:t>
      </w:r>
    </w:p>
    <w:p>
      <w:pPr>
        <w:spacing w:after="0"/>
        <w:rPr>
          <w:sz w:val="20"/>
          <w:szCs w:val="20"/>
          <w:color w:val="auto"/>
        </w:rPr>
      </w:pPr>
      <w:r>
        <w:rPr>
          <w:rFonts w:ascii="Courier New" w:cs="Courier New" w:eastAsia="Courier New" w:hAnsi="Courier New"/>
          <w:sz w:val="15"/>
          <w:szCs w:val="15"/>
          <w:color w:val="auto"/>
        </w:rPr>
        <w:t>T. R. Walters Investments, Inc.</w:t>
      </w:r>
    </w:p>
    <w:p>
      <w:pPr>
        <w:spacing w:after="0" w:line="238" w:lineRule="auto"/>
        <w:rPr>
          <w:sz w:val="20"/>
          <w:szCs w:val="20"/>
          <w:color w:val="auto"/>
        </w:rPr>
      </w:pPr>
      <w:r>
        <w:rPr>
          <w:rFonts w:ascii="Courier New" w:cs="Courier New" w:eastAsia="Courier New" w:hAnsi="Courier New"/>
          <w:sz w:val="15"/>
          <w:szCs w:val="15"/>
          <w:color w:val="auto"/>
        </w:rPr>
        <w:t>The Waste Management Charitable Foundation</w:t>
      </w:r>
    </w:p>
    <w:p>
      <w:pPr>
        <w:spacing w:after="0"/>
        <w:rPr>
          <w:sz w:val="20"/>
          <w:szCs w:val="20"/>
          <w:color w:val="auto"/>
        </w:rPr>
      </w:pPr>
      <w:r>
        <w:rPr>
          <w:rFonts w:ascii="Courier New" w:cs="Courier New" w:eastAsia="Courier New" w:hAnsi="Courier New"/>
          <w:sz w:val="15"/>
          <w:szCs w:val="15"/>
          <w:color w:val="auto"/>
        </w:rPr>
        <w:t>The Woodlands of Van Buren, Inc.</w:t>
      </w:r>
    </w:p>
    <w:p>
      <w:pPr>
        <w:spacing w:after="0"/>
        <w:rPr>
          <w:sz w:val="20"/>
          <w:szCs w:val="20"/>
          <w:color w:val="auto"/>
        </w:rPr>
      </w:pPr>
      <w:r>
        <w:rPr>
          <w:rFonts w:ascii="Courier New" w:cs="Courier New" w:eastAsia="Courier New" w:hAnsi="Courier New"/>
          <w:sz w:val="15"/>
          <w:szCs w:val="15"/>
          <w:color w:val="auto"/>
        </w:rPr>
        <w:t>Three River Disposal, Inc.</w:t>
      </w:r>
    </w:p>
    <w:p>
      <w:pPr>
        <w:spacing w:after="0"/>
        <w:rPr>
          <w:sz w:val="20"/>
          <w:szCs w:val="20"/>
          <w:color w:val="auto"/>
        </w:rPr>
      </w:pPr>
      <w:r>
        <w:rPr>
          <w:rFonts w:ascii="Courier New" w:cs="Courier New" w:eastAsia="Courier New" w:hAnsi="Courier New"/>
          <w:sz w:val="15"/>
          <w:szCs w:val="15"/>
          <w:color w:val="auto"/>
        </w:rPr>
        <w:t>TNT Sands, Inc.</w:t>
      </w:r>
    </w:p>
    <w:p>
      <w:pPr>
        <w:spacing w:after="0" w:line="238" w:lineRule="auto"/>
        <w:rPr>
          <w:sz w:val="20"/>
          <w:szCs w:val="20"/>
          <w:color w:val="auto"/>
        </w:rPr>
      </w:pPr>
      <w:r>
        <w:rPr>
          <w:rFonts w:ascii="Courier New" w:cs="Courier New" w:eastAsia="Courier New" w:hAnsi="Courier New"/>
          <w:sz w:val="15"/>
          <w:szCs w:val="15"/>
          <w:color w:val="auto"/>
        </w:rPr>
        <w:t>Tonitown Landfill, Inc.</w:t>
      </w:r>
    </w:p>
    <w:p>
      <w:pPr>
        <w:spacing w:after="0"/>
        <w:rPr>
          <w:sz w:val="20"/>
          <w:szCs w:val="20"/>
          <w:color w:val="auto"/>
        </w:rPr>
      </w:pPr>
      <w:r>
        <w:rPr>
          <w:rFonts w:ascii="Courier New" w:cs="Courier New" w:eastAsia="Courier New" w:hAnsi="Courier New"/>
          <w:sz w:val="15"/>
          <w:szCs w:val="15"/>
          <w:color w:val="auto"/>
        </w:rPr>
        <w:t>Town and Country Refuse, Inc.</w:t>
      </w:r>
    </w:p>
    <w:p>
      <w:pPr>
        <w:spacing w:after="0"/>
        <w:rPr>
          <w:sz w:val="20"/>
          <w:szCs w:val="20"/>
          <w:color w:val="auto"/>
        </w:rPr>
      </w:pPr>
      <w:r>
        <w:rPr>
          <w:rFonts w:ascii="Courier New" w:cs="Courier New" w:eastAsia="Courier New" w:hAnsi="Courier New"/>
          <w:sz w:val="15"/>
          <w:szCs w:val="15"/>
          <w:color w:val="auto"/>
        </w:rPr>
        <w:t>Trail Ridge Landfill, Inc.</w:t>
      </w:r>
    </w:p>
    <w:p>
      <w:pPr>
        <w:spacing w:after="0" w:line="238" w:lineRule="auto"/>
        <w:rPr>
          <w:sz w:val="20"/>
          <w:szCs w:val="20"/>
          <w:color w:val="auto"/>
        </w:rPr>
      </w:pPr>
      <w:r>
        <w:rPr>
          <w:rFonts w:ascii="Courier New" w:cs="Courier New" w:eastAsia="Courier New" w:hAnsi="Courier New"/>
          <w:sz w:val="15"/>
          <w:szCs w:val="15"/>
          <w:color w:val="auto"/>
        </w:rPr>
        <w:t>TransAmerican Waste Central Landfill,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TransAmerican Waste Industries Southeast,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TransAmerican Waste Industries, Inc.</w:t>
      </w:r>
    </w:p>
    <w:p>
      <w:pPr>
        <w:spacing w:after="0"/>
        <w:rPr>
          <w:sz w:val="20"/>
          <w:szCs w:val="20"/>
          <w:color w:val="auto"/>
        </w:rPr>
      </w:pPr>
      <w:r>
        <w:rPr>
          <w:rFonts w:ascii="Courier New" w:cs="Courier New" w:eastAsia="Courier New" w:hAnsi="Courier New"/>
          <w:sz w:val="15"/>
          <w:szCs w:val="15"/>
          <w:color w:val="auto"/>
        </w:rPr>
        <w:t>TransWaste, Inc.</w:t>
      </w:r>
    </w:p>
    <w:p>
      <w:pPr>
        <w:spacing w:after="0"/>
        <w:rPr>
          <w:sz w:val="20"/>
          <w:szCs w:val="20"/>
          <w:color w:val="auto"/>
        </w:rPr>
      </w:pPr>
      <w:r>
        <w:rPr>
          <w:rFonts w:ascii="Courier New" w:cs="Courier New" w:eastAsia="Courier New" w:hAnsi="Courier New"/>
          <w:sz w:val="15"/>
          <w:szCs w:val="15"/>
          <w:color w:val="auto"/>
        </w:rPr>
        <w:t>Trash Hunters of Tunica,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Texas</w:t>
      </w:r>
    </w:p>
    <w:p>
      <w:pPr>
        <w:spacing w:after="0"/>
        <w:rPr>
          <w:sz w:val="20"/>
          <w:szCs w:val="20"/>
          <w:color w:val="auto"/>
        </w:rPr>
      </w:pPr>
      <w:r>
        <w:rPr>
          <w:rFonts w:ascii="Courier New" w:cs="Courier New" w:eastAsia="Courier New" w:hAnsi="Courier New"/>
          <w:sz w:val="15"/>
          <w:szCs w:val="15"/>
          <w:color w:val="auto"/>
        </w:rPr>
        <w:t>West Virginia</w:t>
      </w:r>
    </w:p>
    <w:p>
      <w:pPr>
        <w:spacing w:after="0" w:line="238" w:lineRule="auto"/>
        <w:rPr>
          <w:sz w:val="20"/>
          <w:szCs w:val="20"/>
          <w:color w:val="auto"/>
        </w:rPr>
      </w:pPr>
      <w:r>
        <w:rPr>
          <w:rFonts w:ascii="Courier New" w:cs="Courier New" w:eastAsia="Courier New" w:hAnsi="Courier New"/>
          <w:sz w:val="15"/>
          <w:szCs w:val="15"/>
          <w:color w:val="auto"/>
        </w:rPr>
        <w:t>New Jersey</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Mexico</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Puerto Rico</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Illinois</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Virginia</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Arizona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Georgia</w:t>
      </w:r>
    </w:p>
    <w:p>
      <w:pPr>
        <w:spacing w:after="0" w:line="238" w:lineRule="auto"/>
        <w:rPr>
          <w:sz w:val="20"/>
          <w:szCs w:val="20"/>
          <w:color w:val="auto"/>
        </w:rPr>
      </w:pPr>
      <w:r>
        <w:rPr>
          <w:rFonts w:ascii="Courier New" w:cs="Courier New" w:eastAsia="Courier New" w:hAnsi="Courier New"/>
          <w:sz w:val="15"/>
          <w:szCs w:val="15"/>
          <w:color w:val="auto"/>
        </w:rPr>
        <w:t>Arizona</w:t>
      </w: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Pennsylvania</w:t>
      </w:r>
    </w:p>
    <w:p>
      <w:pPr>
        <w:spacing w:after="0"/>
        <w:rPr>
          <w:sz w:val="20"/>
          <w:szCs w:val="20"/>
          <w:color w:val="auto"/>
        </w:rPr>
      </w:pPr>
      <w:r>
        <w:rPr>
          <w:rFonts w:ascii="Courier New" w:cs="Courier New" w:eastAsia="Courier New" w:hAnsi="Courier New"/>
          <w:sz w:val="15"/>
          <w:szCs w:val="15"/>
          <w:color w:val="auto"/>
        </w:rPr>
        <w:t>Oklahoma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Alaska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Nevada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Montana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Louisiana</w:t>
      </w:r>
    </w:p>
    <w:p>
      <w:pPr>
        <w:spacing w:after="0"/>
        <w:rPr>
          <w:sz w:val="20"/>
          <w:szCs w:val="20"/>
          <w:color w:val="auto"/>
        </w:rPr>
      </w:pPr>
      <w:r>
        <w:rPr>
          <w:rFonts w:ascii="Courier New" w:cs="Courier New" w:eastAsia="Courier New" w:hAnsi="Courier New"/>
          <w:sz w:val="15"/>
          <w:szCs w:val="15"/>
          <w:color w:val="auto"/>
        </w:rPr>
        <w:t>Mississippi</w:t>
      </w:r>
    </w:p>
    <w:p>
      <w:pPr>
        <w:sectPr>
          <w:pgSz w:w="11900" w:h="16838" w:orient="portrait"/>
          <w:cols w:equalWidth="0" w:num="2">
            <w:col w:w="5360" w:space="720"/>
            <w:col w:w="4139"/>
          </w:cols>
          <w:pgMar w:left="240" w:top="288" w:right="1440" w:bottom="1440" w:gutter="0" w:footer="0" w:header="0"/>
          <w:type w:val="continuous"/>
        </w:sectPr>
      </w:pPr>
    </w:p>
    <w:bookmarkStart w:id="164" w:name="page165"/>
    <w:bookmarkEnd w:id="164"/>
    <w:tbl>
      <w:tblPr>
        <w:tblLayout w:type="fixed"/>
        <w:tblInd w:w="0" w:type="dxa"/>
        <w:tblCellMar>
          <w:top w:w="0" w:type="dxa"/>
          <w:left w:w="0" w:type="dxa"/>
          <w:bottom w:w="0" w:type="dxa"/>
          <w:right w:w="0" w:type="dxa"/>
        </w:tblCellMar>
      </w:tblPr>
      <w:tr>
        <w:trPr>
          <w:trHeight w:val="170"/>
        </w:trPr>
        <w:tc>
          <w:tcPr>
            <w:tcW w:w="8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43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678"/>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Trash Hunters,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Mississippi</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Tri-County Sanitary Landfill, L.L.C.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Twin City</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Sanitation,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Systems Leasing,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Michigan</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Systems of Gardner,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Massachusetts</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Systems of Minneapolis,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Systems of Minnesota,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Systems,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Transfer,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South</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Hills Landfill,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USA Valley Facility,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Pennsylvania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 Management Resources, LLC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New York</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Geneva Landfill,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Industrial Services,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Landfill Operations and Transfer,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Texas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Alaska,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California,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DC,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w w:val="96"/>
              </w:rPr>
              <w:t>District of Columbia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Kentucky, L.L.C.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Maryland,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Maryland</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Minnesota,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Mississippi,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Mississippi</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New York City,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Pennsylvania, LLC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San Antonio Landfill,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Texas Landfills,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Virginia Landfills,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of Virginia,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Virginia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Services North Carolina Landfills,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Services of Nevada,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Nevada</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Services of NYC, Inc.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USA Waste</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Services-Hickory Hills, L.L.C.</w:t>
            </w:r>
          </w:p>
        </w:tc>
        <w:tc>
          <w:tcPr>
            <w:tcW w:w="264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UWS Barre,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w w:val="95"/>
              </w:rPr>
              <w:t>Massachusetts</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UWSI</w:t>
            </w:r>
          </w:p>
        </w:tc>
        <w:tc>
          <w:tcPr>
            <w:tcW w:w="4900" w:type="dxa"/>
            <w:vAlign w:val="bottom"/>
          </w:tcPr>
          <w:p>
            <w:pPr>
              <w:ind w:left="60"/>
              <w:spacing w:after="0"/>
              <w:rPr>
                <w:sz w:val="20"/>
                <w:szCs w:val="20"/>
                <w:color w:val="auto"/>
              </w:rPr>
            </w:pPr>
            <w:r>
              <w:rPr>
                <w:rFonts w:ascii="Courier New" w:cs="Courier New" w:eastAsia="Courier New" w:hAnsi="Courier New"/>
                <w:sz w:val="15"/>
                <w:szCs w:val="15"/>
                <w:color w:val="auto"/>
              </w:rPr>
              <w:t>GI Industries Acquisition Corporation</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VAI</w:t>
            </w:r>
          </w:p>
        </w:tc>
        <w:tc>
          <w:tcPr>
            <w:tcW w:w="4900" w:type="dxa"/>
            <w:vAlign w:val="bottom"/>
          </w:tcPr>
          <w:p>
            <w:pPr>
              <w:ind w:left="60"/>
              <w:spacing w:after="0"/>
              <w:rPr>
                <w:sz w:val="20"/>
                <w:szCs w:val="20"/>
                <w:color w:val="auto"/>
              </w:rPr>
            </w:pPr>
            <w:r>
              <w:rPr>
                <w:rFonts w:ascii="Courier New" w:cs="Courier New" w:eastAsia="Courier New" w:hAnsi="Courier New"/>
                <w:sz w:val="15"/>
                <w:szCs w:val="15"/>
                <w:color w:val="auto"/>
              </w:rPr>
              <w:t>VA Projekt AS</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Sweden</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Valley Garbage and Rubbish Company,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Van Handel Disposal,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Wisconsin</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VAR Projekt A/S</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Sweden</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Vern's Refuse Service,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North Dakota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VHG,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Vickery Environmental,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Voyageur Disposal Processing,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Voyageur Leasing,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Voyageur Services,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Warner Company</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Wasco Landfill,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Wasilla Refuse,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Alaska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Away Group,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Alabama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Control Systems,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Minnesota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(W.M.) Israel Ltd.</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Israel</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Arizona Landfills,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Asia B.V.</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Netherlands</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Austria mbH</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Austria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Collection and Recycling,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California</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Development B.V.</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Netherlands</w:t>
            </w: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Disposal Services of Arizona, Inc.</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Delaware</w:t>
            </w:r>
          </w:p>
        </w:tc>
      </w:tr>
    </w:tbl>
    <w:p>
      <w:pPr>
        <w:sectPr>
          <w:pgSz w:w="11900" w:h="16838" w:orient="portrait"/>
          <w:cols w:equalWidth="0" w:num="1">
            <w:col w:w="10219"/>
          </w:cols>
          <w:pgMar w:left="240" w:top="283"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8"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Disposal Services of Colorado, Inc.</w:t>
      </w:r>
    </w:p>
    <w:p>
      <w:pPr>
        <w:spacing w:after="0"/>
        <w:rPr>
          <w:sz w:val="20"/>
          <w:szCs w:val="20"/>
          <w:color w:val="auto"/>
        </w:rPr>
      </w:pPr>
      <w:r>
        <w:rPr>
          <w:rFonts w:ascii="Courier New" w:cs="Courier New" w:eastAsia="Courier New" w:hAnsi="Courier New"/>
          <w:sz w:val="15"/>
          <w:szCs w:val="15"/>
          <w:color w:val="auto"/>
        </w:rPr>
        <w:t>Waste Management Disposal Services of Maine, Inc.</w:t>
      </w:r>
    </w:p>
    <w:p>
      <w:pPr>
        <w:spacing w:after="0"/>
        <w:rPr>
          <w:sz w:val="20"/>
          <w:szCs w:val="20"/>
          <w:color w:val="auto"/>
        </w:rPr>
      </w:pPr>
      <w:r>
        <w:rPr>
          <w:rFonts w:ascii="Courier New" w:cs="Courier New" w:eastAsia="Courier New" w:hAnsi="Courier New"/>
          <w:sz w:val="15"/>
          <w:szCs w:val="15"/>
          <w:color w:val="auto"/>
        </w:rPr>
        <w:t>Waste Management Disposal Services of Maryland, Inc.</w:t>
      </w:r>
    </w:p>
    <w:p>
      <w:pPr>
        <w:spacing w:after="0" w:line="238" w:lineRule="auto"/>
        <w:rPr>
          <w:sz w:val="20"/>
          <w:szCs w:val="20"/>
          <w:color w:val="auto"/>
        </w:rPr>
      </w:pPr>
      <w:r>
        <w:rPr>
          <w:rFonts w:ascii="Courier New" w:cs="Courier New" w:eastAsia="Courier New" w:hAnsi="Courier New"/>
          <w:sz w:val="15"/>
          <w:szCs w:val="15"/>
          <w:color w:val="auto"/>
        </w:rPr>
        <w:t>Waste Management Disposal Services of Massachusetts, Inc.</w:t>
      </w:r>
    </w:p>
    <w:p>
      <w:pPr>
        <w:spacing w:after="0"/>
        <w:rPr>
          <w:sz w:val="20"/>
          <w:szCs w:val="20"/>
          <w:color w:val="auto"/>
        </w:rPr>
      </w:pPr>
      <w:r>
        <w:rPr>
          <w:rFonts w:ascii="Courier New" w:cs="Courier New" w:eastAsia="Courier New" w:hAnsi="Courier New"/>
          <w:sz w:val="15"/>
          <w:szCs w:val="15"/>
          <w:color w:val="auto"/>
        </w:rPr>
        <w:t>Waste Management Disposal Services of Oregon, Inc.</w:t>
      </w:r>
    </w:p>
    <w:p>
      <w:pPr>
        <w:spacing w:after="0"/>
        <w:rPr>
          <w:sz w:val="20"/>
          <w:szCs w:val="20"/>
          <w:color w:val="auto"/>
        </w:rPr>
      </w:pPr>
      <w:r>
        <w:rPr>
          <w:rFonts w:ascii="Courier New" w:cs="Courier New" w:eastAsia="Courier New" w:hAnsi="Courier New"/>
          <w:sz w:val="15"/>
          <w:szCs w:val="15"/>
          <w:color w:val="auto"/>
        </w:rPr>
        <w:t>Waste Management Disposal Services of Pennsylvania, Inc.</w:t>
      </w:r>
    </w:p>
    <w:p>
      <w:pPr>
        <w:spacing w:after="0" w:line="238" w:lineRule="auto"/>
        <w:rPr>
          <w:sz w:val="20"/>
          <w:szCs w:val="20"/>
          <w:color w:val="auto"/>
        </w:rPr>
      </w:pPr>
      <w:r>
        <w:rPr>
          <w:rFonts w:ascii="Courier New" w:cs="Courier New" w:eastAsia="Courier New" w:hAnsi="Courier New"/>
          <w:sz w:val="15"/>
          <w:szCs w:val="15"/>
          <w:color w:val="auto"/>
        </w:rPr>
        <w:t>Waste Management Disposal Services of Virginia, Inc.</w:t>
      </w:r>
    </w:p>
    <w:p>
      <w:pPr>
        <w:spacing w:after="0"/>
        <w:rPr>
          <w:sz w:val="20"/>
          <w:szCs w:val="20"/>
          <w:color w:val="auto"/>
        </w:rPr>
      </w:pPr>
      <w:r>
        <w:rPr>
          <w:rFonts w:ascii="Courier New" w:cs="Courier New" w:eastAsia="Courier New" w:hAnsi="Courier New"/>
          <w:sz w:val="15"/>
          <w:szCs w:val="15"/>
          <w:color w:val="auto"/>
        </w:rPr>
        <w:t>Waste Management Disposal Services of Washington, Inc.</w:t>
      </w:r>
    </w:p>
    <w:p>
      <w:pPr>
        <w:spacing w:after="0"/>
        <w:rPr>
          <w:sz w:val="20"/>
          <w:szCs w:val="20"/>
          <w:color w:val="auto"/>
        </w:rPr>
      </w:pPr>
      <w:r>
        <w:rPr>
          <w:rFonts w:ascii="Courier New" w:cs="Courier New" w:eastAsia="Courier New" w:hAnsi="Courier New"/>
          <w:sz w:val="15"/>
          <w:szCs w:val="15"/>
          <w:color w:val="auto"/>
        </w:rPr>
        <w:t>Waste Management Environmental Services B.V.</w:t>
      </w:r>
    </w:p>
    <w:p>
      <w:pPr>
        <w:spacing w:after="0"/>
        <w:rPr>
          <w:sz w:val="20"/>
          <w:szCs w:val="20"/>
          <w:color w:val="auto"/>
        </w:rPr>
      </w:pPr>
      <w:r>
        <w:rPr>
          <w:rFonts w:ascii="Courier New" w:cs="Courier New" w:eastAsia="Courier New" w:hAnsi="Courier New"/>
          <w:sz w:val="15"/>
          <w:szCs w:val="15"/>
          <w:color w:val="auto"/>
        </w:rPr>
        <w:t>Waste Management Environmental, L.L.C.</w:t>
      </w:r>
    </w:p>
    <w:p>
      <w:pPr>
        <w:spacing w:after="0" w:line="238" w:lineRule="auto"/>
        <w:rPr>
          <w:sz w:val="20"/>
          <w:szCs w:val="20"/>
          <w:color w:val="auto"/>
        </w:rPr>
      </w:pPr>
      <w:r>
        <w:rPr>
          <w:rFonts w:ascii="Courier New" w:cs="Courier New" w:eastAsia="Courier New" w:hAnsi="Courier New"/>
          <w:sz w:val="15"/>
          <w:szCs w:val="15"/>
          <w:color w:val="auto"/>
        </w:rPr>
        <w:t>Waste Management Financing Corporation</w:t>
      </w:r>
    </w:p>
    <w:p>
      <w:pPr>
        <w:spacing w:after="0"/>
        <w:rPr>
          <w:sz w:val="20"/>
          <w:szCs w:val="20"/>
          <w:color w:val="auto"/>
        </w:rPr>
      </w:pPr>
      <w:r>
        <w:rPr>
          <w:rFonts w:ascii="Courier New" w:cs="Courier New" w:eastAsia="Courier New" w:hAnsi="Courier New"/>
          <w:sz w:val="15"/>
          <w:szCs w:val="15"/>
          <w:color w:val="auto"/>
        </w:rPr>
        <w:t>Waste Management Holdings, Inc</w:t>
      </w:r>
    </w:p>
    <w:p>
      <w:pPr>
        <w:spacing w:after="0"/>
        <w:rPr>
          <w:sz w:val="20"/>
          <w:szCs w:val="20"/>
          <w:color w:val="auto"/>
        </w:rPr>
      </w:pPr>
      <w:r>
        <w:rPr>
          <w:rFonts w:ascii="Courier New" w:cs="Courier New" w:eastAsia="Courier New" w:hAnsi="Courier New"/>
          <w:sz w:val="15"/>
          <w:szCs w:val="15"/>
          <w:color w:val="auto"/>
        </w:rPr>
        <w:t>Waste Management Inc. of Florida</w:t>
      </w:r>
    </w:p>
    <w:p>
      <w:pPr>
        <w:spacing w:after="0" w:line="238" w:lineRule="auto"/>
        <w:rPr>
          <w:sz w:val="20"/>
          <w:szCs w:val="20"/>
          <w:color w:val="auto"/>
        </w:rPr>
      </w:pPr>
      <w:r>
        <w:rPr>
          <w:rFonts w:ascii="Courier New" w:cs="Courier New" w:eastAsia="Courier New" w:hAnsi="Courier New"/>
          <w:sz w:val="15"/>
          <w:szCs w:val="15"/>
          <w:color w:val="auto"/>
        </w:rPr>
        <w:t>Waste Management International B.V.</w:t>
      </w:r>
    </w:p>
    <w:p>
      <w:pPr>
        <w:spacing w:after="0"/>
        <w:rPr>
          <w:sz w:val="20"/>
          <w:szCs w:val="20"/>
          <w:color w:val="auto"/>
        </w:rPr>
      </w:pPr>
      <w:r>
        <w:rPr>
          <w:rFonts w:ascii="Courier New" w:cs="Courier New" w:eastAsia="Courier New" w:hAnsi="Courier New"/>
          <w:sz w:val="15"/>
          <w:szCs w:val="15"/>
          <w:color w:val="auto"/>
        </w:rPr>
        <w:t>Waste Management International Ltd.</w:t>
      </w:r>
    </w:p>
    <w:p>
      <w:pPr>
        <w:spacing w:after="0"/>
        <w:rPr>
          <w:sz w:val="20"/>
          <w:szCs w:val="20"/>
          <w:color w:val="auto"/>
        </w:rPr>
      </w:pPr>
      <w:r>
        <w:rPr>
          <w:rFonts w:ascii="Courier New" w:cs="Courier New" w:eastAsia="Courier New" w:hAnsi="Courier New"/>
          <w:sz w:val="15"/>
          <w:szCs w:val="15"/>
          <w:color w:val="auto"/>
        </w:rPr>
        <w:t>Waste Management International, Inc.</w:t>
      </w:r>
    </w:p>
    <w:p>
      <w:pPr>
        <w:spacing w:after="0"/>
        <w:rPr>
          <w:sz w:val="20"/>
          <w:szCs w:val="20"/>
          <w:color w:val="auto"/>
        </w:rPr>
      </w:pPr>
      <w:r>
        <w:rPr>
          <w:rFonts w:ascii="Courier New" w:cs="Courier New" w:eastAsia="Courier New" w:hAnsi="Courier New"/>
          <w:sz w:val="15"/>
          <w:szCs w:val="15"/>
          <w:color w:val="auto"/>
        </w:rPr>
        <w:t>Waste Management International Services (UK) Limited</w:t>
      </w:r>
    </w:p>
    <w:p>
      <w:pPr>
        <w:spacing w:after="0" w:line="238" w:lineRule="auto"/>
        <w:rPr>
          <w:sz w:val="20"/>
          <w:szCs w:val="20"/>
          <w:color w:val="auto"/>
        </w:rPr>
      </w:pPr>
      <w:r>
        <w:rPr>
          <w:rFonts w:ascii="Courier New" w:cs="Courier New" w:eastAsia="Courier New" w:hAnsi="Courier New"/>
          <w:sz w:val="15"/>
          <w:szCs w:val="15"/>
          <w:color w:val="auto"/>
        </w:rPr>
        <w:t>Waste Management Municipal Services of California, Inc.</w:t>
      </w:r>
    </w:p>
    <w:p>
      <w:pPr>
        <w:spacing w:after="0"/>
        <w:rPr>
          <w:sz w:val="20"/>
          <w:szCs w:val="20"/>
          <w:color w:val="auto"/>
        </w:rPr>
      </w:pPr>
      <w:r>
        <w:rPr>
          <w:rFonts w:ascii="Courier New" w:cs="Courier New" w:eastAsia="Courier New" w:hAnsi="Courier New"/>
          <w:sz w:val="15"/>
          <w:szCs w:val="15"/>
          <w:color w:val="auto"/>
        </w:rPr>
        <w:t>Waste Management New England Environmental Transport, Inc.</w:t>
      </w:r>
    </w:p>
    <w:p>
      <w:pPr>
        <w:spacing w:after="0"/>
        <w:rPr>
          <w:sz w:val="20"/>
          <w:szCs w:val="20"/>
          <w:color w:val="auto"/>
        </w:rPr>
      </w:pPr>
      <w:r>
        <w:rPr>
          <w:rFonts w:ascii="Courier New" w:cs="Courier New" w:eastAsia="Courier New" w:hAnsi="Courier New"/>
          <w:sz w:val="15"/>
          <w:szCs w:val="15"/>
          <w:color w:val="auto"/>
        </w:rPr>
        <w:t>Waste Management of Almeda County, Inc.</w:t>
      </w:r>
    </w:p>
    <w:p>
      <w:pPr>
        <w:spacing w:after="0" w:line="238" w:lineRule="auto"/>
        <w:rPr>
          <w:sz w:val="20"/>
          <w:szCs w:val="20"/>
          <w:color w:val="auto"/>
        </w:rPr>
      </w:pPr>
      <w:r>
        <w:rPr>
          <w:rFonts w:ascii="Courier New" w:cs="Courier New" w:eastAsia="Courier New" w:hAnsi="Courier New"/>
          <w:sz w:val="15"/>
          <w:szCs w:val="15"/>
          <w:color w:val="auto"/>
        </w:rPr>
        <w:t>Waste Management of Arizona, Inc.</w:t>
      </w:r>
    </w:p>
    <w:p>
      <w:pPr>
        <w:spacing w:after="0"/>
        <w:rPr>
          <w:sz w:val="20"/>
          <w:szCs w:val="20"/>
          <w:color w:val="auto"/>
        </w:rPr>
      </w:pPr>
      <w:r>
        <w:rPr>
          <w:rFonts w:ascii="Courier New" w:cs="Courier New" w:eastAsia="Courier New" w:hAnsi="Courier New"/>
          <w:sz w:val="15"/>
          <w:szCs w:val="15"/>
          <w:color w:val="auto"/>
        </w:rPr>
        <w:t>Waste Management of Arkansas, Inc</w:t>
      </w:r>
    </w:p>
    <w:p>
      <w:pPr>
        <w:spacing w:after="0"/>
        <w:rPr>
          <w:sz w:val="20"/>
          <w:szCs w:val="20"/>
          <w:color w:val="auto"/>
        </w:rPr>
      </w:pPr>
      <w:r>
        <w:rPr>
          <w:rFonts w:ascii="Courier New" w:cs="Courier New" w:eastAsia="Courier New" w:hAnsi="Courier New"/>
          <w:sz w:val="15"/>
          <w:szCs w:val="15"/>
          <w:color w:val="auto"/>
        </w:rPr>
        <w:t>Waste Management of California, Inc.</w:t>
      </w:r>
    </w:p>
    <w:p>
      <w:pPr>
        <w:spacing w:after="0"/>
        <w:rPr>
          <w:sz w:val="20"/>
          <w:szCs w:val="20"/>
          <w:color w:val="auto"/>
        </w:rPr>
      </w:pPr>
      <w:r>
        <w:rPr>
          <w:rFonts w:ascii="Courier New" w:cs="Courier New" w:eastAsia="Courier New" w:hAnsi="Courier New"/>
          <w:sz w:val="15"/>
          <w:szCs w:val="15"/>
          <w:color w:val="auto"/>
        </w:rPr>
        <w:t>Waste Management of Carolinas, Inc.</w:t>
      </w:r>
    </w:p>
    <w:p>
      <w:pPr>
        <w:spacing w:after="0" w:line="238" w:lineRule="auto"/>
        <w:rPr>
          <w:sz w:val="20"/>
          <w:szCs w:val="20"/>
          <w:color w:val="auto"/>
        </w:rPr>
      </w:pPr>
      <w:r>
        <w:rPr>
          <w:rFonts w:ascii="Courier New" w:cs="Courier New" w:eastAsia="Courier New" w:hAnsi="Courier New"/>
          <w:sz w:val="15"/>
          <w:szCs w:val="15"/>
          <w:color w:val="auto"/>
        </w:rPr>
        <w:t>Waste Management of Central Florida, Inc.</w:t>
      </w:r>
    </w:p>
    <w:p>
      <w:pPr>
        <w:spacing w:after="0"/>
        <w:rPr>
          <w:sz w:val="20"/>
          <w:szCs w:val="20"/>
          <w:color w:val="auto"/>
        </w:rPr>
      </w:pPr>
      <w:r>
        <w:rPr>
          <w:rFonts w:ascii="Courier New" w:cs="Courier New" w:eastAsia="Courier New" w:hAnsi="Courier New"/>
          <w:sz w:val="15"/>
          <w:szCs w:val="15"/>
          <w:color w:val="auto"/>
        </w:rPr>
        <w:t>Waste Management of Colorado, Inc.</w:t>
      </w:r>
    </w:p>
    <w:p>
      <w:pPr>
        <w:spacing w:after="0"/>
        <w:rPr>
          <w:sz w:val="20"/>
          <w:szCs w:val="20"/>
          <w:color w:val="auto"/>
        </w:rPr>
      </w:pPr>
      <w:r>
        <w:rPr>
          <w:rFonts w:ascii="Courier New" w:cs="Courier New" w:eastAsia="Courier New" w:hAnsi="Courier New"/>
          <w:sz w:val="15"/>
          <w:szCs w:val="15"/>
          <w:color w:val="auto"/>
        </w:rPr>
        <w:t>Waste Management of Connecticut, Inc.</w:t>
      </w:r>
    </w:p>
    <w:p>
      <w:pPr>
        <w:spacing w:after="0" w:line="238" w:lineRule="auto"/>
        <w:rPr>
          <w:sz w:val="20"/>
          <w:szCs w:val="20"/>
          <w:color w:val="auto"/>
        </w:rPr>
      </w:pPr>
      <w:r>
        <w:rPr>
          <w:rFonts w:ascii="Courier New" w:cs="Courier New" w:eastAsia="Courier New" w:hAnsi="Courier New"/>
          <w:sz w:val="15"/>
          <w:szCs w:val="15"/>
          <w:color w:val="auto"/>
        </w:rPr>
        <w:t>Waste Management of Delaware,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Five Oaks Recycling and Disposal Facility,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of Florida Holding Company, Inc.</w:t>
      </w:r>
    </w:p>
    <w:p>
      <w:pPr>
        <w:spacing w:after="0"/>
        <w:rPr>
          <w:sz w:val="20"/>
          <w:szCs w:val="20"/>
          <w:color w:val="auto"/>
        </w:rPr>
      </w:pPr>
      <w:r>
        <w:rPr>
          <w:rFonts w:ascii="Courier New" w:cs="Courier New" w:eastAsia="Courier New" w:hAnsi="Courier New"/>
          <w:sz w:val="15"/>
          <w:szCs w:val="15"/>
          <w:color w:val="auto"/>
        </w:rPr>
        <w:t>Waste Management of Georgia, Inc.</w:t>
      </w:r>
    </w:p>
    <w:p>
      <w:pPr>
        <w:spacing w:after="0"/>
        <w:rPr>
          <w:sz w:val="20"/>
          <w:szCs w:val="20"/>
          <w:color w:val="auto"/>
        </w:rPr>
      </w:pPr>
      <w:r>
        <w:rPr>
          <w:rFonts w:ascii="Courier New" w:cs="Courier New" w:eastAsia="Courier New" w:hAnsi="Courier New"/>
          <w:sz w:val="15"/>
          <w:szCs w:val="15"/>
          <w:color w:val="auto"/>
        </w:rPr>
        <w:t>Waste Management of Hawaii, Inc.</w:t>
      </w:r>
    </w:p>
    <w:p>
      <w:pPr>
        <w:spacing w:after="0" w:line="238" w:lineRule="auto"/>
        <w:rPr>
          <w:sz w:val="20"/>
          <w:szCs w:val="20"/>
          <w:color w:val="auto"/>
        </w:rPr>
      </w:pPr>
      <w:r>
        <w:rPr>
          <w:rFonts w:ascii="Courier New" w:cs="Courier New" w:eastAsia="Courier New" w:hAnsi="Courier New"/>
          <w:sz w:val="15"/>
          <w:szCs w:val="15"/>
          <w:color w:val="auto"/>
        </w:rPr>
        <w:t>Waste Management of Idaho, Inc.</w:t>
      </w:r>
    </w:p>
    <w:p>
      <w:pPr>
        <w:spacing w:after="0"/>
        <w:rPr>
          <w:sz w:val="20"/>
          <w:szCs w:val="20"/>
          <w:color w:val="auto"/>
        </w:rPr>
      </w:pPr>
      <w:r>
        <w:rPr>
          <w:rFonts w:ascii="Courier New" w:cs="Courier New" w:eastAsia="Courier New" w:hAnsi="Courier New"/>
          <w:sz w:val="15"/>
          <w:szCs w:val="15"/>
          <w:color w:val="auto"/>
        </w:rPr>
        <w:t>Waste Management of Illinois, Inc.</w:t>
      </w:r>
    </w:p>
    <w:p>
      <w:pPr>
        <w:spacing w:after="0"/>
        <w:rPr>
          <w:sz w:val="20"/>
          <w:szCs w:val="20"/>
          <w:color w:val="auto"/>
        </w:rPr>
      </w:pPr>
      <w:r>
        <w:rPr>
          <w:rFonts w:ascii="Courier New" w:cs="Courier New" w:eastAsia="Courier New" w:hAnsi="Courier New"/>
          <w:sz w:val="15"/>
          <w:szCs w:val="15"/>
          <w:color w:val="auto"/>
        </w:rPr>
        <w:t>Waste Management of Indiana Holdings One, Inc.</w:t>
      </w:r>
    </w:p>
    <w:p>
      <w:pPr>
        <w:spacing w:after="0" w:line="238" w:lineRule="auto"/>
        <w:rPr>
          <w:sz w:val="20"/>
          <w:szCs w:val="20"/>
          <w:color w:val="auto"/>
        </w:rPr>
      </w:pPr>
      <w:r>
        <w:rPr>
          <w:rFonts w:ascii="Courier New" w:cs="Courier New" w:eastAsia="Courier New" w:hAnsi="Courier New"/>
          <w:sz w:val="15"/>
          <w:szCs w:val="15"/>
          <w:color w:val="auto"/>
        </w:rPr>
        <w:t>Waste Management of Indiana Holdings Two, Inc.</w:t>
      </w:r>
    </w:p>
    <w:p>
      <w:pPr>
        <w:spacing w:after="0"/>
        <w:rPr>
          <w:sz w:val="20"/>
          <w:szCs w:val="20"/>
          <w:color w:val="auto"/>
        </w:rPr>
      </w:pPr>
      <w:r>
        <w:rPr>
          <w:rFonts w:ascii="Courier New" w:cs="Courier New" w:eastAsia="Courier New" w:hAnsi="Courier New"/>
          <w:sz w:val="15"/>
          <w:szCs w:val="15"/>
          <w:color w:val="auto"/>
        </w:rPr>
        <w:t>Waste Management of Indiana, L.L.C.</w:t>
      </w:r>
    </w:p>
    <w:p>
      <w:pPr>
        <w:spacing w:after="0"/>
        <w:rPr>
          <w:sz w:val="20"/>
          <w:szCs w:val="20"/>
          <w:color w:val="auto"/>
        </w:rPr>
      </w:pPr>
      <w:r>
        <w:rPr>
          <w:rFonts w:ascii="Courier New" w:cs="Courier New" w:eastAsia="Courier New" w:hAnsi="Courier New"/>
          <w:sz w:val="15"/>
          <w:szCs w:val="15"/>
          <w:color w:val="auto"/>
        </w:rPr>
        <w:t>Waste Management of Iowa, Inc.</w:t>
      </w:r>
    </w:p>
    <w:p>
      <w:pPr>
        <w:spacing w:after="0"/>
        <w:rPr>
          <w:sz w:val="20"/>
          <w:szCs w:val="20"/>
          <w:color w:val="auto"/>
        </w:rPr>
      </w:pPr>
      <w:r>
        <w:rPr>
          <w:rFonts w:ascii="Courier New" w:cs="Courier New" w:eastAsia="Courier New" w:hAnsi="Courier New"/>
          <w:sz w:val="15"/>
          <w:szCs w:val="15"/>
          <w:color w:val="auto"/>
        </w:rPr>
        <w:t>Waste Management of Kansas, Inc.</w:t>
      </w:r>
    </w:p>
    <w:p>
      <w:pPr>
        <w:spacing w:after="0" w:line="238" w:lineRule="auto"/>
        <w:rPr>
          <w:sz w:val="20"/>
          <w:szCs w:val="20"/>
          <w:color w:val="auto"/>
        </w:rPr>
      </w:pPr>
      <w:r>
        <w:rPr>
          <w:rFonts w:ascii="Courier New" w:cs="Courier New" w:eastAsia="Courier New" w:hAnsi="Courier New"/>
          <w:sz w:val="15"/>
          <w:szCs w:val="15"/>
          <w:color w:val="auto"/>
        </w:rPr>
        <w:t>Waste Management of Kentucky Holdings, Inc.</w:t>
      </w:r>
    </w:p>
    <w:p>
      <w:pPr>
        <w:spacing w:after="0"/>
        <w:rPr>
          <w:sz w:val="20"/>
          <w:szCs w:val="20"/>
          <w:color w:val="auto"/>
        </w:rPr>
      </w:pPr>
      <w:r>
        <w:rPr>
          <w:rFonts w:ascii="Courier New" w:cs="Courier New" w:eastAsia="Courier New" w:hAnsi="Courier New"/>
          <w:sz w:val="15"/>
          <w:szCs w:val="15"/>
          <w:color w:val="auto"/>
        </w:rPr>
        <w:t>Waste Management of Kentucky, L.L.C.</w:t>
      </w:r>
    </w:p>
    <w:p>
      <w:pPr>
        <w:spacing w:after="0"/>
        <w:rPr>
          <w:sz w:val="20"/>
          <w:szCs w:val="20"/>
          <w:color w:val="auto"/>
        </w:rPr>
      </w:pPr>
      <w:r>
        <w:rPr>
          <w:rFonts w:ascii="Courier New" w:cs="Courier New" w:eastAsia="Courier New" w:hAnsi="Courier New"/>
          <w:sz w:val="15"/>
          <w:szCs w:val="15"/>
          <w:color w:val="auto"/>
        </w:rPr>
        <w:t>Waste Management of Leon County, Inc.</w:t>
      </w:r>
    </w:p>
    <w:p>
      <w:pPr>
        <w:spacing w:after="0" w:line="238" w:lineRule="auto"/>
        <w:rPr>
          <w:sz w:val="20"/>
          <w:szCs w:val="20"/>
          <w:color w:val="auto"/>
        </w:rPr>
      </w:pPr>
      <w:r>
        <w:rPr>
          <w:rFonts w:ascii="Courier New" w:cs="Courier New" w:eastAsia="Courier New" w:hAnsi="Courier New"/>
          <w:sz w:val="15"/>
          <w:szCs w:val="15"/>
          <w:color w:val="auto"/>
        </w:rPr>
        <w:t>Waste Management of Louisiana Holdings One, Inc.</w:t>
      </w:r>
    </w:p>
    <w:p>
      <w:pPr>
        <w:spacing w:after="0"/>
        <w:rPr>
          <w:sz w:val="20"/>
          <w:szCs w:val="20"/>
          <w:color w:val="auto"/>
        </w:rPr>
      </w:pPr>
      <w:r>
        <w:rPr>
          <w:rFonts w:ascii="Courier New" w:cs="Courier New" w:eastAsia="Courier New" w:hAnsi="Courier New"/>
          <w:sz w:val="15"/>
          <w:szCs w:val="15"/>
          <w:color w:val="auto"/>
        </w:rPr>
        <w:t>Waste Management of Louisiana, L.L.C.</w:t>
      </w:r>
    </w:p>
    <w:p>
      <w:pPr>
        <w:spacing w:after="0"/>
        <w:rPr>
          <w:sz w:val="20"/>
          <w:szCs w:val="20"/>
          <w:color w:val="auto"/>
        </w:rPr>
      </w:pPr>
      <w:r>
        <w:rPr>
          <w:rFonts w:ascii="Courier New" w:cs="Courier New" w:eastAsia="Courier New" w:hAnsi="Courier New"/>
          <w:sz w:val="15"/>
          <w:szCs w:val="15"/>
          <w:color w:val="auto"/>
        </w:rPr>
        <w:t>Waste Management of Maine, Inc.</w:t>
      </w:r>
    </w:p>
    <w:p>
      <w:pPr>
        <w:spacing w:after="0"/>
        <w:rPr>
          <w:sz w:val="20"/>
          <w:szCs w:val="20"/>
          <w:color w:val="auto"/>
        </w:rPr>
      </w:pPr>
      <w:r>
        <w:rPr>
          <w:rFonts w:ascii="Courier New" w:cs="Courier New" w:eastAsia="Courier New" w:hAnsi="Courier New"/>
          <w:sz w:val="15"/>
          <w:szCs w:val="15"/>
          <w:color w:val="auto"/>
        </w:rPr>
        <w:t>Waste Management of Maryland, Inc.</w:t>
      </w:r>
    </w:p>
    <w:p>
      <w:pPr>
        <w:spacing w:after="0" w:line="238" w:lineRule="auto"/>
        <w:rPr>
          <w:sz w:val="20"/>
          <w:szCs w:val="20"/>
          <w:color w:val="auto"/>
        </w:rPr>
      </w:pPr>
      <w:r>
        <w:rPr>
          <w:rFonts w:ascii="Courier New" w:cs="Courier New" w:eastAsia="Courier New" w:hAnsi="Courier New"/>
          <w:sz w:val="15"/>
          <w:szCs w:val="15"/>
          <w:color w:val="auto"/>
        </w:rPr>
        <w:t>Waste Management of Massachusetts, Inc.</w:t>
      </w:r>
    </w:p>
    <w:p>
      <w:pPr>
        <w:spacing w:after="0"/>
        <w:rPr>
          <w:sz w:val="20"/>
          <w:szCs w:val="20"/>
          <w:color w:val="auto"/>
        </w:rPr>
      </w:pPr>
      <w:r>
        <w:rPr>
          <w:rFonts w:ascii="Courier New" w:cs="Courier New" w:eastAsia="Courier New" w:hAnsi="Courier New"/>
          <w:sz w:val="15"/>
          <w:szCs w:val="15"/>
          <w:color w:val="auto"/>
        </w:rPr>
        <w:t>Waste Management of Michigan, Inc.</w:t>
      </w:r>
    </w:p>
    <w:p>
      <w:pPr>
        <w:spacing w:after="0"/>
        <w:rPr>
          <w:sz w:val="20"/>
          <w:szCs w:val="20"/>
          <w:color w:val="auto"/>
        </w:rPr>
      </w:pPr>
      <w:r>
        <w:rPr>
          <w:rFonts w:ascii="Courier New" w:cs="Courier New" w:eastAsia="Courier New" w:hAnsi="Courier New"/>
          <w:sz w:val="15"/>
          <w:szCs w:val="15"/>
          <w:color w:val="auto"/>
        </w:rPr>
        <w:t>Waste Management of Minnesota, Inc.</w:t>
      </w:r>
    </w:p>
    <w:p>
      <w:pPr>
        <w:spacing w:after="0" w:line="238" w:lineRule="auto"/>
        <w:rPr>
          <w:sz w:val="20"/>
          <w:szCs w:val="20"/>
          <w:color w:val="auto"/>
        </w:rPr>
      </w:pPr>
      <w:r>
        <w:rPr>
          <w:rFonts w:ascii="Courier New" w:cs="Courier New" w:eastAsia="Courier New" w:hAnsi="Courier New"/>
          <w:sz w:val="15"/>
          <w:szCs w:val="15"/>
          <w:color w:val="auto"/>
        </w:rPr>
        <w:t>Waste Management of Mississippi, Inc.</w:t>
      </w:r>
    </w:p>
    <w:p>
      <w:pPr>
        <w:spacing w:after="0"/>
        <w:rPr>
          <w:sz w:val="20"/>
          <w:szCs w:val="20"/>
          <w:color w:val="auto"/>
        </w:rPr>
      </w:pPr>
      <w:r>
        <w:rPr>
          <w:rFonts w:ascii="Courier New" w:cs="Courier New" w:eastAsia="Courier New" w:hAnsi="Courier New"/>
          <w:sz w:val="15"/>
          <w:szCs w:val="15"/>
          <w:color w:val="auto"/>
        </w:rPr>
        <w:t>Waste Management of Missouri, Inc.</w:t>
      </w:r>
    </w:p>
    <w:p>
      <w:pPr>
        <w:spacing w:after="0"/>
        <w:rPr>
          <w:sz w:val="20"/>
          <w:szCs w:val="20"/>
          <w:color w:val="auto"/>
        </w:rPr>
      </w:pPr>
      <w:r>
        <w:rPr>
          <w:rFonts w:ascii="Courier New" w:cs="Courier New" w:eastAsia="Courier New" w:hAnsi="Courier New"/>
          <w:sz w:val="15"/>
          <w:szCs w:val="15"/>
          <w:color w:val="auto"/>
        </w:rPr>
        <w:t>Waste Management of Montana, Inc.</w:t>
      </w:r>
    </w:p>
    <w:p>
      <w:pPr>
        <w:spacing w:after="0"/>
        <w:rPr>
          <w:sz w:val="20"/>
          <w:szCs w:val="20"/>
          <w:color w:val="auto"/>
        </w:rPr>
      </w:pPr>
      <w:r>
        <w:rPr>
          <w:rFonts w:ascii="Courier New" w:cs="Courier New" w:eastAsia="Courier New" w:hAnsi="Courier New"/>
          <w:sz w:val="15"/>
          <w:szCs w:val="15"/>
          <w:color w:val="auto"/>
        </w:rPr>
        <w:t>Waste Management of Nebraska, Inc.</w:t>
      </w:r>
    </w:p>
    <w:p>
      <w:pPr>
        <w:spacing w:after="0" w:line="238" w:lineRule="auto"/>
        <w:rPr>
          <w:sz w:val="20"/>
          <w:szCs w:val="20"/>
          <w:color w:val="auto"/>
        </w:rPr>
      </w:pPr>
      <w:r>
        <w:rPr>
          <w:rFonts w:ascii="Courier New" w:cs="Courier New" w:eastAsia="Courier New" w:hAnsi="Courier New"/>
          <w:sz w:val="15"/>
          <w:szCs w:val="15"/>
          <w:color w:val="auto"/>
        </w:rPr>
        <w:t>Waste Management of Nevada, Inc.</w:t>
      </w:r>
    </w:p>
    <w:p>
      <w:pPr>
        <w:spacing w:after="0"/>
        <w:rPr>
          <w:sz w:val="20"/>
          <w:szCs w:val="20"/>
          <w:color w:val="auto"/>
        </w:rPr>
      </w:pPr>
      <w:r>
        <w:rPr>
          <w:rFonts w:ascii="Courier New" w:cs="Courier New" w:eastAsia="Courier New" w:hAnsi="Courier New"/>
          <w:sz w:val="15"/>
          <w:szCs w:val="15"/>
          <w:color w:val="auto"/>
        </w:rPr>
        <w:t>Waste Management of New Hampshire, Inc.</w:t>
      </w:r>
    </w:p>
    <w:p>
      <w:pPr>
        <w:spacing w:after="0"/>
        <w:rPr>
          <w:sz w:val="20"/>
          <w:szCs w:val="20"/>
          <w:color w:val="auto"/>
        </w:rPr>
      </w:pPr>
      <w:r>
        <w:rPr>
          <w:rFonts w:ascii="Courier New" w:cs="Courier New" w:eastAsia="Courier New" w:hAnsi="Courier New"/>
          <w:sz w:val="15"/>
          <w:szCs w:val="15"/>
          <w:color w:val="auto"/>
        </w:rPr>
        <w:t>Waste Management of New Jersey,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rPr>
          <w:sz w:val="20"/>
          <w:szCs w:val="20"/>
          <w:color w:val="auto"/>
        </w:rPr>
      </w:pPr>
      <w:r>
        <w:rPr>
          <w:rFonts w:ascii="Courier New" w:cs="Courier New" w:eastAsia="Courier New" w:hAnsi="Courier New"/>
          <w:sz w:val="15"/>
          <w:szCs w:val="15"/>
          <w:color w:val="auto"/>
        </w:rPr>
        <w:t>Maine</w:t>
      </w:r>
    </w:p>
    <w:p>
      <w:pPr>
        <w:spacing w:after="0"/>
        <w:rPr>
          <w:sz w:val="20"/>
          <w:szCs w:val="20"/>
          <w:color w:val="auto"/>
        </w:rPr>
      </w:pPr>
      <w:r>
        <w:rPr>
          <w:rFonts w:ascii="Courier New" w:cs="Courier New" w:eastAsia="Courier New" w:hAnsi="Courier New"/>
          <w:sz w:val="15"/>
          <w:szCs w:val="15"/>
          <w:color w:val="auto"/>
        </w:rPr>
        <w:t>Maryland</w:t>
      </w:r>
    </w:p>
    <w:p>
      <w:pPr>
        <w:spacing w:after="0" w:line="238" w:lineRule="auto"/>
        <w:rPr>
          <w:sz w:val="20"/>
          <w:szCs w:val="20"/>
          <w:color w:val="auto"/>
        </w:rPr>
      </w:pPr>
      <w:r>
        <w:rPr>
          <w:rFonts w:ascii="Courier New" w:cs="Courier New" w:eastAsia="Courier New" w:hAnsi="Courier New"/>
          <w:sz w:val="15"/>
          <w:szCs w:val="15"/>
          <w:color w:val="auto"/>
        </w:rPr>
        <w:t>Massachusetts</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Pennsylvania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Netherlands</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Netherlands</w:t>
      </w:r>
    </w:p>
    <w:p>
      <w:pPr>
        <w:spacing w:after="0"/>
        <w:rPr>
          <w:sz w:val="20"/>
          <w:szCs w:val="20"/>
          <w:color w:val="auto"/>
        </w:rPr>
      </w:pPr>
      <w:r>
        <w:rPr>
          <w:rFonts w:ascii="Courier New" w:cs="Courier New" w:eastAsia="Courier New" w:hAnsi="Courier New"/>
          <w:sz w:val="15"/>
          <w:szCs w:val="15"/>
          <w:color w:val="auto"/>
        </w:rPr>
        <w:t>Bermuda</w:t>
      </w: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line="238" w:lineRule="auto"/>
        <w:rPr>
          <w:sz w:val="20"/>
          <w:szCs w:val="20"/>
          <w:color w:val="auto"/>
        </w:rPr>
      </w:pPr>
      <w:r>
        <w:rPr>
          <w:rFonts w:ascii="Courier New" w:cs="Courier New" w:eastAsia="Courier New" w:hAnsi="Courier New"/>
          <w:sz w:val="15"/>
          <w:szCs w:val="15"/>
          <w:color w:val="auto"/>
        </w:rPr>
        <w:t>California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Colorado</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Georgia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Idaho</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Iowa</w:t>
      </w:r>
    </w:p>
    <w:p>
      <w:pPr>
        <w:spacing w:after="0"/>
        <w:rPr>
          <w:sz w:val="20"/>
          <w:szCs w:val="20"/>
          <w:color w:val="auto"/>
        </w:rPr>
      </w:pPr>
      <w:r>
        <w:rPr>
          <w:rFonts w:ascii="Courier New" w:cs="Courier New" w:eastAsia="Courier New" w:hAnsi="Courier New"/>
          <w:sz w:val="15"/>
          <w:szCs w:val="15"/>
          <w:color w:val="auto"/>
        </w:rPr>
        <w:t>Kansas</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Florida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Maine</w:t>
      </w:r>
    </w:p>
    <w:p>
      <w:pPr>
        <w:spacing w:after="0"/>
        <w:rPr>
          <w:sz w:val="20"/>
          <w:szCs w:val="20"/>
          <w:color w:val="auto"/>
        </w:rPr>
      </w:pPr>
      <w:r>
        <w:rPr>
          <w:rFonts w:ascii="Courier New" w:cs="Courier New" w:eastAsia="Courier New" w:hAnsi="Courier New"/>
          <w:sz w:val="15"/>
          <w:szCs w:val="15"/>
          <w:color w:val="auto"/>
        </w:rPr>
        <w:t>Maryland</w:t>
      </w:r>
    </w:p>
    <w:p>
      <w:pPr>
        <w:spacing w:after="0"/>
        <w:rPr>
          <w:sz w:val="20"/>
          <w:szCs w:val="20"/>
          <w:color w:val="auto"/>
        </w:rPr>
      </w:pPr>
      <w:r>
        <w:rPr>
          <w:rFonts w:ascii="Courier New" w:cs="Courier New" w:eastAsia="Courier New" w:hAnsi="Courier New"/>
          <w:sz w:val="15"/>
          <w:szCs w:val="15"/>
          <w:color w:val="auto"/>
        </w:rPr>
        <w:t>Massachusetts</w:t>
      </w:r>
    </w:p>
    <w:p>
      <w:pPr>
        <w:spacing w:after="0"/>
        <w:rPr>
          <w:sz w:val="20"/>
          <w:szCs w:val="20"/>
          <w:color w:val="auto"/>
        </w:rPr>
      </w:pPr>
      <w:r>
        <w:rPr>
          <w:rFonts w:ascii="Courier New" w:cs="Courier New" w:eastAsia="Courier New" w:hAnsi="Courier New"/>
          <w:sz w:val="15"/>
          <w:szCs w:val="15"/>
          <w:color w:val="auto"/>
        </w:rPr>
        <w:t>Michigan</w:t>
      </w:r>
    </w:p>
    <w:p>
      <w:pPr>
        <w:spacing w:after="0" w:line="238" w:lineRule="auto"/>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Mississippi</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Montana</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Nevada</w:t>
      </w:r>
    </w:p>
    <w:p>
      <w:pPr>
        <w:spacing w:after="0" w:line="238" w:lineRule="auto"/>
        <w:rPr>
          <w:sz w:val="20"/>
          <w:szCs w:val="20"/>
          <w:color w:val="auto"/>
        </w:rPr>
      </w:pPr>
      <w:r>
        <w:rPr>
          <w:rFonts w:ascii="Courier New" w:cs="Courier New" w:eastAsia="Courier New" w:hAnsi="Courier New"/>
          <w:sz w:val="15"/>
          <w:szCs w:val="15"/>
          <w:color w:val="auto"/>
        </w:rPr>
        <w:t>Connecticut</w:t>
      </w:r>
    </w:p>
    <w:p>
      <w:pPr>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2">
            <w:col w:w="5900" w:space="180"/>
            <w:col w:w="4139"/>
          </w:cols>
          <w:pgMar w:left="240" w:top="288" w:right="1440"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170"/>
        </w:trPr>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678"/>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New Mexico,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New Mexico</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New York, L.L.C.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North Dakota,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Ohio,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Oklahoma,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Oklahoma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Oregon,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Oregon</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Pennsylvania,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Pennsylvania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Rhode Island,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South Carolina,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w w:val="95"/>
              </w:rPr>
              <w:t>South Carolina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South Dakota,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South Dakota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Texas,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Texas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Utah,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Utah</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Virginia,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Virginia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Washington,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West Virginia,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Wisconsin,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Wisconsin</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of Wyoming,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Paper Stock Company,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Florida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Partners,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Plastic Products,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Project Services B.V. (Thailand)</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Netherlands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820" w:type="dxa"/>
            <w:vAlign w:val="bottom"/>
            <w:gridSpan w:val="2"/>
          </w:tcPr>
          <w:p>
            <w:pPr>
              <w:spacing w:after="0"/>
              <w:rPr>
                <w:sz w:val="20"/>
                <w:szCs w:val="20"/>
                <w:color w:val="auto"/>
              </w:rPr>
            </w:pPr>
            <w:r>
              <w:rPr>
                <w:rFonts w:ascii="Courier New" w:cs="Courier New" w:eastAsia="Courier New" w:hAnsi="Courier New"/>
                <w:sz w:val="15"/>
                <w:szCs w:val="15"/>
                <w:color w:val="auto"/>
              </w:rPr>
              <w:t>Recycling and Disposal Services of California, Inc. California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Recycling of New Jersey,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New Jersey</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Service Center,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Services SA</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Switzerland</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South America B.V.</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Netherlands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Technology Center,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Transfer of New Jersey,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New Jersey</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Inc. of Tennessee</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Tennessee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Waste Resource Technologies</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California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Waste Resources of Tennessee,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Tennessee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Waste to Energy Holdings,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Wastech Inc.</w:t>
            </w:r>
          </w:p>
        </w:tc>
        <w:tc>
          <w:tcPr>
            <w:tcW w:w="3720" w:type="dxa"/>
            <w:vAlign w:val="bottom"/>
          </w:tcPr>
          <w:p>
            <w:pPr>
              <w:spacing w:after="0"/>
              <w:rPr>
                <w:sz w:val="14"/>
                <w:szCs w:val="14"/>
                <w:color w:val="auto"/>
              </w:rPr>
            </w:pP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Nevada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Webster Parish Landfill, L.L.C.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WESI Baltimore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WESI Capital Inc.</w:t>
            </w:r>
          </w:p>
        </w:tc>
        <w:tc>
          <w:tcPr>
            <w:tcW w:w="3720" w:type="dxa"/>
            <w:vAlign w:val="bottom"/>
          </w:tcPr>
          <w:p>
            <w:pPr>
              <w:spacing w:after="0"/>
              <w:rPr>
                <w:sz w:val="14"/>
                <w:szCs w:val="14"/>
                <w:color w:val="auto"/>
              </w:rPr>
            </w:pP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WESI Peekskill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WESI Westchester</w:t>
            </w:r>
          </w:p>
        </w:tc>
        <w:tc>
          <w:tcPr>
            <w:tcW w:w="372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West Essex Disposal Co.,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New Jersey</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Westchester Waste Services Co., L.L.C.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New York</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Western U.P. Landfill,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Michigan</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Western Waste Industries</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California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Westlake Truck Leasing,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California</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Baltimore, L.L.C.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Carteret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Cedar Creek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Claremont Company, L.P.</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Concord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Connecticut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Culm Services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Environmental Systems,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Falls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Frackville Energy Company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Frackville Properties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Gloucester Company, L.P.</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New Jersey</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Wheelabrator Gloucester Inc.</w:t>
            </w:r>
          </w:p>
        </w:tc>
        <w:tc>
          <w:tcPr>
            <w:tcW w:w="210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r>
    </w:tbl>
    <w:p>
      <w:pPr>
        <w:sectPr>
          <w:pgSz w:w="11900" w:h="16838" w:orient="portrait"/>
          <w:cols w:equalWidth="0" w:num="1">
            <w:col w:w="10219"/>
          </w:cols>
          <w:pgMar w:left="240" w:top="283"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Wheelabrator Guam Inc.</w:t>
      </w:r>
    </w:p>
    <w:p>
      <w:pPr>
        <w:spacing w:after="0"/>
        <w:rPr>
          <w:sz w:val="20"/>
          <w:szCs w:val="20"/>
          <w:color w:val="auto"/>
        </w:rPr>
      </w:pPr>
      <w:r>
        <w:rPr>
          <w:rFonts w:ascii="Courier New" w:cs="Courier New" w:eastAsia="Courier New" w:hAnsi="Courier New"/>
          <w:sz w:val="15"/>
          <w:szCs w:val="15"/>
          <w:color w:val="auto"/>
        </w:rPr>
        <w:t>Wheelabrator Hudson Energy Company Inc.</w:t>
      </w:r>
    </w:p>
    <w:p>
      <w:pPr>
        <w:spacing w:after="0"/>
        <w:rPr>
          <w:sz w:val="20"/>
          <w:szCs w:val="20"/>
          <w:color w:val="auto"/>
        </w:rPr>
      </w:pPr>
      <w:r>
        <w:rPr>
          <w:rFonts w:ascii="Courier New" w:cs="Courier New" w:eastAsia="Courier New" w:hAnsi="Courier New"/>
          <w:sz w:val="15"/>
          <w:szCs w:val="15"/>
          <w:color w:val="auto"/>
        </w:rPr>
        <w:t>Wheelabrator Land Resources Inc.</w:t>
      </w:r>
    </w:p>
    <w:p>
      <w:pPr>
        <w:spacing w:after="0" w:line="238" w:lineRule="auto"/>
        <w:rPr>
          <w:sz w:val="20"/>
          <w:szCs w:val="20"/>
          <w:color w:val="auto"/>
        </w:rPr>
      </w:pPr>
      <w:r>
        <w:rPr>
          <w:rFonts w:ascii="Courier New" w:cs="Courier New" w:eastAsia="Courier New" w:hAnsi="Courier New"/>
          <w:sz w:val="15"/>
          <w:szCs w:val="15"/>
          <w:color w:val="auto"/>
        </w:rPr>
        <w:t>Wheelabrator Lassen Inc.</w:t>
      </w:r>
    </w:p>
    <w:p>
      <w:pPr>
        <w:spacing w:after="0"/>
        <w:rPr>
          <w:sz w:val="20"/>
          <w:szCs w:val="20"/>
          <w:color w:val="auto"/>
        </w:rPr>
      </w:pPr>
      <w:r>
        <w:rPr>
          <w:rFonts w:ascii="Courier New" w:cs="Courier New" w:eastAsia="Courier New" w:hAnsi="Courier New"/>
          <w:sz w:val="15"/>
          <w:szCs w:val="15"/>
          <w:color w:val="auto"/>
        </w:rPr>
        <w:t>Wheelabrator Martell Inc.</w:t>
      </w:r>
    </w:p>
    <w:p>
      <w:pPr>
        <w:spacing w:after="0"/>
        <w:rPr>
          <w:sz w:val="20"/>
          <w:szCs w:val="20"/>
          <w:color w:val="auto"/>
        </w:rPr>
      </w:pPr>
      <w:r>
        <w:rPr>
          <w:rFonts w:ascii="Courier New" w:cs="Courier New" w:eastAsia="Courier New" w:hAnsi="Courier New"/>
          <w:sz w:val="15"/>
          <w:szCs w:val="15"/>
          <w:color w:val="auto"/>
        </w:rPr>
        <w:t>Wheelabrator McKay Bay Inc.</w:t>
      </w:r>
    </w:p>
    <w:p>
      <w:pPr>
        <w:spacing w:after="0" w:line="238" w:lineRule="auto"/>
        <w:rPr>
          <w:sz w:val="20"/>
          <w:szCs w:val="20"/>
          <w:color w:val="auto"/>
        </w:rPr>
      </w:pPr>
      <w:r>
        <w:rPr>
          <w:rFonts w:ascii="Courier New" w:cs="Courier New" w:eastAsia="Courier New" w:hAnsi="Courier New"/>
          <w:sz w:val="15"/>
          <w:szCs w:val="15"/>
          <w:color w:val="auto"/>
        </w:rPr>
        <w:t>Wheelabrator Millbury Inc.</w:t>
      </w:r>
    </w:p>
    <w:p>
      <w:pPr>
        <w:spacing w:after="0"/>
        <w:rPr>
          <w:sz w:val="20"/>
          <w:szCs w:val="20"/>
          <w:color w:val="auto"/>
        </w:rPr>
      </w:pPr>
      <w:r>
        <w:rPr>
          <w:rFonts w:ascii="Courier New" w:cs="Courier New" w:eastAsia="Courier New" w:hAnsi="Courier New"/>
          <w:sz w:val="15"/>
          <w:szCs w:val="15"/>
          <w:color w:val="auto"/>
        </w:rPr>
        <w:t>Wheelabrator New Hampshire Inc.</w:t>
      </w:r>
    </w:p>
    <w:p>
      <w:pPr>
        <w:spacing w:after="0"/>
        <w:rPr>
          <w:sz w:val="20"/>
          <w:szCs w:val="20"/>
          <w:color w:val="auto"/>
        </w:rPr>
      </w:pPr>
      <w:r>
        <w:rPr>
          <w:rFonts w:ascii="Courier New" w:cs="Courier New" w:eastAsia="Courier New" w:hAnsi="Courier New"/>
          <w:sz w:val="15"/>
          <w:szCs w:val="15"/>
          <w:color w:val="auto"/>
        </w:rPr>
        <w:t>Wheelabrator New Jersey Inc.</w:t>
      </w:r>
    </w:p>
    <w:p>
      <w:pPr>
        <w:spacing w:after="0"/>
        <w:rPr>
          <w:sz w:val="20"/>
          <w:szCs w:val="20"/>
          <w:color w:val="auto"/>
        </w:rPr>
      </w:pPr>
      <w:r>
        <w:rPr>
          <w:rFonts w:ascii="Courier New" w:cs="Courier New" w:eastAsia="Courier New" w:hAnsi="Courier New"/>
          <w:sz w:val="15"/>
          <w:szCs w:val="15"/>
          <w:color w:val="auto"/>
        </w:rPr>
        <w:t>Wheelabrator NHC Inc.</w:t>
      </w:r>
    </w:p>
    <w:p>
      <w:pPr>
        <w:spacing w:after="0" w:line="238" w:lineRule="auto"/>
        <w:rPr>
          <w:sz w:val="20"/>
          <w:szCs w:val="20"/>
          <w:color w:val="auto"/>
        </w:rPr>
      </w:pPr>
      <w:r>
        <w:rPr>
          <w:rFonts w:ascii="Courier New" w:cs="Courier New" w:eastAsia="Courier New" w:hAnsi="Courier New"/>
          <w:sz w:val="15"/>
          <w:szCs w:val="15"/>
          <w:color w:val="auto"/>
        </w:rPr>
        <w:t>Wheelabrator North Broward, Inc.</w:t>
      </w:r>
    </w:p>
    <w:p>
      <w:pPr>
        <w:spacing w:after="0"/>
        <w:rPr>
          <w:sz w:val="20"/>
          <w:szCs w:val="20"/>
          <w:color w:val="auto"/>
        </w:rPr>
      </w:pPr>
      <w:r>
        <w:rPr>
          <w:rFonts w:ascii="Courier New" w:cs="Courier New" w:eastAsia="Courier New" w:hAnsi="Courier New"/>
          <w:sz w:val="15"/>
          <w:szCs w:val="15"/>
          <w:color w:val="auto"/>
        </w:rPr>
        <w:t>Wheelabrator North Shore Inc.</w:t>
      </w:r>
    </w:p>
    <w:p>
      <w:pPr>
        <w:spacing w:after="0"/>
        <w:rPr>
          <w:sz w:val="20"/>
          <w:szCs w:val="20"/>
          <w:color w:val="auto"/>
        </w:rPr>
      </w:pPr>
      <w:r>
        <w:rPr>
          <w:rFonts w:ascii="Courier New" w:cs="Courier New" w:eastAsia="Courier New" w:hAnsi="Courier New"/>
          <w:sz w:val="15"/>
          <w:szCs w:val="15"/>
          <w:color w:val="auto"/>
        </w:rPr>
        <w:t>Wheelabrator Norwalk Energy Company Inc.</w:t>
      </w:r>
    </w:p>
    <w:p>
      <w:pPr>
        <w:spacing w:after="0" w:line="238" w:lineRule="auto"/>
        <w:rPr>
          <w:sz w:val="20"/>
          <w:szCs w:val="20"/>
          <w:color w:val="auto"/>
        </w:rPr>
      </w:pPr>
      <w:r>
        <w:rPr>
          <w:rFonts w:ascii="Courier New" w:cs="Courier New" w:eastAsia="Courier New" w:hAnsi="Courier New"/>
          <w:sz w:val="15"/>
          <w:szCs w:val="15"/>
          <w:color w:val="auto"/>
        </w:rPr>
        <w:t>Wheelabrator Penacook Inc.</w:t>
      </w:r>
    </w:p>
    <w:p>
      <w:pPr>
        <w:spacing w:after="0"/>
        <w:rPr>
          <w:sz w:val="20"/>
          <w:szCs w:val="20"/>
          <w:color w:val="auto"/>
        </w:rPr>
      </w:pPr>
      <w:r>
        <w:rPr>
          <w:rFonts w:ascii="Courier New" w:cs="Courier New" w:eastAsia="Courier New" w:hAnsi="Courier New"/>
          <w:sz w:val="15"/>
          <w:szCs w:val="15"/>
          <w:color w:val="auto"/>
        </w:rPr>
        <w:t>Wheelabrator Pinellas Inc.</w:t>
      </w:r>
    </w:p>
    <w:p>
      <w:pPr>
        <w:spacing w:after="0"/>
        <w:rPr>
          <w:sz w:val="20"/>
          <w:szCs w:val="20"/>
          <w:color w:val="auto"/>
        </w:rPr>
      </w:pPr>
      <w:r>
        <w:rPr>
          <w:rFonts w:ascii="Courier New" w:cs="Courier New" w:eastAsia="Courier New" w:hAnsi="Courier New"/>
          <w:sz w:val="15"/>
          <w:szCs w:val="15"/>
          <w:color w:val="auto"/>
        </w:rPr>
        <w:t>Wheelabrator Polk Inc.</w:t>
      </w:r>
    </w:p>
    <w:p>
      <w:pPr>
        <w:spacing w:after="0"/>
        <w:rPr>
          <w:sz w:val="20"/>
          <w:szCs w:val="20"/>
          <w:color w:val="auto"/>
        </w:rPr>
      </w:pPr>
      <w:r>
        <w:rPr>
          <w:rFonts w:ascii="Courier New" w:cs="Courier New" w:eastAsia="Courier New" w:hAnsi="Courier New"/>
          <w:sz w:val="15"/>
          <w:szCs w:val="15"/>
          <w:color w:val="auto"/>
        </w:rPr>
        <w:t>Wheelabrator Putnam Inc.</w:t>
      </w:r>
    </w:p>
    <w:p>
      <w:pPr>
        <w:spacing w:after="0" w:line="238" w:lineRule="auto"/>
        <w:rPr>
          <w:sz w:val="20"/>
          <w:szCs w:val="20"/>
          <w:color w:val="auto"/>
        </w:rPr>
      </w:pPr>
      <w:r>
        <w:rPr>
          <w:rFonts w:ascii="Courier New" w:cs="Courier New" w:eastAsia="Courier New" w:hAnsi="Courier New"/>
          <w:sz w:val="15"/>
          <w:szCs w:val="15"/>
          <w:color w:val="auto"/>
        </w:rPr>
        <w:t>Wheelabrator Ridge Energy Inc.</w:t>
      </w:r>
    </w:p>
    <w:p>
      <w:pPr>
        <w:spacing w:after="0"/>
        <w:rPr>
          <w:sz w:val="20"/>
          <w:szCs w:val="20"/>
          <w:color w:val="auto"/>
        </w:rPr>
      </w:pPr>
      <w:r>
        <w:rPr>
          <w:rFonts w:ascii="Courier New" w:cs="Courier New" w:eastAsia="Courier New" w:hAnsi="Courier New"/>
          <w:sz w:val="15"/>
          <w:szCs w:val="15"/>
          <w:color w:val="auto"/>
        </w:rPr>
        <w:t>Wheelabrator Saugus Inc.</w:t>
      </w:r>
    </w:p>
    <w:p>
      <w:pPr>
        <w:spacing w:after="0"/>
        <w:rPr>
          <w:sz w:val="20"/>
          <w:szCs w:val="20"/>
          <w:color w:val="auto"/>
        </w:rPr>
      </w:pPr>
      <w:r>
        <w:rPr>
          <w:rFonts w:ascii="Courier New" w:cs="Courier New" w:eastAsia="Courier New" w:hAnsi="Courier New"/>
          <w:sz w:val="15"/>
          <w:szCs w:val="15"/>
          <w:color w:val="auto"/>
        </w:rPr>
        <w:t>Wheelabrator Shasta Energy Company Inc.</w:t>
      </w:r>
    </w:p>
    <w:p>
      <w:pPr>
        <w:spacing w:after="0" w:line="238" w:lineRule="auto"/>
        <w:rPr>
          <w:sz w:val="20"/>
          <w:szCs w:val="20"/>
          <w:color w:val="auto"/>
        </w:rPr>
      </w:pPr>
      <w:r>
        <w:rPr>
          <w:rFonts w:ascii="Courier New" w:cs="Courier New" w:eastAsia="Courier New" w:hAnsi="Courier New"/>
          <w:sz w:val="15"/>
          <w:szCs w:val="15"/>
          <w:color w:val="auto"/>
        </w:rPr>
        <w:t>Wheelabrator Sherman Station One Inc.</w:t>
      </w:r>
    </w:p>
    <w:p>
      <w:pPr>
        <w:spacing w:after="0"/>
        <w:rPr>
          <w:sz w:val="20"/>
          <w:szCs w:val="20"/>
          <w:color w:val="auto"/>
        </w:rPr>
      </w:pPr>
      <w:r>
        <w:rPr>
          <w:rFonts w:ascii="Courier New" w:cs="Courier New" w:eastAsia="Courier New" w:hAnsi="Courier New"/>
          <w:sz w:val="15"/>
          <w:szCs w:val="15"/>
          <w:color w:val="auto"/>
        </w:rPr>
        <w:t>Wheelabrator Sherman Station Two Inc.</w:t>
      </w:r>
    </w:p>
    <w:p>
      <w:pPr>
        <w:spacing w:after="0"/>
        <w:rPr>
          <w:sz w:val="20"/>
          <w:szCs w:val="20"/>
          <w:color w:val="auto"/>
        </w:rPr>
      </w:pPr>
      <w:r>
        <w:rPr>
          <w:rFonts w:ascii="Courier New" w:cs="Courier New" w:eastAsia="Courier New" w:hAnsi="Courier New"/>
          <w:sz w:val="15"/>
          <w:szCs w:val="15"/>
          <w:color w:val="auto"/>
        </w:rPr>
        <w:t>Wheelabrator Shrewsbury Inc.</w:t>
      </w:r>
    </w:p>
    <w:p>
      <w:pPr>
        <w:spacing w:after="0"/>
        <w:rPr>
          <w:sz w:val="20"/>
          <w:szCs w:val="20"/>
          <w:color w:val="auto"/>
        </w:rPr>
      </w:pPr>
      <w:r>
        <w:rPr>
          <w:rFonts w:ascii="Courier New" w:cs="Courier New" w:eastAsia="Courier New" w:hAnsi="Courier New"/>
          <w:sz w:val="15"/>
          <w:szCs w:val="15"/>
          <w:color w:val="auto"/>
        </w:rPr>
        <w:t>Wheelabrator South Broward Inc.</w:t>
      </w:r>
    </w:p>
    <w:p>
      <w:pPr>
        <w:spacing w:after="0" w:line="238" w:lineRule="auto"/>
        <w:rPr>
          <w:sz w:val="20"/>
          <w:szCs w:val="20"/>
          <w:color w:val="auto"/>
        </w:rPr>
      </w:pPr>
      <w:r>
        <w:rPr>
          <w:rFonts w:ascii="Courier New" w:cs="Courier New" w:eastAsia="Courier New" w:hAnsi="Courier New"/>
          <w:sz w:val="15"/>
          <w:szCs w:val="15"/>
          <w:color w:val="auto"/>
        </w:rPr>
        <w:t>Wheelabrator Spokane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Technologies International,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Wheelabrator Technologies Inc.</w:t>
      </w:r>
    </w:p>
    <w:p>
      <w:pPr>
        <w:spacing w:after="0"/>
        <w:rPr>
          <w:sz w:val="20"/>
          <w:szCs w:val="20"/>
          <w:color w:val="auto"/>
        </w:rPr>
      </w:pPr>
      <w:r>
        <w:rPr>
          <w:rFonts w:ascii="Courier New" w:cs="Courier New" w:eastAsia="Courier New" w:hAnsi="Courier New"/>
          <w:sz w:val="15"/>
          <w:szCs w:val="15"/>
          <w:color w:val="auto"/>
        </w:rPr>
        <w:t>White Lake Landfill, Inc.</w:t>
      </w:r>
    </w:p>
    <w:p>
      <w:pPr>
        <w:spacing w:after="0"/>
        <w:rPr>
          <w:sz w:val="20"/>
          <w:szCs w:val="20"/>
          <w:color w:val="auto"/>
        </w:rPr>
      </w:pPr>
      <w:r>
        <w:rPr>
          <w:rFonts w:ascii="Courier New" w:cs="Courier New" w:eastAsia="Courier New" w:hAnsi="Courier New"/>
          <w:sz w:val="15"/>
          <w:szCs w:val="15"/>
          <w:color w:val="auto"/>
        </w:rPr>
        <w:t>Williams Landfill, L.L.C.</w:t>
      </w:r>
    </w:p>
    <w:p>
      <w:pPr>
        <w:spacing w:after="0" w:line="238" w:lineRule="auto"/>
        <w:rPr>
          <w:sz w:val="20"/>
          <w:szCs w:val="20"/>
          <w:color w:val="auto"/>
        </w:rPr>
      </w:pPr>
      <w:r>
        <w:rPr>
          <w:rFonts w:ascii="Courier New" w:cs="Courier New" w:eastAsia="Courier New" w:hAnsi="Courier New"/>
          <w:sz w:val="15"/>
          <w:szCs w:val="15"/>
          <w:color w:val="auto"/>
        </w:rPr>
        <w:t>Williwaw Services, Inc.</w:t>
      </w:r>
    </w:p>
    <w:p>
      <w:pPr>
        <w:spacing w:after="0"/>
        <w:rPr>
          <w:sz w:val="20"/>
          <w:szCs w:val="20"/>
          <w:color w:val="auto"/>
        </w:rPr>
      </w:pPr>
      <w:r>
        <w:rPr>
          <w:rFonts w:ascii="Courier New" w:cs="Courier New" w:eastAsia="Courier New" w:hAnsi="Courier New"/>
          <w:sz w:val="15"/>
          <w:szCs w:val="15"/>
          <w:color w:val="auto"/>
        </w:rPr>
        <w:t>WM International Holdings, Inc.</w:t>
      </w:r>
    </w:p>
    <w:p>
      <w:pPr>
        <w:spacing w:after="0"/>
        <w:rPr>
          <w:sz w:val="20"/>
          <w:szCs w:val="20"/>
          <w:color w:val="auto"/>
        </w:rPr>
      </w:pPr>
      <w:r>
        <w:rPr>
          <w:rFonts w:ascii="Courier New" w:cs="Courier New" w:eastAsia="Courier New" w:hAnsi="Courier New"/>
          <w:sz w:val="15"/>
          <w:szCs w:val="15"/>
          <w:color w:val="auto"/>
        </w:rPr>
        <w:t>WM Landfills of Georgia, Inc.</w:t>
      </w:r>
    </w:p>
    <w:p>
      <w:pPr>
        <w:spacing w:after="0" w:line="238" w:lineRule="auto"/>
        <w:rPr>
          <w:sz w:val="20"/>
          <w:szCs w:val="20"/>
          <w:color w:val="auto"/>
        </w:rPr>
      </w:pPr>
      <w:r>
        <w:rPr>
          <w:rFonts w:ascii="Courier New" w:cs="Courier New" w:eastAsia="Courier New" w:hAnsi="Courier New"/>
          <w:sz w:val="15"/>
          <w:szCs w:val="15"/>
          <w:color w:val="auto"/>
        </w:rPr>
        <w:t>WM Landfills of Michigan, Inc.</w:t>
      </w:r>
    </w:p>
    <w:p>
      <w:pPr>
        <w:spacing w:after="0"/>
        <w:rPr>
          <w:sz w:val="20"/>
          <w:szCs w:val="20"/>
          <w:color w:val="auto"/>
        </w:rPr>
      </w:pPr>
      <w:r>
        <w:rPr>
          <w:rFonts w:ascii="Courier New" w:cs="Courier New" w:eastAsia="Courier New" w:hAnsi="Courier New"/>
          <w:sz w:val="15"/>
          <w:szCs w:val="15"/>
          <w:color w:val="auto"/>
        </w:rPr>
        <w:t>WM Landfills of Ohio, Inc.</w:t>
      </w:r>
    </w:p>
    <w:p>
      <w:pPr>
        <w:spacing w:after="0"/>
        <w:rPr>
          <w:sz w:val="20"/>
          <w:szCs w:val="20"/>
          <w:color w:val="auto"/>
        </w:rPr>
      </w:pPr>
      <w:r>
        <w:rPr>
          <w:rFonts w:ascii="Courier New" w:cs="Courier New" w:eastAsia="Courier New" w:hAnsi="Courier New"/>
          <w:sz w:val="15"/>
          <w:szCs w:val="15"/>
          <w:color w:val="auto"/>
        </w:rPr>
        <w:t>WM Landfills of Tennessee, Inc.</w:t>
      </w:r>
    </w:p>
    <w:p>
      <w:pPr>
        <w:spacing w:after="0"/>
        <w:rPr>
          <w:sz w:val="20"/>
          <w:szCs w:val="20"/>
          <w:color w:val="auto"/>
        </w:rPr>
      </w:pPr>
      <w:r>
        <w:rPr>
          <w:rFonts w:ascii="Courier New" w:cs="Courier New" w:eastAsia="Courier New" w:hAnsi="Courier New"/>
          <w:sz w:val="15"/>
          <w:szCs w:val="15"/>
          <w:color w:val="auto"/>
        </w:rPr>
        <w:t>WM Partnership Holdings, Inc.</w:t>
      </w:r>
    </w:p>
    <w:p>
      <w:pPr>
        <w:spacing w:after="0" w:line="238" w:lineRule="auto"/>
        <w:rPr>
          <w:sz w:val="20"/>
          <w:szCs w:val="20"/>
          <w:color w:val="auto"/>
        </w:rPr>
      </w:pPr>
      <w:r>
        <w:rPr>
          <w:rFonts w:ascii="Courier New" w:cs="Courier New" w:eastAsia="Courier New" w:hAnsi="Courier New"/>
          <w:sz w:val="15"/>
          <w:szCs w:val="15"/>
          <w:color w:val="auto"/>
        </w:rPr>
        <w:t>WM Resources, Inc.</w:t>
      </w:r>
    </w:p>
    <w:p>
      <w:pPr>
        <w:spacing w:after="0"/>
        <w:rPr>
          <w:sz w:val="20"/>
          <w:szCs w:val="20"/>
          <w:color w:val="auto"/>
        </w:rPr>
      </w:pPr>
      <w:r>
        <w:rPr>
          <w:rFonts w:ascii="Courier New" w:cs="Courier New" w:eastAsia="Courier New" w:hAnsi="Courier New"/>
          <w:sz w:val="15"/>
          <w:szCs w:val="15"/>
          <w:color w:val="auto"/>
        </w:rPr>
        <w:t>WM Thailand B.V.</w:t>
      </w:r>
    </w:p>
    <w:p>
      <w:pPr>
        <w:spacing w:after="0"/>
        <w:rPr>
          <w:sz w:val="20"/>
          <w:szCs w:val="20"/>
          <w:color w:val="auto"/>
        </w:rPr>
      </w:pPr>
      <w:r>
        <w:rPr>
          <w:rFonts w:ascii="Courier New" w:cs="Courier New" w:eastAsia="Courier New" w:hAnsi="Courier New"/>
          <w:sz w:val="15"/>
          <w:szCs w:val="15"/>
          <w:color w:val="auto"/>
        </w:rPr>
        <w:t>WM Trading, Inc.</w:t>
      </w:r>
    </w:p>
    <w:p>
      <w:pPr>
        <w:spacing w:after="0" w:line="238" w:lineRule="auto"/>
        <w:rPr>
          <w:sz w:val="20"/>
          <w:szCs w:val="20"/>
          <w:color w:val="auto"/>
        </w:rPr>
      </w:pPr>
      <w:r>
        <w:rPr>
          <w:rFonts w:ascii="Courier New" w:cs="Courier New" w:eastAsia="Courier New" w:hAnsi="Courier New"/>
          <w:sz w:val="15"/>
          <w:szCs w:val="15"/>
          <w:color w:val="auto"/>
        </w:rPr>
        <w:t>WM Transportation Services, Inc.</w:t>
      </w:r>
    </w:p>
    <w:p>
      <w:pPr>
        <w:spacing w:after="0"/>
        <w:rPr>
          <w:sz w:val="20"/>
          <w:szCs w:val="20"/>
          <w:color w:val="auto"/>
        </w:rPr>
      </w:pPr>
      <w:r>
        <w:rPr>
          <w:rFonts w:ascii="Courier New" w:cs="Courier New" w:eastAsia="Courier New" w:hAnsi="Courier New"/>
          <w:sz w:val="15"/>
          <w:szCs w:val="15"/>
          <w:color w:val="auto"/>
        </w:rPr>
        <w:t>WMI Mexico Holdings, Inc.</w:t>
      </w:r>
    </w:p>
    <w:p>
      <w:pPr>
        <w:spacing w:after="0"/>
        <w:rPr>
          <w:sz w:val="20"/>
          <w:szCs w:val="20"/>
          <w:color w:val="auto"/>
        </w:rPr>
      </w:pPr>
      <w:r>
        <w:rPr>
          <w:rFonts w:ascii="Courier New" w:cs="Courier New" w:eastAsia="Courier New" w:hAnsi="Courier New"/>
          <w:sz w:val="15"/>
          <w:szCs w:val="15"/>
          <w:color w:val="auto"/>
        </w:rPr>
        <w:t>WMNA Container Recycling, Inc.</w:t>
      </w:r>
    </w:p>
    <w:p>
      <w:pPr>
        <w:spacing w:after="0"/>
        <w:rPr>
          <w:sz w:val="20"/>
          <w:szCs w:val="20"/>
          <w:color w:val="auto"/>
        </w:rPr>
      </w:pPr>
      <w:r>
        <w:rPr>
          <w:rFonts w:ascii="Courier New" w:cs="Courier New" w:eastAsia="Courier New" w:hAnsi="Courier New"/>
          <w:sz w:val="15"/>
          <w:szCs w:val="15"/>
          <w:color w:val="auto"/>
        </w:rPr>
        <w:t>WMNA Rail-Cycle Sub, Inc.</w:t>
      </w:r>
    </w:p>
    <w:p>
      <w:pPr>
        <w:spacing w:after="0" w:line="238" w:lineRule="auto"/>
        <w:rPr>
          <w:sz w:val="20"/>
          <w:szCs w:val="20"/>
          <w:color w:val="auto"/>
        </w:rPr>
      </w:pPr>
      <w:r>
        <w:rPr>
          <w:rFonts w:ascii="Courier New" w:cs="Courier New" w:eastAsia="Courier New" w:hAnsi="Courier New"/>
          <w:sz w:val="15"/>
          <w:szCs w:val="15"/>
          <w:color w:val="auto"/>
        </w:rPr>
        <w:t>WTI Air Pollution Control, Inc.</w:t>
      </w:r>
    </w:p>
    <w:p>
      <w:pPr>
        <w:spacing w:after="0"/>
        <w:rPr>
          <w:sz w:val="20"/>
          <w:szCs w:val="20"/>
          <w:color w:val="auto"/>
        </w:rPr>
      </w:pPr>
      <w:r>
        <w:rPr>
          <w:rFonts w:ascii="Courier New" w:cs="Courier New" w:eastAsia="Courier New" w:hAnsi="Courier New"/>
          <w:sz w:val="15"/>
          <w:szCs w:val="15"/>
          <w:color w:val="auto"/>
        </w:rPr>
        <w:t>WTI International Holdings Inc.</w:t>
      </w:r>
    </w:p>
    <w:p>
      <w:pPr>
        <w:spacing w:after="0"/>
        <w:rPr>
          <w:sz w:val="20"/>
          <w:szCs w:val="20"/>
          <w:color w:val="auto"/>
        </w:rPr>
      </w:pPr>
      <w:r>
        <w:rPr>
          <w:rFonts w:ascii="Courier New" w:cs="Courier New" w:eastAsia="Courier New" w:hAnsi="Courier New"/>
          <w:sz w:val="15"/>
          <w:szCs w:val="15"/>
          <w:color w:val="auto"/>
        </w:rPr>
        <w:t>WTI Rust Holdings Inc.</w:t>
      </w:r>
    </w:p>
    <w:p>
      <w:pPr>
        <w:spacing w:after="0" w:line="238" w:lineRule="auto"/>
        <w:rPr>
          <w:sz w:val="20"/>
          <w:szCs w:val="20"/>
          <w:color w:val="auto"/>
        </w:rPr>
      </w:pPr>
      <w:r>
        <w:rPr>
          <w:rFonts w:ascii="Courier New" w:cs="Courier New" w:eastAsia="Courier New" w:hAnsi="Courier New"/>
          <w:sz w:val="15"/>
          <w:szCs w:val="15"/>
          <w:color w:val="auto"/>
        </w:rPr>
        <w:t>Wynne's Rubbish &amp; Recycling, Inc.</w:t>
      </w:r>
    </w:p>
    <w:p>
      <w:pPr>
        <w:spacing w:after="0"/>
        <w:rPr>
          <w:sz w:val="20"/>
          <w:szCs w:val="20"/>
          <w:color w:val="auto"/>
        </w:rPr>
      </w:pPr>
      <w:r>
        <w:rPr>
          <w:rFonts w:ascii="Courier New" w:cs="Courier New" w:eastAsia="Courier New" w:hAnsi="Courier New"/>
          <w:sz w:val="15"/>
          <w:szCs w:val="15"/>
          <w:color w:val="auto"/>
        </w:rPr>
        <w:t>Yell County Landfill, Inc</w:t>
      </w:r>
    </w:p>
    <w:p>
      <w:pPr>
        <w:spacing w:after="0"/>
        <w:rPr>
          <w:sz w:val="20"/>
          <w:szCs w:val="20"/>
          <w:color w:val="auto"/>
        </w:rPr>
      </w:pPr>
      <w:r>
        <w:rPr>
          <w:rFonts w:ascii="Courier New" w:cs="Courier New" w:eastAsia="Courier New" w:hAnsi="Courier New"/>
          <w:sz w:val="15"/>
          <w:szCs w:val="15"/>
          <w:color w:val="auto"/>
        </w:rPr>
        <w:t>Zenith/Kremer Material Recovery, Inc.</w:t>
      </w:r>
    </w:p>
    <w:p>
      <w:pPr>
        <w:spacing w:after="0"/>
        <w:rPr>
          <w:sz w:val="20"/>
          <w:szCs w:val="20"/>
          <w:color w:val="auto"/>
        </w:rPr>
      </w:pPr>
      <w:r>
        <w:rPr>
          <w:rFonts w:ascii="Courier New" w:cs="Courier New" w:eastAsia="Courier New" w:hAnsi="Courier New"/>
          <w:sz w:val="15"/>
          <w:szCs w:val="15"/>
          <w:color w:val="auto"/>
        </w:rPr>
        <w:t>Zenith/Kremer Waste Systems,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Florida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Michigan</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Alaska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Delaware</w:t>
      </w:r>
    </w:p>
    <w:p>
      <w:pPr>
        <w:spacing w:after="0"/>
        <w:rPr>
          <w:sz w:val="20"/>
          <w:szCs w:val="20"/>
          <w:color w:val="auto"/>
        </w:rPr>
      </w:pPr>
      <w:r>
        <w:rPr>
          <w:rFonts w:ascii="Courier New" w:cs="Courier New" w:eastAsia="Courier New" w:hAnsi="Courier New"/>
          <w:sz w:val="15"/>
          <w:szCs w:val="15"/>
          <w:color w:val="auto"/>
        </w:rPr>
        <w:t>Minnesota</w:t>
      </w:r>
    </w:p>
    <w:p>
      <w:pPr>
        <w:spacing w:after="0" w:line="238" w:lineRule="auto"/>
        <w:rPr>
          <w:sz w:val="20"/>
          <w:szCs w:val="20"/>
          <w:color w:val="auto"/>
        </w:rPr>
      </w:pPr>
      <w:r>
        <w:rPr>
          <w:rFonts w:ascii="Courier New" w:cs="Courier New" w:eastAsia="Courier New" w:hAnsi="Courier New"/>
          <w:sz w:val="15"/>
          <w:szCs w:val="15"/>
          <w:color w:val="auto"/>
        </w:rPr>
        <w:t>Arkansas</w:t>
      </w:r>
    </w:p>
    <w:p>
      <w:pPr>
        <w:spacing w:after="0"/>
        <w:rPr>
          <w:sz w:val="20"/>
          <w:szCs w:val="20"/>
          <w:color w:val="auto"/>
        </w:rPr>
      </w:pPr>
      <w:r>
        <w:rPr>
          <w:rFonts w:ascii="Courier New" w:cs="Courier New" w:eastAsia="Courier New" w:hAnsi="Courier New"/>
          <w:sz w:val="15"/>
          <w:szCs w:val="15"/>
          <w:color w:val="auto"/>
        </w:rPr>
        <w:t>Minnesota</w:t>
      </w:r>
    </w:p>
    <w:p>
      <w:pPr>
        <w:spacing w:after="0"/>
        <w:rPr>
          <w:sz w:val="20"/>
          <w:szCs w:val="20"/>
          <w:color w:val="auto"/>
        </w:rPr>
      </w:pPr>
      <w:r>
        <w:rPr>
          <w:rFonts w:ascii="Courier New" w:cs="Courier New" w:eastAsia="Courier New" w:hAnsi="Courier New"/>
          <w:sz w:val="15"/>
          <w:szCs w:val="15"/>
          <w:color w:val="auto"/>
        </w:rPr>
        <w:t>Minnesota</w:t>
      </w:r>
    </w:p>
    <w:p>
      <w:pPr>
        <w:sectPr>
          <w:pgSz w:w="11900" w:h="16838" w:orient="portrait"/>
          <w:cols w:equalWidth="0" w:num="2">
            <w:col w:w="5360" w:space="720"/>
            <w:col w:w="4139"/>
          </w:cols>
          <w:pgMar w:left="240" w:top="283" w:right="1440" w:bottom="1440" w:gutter="0" w:footer="0" w:header="0"/>
          <w:type w:val="continuous"/>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33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Annual Report on Form 10-K, into the Company's previously filed Registration Statements on Form S-8 (Registration Nos.</w:t>
      </w:r>
    </w:p>
    <w:p>
      <w:pPr>
        <w:spacing w:after="0" w:line="5"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14"/>
          <w:szCs w:val="14"/>
          <w:color w:val="auto"/>
        </w:rPr>
        <w:t>33-84944, 333-45062, 333-45064 and 333-45066), previously filed Registration Statements on Form S-3 (Registration Nos. 333-00097, 333-08573, 333-32471,</w:t>
      </w:r>
    </w:p>
    <w:p>
      <w:pPr>
        <w:spacing w:after="0" w:line="1"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333-52197, 333-80063, 333-17421, 33-85018, 33-42988, 33-76226, 33-76224), and previously filed Registration Statements on Form S-4 (Registration Nos.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333-31979 and 333-32805, 333-63981, 333-60103, 333-14109).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13, 2001</w:t>
      </w:r>
    </w:p>
    <w:p>
      <w:pPr>
        <w:sectPr>
          <w:pgSz w:w="11900" w:h="16838" w:orient="portrait"/>
          <w:cols w:equalWidth="0" w:num="1">
            <w:col w:w="10219"/>
          </w:cols>
          <w:pgMar w:left="240" w:top="136" w:right="1440" w:bottom="1440" w:gutter="0" w:footer="0" w:header="0"/>
        </w:sectPr>
      </w:pPr>
    </w:p>
    <w:bookmarkStart w:id="169" w:name="page170"/>
    <w:bookmarkEnd w:id="169"/>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WASTE MANAGEMENT, INC. FOR THE YEAR ENDED DECEMBER 31, 2000 AND IS QUALIFIED IN ITS ENTIRETY BY REFERENCE TO SUCH FINANCIAL STATEMENTS.</w:t>
      </w:r>
    </w:p>
    <w:p>
      <w:pPr>
        <w:spacing w:after="0" w:line="15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60"/>
        <w:spacing w:after="0"/>
        <w:rPr>
          <w:sz w:val="20"/>
          <w:szCs w:val="20"/>
          <w:color w:val="auto"/>
        </w:rPr>
      </w:pPr>
      <w:r>
        <w:rPr>
          <w:rFonts w:ascii="Courier New" w:cs="Courier New" w:eastAsia="Courier New" w:hAnsi="Courier New"/>
          <w:sz w:val="15"/>
          <w:szCs w:val="15"/>
          <w:color w:val="auto"/>
        </w:rPr>
        <w:t>DEC-31-2000</w:t>
      </w:r>
    </w:p>
    <w:p>
      <w:pPr>
        <w:ind w:left="2520"/>
        <w:spacing w:after="0"/>
        <w:rPr>
          <w:sz w:val="20"/>
          <w:szCs w:val="20"/>
          <w:color w:val="auto"/>
        </w:rPr>
      </w:pPr>
      <w:r>
        <w:rPr>
          <w:rFonts w:ascii="Courier New" w:cs="Courier New" w:eastAsia="Courier New" w:hAnsi="Courier New"/>
          <w:sz w:val="15"/>
          <w:szCs w:val="15"/>
          <w:color w:val="auto"/>
        </w:rPr>
        <w:t>JAN-01-2000</w:t>
      </w:r>
    </w:p>
    <w:p>
      <w:pPr>
        <w:ind w:left="2700"/>
        <w:spacing w:after="0" w:line="238" w:lineRule="auto"/>
        <w:rPr>
          <w:sz w:val="20"/>
          <w:szCs w:val="20"/>
          <w:color w:val="auto"/>
        </w:rPr>
      </w:pPr>
      <w:r>
        <w:rPr>
          <w:rFonts w:ascii="Courier New" w:cs="Courier New" w:eastAsia="Courier New" w:hAnsi="Courier New"/>
          <w:sz w:val="15"/>
          <w:szCs w:val="15"/>
          <w:color w:val="auto"/>
        </w:rPr>
        <w:t>DEC-31-2000</w:t>
      </w:r>
    </w:p>
    <w:p>
      <w:pPr>
        <w:ind w:left="4020"/>
        <w:spacing w:after="0"/>
        <w:rPr>
          <w:sz w:val="20"/>
          <w:szCs w:val="20"/>
          <w:color w:val="auto"/>
        </w:rPr>
      </w:pPr>
      <w:r>
        <w:rPr>
          <w:rFonts w:ascii="Courier New" w:cs="Courier New" w:eastAsia="Courier New" w:hAnsi="Courier New"/>
          <w:sz w:val="15"/>
          <w:szCs w:val="15"/>
          <w:color w:val="auto"/>
        </w:rPr>
        <w:t>94</w:t>
      </w:r>
    </w:p>
    <w:p>
      <w:pPr>
        <w:ind w:left="3580"/>
        <w:spacing w:after="0"/>
        <w:rPr>
          <w:sz w:val="20"/>
          <w:szCs w:val="20"/>
          <w:color w:val="auto"/>
        </w:rPr>
      </w:pPr>
      <w:r>
        <w:rPr>
          <w:rFonts w:ascii="Courier New" w:cs="Courier New" w:eastAsia="Courier New" w:hAnsi="Courier New"/>
          <w:sz w:val="15"/>
          <w:szCs w:val="15"/>
          <w:color w:val="auto"/>
        </w:rPr>
        <w:t>0</w:t>
      </w:r>
    </w:p>
    <w:p>
      <w:pPr>
        <w:ind w:left="3140"/>
        <w:spacing w:after="0" w:line="238" w:lineRule="auto"/>
        <w:rPr>
          <w:sz w:val="20"/>
          <w:szCs w:val="20"/>
          <w:color w:val="auto"/>
        </w:rPr>
      </w:pPr>
      <w:r>
        <w:rPr>
          <w:rFonts w:ascii="Courier New" w:cs="Courier New" w:eastAsia="Courier New" w:hAnsi="Courier New"/>
          <w:sz w:val="15"/>
          <w:szCs w:val="15"/>
          <w:color w:val="auto"/>
        </w:rPr>
        <w:t>1,703</w:t>
      </w:r>
    </w:p>
    <w:p>
      <w:pPr>
        <w:ind w:left="3400"/>
        <w:spacing w:after="0"/>
        <w:rPr>
          <w:sz w:val="20"/>
          <w:szCs w:val="20"/>
          <w:color w:val="auto"/>
        </w:rPr>
      </w:pPr>
      <w:r>
        <w:rPr>
          <w:rFonts w:ascii="Courier New" w:cs="Courier New" w:eastAsia="Courier New" w:hAnsi="Courier New"/>
          <w:sz w:val="15"/>
          <w:szCs w:val="15"/>
          <w:color w:val="auto"/>
        </w:rPr>
        <w:t>128</w:t>
      </w:r>
    </w:p>
    <w:p>
      <w:pPr>
        <w:ind w:left="3580"/>
        <w:spacing w:after="0"/>
        <w:rPr>
          <w:sz w:val="20"/>
          <w:szCs w:val="20"/>
          <w:color w:val="auto"/>
        </w:rPr>
      </w:pPr>
      <w:r>
        <w:rPr>
          <w:rFonts w:ascii="Courier New" w:cs="Courier New" w:eastAsia="Courier New" w:hAnsi="Courier New"/>
          <w:sz w:val="15"/>
          <w:szCs w:val="15"/>
          <w:color w:val="auto"/>
        </w:rPr>
        <w:t>75</w:t>
      </w:r>
    </w:p>
    <w:p>
      <w:pPr>
        <w:ind w:left="2880"/>
        <w:spacing w:after="0"/>
        <w:rPr>
          <w:sz w:val="20"/>
          <w:szCs w:val="20"/>
          <w:color w:val="auto"/>
        </w:rPr>
      </w:pPr>
      <w:r>
        <w:rPr>
          <w:rFonts w:ascii="Courier New" w:cs="Courier New" w:eastAsia="Courier New" w:hAnsi="Courier New"/>
          <w:sz w:val="15"/>
          <w:szCs w:val="15"/>
          <w:color w:val="auto"/>
        </w:rPr>
        <w:t>2,457</w:t>
      </w:r>
    </w:p>
    <w:p>
      <w:pPr>
        <w:ind w:left="3680"/>
        <w:spacing w:after="0" w:line="238" w:lineRule="auto"/>
        <w:rPr>
          <w:sz w:val="20"/>
          <w:szCs w:val="20"/>
          <w:color w:val="auto"/>
        </w:rPr>
      </w:pPr>
      <w:r>
        <w:rPr>
          <w:rFonts w:ascii="Courier New" w:cs="Courier New" w:eastAsia="Courier New" w:hAnsi="Courier New"/>
          <w:sz w:val="15"/>
          <w:szCs w:val="15"/>
          <w:color w:val="auto"/>
        </w:rPr>
        <w:t>16,985</w:t>
      </w:r>
    </w:p>
    <w:p>
      <w:pPr>
        <w:ind w:left="3060"/>
        <w:spacing w:after="0"/>
        <w:rPr>
          <w:sz w:val="20"/>
          <w:szCs w:val="20"/>
          <w:color w:val="auto"/>
        </w:rPr>
      </w:pPr>
      <w:r>
        <w:rPr>
          <w:rFonts w:ascii="Courier New" w:cs="Courier New" w:eastAsia="Courier New" w:hAnsi="Courier New"/>
          <w:sz w:val="15"/>
          <w:szCs w:val="15"/>
          <w:color w:val="auto"/>
        </w:rPr>
        <w:t>6,859</w:t>
      </w:r>
    </w:p>
    <w:p>
      <w:pPr>
        <w:ind w:left="2960"/>
        <w:spacing w:after="0"/>
        <w:rPr>
          <w:sz w:val="20"/>
          <w:szCs w:val="20"/>
          <w:color w:val="auto"/>
        </w:rPr>
      </w:pPr>
      <w:r>
        <w:rPr>
          <w:rFonts w:ascii="Courier New" w:cs="Courier New" w:eastAsia="Courier New" w:hAnsi="Courier New"/>
          <w:sz w:val="15"/>
          <w:szCs w:val="15"/>
          <w:color w:val="auto"/>
        </w:rPr>
        <w:t>18,565</w:t>
      </w:r>
    </w:p>
    <w:p>
      <w:pPr>
        <w:ind w:left="2440"/>
        <w:spacing w:after="0" w:line="238" w:lineRule="auto"/>
        <w:rPr>
          <w:sz w:val="20"/>
          <w:szCs w:val="20"/>
          <w:color w:val="auto"/>
        </w:rPr>
      </w:pPr>
      <w:r>
        <w:rPr>
          <w:rFonts w:ascii="Courier New" w:cs="Courier New" w:eastAsia="Courier New" w:hAnsi="Courier New"/>
          <w:sz w:val="15"/>
          <w:szCs w:val="15"/>
          <w:color w:val="auto"/>
        </w:rPr>
        <w:t>2,937</w:t>
      </w:r>
    </w:p>
    <w:p>
      <w:pPr>
        <w:ind w:left="3680"/>
        <w:spacing w:after="0"/>
        <w:rPr>
          <w:sz w:val="20"/>
          <w:szCs w:val="20"/>
          <w:color w:val="auto"/>
        </w:rPr>
      </w:pPr>
      <w:r>
        <w:rPr>
          <w:rFonts w:ascii="Courier New" w:cs="Courier New" w:eastAsia="Courier New" w:hAnsi="Courier New"/>
          <w:sz w:val="15"/>
          <w:szCs w:val="15"/>
          <w:color w:val="auto"/>
        </w:rPr>
        <w:t>8,485</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940"/>
        <w:spacing w:after="0" w:line="238" w:lineRule="auto"/>
        <w:rPr>
          <w:sz w:val="20"/>
          <w:szCs w:val="20"/>
          <w:color w:val="auto"/>
        </w:rPr>
      </w:pPr>
      <w:r>
        <w:rPr>
          <w:rFonts w:ascii="Courier New" w:cs="Courier New" w:eastAsia="Courier New" w:hAnsi="Courier New"/>
          <w:sz w:val="15"/>
          <w:szCs w:val="15"/>
          <w:color w:val="auto"/>
        </w:rPr>
        <w:t>6</w:t>
      </w:r>
    </w:p>
    <w:p>
      <w:pPr>
        <w:ind w:left="3400"/>
        <w:spacing w:after="0"/>
        <w:rPr>
          <w:sz w:val="20"/>
          <w:szCs w:val="20"/>
          <w:color w:val="auto"/>
        </w:rPr>
      </w:pPr>
      <w:r>
        <w:rPr>
          <w:rFonts w:ascii="Courier New" w:cs="Courier New" w:eastAsia="Courier New" w:hAnsi="Courier New"/>
          <w:sz w:val="15"/>
          <w:szCs w:val="15"/>
          <w:color w:val="auto"/>
        </w:rPr>
        <w:t>4,795</w:t>
      </w:r>
    </w:p>
    <w:p>
      <w:pPr>
        <w:ind w:left="1740"/>
        <w:spacing w:after="0"/>
        <w:rPr>
          <w:sz w:val="20"/>
          <w:szCs w:val="20"/>
          <w:color w:val="auto"/>
        </w:rPr>
      </w:pPr>
      <w:r>
        <w:rPr>
          <w:rFonts w:ascii="Courier New" w:cs="Courier New" w:eastAsia="Courier New" w:hAnsi="Courier New"/>
          <w:sz w:val="15"/>
          <w:szCs w:val="15"/>
          <w:color w:val="auto"/>
        </w:rPr>
        <w:t>18,565</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12,492</w:t>
      </w:r>
    </w:p>
    <w:p>
      <w:pPr>
        <w:ind w:left="420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11,454</w:t>
      </w:r>
    </w:p>
    <w:p>
      <w:pPr>
        <w:ind w:left="2960"/>
        <w:spacing w:after="0" w:line="238" w:lineRule="auto"/>
        <w:rPr>
          <w:sz w:val="20"/>
          <w:szCs w:val="20"/>
          <w:color w:val="auto"/>
        </w:rPr>
      </w:pPr>
      <w:r>
        <w:rPr>
          <w:rFonts w:ascii="Courier New" w:cs="Courier New" w:eastAsia="Courier New" w:hAnsi="Courier New"/>
          <w:sz w:val="15"/>
          <w:szCs w:val="15"/>
          <w:color w:val="auto"/>
        </w:rPr>
        <w:t>(31)</w:t>
      </w:r>
    </w:p>
    <w:p>
      <w:pPr>
        <w:ind w:left="3240"/>
        <w:spacing w:after="0"/>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748</w:t>
      </w:r>
    </w:p>
    <w:p>
      <w:pPr>
        <w:ind w:left="3140"/>
        <w:spacing w:after="0" w:line="238" w:lineRule="auto"/>
        <w:rPr>
          <w:sz w:val="20"/>
          <w:szCs w:val="20"/>
          <w:color w:val="auto"/>
        </w:rPr>
      </w:pPr>
      <w:r>
        <w:rPr>
          <w:rFonts w:ascii="Courier New" w:cs="Courier New" w:eastAsia="Courier New" w:hAnsi="Courier New"/>
          <w:sz w:val="15"/>
          <w:szCs w:val="15"/>
          <w:color w:val="auto"/>
        </w:rPr>
        <w:t>321</w:t>
      </w:r>
    </w:p>
    <w:p>
      <w:pPr>
        <w:ind w:left="3400"/>
        <w:spacing w:after="0"/>
        <w:rPr>
          <w:sz w:val="20"/>
          <w:szCs w:val="20"/>
          <w:color w:val="auto"/>
        </w:rPr>
      </w:pPr>
      <w:r>
        <w:rPr>
          <w:rFonts w:ascii="Courier New" w:cs="Courier New" w:eastAsia="Courier New" w:hAnsi="Courier New"/>
          <w:sz w:val="15"/>
          <w:szCs w:val="15"/>
          <w:color w:val="auto"/>
        </w:rPr>
        <w:t>418</w:t>
      </w:r>
    </w:p>
    <w:p>
      <w:pPr>
        <w:ind w:left="2700"/>
        <w:spacing w:after="0"/>
        <w:rPr>
          <w:sz w:val="20"/>
          <w:szCs w:val="20"/>
          <w:color w:val="auto"/>
        </w:rPr>
      </w:pPr>
      <w:r>
        <w:rPr>
          <w:rFonts w:ascii="Courier New" w:cs="Courier New" w:eastAsia="Courier New" w:hAnsi="Courier New"/>
          <w:sz w:val="15"/>
          <w:szCs w:val="15"/>
          <w:color w:val="auto"/>
        </w:rPr>
        <w:t>(97)</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(97)</w:t>
      </w:r>
    </w:p>
    <w:p>
      <w:pPr>
        <w:ind w:left="3240"/>
        <w:spacing w:after="0" w:line="238" w:lineRule="auto"/>
        <w:rPr>
          <w:sz w:val="20"/>
          <w:szCs w:val="20"/>
          <w:color w:val="auto"/>
        </w:rPr>
      </w:pPr>
      <w:r>
        <w:rPr>
          <w:rFonts w:ascii="Courier New" w:cs="Courier New" w:eastAsia="Courier New" w:hAnsi="Courier New"/>
          <w:sz w:val="15"/>
          <w:szCs w:val="15"/>
          <w:color w:val="auto"/>
        </w:rPr>
        <w:t>(0.16)</w:t>
      </w:r>
    </w:p>
    <w:p>
      <w:pPr>
        <w:ind w:left="3060"/>
        <w:spacing w:after="0"/>
        <w:rPr>
          <w:sz w:val="20"/>
          <w:szCs w:val="20"/>
          <w:color w:val="auto"/>
        </w:rPr>
      </w:pPr>
      <w:r>
        <w:rPr>
          <w:rFonts w:ascii="Courier New" w:cs="Courier New" w:eastAsia="Courier New" w:hAnsi="Courier New"/>
          <w:sz w:val="15"/>
          <w:szCs w:val="15"/>
          <w:color w:val="auto"/>
        </w:rPr>
        <w:t>(0.16)</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F6D648"/>
    <w:multiLevelType w:val="hybridMultilevel"/>
    <w:lvl w:ilvl="0">
      <w:lvlJc w:val="left"/>
      <w:lvlText w:val="-"/>
      <w:numFmt w:val="bullet"/>
      <w:start w:val="1"/>
    </w:lvl>
  </w:abstractNum>
  <w:abstractNum w:abstractNumId="1">
    <w:nsid w:val="46B7D447"/>
    <w:multiLevelType w:val="hybridMultilevel"/>
    <w:lvl w:ilvl="0">
      <w:lvlJc w:val="left"/>
      <w:lvlText w:val="[%1]"/>
      <w:numFmt w:val="upperLetter"/>
      <w:start w:val="24"/>
    </w:lvl>
  </w:abstractNum>
  <w:abstractNum w:abstractNumId="2">
    <w:nsid w:val="4A2AC315"/>
    <w:multiLevelType w:val="hybridMultilevel"/>
    <w:lvl w:ilvl="0">
      <w:lvlJc w:val="left"/>
      <w:lvlText w:val="["/>
      <w:numFmt w:val="bullet"/>
      <w:start w:val="1"/>
    </w:lvl>
  </w:abstractNum>
  <w:abstractNum w:abstractNumId="3">
    <w:nsid w:val="39EE015C"/>
    <w:multiLevelType w:val="hybridMultilevel"/>
    <w:lvl w:ilvl="0">
      <w:lvlJc w:val="left"/>
      <w:lvlText w:val="-"/>
      <w:numFmt w:val="bullet"/>
      <w:start w:val="1"/>
    </w:lvl>
  </w:abstractNum>
  <w:abstractNum w:abstractNumId="4">
    <w:nsid w:val="57FC4FBB"/>
    <w:multiLevelType w:val="hybridMultilevel"/>
    <w:lvl w:ilvl="0">
      <w:lvlJc w:val="left"/>
      <w:lvlText w:val="-"/>
      <w:numFmt w:val="bullet"/>
      <w:start w:val="1"/>
    </w:lvl>
  </w:abstractNum>
  <w:abstractNum w:abstractNumId="5">
    <w:nsid w:val="CC1016F"/>
    <w:multiLevelType w:val="hybridMultilevel"/>
    <w:lvl w:ilvl="0">
      <w:lvlJc w:val="left"/>
      <w:lvlText w:val="-"/>
      <w:numFmt w:val="bullet"/>
      <w:start w:val="1"/>
    </w:lvl>
  </w:abstractNum>
  <w:abstractNum w:abstractNumId="6">
    <w:nsid w:val="43F18422"/>
    <w:multiLevelType w:val="hybridMultilevel"/>
    <w:lvl w:ilvl="0">
      <w:lvlJc w:val="left"/>
      <w:lvlText w:val="-"/>
      <w:numFmt w:val="bullet"/>
      <w:start w:val="1"/>
    </w:lvl>
  </w:abstractNum>
  <w:abstractNum w:abstractNumId="7">
    <w:nsid w:val="60EF0119"/>
    <w:multiLevelType w:val="hybridMultilevel"/>
    <w:lvl w:ilvl="0">
      <w:lvlJc w:val="left"/>
      <w:lvlText w:val="-"/>
      <w:numFmt w:val="bullet"/>
      <w:start w:val="1"/>
    </w:lvl>
  </w:abstractNum>
  <w:abstractNum w:abstractNumId="8">
    <w:nsid w:val="26F324BA"/>
    <w:multiLevelType w:val="hybridMultilevel"/>
    <w:lvl w:ilvl="0">
      <w:lvlJc w:val="left"/>
      <w:lvlText w:val="-"/>
      <w:numFmt w:val="bullet"/>
      <w:start w:val="1"/>
    </w:lvl>
  </w:abstractNum>
  <w:abstractNum w:abstractNumId="9">
    <w:nsid w:val="7F01579B"/>
    <w:multiLevelType w:val="hybridMultilevel"/>
    <w:lvl w:ilvl="0">
      <w:lvlJc w:val="left"/>
      <w:lvlText w:val="(%1)"/>
      <w:numFmt w:val="lowerRoman"/>
      <w:start w:val="2"/>
    </w:lvl>
  </w:abstractNum>
  <w:abstractNum w:abstractNumId="10">
    <w:nsid w:val="49DA307D"/>
    <w:multiLevelType w:val="hybridMultilevel"/>
    <w:lvl w:ilvl="0">
      <w:lvlJc w:val="left"/>
      <w:lvlText w:val="-"/>
      <w:numFmt w:val="bullet"/>
      <w:start w:val="1"/>
    </w:lvl>
  </w:abstractNum>
  <w:abstractNum w:abstractNumId="11">
    <w:nsid w:val="7055A5F5"/>
    <w:multiLevelType w:val="hybridMultilevel"/>
    <w:lvl w:ilvl="0">
      <w:lvlJc w:val="left"/>
      <w:lvlText w:val="-"/>
      <w:numFmt w:val="bullet"/>
      <w:start w:val="1"/>
    </w:lvl>
  </w:abstractNum>
  <w:abstractNum w:abstractNumId="12">
    <w:nsid w:val="5FB8370B"/>
    <w:multiLevelType w:val="hybridMultilevel"/>
    <w:lvl w:ilvl="0">
      <w:lvlJc w:val="left"/>
      <w:lvlText w:val="-"/>
      <w:numFmt w:val="bullet"/>
      <w:start w:val="1"/>
    </w:lvl>
  </w:abstractNum>
  <w:abstractNum w:abstractNumId="13">
    <w:nsid w:val="50801EE1"/>
    <w:multiLevelType w:val="hybridMultilevel"/>
    <w:lvl w:ilvl="0">
      <w:lvlJc w:val="left"/>
      <w:lvlText w:val="-"/>
      <w:numFmt w:val="bullet"/>
      <w:start w:val="1"/>
    </w:lvl>
  </w:abstractNum>
  <w:abstractNum w:abstractNumId="14">
    <w:nsid w:val="488AC1A"/>
    <w:multiLevelType w:val="hybridMultilevel"/>
    <w:lvl w:ilvl="0">
      <w:lvlJc w:val="left"/>
      <w:lvlText w:val="-"/>
      <w:numFmt w:val="bullet"/>
      <w:start w:val="1"/>
    </w:lvl>
  </w:abstractNum>
  <w:abstractNum w:abstractNumId="15">
    <w:nsid w:val="5FB8011C"/>
    <w:multiLevelType w:val="hybridMultilevel"/>
    <w:lvl w:ilvl="0">
      <w:lvlJc w:val="left"/>
      <w:lvlText w:val="-"/>
      <w:numFmt w:val="bullet"/>
      <w:start w:val="1"/>
    </w:lvl>
  </w:abstractNum>
  <w:abstractNum w:abstractNumId="16">
    <w:nsid w:val="6AA78F7F"/>
    <w:multiLevelType w:val="hybridMultilevel"/>
    <w:lvl w:ilvl="0">
      <w:lvlJc w:val="left"/>
      <w:lvlText w:val="(%1)"/>
      <w:numFmt w:val="lowerLetter"/>
      <w:start w:val="1"/>
    </w:lvl>
  </w:abstractNum>
  <w:abstractNum w:abstractNumId="17">
    <w:nsid w:val="7672BD23"/>
    <w:multiLevelType w:val="hybridMultilevel"/>
    <w:lvl w:ilvl="0">
      <w:lvlJc w:val="left"/>
      <w:lvlText w:val="-"/>
      <w:numFmt w:val="bullet"/>
      <w:start w:val="1"/>
    </w:lvl>
  </w:abstractNum>
  <w:abstractNum w:abstractNumId="18">
    <w:nsid w:val="6FC75AF8"/>
    <w:multiLevelType w:val="hybridMultilevel"/>
    <w:lvl w:ilvl="0">
      <w:lvlJc w:val="left"/>
      <w:lvlText w:val="-"/>
      <w:numFmt w:val="bullet"/>
      <w:start w:val="1"/>
    </w:lvl>
  </w:abstractNum>
  <w:abstractNum w:abstractNumId="19">
    <w:nsid w:val="6A5F7029"/>
    <w:multiLevelType w:val="hybridMultilevel"/>
    <w:lvl w:ilvl="0">
      <w:lvlJc w:val="left"/>
      <w:lvlText w:val="%1."/>
      <w:numFmt w:val="decimal"/>
      <w:start w:val="4"/>
    </w:lvl>
  </w:abstractNum>
  <w:abstractNum w:abstractNumId="20">
    <w:nsid w:val="7D5E18F8"/>
    <w:multiLevelType w:val="hybridMultilevel"/>
    <w:lvl w:ilvl="0">
      <w:lvlJc w:val="left"/>
      <w:lvlText w:val="(%1)"/>
      <w:numFmt w:val="lowerLetter"/>
      <w:start w:val="1"/>
    </w:lvl>
  </w:abstractNum>
  <w:abstractNum w:abstractNumId="21">
    <w:nsid w:val="5F3534A4"/>
    <w:multiLevelType w:val="hybridMultilevel"/>
    <w:lvl w:ilvl="0">
      <w:lvlJc w:val="left"/>
      <w:lvlText w:val="----"/>
      <w:numFmt w:val="bullet"/>
      <w:start w:val="1"/>
    </w:lvl>
  </w:abstractNum>
  <w:abstractNum w:abstractNumId="22">
    <w:nsid w:val="73A1821B"/>
    <w:multiLevelType w:val="hybridMultilevel"/>
    <w:lvl w:ilvl="0">
      <w:lvlJc w:val="left"/>
      <w:lvlText w:val="(%1)"/>
      <w:numFmt w:val="lowerLetter"/>
      <w:start w:val="1"/>
    </w:lvl>
  </w:abstractNum>
  <w:abstractNum w:abstractNumId="23">
    <w:nsid w:val="7DE67713"/>
    <w:multiLevelType w:val="hybridMultilevel"/>
    <w:lvl w:ilvl="0">
      <w:lvlJc w:val="left"/>
      <w:lvlText w:val="(%1)"/>
      <w:numFmt w:val="lowerLetter"/>
      <w:start w:val="1"/>
    </w:lvl>
  </w:abstractNum>
  <w:abstractNum w:abstractNumId="24">
    <w:nsid w:val="555C55B5"/>
    <w:multiLevelType w:val="hybridMultilevel"/>
    <w:lvl w:ilvl="0">
      <w:lvlJc w:val="left"/>
      <w:lvlText w:val="(%1)"/>
      <w:numFmt w:val="lowerLetter"/>
      <w:start w:val="1"/>
    </w:lvl>
  </w:abstractNum>
  <w:abstractNum w:abstractNumId="25">
    <w:nsid w:val="3FA62ACA"/>
    <w:multiLevelType w:val="hybridMultilevel"/>
    <w:lvl w:ilvl="0">
      <w:lvlJc w:val="left"/>
      <w:lvlText w:val="-"/>
      <w:numFmt w:val="bullet"/>
      <w:start w:val="1"/>
    </w:lvl>
    <w:lvl w:ilvl="1">
      <w:lvlJc w:val="left"/>
      <w:lvlText w:val="%2"/>
      <w:numFmt w:val="decimal"/>
      <w:start w:val="27"/>
    </w:lvl>
  </w:abstractNum>
  <w:abstractNum w:abstractNumId="26">
    <w:nsid w:val="14FCE74E"/>
    <w:multiLevelType w:val="hybridMultilevel"/>
    <w:lvl w:ilvl="0">
      <w:lvlJc w:val="left"/>
      <w:lvlText w:val="*"/>
      <w:numFmt w:val="bullet"/>
      <w:start w:val="1"/>
    </w:lvl>
  </w:abstractNum>
  <w:abstractNum w:abstractNumId="27">
    <w:nsid w:val="6A3DD3E8"/>
    <w:multiLevelType w:val="hybridMultilevel"/>
    <w:lvl w:ilvl="0">
      <w:lvlJc w:val="left"/>
      <w:lvlText w:val="(%1)"/>
      <w:numFmt w:val="lowerLetter"/>
      <w:start w:val="2"/>
    </w:lvl>
  </w:abstractNum>
  <w:abstractNum w:abstractNumId="28">
    <w:nsid w:val="71C91298"/>
    <w:multiLevelType w:val="hybridMultilevel"/>
    <w:lvl w:ilvl="0">
      <w:lvlJc w:val="left"/>
      <w:lvlText w:val="%1"/>
      <w:numFmt w:val="upperLetter"/>
      <w:start w:val="35"/>
    </w:lvl>
  </w:abstractNum>
  <w:abstractNum w:abstractNumId="29">
    <w:nsid w:val="9DAF632"/>
    <w:multiLevelType w:val="hybridMultilevel"/>
    <w:lvl w:ilvl="0">
      <w:lvlJc w:val="left"/>
      <w:lvlText w:val="(%1)"/>
      <w:numFmt w:val="upperLetter"/>
      <w:start w:val="1"/>
    </w:lvl>
  </w:abstractNum>
  <w:abstractNum w:abstractNumId="30">
    <w:nsid w:val="53299938"/>
    <w:multiLevelType w:val="hybridMultilevel"/>
    <w:lvl w:ilvl="0">
      <w:lvlJc w:val="left"/>
      <w:lvlText w:val="-"/>
      <w:numFmt w:val="bullet"/>
      <w:start w:val="1"/>
    </w:lvl>
    <w:lvl w:ilvl="1">
      <w:lvlJc w:val="left"/>
      <w:lvlText w:val="%2"/>
      <w:numFmt w:val="decimal"/>
      <w:start w:val="27"/>
    </w:lvl>
  </w:abstractNum>
  <w:abstractNum w:abstractNumId="31">
    <w:nsid w:val="1FBFE8E0"/>
    <w:multiLevelType w:val="hybridMultilevel"/>
    <w:lvl w:ilvl="0">
      <w:lvlJc w:val="left"/>
      <w:lvlText w:val="*"/>
      <w:numFmt w:val="bullet"/>
      <w:start w:val="1"/>
    </w:lvl>
  </w:abstractNum>
  <w:abstractNum w:abstractNumId="32">
    <w:nsid w:val="5092CA79"/>
    <w:multiLevelType w:val="hybridMultilevel"/>
    <w:lvl w:ilvl="0">
      <w:lvlJc w:val="left"/>
      <w:lvlText w:val="%1."/>
      <w:numFmt w:val="decimal"/>
      <w:start w:val="1"/>
    </w:lvl>
  </w:abstractNum>
  <w:abstractNum w:abstractNumId="33">
    <w:nsid w:val="1D545C4D"/>
    <w:multiLevelType w:val="hybridMultilevel"/>
    <w:lvl w:ilvl="0">
      <w:lvlJc w:val="left"/>
      <w:lvlText w:val="%1."/>
      <w:numFmt w:val="decimal"/>
      <w:start w:val="2"/>
    </w:lvl>
  </w:abstractNum>
  <w:abstractNum w:abstractNumId="34">
    <w:nsid w:val="59ADEA3D"/>
    <w:multiLevelType w:val="hybridMultilevel"/>
    <w:lvl w:ilvl="0">
      <w:lvlJc w:val="left"/>
      <w:lvlText w:val="%1."/>
      <w:numFmt w:val="decimal"/>
      <w:start w:val="3"/>
    </w:lvl>
  </w:abstractNum>
  <w:abstractNum w:abstractNumId="35">
    <w:nsid w:val="288F1A34"/>
    <w:multiLevelType w:val="hybridMultilevel"/>
    <w:lvl w:ilvl="0">
      <w:lvlJc w:val="left"/>
      <w:lvlText w:val="(%1)"/>
      <w:numFmt w:val="lowerLetter"/>
      <w:start w:val="1"/>
    </w:lvl>
  </w:abstractNum>
  <w:abstractNum w:abstractNumId="36">
    <w:nsid w:val="2A155DBC"/>
    <w:multiLevelType w:val="hybridMultilevel"/>
    <w:lvl w:ilvl="0">
      <w:lvlJc w:val="left"/>
      <w:lvlText w:val="%1."/>
      <w:numFmt w:val="decimal"/>
      <w:start w:val="4"/>
    </w:lvl>
  </w:abstractNum>
  <w:abstractNum w:abstractNumId="37">
    <w:nsid w:val="1D9F6E5F"/>
    <w:multiLevelType w:val="hybridMultilevel"/>
    <w:lvl w:ilvl="0">
      <w:lvlJc w:val="left"/>
      <w:lvlText w:val="(%1)"/>
      <w:numFmt w:val="lowerLetter"/>
      <w:start w:val="1"/>
    </w:lvl>
  </w:abstractNum>
  <w:abstractNum w:abstractNumId="38">
    <w:nsid w:val="97E1B4E"/>
    <w:multiLevelType w:val="hybridMultilevel"/>
    <w:lvl w:ilvl="0">
      <w:lvlJc w:val="left"/>
      <w:lvlText w:val="(%1)"/>
      <w:numFmt w:val="lowerLetter"/>
      <w:start w:val="2"/>
    </w:lvl>
  </w:abstractNum>
  <w:abstractNum w:abstractNumId="39">
    <w:nsid w:val="51088277"/>
    <w:multiLevelType w:val="hybridMultilevel"/>
    <w:lvl w:ilvl="0">
      <w:lvlJc w:val="left"/>
      <w:lvlText w:val="%1."/>
      <w:numFmt w:val="decimal"/>
      <w:start w:val="5"/>
    </w:lvl>
  </w:abstractNum>
  <w:abstractNum w:abstractNumId="40">
    <w:nsid w:val="1CA0C5FA"/>
    <w:multiLevelType w:val="hybridMultilevel"/>
    <w:lvl w:ilvl="0">
      <w:lvlJc w:val="left"/>
      <w:lvlText w:val="(%1)"/>
      <w:numFmt w:val="lowerLetter"/>
      <w:start w:val="1"/>
    </w:lvl>
  </w:abstractNum>
  <w:abstractNum w:abstractNumId="41">
    <w:nsid w:val="53584BCB"/>
    <w:multiLevelType w:val="hybridMultilevel"/>
    <w:lvl w:ilvl="0">
      <w:lvlJc w:val="left"/>
      <w:lvlText w:val="(%1)"/>
      <w:numFmt w:val="lowerLetter"/>
      <w:start w:val="2"/>
    </w:lvl>
    <w:lvl w:ilvl="1">
      <w:lvlJc w:val="left"/>
      <w:lvlText w:val="(%2)"/>
      <w:numFmt w:val="decimal"/>
      <w:start w:val="30"/>
    </w:lvl>
  </w:abstractNum>
  <w:abstractNum w:abstractNumId="42">
    <w:nsid w:val="415E286C"/>
    <w:multiLevelType w:val="hybridMultilevel"/>
    <w:lvl w:ilvl="0">
      <w:lvlJc w:val="left"/>
      <w:lvlText w:val="%1"/>
      <w:numFmt w:val="lowerLetter"/>
      <w:start w:val="1"/>
    </w:lvl>
    <w:lvl w:ilvl="1">
      <w:lvlJc w:val="left"/>
      <w:lvlText w:val="(%2)"/>
      <w:numFmt w:val="decimal"/>
      <w:start w:val="90"/>
    </w:lvl>
  </w:abstractNum>
  <w:abstractNum w:abstractNumId="43">
    <w:nsid w:val="7C58FD05"/>
    <w:multiLevelType w:val="hybridMultilevel"/>
    <w:lvl w:ilvl="0">
      <w:lvlJc w:val="left"/>
      <w:lvlText w:val="(%1)"/>
      <w:numFmt w:val="lowerRoman"/>
      <w:start w:val="1"/>
    </w:lvl>
  </w:abstractNum>
  <w:abstractNum w:abstractNumId="44">
    <w:nsid w:val="23D86AAC"/>
    <w:multiLevelType w:val="hybridMultilevel"/>
    <w:lvl w:ilvl="0">
      <w:lvlJc w:val="left"/>
      <w:lvlText w:val="(%1)"/>
      <w:numFmt w:val="lowerLetter"/>
      <w:start w:val="4"/>
    </w:lvl>
    <w:lvl w:ilvl="1">
      <w:lvlJc w:val="left"/>
      <w:lvlText w:val="(%2)"/>
      <w:numFmt w:val="lowerRoman"/>
      <w:start w:val="1"/>
    </w:lvl>
  </w:abstractNum>
  <w:abstractNum w:abstractNumId="45">
    <w:nsid w:val="45E6D486"/>
    <w:multiLevelType w:val="hybridMultilevel"/>
    <w:lvl w:ilvl="0">
      <w:lvlJc w:val="left"/>
      <w:lvlText w:val="%1"/>
      <w:numFmt w:val="lowerLetter"/>
      <w:start w:val="1"/>
    </w:lvl>
    <w:lvl w:ilvl="1">
      <w:lvlJc w:val="left"/>
      <w:lvlText w:val="(%2)"/>
      <w:numFmt w:val="lowerLetter"/>
      <w:start w:val="35"/>
    </w:lvl>
  </w:abstractNum>
  <w:abstractNum w:abstractNumId="46">
    <w:nsid w:val="5C10FE21"/>
    <w:multiLevelType w:val="hybridMultilevel"/>
    <w:lvl w:ilvl="0">
      <w:lvlJc w:val="left"/>
      <w:lvlText w:val="(%1)"/>
      <w:numFmt w:val="lowerLetter"/>
      <w:start w:val="5"/>
    </w:lvl>
    <w:lvl w:ilvl="1">
      <w:lvlJc w:val="left"/>
      <w:lvlText w:val="%2"/>
      <w:numFmt w:val="lowerLetter"/>
      <w:start w:val="1"/>
    </w:lvl>
  </w:abstractNum>
  <w:abstractNum w:abstractNumId="47">
    <w:nsid w:val="E7FFA2B"/>
    <w:multiLevelType w:val="hybridMultilevel"/>
    <w:lvl w:ilvl="0">
      <w:lvlJc w:val="left"/>
      <w:lvlText w:val="%1."/>
      <w:numFmt w:val="decimal"/>
      <w:start w:val="6"/>
    </w:lvl>
  </w:abstractNum>
  <w:abstractNum w:abstractNumId="48">
    <w:nsid w:val="3C5991AA"/>
    <w:multiLevelType w:val="hybridMultilevel"/>
    <w:lvl w:ilvl="0">
      <w:lvlJc w:val="left"/>
      <w:lvlText w:val="(%1)"/>
      <w:numFmt w:val="lowerLetter"/>
      <w:start w:val="1"/>
    </w:lvl>
    <w:lvl w:ilvl="1">
      <w:lvlJc w:val="left"/>
      <w:lvlText w:val="(%2)"/>
      <w:numFmt w:val="lowerRoman"/>
      <w:start w:val="1"/>
    </w:lvl>
  </w:abstractNum>
  <w:abstractNum w:abstractNumId="49">
    <w:nsid w:val="4BD8591A"/>
    <w:multiLevelType w:val="hybridMultilevel"/>
    <w:lvl w:ilvl="0">
      <w:lvlJc w:val="left"/>
      <w:lvlText w:val="%1"/>
      <w:numFmt w:val="lowerLetter"/>
      <w:start w:val="1"/>
    </w:lvl>
    <w:lvl w:ilvl="1">
      <w:lvlJc w:val="left"/>
      <w:lvlText w:val="(%2)"/>
      <w:numFmt w:val="lowerRoman"/>
      <w:start w:val="3"/>
    </w:lvl>
  </w:abstractNum>
  <w:abstractNum w:abstractNumId="50">
    <w:nsid w:val="78DF6A55"/>
    <w:multiLevelType w:val="hybridMultilevel"/>
    <w:lvl w:ilvl="0">
      <w:lvlJc w:val="left"/>
      <w:lvlText w:val="(%1)"/>
      <w:numFmt w:val="lowerLetter"/>
      <w:start w:val="2"/>
    </w:lvl>
    <w:lvl w:ilvl="1">
      <w:lvlJc w:val="left"/>
      <w:lvlText w:val="(%2)"/>
      <w:numFmt w:val="lowerRoman"/>
      <w:start w:val="1"/>
    </w:lvl>
  </w:abstractNum>
  <w:abstractNum w:abstractNumId="51">
    <w:nsid w:val="39B7AAA2"/>
    <w:multiLevelType w:val="hybridMultilevel"/>
    <w:lvl w:ilvl="0">
      <w:lvlJc w:val="left"/>
      <w:lvlText w:val="%1"/>
      <w:numFmt w:val="lowerLetter"/>
      <w:start w:val="1"/>
    </w:lvl>
    <w:lvl w:ilvl="1">
      <w:lvlJc w:val="left"/>
      <w:lvlText w:val="(%2)"/>
      <w:numFmt w:val="lowerLetter"/>
      <w:start w:val="22"/>
    </w:lvl>
  </w:abstractNum>
  <w:abstractNum w:abstractNumId="52">
    <w:nsid w:val="2B0D8DBE"/>
    <w:multiLevelType w:val="hybridMultilevel"/>
    <w:lvl w:ilvl="0">
      <w:lvlJc w:val="left"/>
      <w:lvlText w:val="(%1)"/>
      <w:numFmt w:val="lowerLetter"/>
      <w:start w:val="3"/>
    </w:lvl>
    <w:lvl w:ilvl="1">
      <w:lvlJc w:val="left"/>
      <w:lvlText w:val="(%2)"/>
      <w:numFmt w:val="lowerLetter"/>
      <w:start w:val="9"/>
    </w:lvl>
  </w:abstractNum>
  <w:abstractNum w:abstractNumId="53">
    <w:nsid w:val="6C80EC70"/>
    <w:multiLevelType w:val="hybridMultilevel"/>
    <w:lvl w:ilvl="0">
      <w:lvlJc w:val="left"/>
      <w:lvlText w:val="(%1)"/>
      <w:numFmt w:val="lowerRoman"/>
      <w:start w:val="2"/>
    </w:lvl>
  </w:abstractNum>
  <w:abstractNum w:abstractNumId="54">
    <w:nsid w:val="379E21B5"/>
    <w:multiLevelType w:val="hybridMultilevel"/>
    <w:lvl w:ilvl="0">
      <w:lvlJc w:val="left"/>
      <w:lvlText w:val="(%1)"/>
      <w:numFmt w:val="lowerLetter"/>
      <w:start w:val="4"/>
    </w:lvl>
    <w:lvl w:ilvl="1">
      <w:lvlJc w:val="left"/>
      <w:lvlText w:val="(%2)"/>
      <w:numFmt w:val="lowerRoman"/>
      <w:start w:val="1"/>
    </w:lvl>
  </w:abstractNum>
  <w:abstractNum w:abstractNumId="55">
    <w:nsid w:val="69E373"/>
    <w:multiLevelType w:val="hybridMultilevel"/>
    <w:lvl w:ilvl="0">
      <w:lvlJc w:val="left"/>
      <w:lvlText w:val="(%1)"/>
      <w:numFmt w:val="lowerLetter"/>
      <w:start w:val="5"/>
    </w:lvl>
  </w:abstractNum>
  <w:abstractNum w:abstractNumId="56">
    <w:nsid w:val="2C27173B"/>
    <w:multiLevelType w:val="hybridMultilevel"/>
    <w:lvl w:ilvl="0">
      <w:lvlJc w:val="left"/>
      <w:lvlText w:val="(%1)"/>
      <w:numFmt w:val="lowerRoman"/>
      <w:start w:val="1"/>
    </w:lvl>
  </w:abstractNum>
  <w:abstractNum w:abstractNumId="57">
    <w:nsid w:val="4C9B0904"/>
    <w:multiLevelType w:val="hybridMultilevel"/>
    <w:lvl w:ilvl="0">
      <w:lvlJc w:val="left"/>
      <w:lvlText w:val="%1"/>
      <w:numFmt w:val="lowerLetter"/>
      <w:start w:val="1"/>
    </w:lvl>
    <w:lvl w:ilvl="1">
      <w:lvlJc w:val="left"/>
      <w:lvlText w:val="(%2)"/>
      <w:numFmt w:val="lowerRoman"/>
      <w:start w:val="6"/>
    </w:lvl>
  </w:abstractNum>
  <w:abstractNum w:abstractNumId="58">
    <w:nsid w:val="6AA7B75C"/>
    <w:multiLevelType w:val="hybridMultilevel"/>
    <w:lvl w:ilvl="0">
      <w:lvlJc w:val="left"/>
      <w:lvlText w:val="(%1)"/>
      <w:numFmt w:val="lowerLetter"/>
      <w:start w:val="6"/>
    </w:lvl>
    <w:lvl w:ilvl="1">
      <w:lvlJc w:val="left"/>
      <w:lvlText w:val="%2"/>
      <w:numFmt w:val="lowerRoman"/>
      <w:start w:val="1"/>
    </w:lvl>
  </w:abstractNum>
  <w:abstractNum w:abstractNumId="59">
    <w:nsid w:val="1DF029D3"/>
    <w:multiLevelType w:val="hybridMultilevel"/>
    <w:lvl w:ilvl="0">
      <w:lvlJc w:val="left"/>
      <w:lvlText w:val="%1."/>
      <w:numFmt w:val="decimal"/>
      <w:start w:val="7"/>
    </w:lvl>
  </w:abstractNum>
  <w:abstractNum w:abstractNumId="60">
    <w:nsid w:val="5675FF36"/>
    <w:multiLevelType w:val="hybridMultilevel"/>
    <w:lvl w:ilvl="0">
      <w:lvlJc w:val="left"/>
      <w:lvlText w:val="(%1)"/>
      <w:numFmt w:val="lowerLetter"/>
      <w:start w:val="1"/>
    </w:lvl>
    <w:lvl w:ilvl="1">
      <w:lvlJc w:val="left"/>
      <w:lvlText w:val="(%2)"/>
      <w:numFmt w:val="lowerRoman"/>
      <w:start w:val="1"/>
    </w:lvl>
  </w:abstractNum>
  <w:abstractNum w:abstractNumId="61">
    <w:nsid w:val="3DD15094"/>
    <w:multiLevelType w:val="hybridMultilevel"/>
    <w:lvl w:ilvl="0">
      <w:lvlJc w:val="left"/>
      <w:lvlText w:val="(%1)"/>
      <w:numFmt w:val="lowerLetter"/>
      <w:start w:val="2"/>
    </w:lvl>
    <w:lvl w:ilvl="1">
      <w:lvlJc w:val="left"/>
      <w:lvlText w:val="(%2)"/>
      <w:numFmt w:val="lowerRoman"/>
      <w:start w:val="1"/>
    </w:lvl>
  </w:abstractNum>
  <w:abstractNum w:abstractNumId="62">
    <w:nsid w:val="3DB012B3"/>
    <w:multiLevelType w:val="hybridMultilevel"/>
    <w:lvl w:ilvl="0">
      <w:lvlJc w:val="left"/>
      <w:lvlText w:val="(%1)"/>
      <w:numFmt w:val="lowerRoman"/>
      <w:start w:val="3"/>
    </w:lvl>
  </w:abstractNum>
  <w:abstractNum w:abstractNumId="63">
    <w:nsid w:val="2708C9A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64">
    <w:nsid w:val="5B25ACE2"/>
    <w:multiLevelType w:val="hybridMultilevel"/>
    <w:lvl w:ilvl="0">
      <w:lvlJc w:val="left"/>
      <w:lvlText w:val="%1"/>
      <w:numFmt w:val="lowerLetter"/>
      <w:start w:val="1"/>
    </w:lvl>
    <w:lvl w:ilvl="1">
      <w:lvlJc w:val="left"/>
      <w:lvlText w:val="(%2)"/>
      <w:numFmt w:val="lowerRoman"/>
      <w:start w:val="5"/>
    </w:lvl>
    <w:lvl w:ilvl="2">
      <w:lvlJc w:val="left"/>
      <w:lvlText w:val="%3"/>
      <w:numFmt w:val="lowerLetter"/>
      <w:start w:val="1"/>
    </w:lvl>
  </w:abstractNum>
  <w:abstractNum w:abstractNumId="65">
    <w:nsid w:val="175DFCF0"/>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66">
    <w:nsid w:val="4F97E3E4"/>
    <w:multiLevelType w:val="hybridMultilevel"/>
    <w:lvl w:ilvl="0">
      <w:lvlJc w:val="left"/>
      <w:lvlText w:val="(%1)"/>
      <w:numFmt w:val="lowerRoman"/>
      <w:start w:val="3"/>
    </w:lvl>
    <w:lvl w:ilvl="1">
      <w:lvlJc w:val="left"/>
      <w:lvlText w:val="(%2)"/>
      <w:numFmt w:val="upperLetter"/>
      <w:start w:val="2"/>
    </w:lvl>
  </w:abstractNum>
  <w:abstractNum w:abstractNumId="67">
    <w:nsid w:val="53B0A9E"/>
    <w:multiLevelType w:val="hybridMultilevel"/>
    <w:lvl w:ilvl="0">
      <w:lvlJc w:val="left"/>
      <w:lvlText w:val="(%1)"/>
      <w:numFmt w:val="lowerRoman"/>
      <w:start w:val="1"/>
    </w:lvl>
  </w:abstractNum>
  <w:abstractNum w:abstractNumId="68">
    <w:nsid w:val="34FD6B4F"/>
    <w:multiLevelType w:val="hybridMultilevel"/>
    <w:lvl w:ilvl="0">
      <w:lvlJc w:val="left"/>
      <w:lvlText w:val="%1."/>
      <w:numFmt w:val="decimal"/>
      <w:start w:val="8"/>
    </w:lvl>
  </w:abstractNum>
  <w:abstractNum w:abstractNumId="69">
    <w:nsid w:val="5915FF32"/>
    <w:multiLevelType w:val="hybridMultilevel"/>
    <w:lvl w:ilvl="0">
      <w:lvlJc w:val="left"/>
      <w:lvlText w:val="(%1)"/>
      <w:numFmt w:val="lowerLetter"/>
      <w:start w:val="1"/>
    </w:lvl>
    <w:lvl w:ilvl="1">
      <w:lvlJc w:val="left"/>
      <w:lvlText w:val="(%2)"/>
      <w:numFmt w:val="decimal"/>
      <w:start w:val="2"/>
    </w:lvl>
  </w:abstractNum>
  <w:abstractNum w:abstractNumId="70">
    <w:nsid w:val="56438D15"/>
    <w:multiLevelType w:val="hybridMultilevel"/>
    <w:lvl w:ilvl="0">
      <w:lvlJc w:val="left"/>
      <w:lvlText w:val="%1."/>
      <w:numFmt w:val="decimal"/>
      <w:start w:val="9"/>
    </w:lvl>
  </w:abstractNum>
  <w:abstractNum w:abstractNumId="71">
    <w:nsid w:val="519E3149"/>
    <w:multiLevelType w:val="hybridMultilevel"/>
    <w:lvl w:ilvl="0">
      <w:lvlJc w:val="left"/>
      <w:lvlText w:val="(%1)"/>
      <w:numFmt w:val="lowerLetter"/>
      <w:start w:val="1"/>
    </w:lvl>
  </w:abstractNum>
  <w:abstractNum w:abstractNumId="72">
    <w:nsid w:val="2C6E4AFD"/>
    <w:multiLevelType w:val="hybridMultilevel"/>
    <w:lvl w:ilvl="0">
      <w:lvlJc w:val="left"/>
      <w:lvlText w:val="%1."/>
      <w:numFmt w:val="decimal"/>
      <w:start w:val="10"/>
    </w:lvl>
  </w:abstractNum>
  <w:abstractNum w:abstractNumId="73">
    <w:nsid w:val="17A1B582"/>
    <w:multiLevelType w:val="hybridMultilevel"/>
    <w:lvl w:ilvl="0">
      <w:lvlJc w:val="left"/>
      <w:lvlText w:val="%1."/>
      <w:numFmt w:val="decimal"/>
      <w:start w:val="11"/>
    </w:lvl>
  </w:abstractNum>
  <w:abstractNum w:abstractNumId="74">
    <w:nsid w:val="4DF72E4E"/>
    <w:multiLevelType w:val="hybridMultilevel"/>
    <w:lvl w:ilvl="0">
      <w:lvlJc w:val="left"/>
      <w:lvlText w:val="%1."/>
      <w:numFmt w:val="decimal"/>
      <w:start w:val="12"/>
    </w:lvl>
  </w:abstractNum>
  <w:abstractNum w:abstractNumId="75">
    <w:nsid w:val="5046B5A9"/>
    <w:multiLevelType w:val="hybridMultilevel"/>
    <w:lvl w:ilvl="0">
      <w:lvlJc w:val="left"/>
      <w:lvlText w:val="%1."/>
      <w:numFmt w:val="decimal"/>
      <w:start w:val="13"/>
    </w:lvl>
  </w:abstractNum>
  <w:abstractNum w:abstractNumId="76">
    <w:nsid w:val="5D888A08"/>
    <w:multiLevelType w:val="hybridMultilevel"/>
    <w:lvl w:ilvl="0">
      <w:lvlJc w:val="left"/>
      <w:lvlText w:val="%1."/>
      <w:numFmt w:val="decimal"/>
      <w:start w:val="14"/>
    </w:lvl>
  </w:abstractNum>
  <w:abstractNum w:abstractNumId="77">
    <w:nsid w:val="2A082C70"/>
    <w:multiLevelType w:val="hybridMultilevel"/>
    <w:lvl w:ilvl="0">
      <w:lvlJc w:val="left"/>
      <w:lvlText w:val="%1."/>
      <w:numFmt w:val="decimal"/>
      <w:start w:val="15"/>
    </w:lvl>
  </w:abstractNum>
  <w:abstractNum w:abstractNumId="78">
    <w:nsid w:val="5EC6AFD4"/>
    <w:multiLevelType w:val="hybridMultilevel"/>
    <w:lvl w:ilvl="0">
      <w:lvlJc w:val="left"/>
      <w:lvlText w:val="%1."/>
      <w:numFmt w:val="decimal"/>
      <w:start w:val="16"/>
    </w:lvl>
  </w:abstractNum>
  <w:abstractNum w:abstractNumId="79">
    <w:nsid w:val="19E21BB2"/>
    <w:multiLevelType w:val="hybridMultilevel"/>
    <w:lvl w:ilvl="0">
      <w:lvlJc w:val="left"/>
      <w:lvlText w:val="%1."/>
      <w:numFmt w:val="decimal"/>
      <w:start w:val="17"/>
    </w:lvl>
  </w:abstractNum>
  <w:abstractNum w:abstractNumId="80">
    <w:nsid w:val="75E0858A"/>
    <w:multiLevelType w:val="hybridMultilevel"/>
    <w:lvl w:ilvl="0">
      <w:lvlJc w:val="left"/>
      <w:lvlText w:val="%1."/>
      <w:numFmt w:val="decimal"/>
      <w:start w:val="18"/>
    </w:lvl>
  </w:abstractNum>
  <w:abstractNum w:abstractNumId="81">
    <w:nsid w:val="57A61A29"/>
    <w:multiLevelType w:val="hybridMultilevel"/>
    <w:lvl w:ilvl="0">
      <w:lvlJc w:val="left"/>
      <w:lvlText w:val="%1."/>
      <w:numFmt w:val="decimal"/>
      <w:start w:val="19"/>
    </w:lvl>
  </w:abstractNum>
  <w:abstractNum w:abstractNumId="82">
    <w:nsid w:val="5399C654"/>
    <w:multiLevelType w:val="hybridMultilevel"/>
    <w:lvl w:ilvl="0">
      <w:lvlJc w:val="left"/>
      <w:lvlText w:val="(%1)"/>
      <w:numFmt w:val="lowerLetter"/>
      <w:start w:val="1"/>
    </w:lvl>
  </w:abstractNum>
  <w:abstractNum w:abstractNumId="83">
    <w:nsid w:val="20EE1348"/>
    <w:multiLevelType w:val="hybridMultilevel"/>
    <w:lvl w:ilvl="0">
      <w:lvlJc w:val="left"/>
      <w:lvlText w:val="-"/>
      <w:numFmt w:val="bullet"/>
      <w:start w:val="1"/>
    </w:lvl>
  </w:abstractNum>
  <w:abstractNum w:abstractNumId="84">
    <w:nsid w:val="4427069A"/>
    <w:multiLevelType w:val="hybridMultilevel"/>
    <w:lvl w:ilvl="0">
      <w:lvlJc w:val="left"/>
      <w:lvlText w:val="%1."/>
      <w:numFmt w:val="decimal"/>
      <w:start w:val="1"/>
    </w:lvl>
  </w:abstractNum>
  <w:abstractNum w:abstractNumId="85">
    <w:nsid w:val="B37E80A"/>
    <w:multiLevelType w:val="hybridMultilevel"/>
    <w:lvl w:ilvl="0">
      <w:lvlJc w:val="left"/>
      <w:lvlText w:val="%1."/>
      <w:numFmt w:val="decimal"/>
      <w:start w:val="2"/>
    </w:lvl>
  </w:abstractNum>
  <w:abstractNum w:abstractNumId="86">
    <w:nsid w:val="2157F6BC"/>
    <w:multiLevelType w:val="hybridMultilevel"/>
    <w:lvl w:ilvl="0">
      <w:lvlJc w:val="left"/>
      <w:lvlText w:val="%1."/>
      <w:numFmt w:val="decimal"/>
      <w:start w:val="3"/>
    </w:lvl>
  </w:abstractNum>
  <w:abstractNum w:abstractNumId="87">
    <w:nsid w:val="704E1DD5"/>
    <w:multiLevelType w:val="hybridMultilevel"/>
    <w:lvl w:ilvl="0">
      <w:lvlJc w:val="left"/>
      <w:lvlText w:val="(%1)"/>
      <w:numFmt w:val="lowerLetter"/>
      <w:start w:val="1"/>
    </w:lvl>
  </w:abstractNum>
  <w:abstractNum w:abstractNumId="88">
    <w:nsid w:val="57D2F10E"/>
    <w:multiLevelType w:val="hybridMultilevel"/>
    <w:lvl w:ilvl="0">
      <w:lvlJc w:val="left"/>
      <w:lvlText w:val="%1."/>
      <w:numFmt w:val="decimal"/>
      <w:start w:val="4"/>
    </w:lvl>
  </w:abstractNum>
  <w:abstractNum w:abstractNumId="89">
    <w:nsid w:val="BFFAE18"/>
    <w:multiLevelType w:val="hybridMultilevel"/>
    <w:lvl w:ilvl="0">
      <w:lvlJc w:val="left"/>
      <w:lvlText w:val="(%1)"/>
      <w:numFmt w:val="lowerLetter"/>
      <w:start w:val="1"/>
    </w:lvl>
  </w:abstractNum>
  <w:abstractNum w:abstractNumId="90">
    <w:nsid w:val="E3E47A8"/>
    <w:multiLevelType w:val="hybridMultilevel"/>
    <w:lvl w:ilvl="0">
      <w:lvlJc w:val="left"/>
      <w:lvlText w:val="(%1)"/>
      <w:numFmt w:val="lowerLetter"/>
      <w:start w:val="2"/>
    </w:lvl>
  </w:abstractNum>
  <w:abstractNum w:abstractNumId="91">
    <w:nsid w:val="2E48F044"/>
    <w:multiLevelType w:val="hybridMultilevel"/>
    <w:lvl w:ilvl="0">
      <w:lvlJc w:val="left"/>
      <w:lvlText w:val="%1."/>
      <w:numFmt w:val="decimal"/>
      <w:start w:val="5"/>
    </w:lvl>
  </w:abstractNum>
  <w:abstractNum w:abstractNumId="92">
    <w:nsid w:val="49D0FEAC"/>
    <w:multiLevelType w:val="hybridMultilevel"/>
    <w:lvl w:ilvl="0">
      <w:lvlJc w:val="left"/>
      <w:lvlText w:val="(%1)"/>
      <w:numFmt w:val="lowerLetter"/>
      <w:start w:val="1"/>
    </w:lvl>
  </w:abstractNum>
  <w:abstractNum w:abstractNumId="93">
    <w:nsid w:val="4BEE5A5B"/>
    <w:multiLevelType w:val="hybridMultilevel"/>
    <w:lvl w:ilvl="0">
      <w:lvlJc w:val="left"/>
      <w:lvlText w:val="(%1)"/>
      <w:numFmt w:val="lowerLetter"/>
      <w:start w:val="2"/>
    </w:lvl>
    <w:lvl w:ilvl="1">
      <w:lvlJc w:val="left"/>
      <w:lvlText w:val="(%2)"/>
      <w:numFmt w:val="decimal"/>
      <w:start w:val="30"/>
    </w:lvl>
  </w:abstractNum>
  <w:abstractNum w:abstractNumId="94">
    <w:nsid w:val="5551B9F3"/>
    <w:multiLevelType w:val="hybridMultilevel"/>
    <w:lvl w:ilvl="0">
      <w:lvlJc w:val="left"/>
      <w:lvlText w:val="%1"/>
      <w:numFmt w:val="lowerLetter"/>
      <w:start w:val="1"/>
    </w:lvl>
    <w:lvl w:ilvl="1">
      <w:lvlJc w:val="left"/>
      <w:lvlText w:val="(%2)"/>
      <w:numFmt w:val="decimal"/>
      <w:start w:val="90"/>
    </w:lvl>
  </w:abstractNum>
  <w:abstractNum w:abstractNumId="95">
    <w:nsid w:val="24F6AB8E"/>
    <w:multiLevelType w:val="hybridMultilevel"/>
    <w:lvl w:ilvl="0">
      <w:lvlJc w:val="left"/>
      <w:lvlText w:val="(%1)"/>
      <w:numFmt w:val="lowerRoman"/>
      <w:start w:val="1"/>
    </w:lvl>
  </w:abstractNum>
  <w:abstractNum w:abstractNumId="96">
    <w:nsid w:val="634C574C"/>
    <w:multiLevelType w:val="hybridMultilevel"/>
    <w:lvl w:ilvl="0">
      <w:lvlJc w:val="left"/>
      <w:lvlText w:val="(%1)"/>
      <w:numFmt w:val="lowerLetter"/>
      <w:start w:val="4"/>
    </w:lvl>
    <w:lvl w:ilvl="1">
      <w:lvlJc w:val="left"/>
      <w:lvlText w:val="(%2)"/>
      <w:numFmt w:val="lowerRoman"/>
      <w:start w:val="1"/>
    </w:lvl>
  </w:abstractNum>
  <w:abstractNum w:abstractNumId="97">
    <w:nsid w:val="24E99DD7"/>
    <w:multiLevelType w:val="hybridMultilevel"/>
    <w:lvl w:ilvl="0">
      <w:lvlJc w:val="left"/>
      <w:lvlText w:val="%1"/>
      <w:numFmt w:val="lowerLetter"/>
      <w:start w:val="1"/>
    </w:lvl>
    <w:lvl w:ilvl="1">
      <w:lvlJc w:val="left"/>
      <w:lvlText w:val="(%2)"/>
      <w:numFmt w:val="lowerLetter"/>
      <w:start w:val="35"/>
    </w:lvl>
  </w:abstractNum>
  <w:abstractNum w:abstractNumId="98">
    <w:nsid w:val="2A31B62D"/>
    <w:multiLevelType w:val="hybridMultilevel"/>
    <w:lvl w:ilvl="0">
      <w:lvlJc w:val="left"/>
      <w:lvlText w:val="(%1)"/>
      <w:numFmt w:val="lowerLetter"/>
      <w:start w:val="5"/>
    </w:lvl>
    <w:lvl w:ilvl="1">
      <w:lvlJc w:val="left"/>
      <w:lvlText w:val="%2"/>
      <w:numFmt w:val="lowerLetter"/>
      <w:start w:val="1"/>
    </w:lvl>
  </w:abstractNum>
  <w:abstractNum w:abstractNumId="99">
    <w:nsid w:val="1849C29B"/>
    <w:multiLevelType w:val="hybridMultilevel"/>
    <w:lvl w:ilvl="0">
      <w:lvlJc w:val="left"/>
      <w:lvlText w:val="%1."/>
      <w:numFmt w:val="decimal"/>
      <w:start w:val="6"/>
    </w:lvl>
  </w:abstractNum>
  <w:abstractNum w:abstractNumId="100">
    <w:nsid w:val="7DFF9D09"/>
    <w:multiLevelType w:val="hybridMultilevel"/>
    <w:lvl w:ilvl="0">
      <w:lvlJc w:val="left"/>
      <w:lvlText w:val="(%1)"/>
      <w:numFmt w:val="lowerLetter"/>
      <w:start w:val="1"/>
    </w:lvl>
    <w:lvl w:ilvl="1">
      <w:lvlJc w:val="left"/>
      <w:lvlText w:val="(%2)"/>
      <w:numFmt w:val="lowerRoman"/>
      <w:start w:val="1"/>
    </w:lvl>
  </w:abstractNum>
  <w:abstractNum w:abstractNumId="101">
    <w:nsid w:val="754342"/>
    <w:multiLevelType w:val="hybridMultilevel"/>
    <w:lvl w:ilvl="0">
      <w:lvlJc w:val="left"/>
      <w:lvlText w:val="%1"/>
      <w:numFmt w:val="lowerLetter"/>
      <w:start w:val="1"/>
    </w:lvl>
    <w:lvl w:ilvl="1">
      <w:lvlJc w:val="left"/>
      <w:lvlText w:val="(%2)"/>
      <w:numFmt w:val="lowerRoman"/>
      <w:start w:val="3"/>
    </w:lvl>
  </w:abstractNum>
  <w:abstractNum w:abstractNumId="102">
    <w:nsid w:val="69E7F3E5"/>
    <w:multiLevelType w:val="hybridMultilevel"/>
    <w:lvl w:ilvl="0">
      <w:lvlJc w:val="left"/>
      <w:lvlText w:val="(%1)"/>
      <w:numFmt w:val="lowerLetter"/>
      <w:start w:val="2"/>
    </w:lvl>
    <w:lvl w:ilvl="1">
      <w:lvlJc w:val="left"/>
      <w:lvlText w:val="(%2)"/>
      <w:numFmt w:val="lowerRoman"/>
      <w:start w:val="1"/>
    </w:lvl>
  </w:abstractNum>
  <w:abstractNum w:abstractNumId="103">
    <w:nsid w:val="2A6DE806"/>
    <w:multiLevelType w:val="hybridMultilevel"/>
    <w:lvl w:ilvl="0">
      <w:lvlJc w:val="left"/>
      <w:lvlText w:val="%1"/>
      <w:numFmt w:val="lowerLetter"/>
      <w:start w:val="1"/>
    </w:lvl>
    <w:lvl w:ilvl="1">
      <w:lvlJc w:val="left"/>
      <w:lvlText w:val="(%2)"/>
      <w:numFmt w:val="lowerLetter"/>
      <w:start w:val="22"/>
    </w:lvl>
  </w:abstractNum>
  <w:abstractNum w:abstractNumId="104">
    <w:nsid w:val="1816F8C4"/>
    <w:multiLevelType w:val="hybridMultilevel"/>
    <w:lvl w:ilvl="0">
      <w:lvlJc w:val="left"/>
      <w:lvlText w:val="(%1)"/>
      <w:numFmt w:val="lowerLetter"/>
      <w:start w:val="3"/>
    </w:lvl>
    <w:lvl w:ilvl="1">
      <w:lvlJc w:val="left"/>
      <w:lvlText w:val="(%2)"/>
      <w:numFmt w:val="lowerLetter"/>
      <w:start w:val="9"/>
    </w:lvl>
  </w:abstractNum>
  <w:abstractNum w:abstractNumId="105">
    <w:nsid w:val="37DF2233"/>
    <w:multiLevelType w:val="hybridMultilevel"/>
    <w:lvl w:ilvl="0">
      <w:lvlJc w:val="left"/>
      <w:lvlText w:val="(%1)"/>
      <w:numFmt w:val="lowerRoman"/>
      <w:start w:val="2"/>
    </w:lvl>
  </w:abstractNum>
  <w:abstractNum w:abstractNumId="106">
    <w:nsid w:val="7AB49DAF"/>
    <w:multiLevelType w:val="hybridMultilevel"/>
    <w:lvl w:ilvl="0">
      <w:lvlJc w:val="left"/>
      <w:lvlText w:val="(%1)"/>
      <w:numFmt w:val="lowerLetter"/>
      <w:start w:val="4"/>
    </w:lvl>
    <w:lvl w:ilvl="1">
      <w:lvlJc w:val="left"/>
      <w:lvlText w:val="(%2)"/>
      <w:numFmt w:val="lowerRoman"/>
      <w:start w:val="1"/>
    </w:lvl>
  </w:abstractNum>
  <w:abstractNum w:abstractNumId="107">
    <w:nsid w:val="759F82CD"/>
    <w:multiLevelType w:val="hybridMultilevel"/>
    <w:lvl w:ilvl="0">
      <w:lvlJc w:val="left"/>
      <w:lvlText w:val="(%1)"/>
      <w:numFmt w:val="lowerLetter"/>
      <w:start w:val="5"/>
    </w:lvl>
  </w:abstractNum>
  <w:abstractNum w:abstractNumId="108">
    <w:nsid w:val="61E74EA3"/>
    <w:multiLevelType w:val="hybridMultilevel"/>
    <w:lvl w:ilvl="0">
      <w:lvlJc w:val="left"/>
      <w:lvlText w:val="(%1)"/>
      <w:numFmt w:val="lowerRoman"/>
      <w:start w:val="1"/>
    </w:lvl>
  </w:abstractNum>
  <w:abstractNum w:abstractNumId="109">
    <w:nsid w:val="597B4D84"/>
    <w:multiLevelType w:val="hybridMultilevel"/>
    <w:lvl w:ilvl="0">
      <w:lvlJc w:val="left"/>
      <w:lvlText w:val="%1"/>
      <w:numFmt w:val="lowerLetter"/>
      <w:start w:val="1"/>
    </w:lvl>
    <w:lvl w:ilvl="1">
      <w:lvlJc w:val="left"/>
      <w:lvlText w:val="(%2)"/>
      <w:numFmt w:val="lowerRoman"/>
      <w:start w:val="6"/>
    </w:lvl>
  </w:abstractNum>
  <w:abstractNum w:abstractNumId="110">
    <w:nsid w:val="F819E7F"/>
    <w:multiLevelType w:val="hybridMultilevel"/>
    <w:lvl w:ilvl="0">
      <w:lvlJc w:val="left"/>
      <w:lvlText w:val="(%1)"/>
      <w:numFmt w:val="lowerLetter"/>
      <w:start w:val="6"/>
    </w:lvl>
    <w:lvl w:ilvl="1">
      <w:lvlJc w:val="left"/>
      <w:lvlText w:val="%2"/>
      <w:numFmt w:val="lowerRoman"/>
      <w:start w:val="1"/>
    </w:lvl>
  </w:abstractNum>
  <w:abstractNum w:abstractNumId="111">
    <w:nsid w:val="57C7D42D"/>
    <w:multiLevelType w:val="hybridMultilevel"/>
    <w:lvl w:ilvl="0">
      <w:lvlJc w:val="left"/>
      <w:lvlText w:val="%1."/>
      <w:numFmt w:val="decimal"/>
      <w:start w:val="7"/>
    </w:lvl>
  </w:abstractNum>
  <w:abstractNum w:abstractNumId="112">
    <w:nsid w:val="312167AD"/>
    <w:multiLevelType w:val="hybridMultilevel"/>
    <w:lvl w:ilvl="0">
      <w:lvlJc w:val="left"/>
      <w:lvlText w:val="(%1)"/>
      <w:numFmt w:val="lowerLetter"/>
      <w:start w:val="1"/>
    </w:lvl>
    <w:lvl w:ilvl="1">
      <w:lvlJc w:val="left"/>
      <w:lvlText w:val="(%2)"/>
      <w:numFmt w:val="lowerRoman"/>
      <w:start w:val="1"/>
    </w:lvl>
  </w:abstractNum>
  <w:abstractNum w:abstractNumId="113">
    <w:nsid w:val="631B64D4"/>
    <w:multiLevelType w:val="hybridMultilevel"/>
    <w:lvl w:ilvl="0">
      <w:lvlJc w:val="left"/>
      <w:lvlText w:val="(%1)"/>
      <w:numFmt w:val="lowerLetter"/>
      <w:start w:val="2"/>
    </w:lvl>
    <w:lvl w:ilvl="1">
      <w:lvlJc w:val="left"/>
      <w:lvlText w:val="(%2)"/>
      <w:numFmt w:val="lowerRoman"/>
      <w:start w:val="1"/>
    </w:lvl>
  </w:abstractNum>
  <w:abstractNum w:abstractNumId="114">
    <w:nsid w:val="78B5E776"/>
    <w:multiLevelType w:val="hybridMultilevel"/>
    <w:lvl w:ilvl="0">
      <w:lvlJc w:val="left"/>
      <w:lvlText w:val="(%1)"/>
      <w:numFmt w:val="lowerRoman"/>
      <w:start w:val="3"/>
    </w:lvl>
  </w:abstractNum>
  <w:abstractNum w:abstractNumId="115">
    <w:nsid w:val="75486E4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16">
    <w:nsid w:val="6E534CDE"/>
    <w:multiLevelType w:val="hybridMultilevel"/>
    <w:lvl w:ilvl="0">
      <w:lvlJc w:val="left"/>
      <w:lvlText w:val="%1"/>
      <w:numFmt w:val="lowerLetter"/>
      <w:start w:val="1"/>
    </w:lvl>
    <w:lvl w:ilvl="1">
      <w:lvlJc w:val="left"/>
      <w:lvlText w:val="(%2)"/>
      <w:numFmt w:val="lowerRoman"/>
      <w:start w:val="5"/>
    </w:lvl>
    <w:lvl w:ilvl="2">
      <w:lvlJc w:val="left"/>
      <w:lvlText w:val="%3"/>
      <w:numFmt w:val="lowerLetter"/>
      <w:start w:val="1"/>
    </w:lvl>
  </w:abstractNum>
  <w:abstractNum w:abstractNumId="117">
    <w:nsid w:val="1A0DDE3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18">
    <w:nsid w:val="65968C1C"/>
    <w:multiLevelType w:val="hybridMultilevel"/>
    <w:lvl w:ilvl="0">
      <w:lvlJc w:val="left"/>
      <w:lvlText w:val="(%1)"/>
      <w:numFmt w:val="lowerRoman"/>
      <w:start w:val="3"/>
    </w:lvl>
    <w:lvl w:ilvl="1">
      <w:lvlJc w:val="left"/>
      <w:lvlText w:val="(%2)"/>
      <w:numFmt w:val="upperLetter"/>
      <w:start w:val="2"/>
    </w:lvl>
  </w:abstractNum>
  <w:abstractNum w:abstractNumId="119">
    <w:nsid w:val="46263DEC"/>
    <w:multiLevelType w:val="hybridMultilevel"/>
    <w:lvl w:ilvl="0">
      <w:lvlJc w:val="left"/>
      <w:lvlText w:val="(%1)"/>
      <w:numFmt w:val="lowerRoman"/>
      <w:start w:val="1"/>
    </w:lvl>
  </w:abstractNum>
  <w:abstractNum w:abstractNumId="120">
    <w:nsid w:val="260D8C4A"/>
    <w:multiLevelType w:val="hybridMultilevel"/>
    <w:lvl w:ilvl="0">
      <w:lvlJc w:val="left"/>
      <w:lvlText w:val="%1."/>
      <w:numFmt w:val="decimal"/>
      <w:start w:val="8"/>
    </w:lvl>
  </w:abstractNum>
  <w:abstractNum w:abstractNumId="121">
    <w:nsid w:val="73D4D3C4"/>
    <w:multiLevelType w:val="hybridMultilevel"/>
    <w:lvl w:ilvl="0">
      <w:lvlJc w:val="left"/>
      <w:lvlText w:val="(%1)"/>
      <w:numFmt w:val="lowerLetter"/>
      <w:start w:val="1"/>
    </w:lvl>
    <w:lvl w:ilvl="1">
      <w:lvlJc w:val="left"/>
      <w:lvlText w:val="(%2)"/>
      <w:numFmt w:val="decimal"/>
      <w:start w:val="2"/>
    </w:lvl>
  </w:abstractNum>
  <w:abstractNum w:abstractNumId="122">
    <w:nsid w:val="746F2E30"/>
    <w:multiLevelType w:val="hybridMultilevel"/>
    <w:lvl w:ilvl="0">
      <w:lvlJc w:val="left"/>
      <w:lvlText w:val="%1."/>
      <w:numFmt w:val="decimal"/>
      <w:start w:val="9"/>
    </w:lvl>
  </w:abstractNum>
  <w:abstractNum w:abstractNumId="123">
    <w:nsid w:val="6FDE8AF6"/>
    <w:multiLevelType w:val="hybridMultilevel"/>
    <w:lvl w:ilvl="0">
      <w:lvlJc w:val="left"/>
      <w:lvlText w:val="(%1)"/>
      <w:numFmt w:val="lowerLetter"/>
      <w:start w:val="1"/>
    </w:lvl>
  </w:abstractNum>
  <w:abstractNum w:abstractNumId="124">
    <w:nsid w:val="3FC32E20"/>
    <w:multiLevelType w:val="hybridMultilevel"/>
    <w:lvl w:ilvl="0">
      <w:lvlJc w:val="left"/>
      <w:lvlText w:val="%1."/>
      <w:numFmt w:val="decimal"/>
      <w:start w:val="10"/>
    </w:lvl>
  </w:abstractNum>
  <w:abstractNum w:abstractNumId="125">
    <w:nsid w:val="49C0E823"/>
    <w:multiLevelType w:val="hybridMultilevel"/>
    <w:lvl w:ilvl="0">
      <w:lvlJc w:val="left"/>
      <w:lvlText w:val="%1."/>
      <w:numFmt w:val="decimal"/>
      <w:start w:val="11"/>
    </w:lvl>
  </w:abstractNum>
  <w:abstractNum w:abstractNumId="126">
    <w:nsid w:val="14D53685"/>
    <w:multiLevelType w:val="hybridMultilevel"/>
    <w:lvl w:ilvl="0">
      <w:lvlJc w:val="left"/>
      <w:lvlText w:val="%1."/>
      <w:numFmt w:val="decimal"/>
      <w:start w:val="12"/>
    </w:lvl>
  </w:abstractNum>
  <w:abstractNum w:abstractNumId="127">
    <w:nsid w:val="230F856C"/>
    <w:multiLevelType w:val="hybridMultilevel"/>
    <w:lvl w:ilvl="0">
      <w:lvlJc w:val="left"/>
      <w:lvlText w:val="%1."/>
      <w:numFmt w:val="decimal"/>
      <w:start w:val="13"/>
    </w:lvl>
  </w:abstractNum>
  <w:abstractNum w:abstractNumId="128">
    <w:nsid w:val="6EAA85FB"/>
    <w:multiLevelType w:val="hybridMultilevel"/>
    <w:lvl w:ilvl="0">
      <w:lvlJc w:val="left"/>
      <w:lvlText w:val="%1."/>
      <w:numFmt w:val="decimal"/>
      <w:start w:val="14"/>
    </w:lvl>
  </w:abstractNum>
  <w:abstractNum w:abstractNumId="129">
    <w:nsid w:val="3F06ECB2"/>
    <w:multiLevelType w:val="hybridMultilevel"/>
    <w:lvl w:ilvl="0">
      <w:lvlJc w:val="left"/>
      <w:lvlText w:val="%1."/>
      <w:numFmt w:val="decimal"/>
      <w:start w:val="15"/>
    </w:lvl>
  </w:abstractNum>
  <w:abstractNum w:abstractNumId="130">
    <w:nsid w:val="3B594807"/>
    <w:multiLevelType w:val="hybridMultilevel"/>
    <w:lvl w:ilvl="0">
      <w:lvlJc w:val="left"/>
      <w:lvlText w:val="%1."/>
      <w:numFmt w:val="decimal"/>
      <w:start w:val="16"/>
    </w:lvl>
  </w:abstractNum>
  <w:abstractNum w:abstractNumId="131">
    <w:nsid w:val="6CAA2304"/>
    <w:multiLevelType w:val="hybridMultilevel"/>
    <w:lvl w:ilvl="0">
      <w:lvlJc w:val="left"/>
      <w:lvlText w:val="%1."/>
      <w:numFmt w:val="decimal"/>
      <w:start w:val="17"/>
    </w:lvl>
  </w:abstractNum>
  <w:abstractNum w:abstractNumId="132">
    <w:nsid w:val="3F7C2FF4"/>
    <w:multiLevelType w:val="hybridMultilevel"/>
    <w:lvl w:ilvl="0">
      <w:lvlJc w:val="left"/>
      <w:lvlText w:val="%1."/>
      <w:numFmt w:val="decimal"/>
      <w:start w:val="18"/>
    </w:lvl>
  </w:abstractNum>
  <w:abstractNum w:abstractNumId="133">
    <w:nsid w:val="25413BEC"/>
    <w:multiLevelType w:val="hybridMultilevel"/>
    <w:lvl w:ilvl="0">
      <w:lvlJc w:val="left"/>
      <w:lvlText w:val="%1."/>
      <w:numFmt w:val="decimal"/>
      <w:start w:val="19"/>
    </w:lvl>
  </w:abstractNum>
  <w:abstractNum w:abstractNumId="134">
    <w:nsid w:val="17180B0B"/>
    <w:multiLevelType w:val="hybridMultilevel"/>
    <w:lvl w:ilvl="0">
      <w:lvlJc w:val="left"/>
      <w:lvlText w:val="(%1)"/>
      <w:numFmt w:val="lowerLetter"/>
      <w:start w:val="1"/>
    </w:lvl>
  </w:abstractNum>
  <w:abstractNum w:abstractNumId="135">
    <w:nsid w:val="579328B9"/>
    <w:multiLevelType w:val="hybridMultilevel"/>
    <w:lvl w:ilvl="0">
      <w:lvlJc w:val="left"/>
      <w:lvlText w:val="-"/>
      <w:numFmt w:val="bullet"/>
      <w:start w:val="1"/>
    </w:lvl>
  </w:abstractNum>
  <w:abstractNum w:abstractNumId="136">
    <w:nsid w:val="5D205E20"/>
    <w:multiLevelType w:val="hybridMultilevel"/>
    <w:lvl w:ilvl="0">
      <w:lvlJc w:val="left"/>
      <w:lvlText w:val="(%1)"/>
      <w:numFmt w:val="lowerLetter"/>
      <w:start w:val="1"/>
    </w:lvl>
  </w:abstractNum>
  <w:abstractNum w:abstractNumId="137">
    <w:nsid w:val="11CCA8BA"/>
    <w:multiLevelType w:val="hybridMultilevel"/>
    <w:lvl w:ilvl="0">
      <w:lvlJc w:val="left"/>
      <w:lvlText w:val="(%1)"/>
      <w:numFmt w:val="lowerLetter"/>
      <w:start w:val="1"/>
    </w:lvl>
  </w:abstractNum>
  <w:abstractNum w:abstractNumId="138">
    <w:nsid w:val="4D32AB86"/>
    <w:multiLevelType w:val="hybridMultilevel"/>
    <w:lvl w:ilvl="0">
      <w:lvlJc w:val="left"/>
      <w:lvlText w:val="(%1)"/>
      <w:numFmt w:val="lowerLetter"/>
      <w:start w:val="3"/>
    </w:lvl>
  </w:abstractNum>
  <w:abstractNum w:abstractNumId="139">
    <w:nsid w:val="3F07ACC3"/>
    <w:multiLevelType w:val="hybridMultilevel"/>
    <w:lvl w:ilvl="0">
      <w:lvlJc w:val="left"/>
      <w:lvlText w:val="(%1)"/>
      <w:numFmt w:val="lowerLetter"/>
      <w:start w:val="1"/>
    </w:lvl>
    <w:lvl w:ilvl="1">
      <w:lvlJc w:val="left"/>
      <w:lvlText w:val="(%2)"/>
      <w:numFmt w:val="lowerRoman"/>
      <w:start w:val="1"/>
    </w:lvl>
  </w:abstractNum>
  <w:abstractNum w:abstractNumId="140">
    <w:nsid w:val="6B47F63E"/>
    <w:multiLevelType w:val="hybridMultilevel"/>
    <w:lvl w:ilvl="0">
      <w:lvlJc w:val="left"/>
      <w:lvlText w:val="%1"/>
      <w:numFmt w:val="lowerLetter"/>
      <w:start w:val="1"/>
    </w:lvl>
    <w:lvl w:ilvl="1">
      <w:lvlJc w:val="left"/>
      <w:lvlText w:val="(%2)"/>
      <w:numFmt w:val="lowerRoman"/>
      <w:start w:val="2"/>
    </w:lvl>
  </w:abstractNum>
  <w:abstractNum w:abstractNumId="141">
    <w:nsid w:val="5CB44A05"/>
    <w:multiLevelType w:val="hybridMultilevel"/>
    <w:lvl w:ilvl="0">
      <w:lvlJc w:val="left"/>
      <w:lvlText w:val="(%1)"/>
      <w:numFmt w:val="lowerLetter"/>
      <w:start w:val="4"/>
    </w:lvl>
    <w:lvl w:ilvl="1">
      <w:lvlJc w:val="left"/>
      <w:lvlText w:val="%2"/>
      <w:numFmt w:val="lowerRoman"/>
      <w:start w:val="1"/>
    </w:lvl>
  </w:abstractNum>
  <w:abstractNum w:abstractNumId="142">
    <w:nsid w:val="16CF80F1"/>
    <w:multiLevelType w:val="hybridMultilevel"/>
    <w:lvl w:ilvl="0">
      <w:lvlJc w:val="left"/>
      <w:lvlText w:val="(%1)"/>
      <w:numFmt w:val="lowerLetter"/>
      <w:start w:val="1"/>
    </w:lvl>
    <w:lvl w:ilvl="1">
      <w:lvlJc w:val="left"/>
      <w:lvlText w:val="(%2)"/>
      <w:numFmt w:val="lowerRoman"/>
      <w:start w:val="1"/>
    </w:lvl>
  </w:abstractNum>
  <w:abstractNum w:abstractNumId="143">
    <w:nsid w:val="1C695DE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44">
    <w:nsid w:val="3FCFAED9"/>
    <w:multiLevelType w:val="hybridMultilevel"/>
    <w:lvl w:ilvl="0">
      <w:lvlJc w:val="left"/>
      <w:lvlText w:val="(%1)"/>
      <w:numFmt w:val="lowerLetter"/>
      <w:start w:val="3"/>
    </w:lvl>
    <w:lvl w:ilvl="1">
      <w:lvlJc w:val="left"/>
      <w:lvlText w:val="(%2)"/>
      <w:numFmt w:val="lowerRoman"/>
      <w:start w:val="1"/>
    </w:lvl>
  </w:abstractNum>
  <w:abstractNum w:abstractNumId="145">
    <w:nsid w:val="F856867"/>
    <w:multiLevelType w:val="hybridMultilevel"/>
    <w:lvl w:ilvl="0">
      <w:lvlJc w:val="left"/>
      <w:lvlText w:val="%1"/>
      <w:numFmt w:val="lowerLetter"/>
      <w:start w:val="1"/>
    </w:lvl>
    <w:lvl w:ilvl="1">
      <w:lvlJc w:val="left"/>
      <w:lvlText w:val="(%2)"/>
      <w:numFmt w:val="lowerLetter"/>
      <w:start w:val="35"/>
    </w:lvl>
  </w:abstractNum>
  <w:abstractNum w:abstractNumId="146">
    <w:nsid w:val="11B1CC33"/>
    <w:multiLevelType w:val="hybridMultilevel"/>
    <w:lvl w:ilvl="0">
      <w:lvlJc w:val="left"/>
      <w:lvlText w:val="(%1)"/>
      <w:numFmt w:val="lowerLetter"/>
      <w:start w:val="4"/>
    </w:lvl>
    <w:lvl w:ilvl="1">
      <w:lvlJc w:val="left"/>
      <w:lvlText w:val="(%2)"/>
      <w:numFmt w:val="lowerLetter"/>
      <w:start w:val="9"/>
    </w:lvl>
  </w:abstractNum>
  <w:abstractNum w:abstractNumId="147">
    <w:nsid w:val="2E22FBB7"/>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48">
    <w:nsid w:val="29934699"/>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49">
    <w:nsid w:val="77485850"/>
    <w:multiLevelType w:val="hybridMultilevel"/>
    <w:lvl w:ilvl="0">
      <w:lvlJc w:val="left"/>
      <w:lvlText w:val="(%1)"/>
      <w:numFmt w:val="upperLetter"/>
      <w:start w:val="6"/>
    </w:lvl>
    <w:lvl w:ilvl="1">
      <w:lvlJc w:val="left"/>
      <w:lvlText w:val="(%2)"/>
      <w:numFmt w:val="lowerRoman"/>
      <w:start w:val="1"/>
    </w:lvl>
  </w:abstractNum>
  <w:abstractNum w:abstractNumId="150">
    <w:nsid w:val="744939A3"/>
    <w:multiLevelType w:val="hybridMultilevel"/>
    <w:lvl w:ilvl="0">
      <w:lvlJc w:val="left"/>
      <w:lvlText w:val="(%1)"/>
      <w:numFmt w:val="lowerLetter"/>
      <w:start w:val="1"/>
    </w:lvl>
  </w:abstractNum>
  <w:abstractNum w:abstractNumId="151">
    <w:nsid w:val="4FA0D2E3"/>
    <w:multiLevelType w:val="hybridMultilevel"/>
    <w:lvl w:ilvl="0">
      <w:lvlJc w:val="left"/>
      <w:lvlText w:val="(%1)"/>
      <w:numFmt w:val="lowerLetter"/>
      <w:start w:val="2"/>
    </w:lvl>
  </w:abstractNum>
  <w:abstractNum w:abstractNumId="152">
    <w:nsid w:val="6B1D2C14"/>
    <w:multiLevelType w:val="hybridMultilevel"/>
    <w:lvl w:ilvl="0">
      <w:lvlJc w:val="left"/>
      <w:lvlText w:val="(%1)"/>
      <w:numFmt w:val="lowerLetter"/>
      <w:start w:val="3"/>
    </w:lvl>
  </w:abstractNum>
  <w:abstractNum w:abstractNumId="153">
    <w:nsid w:val="68B867D3"/>
    <w:multiLevelType w:val="hybridMultilevel"/>
    <w:lvl w:ilvl="0">
      <w:lvlJc w:val="left"/>
      <w:lvlText w:val="(%1)"/>
      <w:numFmt w:val="lowerLetter"/>
      <w:start w:val="1"/>
    </w:lvl>
  </w:abstractNum>
  <w:abstractNum w:abstractNumId="154">
    <w:nsid w:val="3F7F5DD9"/>
    <w:multiLevelType w:val="hybridMultilevel"/>
    <w:lvl w:ilvl="0">
      <w:lvlJc w:val="left"/>
      <w:lvlText w:val="(%1)"/>
      <w:numFmt w:val="lowerLetter"/>
      <w:start w:val="1"/>
    </w:lvl>
  </w:abstractNum>
  <w:abstractNum w:abstractNumId="155">
    <w:nsid w:val="2AE05A34"/>
    <w:multiLevelType w:val="hybridMultilevel"/>
    <w:lvl w:ilvl="0">
      <w:lvlJc w:val="left"/>
      <w:lvlText w:val="(%1)"/>
      <w:numFmt w:val="lowerLetter"/>
      <w:start w:val="1"/>
    </w:lvl>
  </w:abstractNum>
  <w:abstractNum w:abstractNumId="156">
    <w:nsid w:val="32794FF7"/>
    <w:multiLevelType w:val="hybridMultilevel"/>
    <w:lvl w:ilvl="0">
      <w:lvlJc w:val="left"/>
      <w:lvlText w:val="(%1)"/>
      <w:numFmt w:val="lowerLetter"/>
      <w:start w:val="1"/>
    </w:lvl>
  </w:abstractNum>
  <w:abstractNum w:abstractNumId="157">
    <w:nsid w:val="5454945E"/>
    <w:multiLevelType w:val="hybridMultilevel"/>
    <w:lvl w:ilvl="0">
      <w:lvlJc w:val="left"/>
      <w:lvlText w:val="(%1)"/>
      <w:numFmt w:val="lowerLetter"/>
      <w:start w:val="4"/>
    </w:lvl>
  </w:abstractNum>
  <w:abstractNum w:abstractNumId="158">
    <w:nsid w:val="4DEFDFA0"/>
    <w:multiLevelType w:val="hybridMultilevel"/>
    <w:lvl w:ilvl="0">
      <w:lvlJc w:val="left"/>
      <w:lvlText w:val="(%1)"/>
      <w:numFmt w:val="upperLetter"/>
      <w:start w:val="6"/>
    </w:lvl>
  </w:abstractNum>
  <w:abstractNum w:abstractNumId="159">
    <w:nsid w:val="2123D5F2"/>
    <w:multiLevelType w:val="hybridMultilevel"/>
    <w:lvl w:ilvl="0">
      <w:lvlJc w:val="left"/>
      <w:lvlText w:val="(%1)"/>
      <w:numFmt w:val="lowerLetter"/>
      <w:start w:val="1"/>
    </w:lvl>
    <w:lvl w:ilvl="1">
      <w:lvlJc w:val="left"/>
      <w:lvlText w:val="(%2)"/>
      <w:numFmt w:val="lowerRoman"/>
      <w:start w:val="1"/>
    </w:lvl>
  </w:abstractNum>
  <w:abstractNum w:abstractNumId="160">
    <w:nsid w:val="135B8110"/>
    <w:multiLevelType w:val="hybridMultilevel"/>
    <w:lvl w:ilvl="0">
      <w:lvlJc w:val="left"/>
      <w:lvlText w:val="%1"/>
      <w:numFmt w:val="lowerLetter"/>
      <w:start w:val="1"/>
    </w:lvl>
    <w:lvl w:ilvl="1">
      <w:lvlJc w:val="left"/>
      <w:lvlText w:val="(%2)"/>
      <w:numFmt w:val="lowerRoman"/>
      <w:start w:val="2"/>
    </w:lvl>
  </w:abstractNum>
  <w:abstractNum w:abstractNumId="161">
    <w:nsid w:val="94927A8"/>
    <w:multiLevelType w:val="hybridMultilevel"/>
    <w:lvl w:ilvl="0">
      <w:lvlJc w:val="left"/>
      <w:lvlText w:val="(%1)"/>
      <w:numFmt w:val="lowerLetter"/>
      <w:start w:val="4"/>
    </w:lvl>
    <w:lvl w:ilvl="1">
      <w:lvlJc w:val="left"/>
      <w:lvlText w:val="%2"/>
      <w:numFmt w:val="lowerRoman"/>
      <w:start w:val="1"/>
    </w:lvl>
  </w:abstractNum>
  <w:abstractNum w:abstractNumId="162">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63">
    <w:nsid w:val="52D7B105"/>
    <w:multiLevelType w:val="hybridMultilevel"/>
    <w:lvl w:ilvl="0">
      <w:lvlJc w:val="left"/>
      <w:lvlText w:val="(%1)"/>
      <w:numFmt w:val="lowerLetter"/>
      <w:start w:val="2"/>
    </w:lvl>
  </w:abstractNum>
  <w:abstractNum w:abstractNumId="164">
    <w:nsid w:val="2E8A6394"/>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65">
    <w:nsid w:val="24E60401"/>
    <w:multiLevelType w:val="hybridMultilevel"/>
    <w:lvl w:ilvl="0">
      <w:lvlJc w:val="left"/>
      <w:lvlText w:val="(%1)"/>
      <w:numFmt w:val="lowerLetter"/>
      <w:start w:val="5"/>
    </w:lvl>
  </w:abstractNum>
  <w:abstractNum w:abstractNumId="166">
    <w:nsid w:val="2A6AD9BE"/>
    <w:multiLevelType w:val="hybridMultilevel"/>
    <w:lvl w:ilvl="0">
      <w:lvlJc w:val="left"/>
      <w:lvlText w:val="(%1)"/>
      <w:numFmt w:val="upperLetter"/>
      <w:start w:val="6"/>
    </w:lvl>
    <w:lvl w:ilvl="1">
      <w:lvlJc w:val="left"/>
      <w:lvlText w:val="(%2)"/>
      <w:numFmt w:val="lowerRoman"/>
      <w:start w:val="1"/>
    </w:lvl>
  </w:abstractNum>
  <w:abstractNum w:abstractNumId="167">
    <w:nsid w:val="BAAC1B4"/>
    <w:multiLevelType w:val="hybridMultilevel"/>
    <w:lvl w:ilvl="0">
      <w:lvlJc w:val="left"/>
      <w:lvlText w:val="%1."/>
      <w:numFmt w:val="decimal"/>
      <w:start w:val="7"/>
    </w:lvl>
  </w:abstractNum>
  <w:abstractNum w:abstractNumId="168">
    <w:nsid w:val="36B2ACBC"/>
    <w:multiLevelType w:val="hybridMultilevel"/>
    <w:lvl w:ilvl="0">
      <w:lvlJc w:val="left"/>
      <w:lvlText w:val="(%1)"/>
      <w:numFmt w:val="lowerLetter"/>
      <w:start w:val="1"/>
    </w:lvl>
    <w:lvl w:ilvl="1">
      <w:lvlJc w:val="left"/>
      <w:lvlText w:val="(%2)"/>
      <w:numFmt w:val="lowerRoman"/>
      <w:start w:val="1"/>
    </w:lvl>
  </w:abstractNum>
  <w:abstractNum w:abstractNumId="169">
    <w:nsid w:val="779D8544"/>
    <w:multiLevelType w:val="hybridMultilevel"/>
    <w:lvl w:ilvl="0">
      <w:lvlJc w:val="left"/>
      <w:lvlText w:val="%1"/>
      <w:numFmt w:val="lowerLetter"/>
      <w:start w:val="1"/>
    </w:lvl>
    <w:lvl w:ilvl="1">
      <w:lvlJc w:val="left"/>
      <w:lvlText w:val="(%2)"/>
      <w:numFmt w:val="lowerRoman"/>
      <w:start w:val="5"/>
    </w:lvl>
  </w:abstractNum>
  <w:abstractNum w:abstractNumId="170">
    <w:nsid w:val="4AB26E78"/>
    <w:multiLevelType w:val="hybridMultilevel"/>
    <w:lvl w:ilvl="0">
      <w:lvlJc w:val="left"/>
      <w:lvlText w:val="(%1)"/>
      <w:numFmt w:val="lowerLetter"/>
      <w:start w:val="2"/>
    </w:lvl>
    <w:lvl w:ilvl="1">
      <w:lvlJc w:val="left"/>
      <w:lvlText w:val="(%2)"/>
      <w:numFmt w:val="lowerRoman"/>
      <w:start w:val="1"/>
    </w:lvl>
  </w:abstractNum>
  <w:abstractNum w:abstractNumId="171">
    <w:nsid w:val="21FAA2FA"/>
    <w:multiLevelType w:val="hybridMultilevel"/>
    <w:lvl w:ilvl="0">
      <w:lvlJc w:val="left"/>
      <w:lvlText w:val="(%1)"/>
      <w:numFmt w:val="lowerLetter"/>
      <w:start w:val="3"/>
    </w:lvl>
  </w:abstractNum>
  <w:abstractNum w:abstractNumId="172">
    <w:nsid w:val="5451CF49"/>
    <w:multiLevelType w:val="hybridMultilevel"/>
    <w:lvl w:ilvl="0">
      <w:lvlJc w:val="left"/>
      <w:lvlText w:val="(%1)"/>
      <w:numFmt w:val="lowerLetter"/>
      <w:start w:val="4"/>
    </w:lvl>
    <w:lvl w:ilvl="1">
      <w:lvlJc w:val="left"/>
      <w:lvlText w:val="(%2)"/>
      <w:numFmt w:val="lowerRoman"/>
      <w:start w:val="1"/>
    </w:lvl>
  </w:abstractNum>
  <w:abstractNum w:abstractNumId="173">
    <w:nsid w:val="6181EF69"/>
    <w:multiLevelType w:val="hybridMultilevel"/>
    <w:lvl w:ilvl="0">
      <w:lvlJc w:val="left"/>
      <w:lvlText w:val="(%1)"/>
      <w:numFmt w:val="lowerLetter"/>
      <w:start w:val="1"/>
    </w:lvl>
  </w:abstractNum>
  <w:abstractNum w:abstractNumId="174">
    <w:nsid w:val="3E6400E6"/>
    <w:multiLevelType w:val="hybridMultilevel"/>
    <w:lvl w:ilvl="0">
      <w:lvlJc w:val="left"/>
      <w:lvlText w:val="(%1)"/>
      <w:numFmt w:val="lowerLetter"/>
      <w:start w:val="2"/>
    </w:lvl>
    <w:lvl w:ilvl="1">
      <w:lvlJc w:val="left"/>
      <w:lvlText w:val="(%2)"/>
      <w:numFmt w:val="lowerLetter"/>
      <w:start w:val="35"/>
    </w:lvl>
  </w:abstractNum>
  <w:abstractNum w:abstractNumId="175">
    <w:nsid w:val="14217E23"/>
    <w:multiLevelType w:val="hybridMultilevel"/>
    <w:lvl w:ilvl="0">
      <w:lvlJc w:val="left"/>
      <w:lvlText w:val="(%1)"/>
      <w:numFmt w:val="lowerLetter"/>
      <w:start w:val="1"/>
    </w:lvl>
  </w:abstractNum>
  <w:abstractNum w:abstractNumId="176">
    <w:nsid w:val="710757D0"/>
    <w:multiLevelType w:val="hybridMultilevel"/>
    <w:lvl w:ilvl="0">
      <w:lvlJc w:val="left"/>
      <w:lvlText w:val="(%1)"/>
      <w:numFmt w:val="lowerLetter"/>
      <w:start w:val="3"/>
    </w:lvl>
  </w:abstractNum>
  <w:abstractNum w:abstractNumId="177">
    <w:nsid w:val="5015CD1A"/>
    <w:multiLevelType w:val="hybridMultilevel"/>
    <w:lvl w:ilvl="0">
      <w:lvlJc w:val="left"/>
      <w:lvlText w:val="(%1)"/>
      <w:numFmt w:val="lowerLetter"/>
      <w:start w:val="1"/>
    </w:lvl>
  </w:abstractNum>
  <w:abstractNum w:abstractNumId="178">
    <w:nsid w:val="424479DA"/>
    <w:multiLevelType w:val="hybridMultilevel"/>
    <w:lvl w:ilvl="0">
      <w:lvlJc w:val="left"/>
      <w:lvlText w:val="-"/>
      <w:numFmt w:val="bullet"/>
      <w:start w:val="1"/>
    </w:lvl>
  </w:abstractNum>
  <w:abstractNum w:abstractNumId="179">
    <w:nsid w:val="1A9A9E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2019-12-20T04:00:51Z</dcterms:created>
  <dcterms:modified xsi:type="dcterms:W3CDTF">2019-12-20T04:00:51Z</dcterms:modified>
</cp:coreProperties>
</file>