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49">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333-231027</w:t>
      </w:r>
    </w:p>
    <w:p>
      <w:pPr>
        <w:spacing w:after="0" w:line="213" w:lineRule="exact"/>
        <w:rPr>
          <w:sz w:val="24"/>
          <w:szCs w:val="24"/>
          <w:color w:val="auto"/>
        </w:rPr>
      </w:pPr>
    </w:p>
    <w:p>
      <w:pPr>
        <w:ind w:right="240"/>
        <w:spacing w:after="0" w:line="262" w:lineRule="auto"/>
        <w:rPr>
          <w:sz w:val="20"/>
          <w:szCs w:val="20"/>
          <w:color w:val="auto"/>
        </w:rPr>
      </w:pPr>
      <w:r>
        <w:rPr>
          <w:rFonts w:ascii="Arial" w:cs="Arial" w:eastAsia="Arial" w:hAnsi="Arial"/>
          <w:sz w:val="18"/>
          <w:szCs w:val="18"/>
          <w:b w:val="1"/>
          <w:bCs w:val="1"/>
          <w:color w:val="EF505F"/>
        </w:rPr>
        <w:t>The information in this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EF505F"/>
        </w:rPr>
        <w:t>SUBJECT TO COMPLETION, DATED MAY 14, 2019</w:t>
      </w: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b w:val="1"/>
          <w:bCs w:val="1"/>
          <w:u w:val="single" w:color="auto"/>
          <w:color w:val="auto"/>
        </w:rPr>
        <w:t>Prospectus Supplement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 Prospectus dated April 25, 2019)</w:t>
      </w:r>
    </w:p>
    <w:p>
      <w:pPr>
        <w:spacing w:after="0" w:line="176" w:lineRule="exact"/>
        <w:rPr>
          <w:sz w:val="24"/>
          <w:szCs w:val="24"/>
          <w:color w:val="auto"/>
        </w:rPr>
      </w:pPr>
    </w:p>
    <w:p>
      <w:pPr>
        <w:ind w:left="5340"/>
        <w:spacing w:after="0"/>
        <w:rPr>
          <w:sz w:val="20"/>
          <w:szCs w:val="20"/>
          <w:color w:val="auto"/>
        </w:rPr>
      </w:pP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2818130</wp:posOffset>
            </wp:positionH>
            <wp:positionV relativeFrom="paragraph">
              <wp:posOffset>148590</wp:posOffset>
            </wp:positionV>
            <wp:extent cx="1620520"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052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ind w:left="4940" w:hanging="763"/>
        <w:spacing w:after="0"/>
        <w:tabs>
          <w:tab w:leader="none" w:pos="49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Senior Notes due 2024</w:t>
      </w:r>
    </w:p>
    <w:p>
      <w:pPr>
        <w:spacing w:after="0" w:line="14" w:lineRule="exact"/>
        <w:rPr>
          <w:rFonts w:ascii="Arial" w:cs="Arial" w:eastAsia="Arial" w:hAnsi="Arial"/>
          <w:sz w:val="22"/>
          <w:szCs w:val="22"/>
          <w:b w:val="1"/>
          <w:bCs w:val="1"/>
          <w:color w:val="auto"/>
        </w:rPr>
      </w:pPr>
    </w:p>
    <w:p>
      <w:pPr>
        <w:ind w:left="4940" w:hanging="763"/>
        <w:spacing w:after="0" w:line="230" w:lineRule="auto"/>
        <w:tabs>
          <w:tab w:leader="none" w:pos="49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Senior Notes due 2026</w:t>
      </w:r>
    </w:p>
    <w:p>
      <w:pPr>
        <w:ind w:left="4940" w:hanging="763"/>
        <w:spacing w:after="0" w:line="230" w:lineRule="auto"/>
        <w:tabs>
          <w:tab w:leader="none" w:pos="49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Senior Notes due 2029</w:t>
      </w:r>
    </w:p>
    <w:p>
      <w:pPr>
        <w:ind w:left="4940" w:hanging="763"/>
        <w:spacing w:after="0" w:line="230" w:lineRule="auto"/>
        <w:tabs>
          <w:tab w:leader="none" w:pos="49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Senior Notes due 2039</w:t>
      </w:r>
    </w:p>
    <w:p>
      <w:pPr>
        <w:ind w:left="4940" w:hanging="763"/>
        <w:spacing w:after="0"/>
        <w:tabs>
          <w:tab w:leader="none" w:pos="49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Senior Notes due 2049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133350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685"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340"/>
        <w:spacing w:after="0"/>
        <w:tabs>
          <w:tab w:leader="none" w:pos="1680" w:val="left"/>
          <w:tab w:leader="none" w:pos="3940" w:val="left"/>
          <w:tab w:leader="none" w:pos="4540" w:val="left"/>
          <w:tab w:leader="none" w:pos="7440" w:val="left"/>
          <w:tab w:leader="none" w:pos="8040" w:val="left"/>
          <w:tab w:leader="none" w:pos="10920" w:val="left"/>
        </w:tabs>
        <w:rPr>
          <w:sz w:val="20"/>
          <w:szCs w:val="20"/>
          <w:color w:val="auto"/>
        </w:rPr>
      </w:pPr>
      <w:r>
        <w:rPr>
          <w:rFonts w:ascii="Arial" w:cs="Arial" w:eastAsia="Arial" w:hAnsi="Arial"/>
          <w:sz w:val="14"/>
          <w:szCs w:val="14"/>
          <w:color w:val="auto"/>
        </w:rPr>
        <w:t>We are offering $</w:t>
      </w:r>
      <w:r>
        <w:rPr>
          <w:sz w:val="20"/>
          <w:szCs w:val="20"/>
          <w:color w:val="auto"/>
        </w:rPr>
        <w:tab/>
      </w:r>
      <w:r>
        <w:rPr>
          <w:rFonts w:ascii="Arial" w:cs="Arial" w:eastAsia="Arial" w:hAnsi="Arial"/>
          <w:sz w:val="14"/>
          <w:szCs w:val="14"/>
          <w:color w:val="auto"/>
        </w:rPr>
        <w:t>of our senior notes, consisting of $</w:t>
      </w:r>
      <w:r>
        <w:rPr>
          <w:sz w:val="20"/>
          <w:szCs w:val="20"/>
          <w:color w:val="auto"/>
        </w:rPr>
        <w:tab/>
      </w:r>
      <w:r>
        <w:rPr>
          <w:rFonts w:ascii="Arial" w:cs="Arial" w:eastAsia="Arial" w:hAnsi="Arial"/>
          <w:sz w:val="14"/>
          <w:szCs w:val="14"/>
          <w:color w:val="auto"/>
        </w:rPr>
        <w:t>of our</w:t>
      </w:r>
      <w:r>
        <w:rPr>
          <w:sz w:val="20"/>
          <w:szCs w:val="20"/>
          <w:color w:val="auto"/>
        </w:rPr>
        <w:tab/>
      </w:r>
      <w:r>
        <w:rPr>
          <w:rFonts w:ascii="Arial" w:cs="Arial" w:eastAsia="Arial" w:hAnsi="Arial"/>
          <w:sz w:val="14"/>
          <w:szCs w:val="14"/>
          <w:color w:val="auto"/>
        </w:rPr>
        <w:t>% senior notes due 2024 (the "2024 notes"), $</w:t>
      </w:r>
      <w:r>
        <w:rPr>
          <w:sz w:val="20"/>
          <w:szCs w:val="20"/>
          <w:color w:val="auto"/>
        </w:rPr>
        <w:tab/>
      </w:r>
      <w:r>
        <w:rPr>
          <w:rFonts w:ascii="Arial" w:cs="Arial" w:eastAsia="Arial" w:hAnsi="Arial"/>
          <w:sz w:val="14"/>
          <w:szCs w:val="14"/>
          <w:color w:val="auto"/>
        </w:rPr>
        <w:t>of our</w:t>
      </w:r>
      <w:r>
        <w:rPr>
          <w:sz w:val="20"/>
          <w:szCs w:val="20"/>
          <w:color w:val="auto"/>
        </w:rPr>
        <w:tab/>
      </w:r>
      <w:r>
        <w:rPr>
          <w:rFonts w:ascii="Arial" w:cs="Arial" w:eastAsia="Arial" w:hAnsi="Arial"/>
          <w:sz w:val="14"/>
          <w:szCs w:val="14"/>
          <w:color w:val="auto"/>
        </w:rPr>
        <w:t>% senior notes due 2026 (the "2026 notes"), $</w:t>
      </w:r>
      <w:r>
        <w:rPr>
          <w:sz w:val="20"/>
          <w:szCs w:val="20"/>
          <w:color w:val="auto"/>
        </w:rPr>
        <w:tab/>
      </w:r>
      <w:r>
        <w:rPr>
          <w:rFonts w:ascii="Arial" w:cs="Arial" w:eastAsia="Arial" w:hAnsi="Arial"/>
          <w:sz w:val="14"/>
          <w:szCs w:val="14"/>
          <w:color w:val="auto"/>
        </w:rPr>
        <w:t>of</w:t>
      </w:r>
    </w:p>
    <w:p>
      <w:pPr>
        <w:spacing w:after="0"/>
        <w:tabs>
          <w:tab w:leader="none" w:pos="440" w:val="left"/>
          <w:tab w:leader="none" w:pos="3320" w:val="left"/>
          <w:tab w:leader="none" w:pos="3960" w:val="left"/>
          <w:tab w:leader="none" w:pos="7040" w:val="left"/>
          <w:tab w:leader="none" w:pos="7640" w:val="left"/>
        </w:tabs>
        <w:rPr>
          <w:sz w:val="20"/>
          <w:szCs w:val="20"/>
          <w:color w:val="auto"/>
        </w:rPr>
      </w:pPr>
      <w:r>
        <w:rPr>
          <w:rFonts w:ascii="Arial" w:cs="Arial" w:eastAsia="Arial" w:hAnsi="Arial"/>
          <w:sz w:val="14"/>
          <w:szCs w:val="14"/>
          <w:color w:val="auto"/>
        </w:rPr>
        <w:t>our</w:t>
      </w:r>
      <w:r>
        <w:rPr>
          <w:sz w:val="20"/>
          <w:szCs w:val="20"/>
          <w:color w:val="auto"/>
        </w:rPr>
        <w:tab/>
      </w:r>
      <w:r>
        <w:rPr>
          <w:rFonts w:ascii="Arial" w:cs="Arial" w:eastAsia="Arial" w:hAnsi="Arial"/>
          <w:sz w:val="14"/>
          <w:szCs w:val="14"/>
          <w:color w:val="auto"/>
        </w:rPr>
        <w:t>% senior notes due 2029 (the "2029 notes"), $</w:t>
      </w:r>
      <w:r>
        <w:rPr>
          <w:sz w:val="20"/>
          <w:szCs w:val="20"/>
          <w:color w:val="auto"/>
        </w:rPr>
        <w:tab/>
      </w:r>
      <w:r>
        <w:rPr>
          <w:rFonts w:ascii="Arial" w:cs="Arial" w:eastAsia="Arial" w:hAnsi="Arial"/>
          <w:sz w:val="14"/>
          <w:szCs w:val="14"/>
          <w:color w:val="auto"/>
        </w:rPr>
        <w:t>of our</w:t>
      </w:r>
      <w:r>
        <w:rPr>
          <w:sz w:val="20"/>
          <w:szCs w:val="20"/>
          <w:color w:val="auto"/>
        </w:rPr>
        <w:tab/>
      </w:r>
      <w:r>
        <w:rPr>
          <w:rFonts w:ascii="Arial" w:cs="Arial" w:eastAsia="Arial" w:hAnsi="Arial"/>
          <w:sz w:val="14"/>
          <w:szCs w:val="14"/>
          <w:color w:val="auto"/>
        </w:rPr>
        <w:t>% senior notes due 2039 (the "2039 notes") and $</w:t>
      </w:r>
      <w:r>
        <w:rPr>
          <w:sz w:val="20"/>
          <w:szCs w:val="20"/>
          <w:color w:val="auto"/>
        </w:rPr>
        <w:tab/>
      </w:r>
      <w:r>
        <w:rPr>
          <w:rFonts w:ascii="Arial" w:cs="Arial" w:eastAsia="Arial" w:hAnsi="Arial"/>
          <w:sz w:val="14"/>
          <w:szCs w:val="14"/>
          <w:color w:val="auto"/>
        </w:rPr>
        <w:t>of our</w:t>
      </w:r>
      <w:r>
        <w:rPr>
          <w:sz w:val="20"/>
          <w:szCs w:val="20"/>
          <w:color w:val="auto"/>
        </w:rPr>
        <w:tab/>
      </w:r>
      <w:r>
        <w:rPr>
          <w:rFonts w:ascii="Arial" w:cs="Arial" w:eastAsia="Arial" w:hAnsi="Arial"/>
          <w:sz w:val="12"/>
          <w:szCs w:val="12"/>
          <w:color w:val="auto"/>
        </w:rPr>
        <w:t>% senior notes due 2049 (the "2049 notes" and, collectively with the</w:t>
      </w:r>
    </w:p>
    <w:p>
      <w:pPr>
        <w:spacing w:after="0"/>
        <w:tabs>
          <w:tab w:leader="none" w:pos="8880" w:val="left"/>
          <w:tab w:leader="none" w:pos="11020" w:val="left"/>
        </w:tabs>
        <w:rPr>
          <w:sz w:val="20"/>
          <w:szCs w:val="20"/>
          <w:color w:val="auto"/>
        </w:rPr>
      </w:pPr>
      <w:r>
        <w:rPr>
          <w:rFonts w:ascii="Arial" w:cs="Arial" w:eastAsia="Arial" w:hAnsi="Arial"/>
          <w:sz w:val="14"/>
          <w:szCs w:val="14"/>
          <w:color w:val="auto"/>
        </w:rPr>
        <w:t>2024 notes, the 2026 notes, the 2029 notes and the 2039 notes, the "notes"). Interest on the 2024 notes, the 2026 notes and the 2029 notes will accrue from</w:t>
      </w:r>
      <w:r>
        <w:rPr>
          <w:sz w:val="20"/>
          <w:szCs w:val="20"/>
          <w:color w:val="auto"/>
        </w:rPr>
        <w:tab/>
      </w:r>
      <w:r>
        <w:rPr>
          <w:rFonts w:ascii="Arial" w:cs="Arial" w:eastAsia="Arial" w:hAnsi="Arial"/>
          <w:sz w:val="14"/>
          <w:szCs w:val="14"/>
          <w:color w:val="auto"/>
        </w:rPr>
        <w:t>, 2019 and will be payable on</w:t>
      </w:r>
      <w:r>
        <w:rPr>
          <w:sz w:val="20"/>
          <w:szCs w:val="20"/>
          <w:color w:val="auto"/>
        </w:rPr>
        <w:tab/>
      </w:r>
      <w:r>
        <w:rPr>
          <w:rFonts w:ascii="Arial" w:cs="Arial" w:eastAsia="Arial" w:hAnsi="Arial"/>
          <w:sz w:val="10"/>
          <w:szCs w:val="10"/>
          <w:color w:val="auto"/>
        </w:rPr>
        <w:t>and</w:t>
      </w:r>
    </w:p>
    <w:p>
      <w:pPr>
        <w:ind w:left="540"/>
        <w:spacing w:after="0"/>
        <w:tabs>
          <w:tab w:leader="none" w:pos="2340" w:val="left"/>
          <w:tab w:leader="none" w:pos="6640" w:val="left"/>
          <w:tab w:leader="none" w:pos="8780" w:val="left"/>
          <w:tab w:leader="none" w:pos="9560" w:val="left"/>
        </w:tabs>
        <w:rPr>
          <w:sz w:val="20"/>
          <w:szCs w:val="20"/>
          <w:color w:val="auto"/>
        </w:rPr>
      </w:pPr>
      <w:r>
        <w:rPr>
          <w:rFonts w:ascii="Arial" w:cs="Arial" w:eastAsia="Arial" w:hAnsi="Arial"/>
          <w:sz w:val="14"/>
          <w:szCs w:val="14"/>
          <w:color w:val="auto"/>
        </w:rPr>
        <w:t>of each year, beginning</w:t>
      </w:r>
      <w:r>
        <w:rPr>
          <w:sz w:val="20"/>
          <w:szCs w:val="20"/>
          <w:color w:val="auto"/>
        </w:rPr>
        <w:tab/>
      </w:r>
      <w:r>
        <w:rPr>
          <w:rFonts w:ascii="Arial" w:cs="Arial" w:eastAsia="Arial" w:hAnsi="Arial"/>
          <w:sz w:val="14"/>
          <w:szCs w:val="14"/>
          <w:color w:val="auto"/>
        </w:rPr>
        <w:t>, 2019. Interest on the 2039 notes and the 2049 notes will accrue from</w:t>
      </w:r>
      <w:r>
        <w:rPr>
          <w:sz w:val="20"/>
          <w:szCs w:val="20"/>
          <w:color w:val="auto"/>
        </w:rPr>
        <w:tab/>
      </w:r>
      <w:r>
        <w:rPr>
          <w:rFonts w:ascii="Arial" w:cs="Arial" w:eastAsia="Arial" w:hAnsi="Arial"/>
          <w:sz w:val="14"/>
          <w:szCs w:val="14"/>
          <w:color w:val="auto"/>
        </w:rPr>
        <w:t>, 2019 and will be payable on</w:t>
      </w:r>
      <w:r>
        <w:rPr>
          <w:sz w:val="20"/>
          <w:szCs w:val="20"/>
          <w:color w:val="auto"/>
        </w:rPr>
        <w:tab/>
      </w:r>
      <w:r>
        <w:rPr>
          <w:rFonts w:ascii="Arial" w:cs="Arial" w:eastAsia="Arial" w:hAnsi="Arial"/>
          <w:sz w:val="14"/>
          <w:szCs w:val="14"/>
          <w:color w:val="auto"/>
        </w:rPr>
        <w:t>and</w:t>
      </w:r>
      <w:r>
        <w:rPr>
          <w:sz w:val="20"/>
          <w:szCs w:val="20"/>
          <w:color w:val="auto"/>
        </w:rPr>
        <w:tab/>
      </w:r>
      <w:r>
        <w:rPr>
          <w:rFonts w:ascii="Arial" w:cs="Arial" w:eastAsia="Arial" w:hAnsi="Arial"/>
          <w:sz w:val="12"/>
          <w:szCs w:val="12"/>
          <w:color w:val="auto"/>
        </w:rPr>
        <w:t>of each year, beginning</w:t>
      </w:r>
    </w:p>
    <w:p>
      <w:pPr>
        <w:spacing w:after="0"/>
        <w:tabs>
          <w:tab w:leader="none" w:pos="2520" w:val="left"/>
          <w:tab w:leader="none" w:pos="5080" w:val="left"/>
          <w:tab w:leader="none" w:pos="7660" w:val="left"/>
          <w:tab w:leader="none" w:pos="10220" w:val="left"/>
        </w:tabs>
        <w:rPr>
          <w:sz w:val="20"/>
          <w:szCs w:val="20"/>
          <w:color w:val="auto"/>
        </w:rPr>
      </w:pPr>
      <w:r>
        <w:rPr>
          <w:rFonts w:ascii="Arial" w:cs="Arial" w:eastAsia="Arial" w:hAnsi="Arial"/>
          <w:sz w:val="14"/>
          <w:szCs w:val="14"/>
          <w:color w:val="auto"/>
        </w:rPr>
        <w:t>2019. The 2024 notes will mature on</w:t>
      </w:r>
      <w:r>
        <w:rPr>
          <w:sz w:val="20"/>
          <w:szCs w:val="20"/>
          <w:color w:val="auto"/>
        </w:rPr>
        <w:tab/>
      </w:r>
      <w:r>
        <w:rPr>
          <w:rFonts w:ascii="Arial" w:cs="Arial" w:eastAsia="Arial" w:hAnsi="Arial"/>
          <w:sz w:val="14"/>
          <w:szCs w:val="14"/>
          <w:color w:val="auto"/>
        </w:rPr>
        <w:t>, 2024, the 2026 notes will mature on</w:t>
      </w:r>
      <w:r>
        <w:rPr>
          <w:sz w:val="20"/>
          <w:szCs w:val="20"/>
          <w:color w:val="auto"/>
        </w:rPr>
        <w:tab/>
      </w:r>
      <w:r>
        <w:rPr>
          <w:rFonts w:ascii="Arial" w:cs="Arial" w:eastAsia="Arial" w:hAnsi="Arial"/>
          <w:sz w:val="14"/>
          <w:szCs w:val="14"/>
          <w:color w:val="auto"/>
        </w:rPr>
        <w:t>, 2026, the 2029 notes will mature on</w:t>
      </w:r>
      <w:r>
        <w:rPr>
          <w:sz w:val="20"/>
          <w:szCs w:val="20"/>
          <w:color w:val="auto"/>
        </w:rPr>
        <w:tab/>
      </w:r>
      <w:r>
        <w:rPr>
          <w:rFonts w:ascii="Arial" w:cs="Arial" w:eastAsia="Arial" w:hAnsi="Arial"/>
          <w:sz w:val="14"/>
          <w:szCs w:val="14"/>
          <w:color w:val="auto"/>
        </w:rPr>
        <w:t>, 2029, the 2039 notes will mature on</w:t>
      </w:r>
      <w:r>
        <w:rPr>
          <w:sz w:val="20"/>
          <w:szCs w:val="20"/>
          <w:color w:val="auto"/>
        </w:rPr>
        <w:tab/>
      </w:r>
      <w:r>
        <w:rPr>
          <w:rFonts w:ascii="Arial" w:cs="Arial" w:eastAsia="Arial" w:hAnsi="Arial"/>
          <w:sz w:val="11"/>
          <w:szCs w:val="11"/>
          <w:color w:val="auto"/>
        </w:rPr>
        <w:t>, 2039 and the 2049</w:t>
      </w:r>
    </w:p>
    <w:p>
      <w:pPr>
        <w:spacing w:after="0"/>
        <w:tabs>
          <w:tab w:leader="none" w:pos="1640" w:val="left"/>
        </w:tabs>
        <w:rPr>
          <w:sz w:val="20"/>
          <w:szCs w:val="20"/>
          <w:color w:val="auto"/>
        </w:rPr>
      </w:pPr>
      <w:r>
        <w:rPr>
          <w:rFonts w:ascii="Arial" w:cs="Arial" w:eastAsia="Arial" w:hAnsi="Arial"/>
          <w:sz w:val="14"/>
          <w:szCs w:val="14"/>
          <w:color w:val="auto"/>
        </w:rPr>
        <w:t>notes will mature on</w:t>
      </w:r>
      <w:r>
        <w:rPr>
          <w:sz w:val="20"/>
          <w:szCs w:val="20"/>
          <w:color w:val="auto"/>
        </w:rPr>
        <w:tab/>
      </w:r>
      <w:r>
        <w:rPr>
          <w:rFonts w:ascii="Arial" w:cs="Arial" w:eastAsia="Arial" w:hAnsi="Arial"/>
          <w:sz w:val="11"/>
          <w:szCs w:val="11"/>
          <w:color w:val="auto"/>
        </w:rPr>
        <w:t>, 2049.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7"/>
          <w:szCs w:val="7"/>
          <w:color w:val="auto"/>
        </w:rPr>
        <w:t>,</w:t>
      </w:r>
    </w:p>
    <w:p>
      <w:pPr>
        <w:spacing w:after="0" w:line="581" w:lineRule="exact"/>
        <w:rPr>
          <w:sz w:val="24"/>
          <w:szCs w:val="24"/>
          <w:color w:val="auto"/>
        </w:rPr>
      </w:pPr>
    </w:p>
    <w:p>
      <w:pPr>
        <w:sectPr>
          <w:pgSz w:w="11900" w:h="16838" w:orient="portrait"/>
          <w:cols w:equalWidth="0" w:num="2">
            <w:col w:w="11360" w:space="20"/>
            <w:col w:w="40"/>
          </w:cols>
          <w:pgMar w:left="240" w:top="685" w:right="239" w:bottom="0" w:gutter="0" w:footer="0" w:header="0"/>
          <w:type w:val="continuous"/>
        </w:sectPr>
      </w:pPr>
    </w:p>
    <w:p>
      <w:pPr>
        <w:ind w:right="60" w:firstLine="335"/>
        <w:spacing w:after="0" w:line="318" w:lineRule="auto"/>
        <w:rPr>
          <w:sz w:val="20"/>
          <w:szCs w:val="20"/>
          <w:color w:val="auto"/>
        </w:rPr>
      </w:pPr>
      <w:r>
        <w:rPr>
          <w:rFonts w:ascii="Arial" w:cs="Arial" w:eastAsia="Arial" w:hAnsi="Arial"/>
          <w:sz w:val="12"/>
          <w:szCs w:val="12"/>
          <w:color w:val="auto"/>
        </w:rPr>
        <w:t>The notes of each series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148" w:lineRule="exact"/>
        <w:rPr>
          <w:sz w:val="24"/>
          <w:szCs w:val="24"/>
          <w:color w:val="auto"/>
        </w:rPr>
      </w:pPr>
    </w:p>
    <w:p>
      <w:pPr>
        <w:ind w:right="420" w:firstLine="335"/>
        <w:spacing w:after="0" w:line="239" w:lineRule="auto"/>
        <w:rPr>
          <w:sz w:val="20"/>
          <w:szCs w:val="20"/>
          <w:color w:val="auto"/>
        </w:rPr>
      </w:pPr>
      <w:r>
        <w:rPr>
          <w:rFonts w:ascii="Arial" w:cs="Arial" w:eastAsia="Arial" w:hAnsi="Arial"/>
          <w:sz w:val="14"/>
          <w:szCs w:val="14"/>
          <w:color w:val="auto"/>
        </w:rPr>
        <w:t>We may redeem each series of the notes, in whole or in part, at any time at the redemption prices described beginning on page S-20. If a change of control triggering event as described beginning on page S-24 occurs, we may be required to offer to purchase the notes of each series from holders.</w:t>
      </w:r>
    </w:p>
    <w:p>
      <w:pPr>
        <w:spacing w:after="0" w:line="193" w:lineRule="exact"/>
        <w:rPr>
          <w:sz w:val="24"/>
          <w:szCs w:val="24"/>
          <w:color w:val="auto"/>
        </w:rPr>
      </w:pPr>
    </w:p>
    <w:p>
      <w:pPr>
        <w:ind w:right="540" w:firstLine="338"/>
        <w:spacing w:after="0" w:line="239" w:lineRule="auto"/>
        <w:rPr>
          <w:sz w:val="20"/>
          <w:szCs w:val="20"/>
          <w:color w:val="auto"/>
        </w:rPr>
      </w:pPr>
      <w:r>
        <w:rPr>
          <w:rFonts w:ascii="Arial" w:cs="Arial" w:eastAsia="Arial" w:hAnsi="Arial"/>
          <w:sz w:val="14"/>
          <w:szCs w:val="14"/>
          <w:color w:val="auto"/>
        </w:rPr>
        <w:t>Concurrently with this offering, Waste Management, Inc. and Waste Management Holdings, Inc. are conducting an offer to purchase for cash certain senior notes issued by them, respectively. See "Summary—Recent Developments—Cash Tender Offer."</w:t>
      </w:r>
    </w:p>
    <w:p>
      <w:pPr>
        <w:spacing w:after="0" w:line="193" w:lineRule="exact"/>
        <w:rPr>
          <w:sz w:val="24"/>
          <w:szCs w:val="24"/>
          <w:color w:val="auto"/>
        </w:rPr>
      </w:pPr>
    </w:p>
    <w:p>
      <w:pPr>
        <w:ind w:right="60" w:firstLine="338"/>
        <w:spacing w:after="0" w:line="288" w:lineRule="auto"/>
        <w:rPr>
          <w:sz w:val="20"/>
          <w:szCs w:val="20"/>
          <w:color w:val="auto"/>
        </w:rPr>
      </w:pPr>
      <w:r>
        <w:rPr>
          <w:rFonts w:ascii="Arial" w:cs="Arial" w:eastAsia="Arial" w:hAnsi="Arial"/>
          <w:sz w:val="12"/>
          <w:szCs w:val="12"/>
          <w:color w:val="auto"/>
        </w:rPr>
        <w:t>On April 14, 2019, we entered into an Agreement and Plan of Merger with Advanced Disposal Services, Inc. and Everglades Merger Sub Inc., our indirect wholly owned subsidiary. The merger agreement provides that, upon the terms and subject to the conditions set forth therein, Everglades Merger Sub Inc. will merge with and into Advanced Disposal Services, Inc., with Advanced Disposal Services, Inc. continuing as the surviving corporation and as our indirect wholly owned subsidiary. See "Summary—Recent Developments—Acquisition of Advanced Disposal."</w:t>
      </w:r>
    </w:p>
    <w:p>
      <w:pPr>
        <w:spacing w:after="0" w:line="165" w:lineRule="exact"/>
        <w:rPr>
          <w:sz w:val="24"/>
          <w:szCs w:val="24"/>
          <w:color w:val="auto"/>
        </w:rPr>
      </w:pPr>
    </w:p>
    <w:p>
      <w:pPr>
        <w:ind w:right="40" w:firstLine="335"/>
        <w:spacing w:after="0" w:line="230" w:lineRule="auto"/>
        <w:rPr>
          <w:sz w:val="20"/>
          <w:szCs w:val="20"/>
          <w:color w:val="auto"/>
        </w:rPr>
      </w:pPr>
      <w:r>
        <w:rPr>
          <w:rFonts w:ascii="Arial" w:cs="Arial" w:eastAsia="Arial" w:hAnsi="Arial"/>
          <w:sz w:val="14"/>
          <w:szCs w:val="14"/>
          <w:color w:val="auto"/>
        </w:rPr>
        <w:t>We intend to use the net proceeds from this offering to pay a portion of the consideration for the merger described above and related fees and expenses, to fund a concurrent offer to purchase for cash certain senior notes as described above and for general corporate purposes. Please read "Use of Proceeds." This offering is not contingent on the consummation of either the tender offer or the merger. However, under specified circumstances, if the merger is not consummated on or prior to July 14, 2020, we will be required to redeem all of the outstanding 2024 notes, 2026 notes, 2029 notes and 2039 notes as described under "Description of Notes—Special Mandatory Redemption."</w:t>
      </w:r>
    </w:p>
    <w:p>
      <w:pPr>
        <w:spacing w:after="0" w:line="190" w:lineRule="exact"/>
        <w:rPr>
          <w:sz w:val="24"/>
          <w:szCs w:val="24"/>
          <w:color w:val="auto"/>
        </w:rPr>
      </w:pPr>
    </w:p>
    <w:p>
      <w:pPr>
        <w:ind w:right="500" w:firstLine="338"/>
        <w:spacing w:after="0" w:line="275" w:lineRule="auto"/>
        <w:rPr>
          <w:sz w:val="20"/>
          <w:szCs w:val="20"/>
          <w:color w:val="auto"/>
        </w:rPr>
      </w:pPr>
      <w:r>
        <w:rPr>
          <w:rFonts w:ascii="Arial" w:cs="Arial" w:eastAsia="Arial" w:hAnsi="Arial"/>
          <w:sz w:val="18"/>
          <w:szCs w:val="18"/>
          <w:b w:val="1"/>
          <w:bCs w:val="1"/>
          <w:color w:val="auto"/>
        </w:rPr>
        <w:t>Investing in the notes involves risks.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S-9 of this prospectus supplement and page 6 of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119380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right="600" w:firstLine="338"/>
        <w:spacing w:after="0" w:line="241"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7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9"/>
              </w:rPr>
              <w:t>2024 Notes</w:t>
            </w:r>
          </w:p>
        </w:tc>
        <w:tc>
          <w:tcPr>
            <w:tcW w:w="80" w:type="dxa"/>
            <w:vAlign w:val="bottom"/>
          </w:tcPr>
          <w:p>
            <w:pPr>
              <w:spacing w:after="0"/>
              <w:rPr>
                <w:sz w:val="14"/>
                <w:szCs w:val="14"/>
                <w:color w:val="auto"/>
              </w:rPr>
            </w:pPr>
          </w:p>
        </w:tc>
        <w:tc>
          <w:tcPr>
            <w:tcW w:w="7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89"/>
              </w:rPr>
              <w:t>2026 Notes</w:t>
            </w:r>
          </w:p>
        </w:tc>
        <w:tc>
          <w:tcPr>
            <w:tcW w:w="80" w:type="dxa"/>
            <w:vAlign w:val="bottom"/>
          </w:tcPr>
          <w:p>
            <w:pPr>
              <w:spacing w:after="0"/>
              <w:rPr>
                <w:sz w:val="14"/>
                <w:szCs w:val="14"/>
                <w:color w:val="auto"/>
              </w:rPr>
            </w:pPr>
          </w:p>
        </w:tc>
        <w:tc>
          <w:tcPr>
            <w:tcW w:w="7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9"/>
              </w:rPr>
              <w:t>2029 Notes</w:t>
            </w:r>
          </w:p>
        </w:tc>
        <w:tc>
          <w:tcPr>
            <w:tcW w:w="80" w:type="dxa"/>
            <w:vAlign w:val="bottom"/>
          </w:tcPr>
          <w:p>
            <w:pPr>
              <w:spacing w:after="0"/>
              <w:rPr>
                <w:sz w:val="14"/>
                <w:szCs w:val="14"/>
                <w:color w:val="auto"/>
              </w:rPr>
            </w:pPr>
          </w:p>
        </w:tc>
        <w:tc>
          <w:tcPr>
            <w:tcW w:w="7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89"/>
              </w:rPr>
              <w:t>2039 Notes</w:t>
            </w:r>
          </w:p>
        </w:tc>
        <w:tc>
          <w:tcPr>
            <w:tcW w:w="80" w:type="dxa"/>
            <w:vAlign w:val="bottom"/>
          </w:tcPr>
          <w:p>
            <w:pPr>
              <w:spacing w:after="0"/>
              <w:rPr>
                <w:sz w:val="14"/>
                <w:szCs w:val="14"/>
                <w:color w:val="auto"/>
              </w:rPr>
            </w:pPr>
          </w:p>
        </w:tc>
        <w:tc>
          <w:tcPr>
            <w:tcW w:w="7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9"/>
              </w:rPr>
              <w:t>2049 Notes</w:t>
            </w:r>
          </w:p>
        </w:tc>
        <w:tc>
          <w:tcPr>
            <w:tcW w:w="0" w:type="dxa"/>
            <w:vAlign w:val="bottom"/>
          </w:tcPr>
          <w:p>
            <w:pPr>
              <w:spacing w:after="0"/>
              <w:rPr>
                <w:sz w:val="1"/>
                <w:szCs w:val="1"/>
                <w:color w:val="auto"/>
              </w:rPr>
            </w:pPr>
          </w:p>
        </w:tc>
      </w:tr>
      <w:tr>
        <w:trPr>
          <w:trHeight w:val="129"/>
        </w:trPr>
        <w:tc>
          <w:tcPr>
            <w:tcW w:w="3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0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Per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Per</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Per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Per</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Per</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0" w:type="dxa"/>
            <w:vAlign w:val="bottom"/>
          </w:tcPr>
          <w:p>
            <w:pPr>
              <w:spacing w:after="0"/>
              <w:rPr>
                <w:sz w:val="14"/>
                <w:szCs w:val="14"/>
                <w:color w:val="auto"/>
              </w:rPr>
            </w:pPr>
          </w:p>
        </w:tc>
        <w:tc>
          <w:tcPr>
            <w:tcW w:w="5700" w:type="dxa"/>
            <w:vAlign w:val="bottom"/>
            <w:gridSpan w:val="3"/>
            <w:vMerge w:val="restart"/>
          </w:tcPr>
          <w:p>
            <w:pPr>
              <w:ind w:left="1040"/>
              <w:spacing w:after="0"/>
              <w:rPr>
                <w:sz w:val="20"/>
                <w:szCs w:val="20"/>
                <w:color w:val="auto"/>
              </w:rPr>
            </w:pPr>
            <w:r>
              <w:rPr>
                <w:rFonts w:ascii="Arial" w:cs="Arial" w:eastAsia="Arial" w:hAnsi="Arial"/>
                <w:sz w:val="14"/>
                <w:szCs w:val="14"/>
                <w:color w:val="auto"/>
              </w:rPr>
              <w:t>Public Offering Price(1)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Note</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Note</w:t>
            </w:r>
          </w:p>
        </w:tc>
        <w:tc>
          <w:tcPr>
            <w:tcW w:w="8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Note</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Note</w:t>
            </w:r>
          </w:p>
        </w:tc>
        <w:tc>
          <w:tcPr>
            <w:tcW w:w="8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Note</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5700" w:type="dxa"/>
            <w:vAlign w:val="bottom"/>
            <w:gridSpan w:val="3"/>
            <w:vMerge w:val="continue"/>
          </w:tcPr>
          <w:p>
            <w:pPr>
              <w:spacing w:after="0"/>
              <w:rPr>
                <w:sz w:val="11"/>
                <w:szCs w:val="11"/>
                <w:color w:val="auto"/>
              </w:rPr>
            </w:pPr>
          </w:p>
        </w:tc>
        <w:tc>
          <w:tcPr>
            <w:tcW w:w="30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320" w:type="dxa"/>
            <w:vAlign w:val="bottom"/>
          </w:tcPr>
          <w:p>
            <w:pPr>
              <w:ind w:left="20"/>
              <w:spacing w:after="0" w:line="13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32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340" w:type="dxa"/>
            <w:vAlign w:val="bottom"/>
          </w:tcPr>
          <w:p>
            <w:pPr>
              <w:ind w:left="20"/>
              <w:spacing w:after="0" w:line="13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30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320" w:type="dxa"/>
            <w:vAlign w:val="bottom"/>
          </w:tcPr>
          <w:p>
            <w:pPr>
              <w:ind w:left="20"/>
              <w:spacing w:after="0" w:line="13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32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340" w:type="dxa"/>
            <w:vAlign w:val="bottom"/>
          </w:tcPr>
          <w:p>
            <w:pPr>
              <w:ind w:left="20"/>
              <w:spacing w:after="0" w:line="13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32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320" w:type="dxa"/>
            <w:vAlign w:val="bottom"/>
          </w:tcPr>
          <w:p>
            <w:pPr>
              <w:ind w:left="20"/>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700" w:type="dxa"/>
            <w:vAlign w:val="bottom"/>
            <w:gridSpan w:val="3"/>
          </w:tcPr>
          <w:p>
            <w:pPr>
              <w:ind w:left="1040"/>
              <w:spacing w:after="0" w:line="149" w:lineRule="exact"/>
              <w:rPr>
                <w:sz w:val="20"/>
                <w:szCs w:val="20"/>
                <w:color w:val="auto"/>
              </w:rPr>
            </w:pPr>
            <w:r>
              <w:rPr>
                <w:rFonts w:ascii="Arial" w:cs="Arial" w:eastAsia="Arial" w:hAnsi="Arial"/>
                <w:sz w:val="14"/>
                <w:szCs w:val="14"/>
                <w:color w:val="auto"/>
              </w:rPr>
              <w:t>Underwriting Discount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5700" w:type="dxa"/>
            <w:vAlign w:val="bottom"/>
            <w:gridSpan w:val="3"/>
          </w:tcPr>
          <w:p>
            <w:pPr>
              <w:ind w:left="1040"/>
              <w:spacing w:after="0"/>
              <w:rPr>
                <w:sz w:val="20"/>
                <w:szCs w:val="20"/>
                <w:color w:val="auto"/>
              </w:rPr>
            </w:pPr>
            <w:r>
              <w:rPr>
                <w:rFonts w:ascii="Arial" w:cs="Arial" w:eastAsia="Arial" w:hAnsi="Arial"/>
                <w:sz w:val="14"/>
                <w:szCs w:val="14"/>
                <w:color w:val="auto"/>
              </w:rPr>
              <w:t>Proceeds to Us (excluding expenses)</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36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1"/>
        </w:trPr>
        <w:tc>
          <w:tcPr>
            <w:tcW w:w="360" w:type="dxa"/>
            <w:vAlign w:val="bottom"/>
          </w:tcPr>
          <w:p>
            <w:pPr>
              <w:jc w:val="right"/>
              <w:ind w:right="132"/>
              <w:spacing w:after="0"/>
              <w:rPr>
                <w:sz w:val="20"/>
                <w:szCs w:val="20"/>
                <w:color w:val="auto"/>
              </w:rPr>
            </w:pPr>
            <w:r>
              <w:rPr>
                <w:rFonts w:ascii="Arial" w:cs="Arial" w:eastAsia="Arial" w:hAnsi="Arial"/>
                <w:sz w:val="14"/>
                <w:szCs w:val="14"/>
                <w:color w:val="auto"/>
                <w:w w:val="81"/>
              </w:rPr>
              <w:t>(1)</w:t>
            </w:r>
          </w:p>
        </w:tc>
        <w:tc>
          <w:tcPr>
            <w:tcW w:w="1880" w:type="dxa"/>
            <w:vAlign w:val="bottom"/>
          </w:tcPr>
          <w:p>
            <w:pPr>
              <w:ind w:left="180"/>
              <w:spacing w:after="0"/>
              <w:rPr>
                <w:sz w:val="20"/>
                <w:szCs w:val="20"/>
                <w:color w:val="auto"/>
              </w:rPr>
            </w:pPr>
            <w:r>
              <w:rPr>
                <w:rFonts w:ascii="Arial" w:cs="Arial" w:eastAsia="Arial" w:hAnsi="Arial"/>
                <w:sz w:val="14"/>
                <w:szCs w:val="14"/>
                <w:color w:val="auto"/>
              </w:rPr>
              <w:t>Plus accrued interest from</w:t>
            </w:r>
          </w:p>
        </w:tc>
        <w:tc>
          <w:tcPr>
            <w:tcW w:w="3820" w:type="dxa"/>
            <w:vAlign w:val="bottom"/>
            <w:gridSpan w:val="2"/>
          </w:tcPr>
          <w:p>
            <w:pPr>
              <w:ind w:left="260"/>
              <w:spacing w:after="0"/>
              <w:rPr>
                <w:sz w:val="20"/>
                <w:szCs w:val="20"/>
                <w:color w:val="auto"/>
              </w:rPr>
            </w:pPr>
            <w:r>
              <w:rPr>
                <w:rFonts w:ascii="Arial" w:cs="Arial" w:eastAsia="Arial" w:hAnsi="Arial"/>
                <w:sz w:val="14"/>
                <w:szCs w:val="14"/>
                <w:color w:val="auto"/>
              </w:rPr>
              <w:t>, 2019, if delivery occurs after that date.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notes will not be listed on any securities exchange. Currently, there is no public market for the notes.</w:t>
      </w:r>
    </w:p>
    <w:p>
      <w:pPr>
        <w:sectPr>
          <w:pgSz w:w="11900" w:h="16838" w:orient="portrait"/>
          <w:cols w:equalWidth="0" w:num="1">
            <w:col w:w="11420"/>
          </w:cols>
          <w:pgMar w:left="240" w:top="685"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4560" w:type="dxa"/>
            <w:vAlign w:val="bottom"/>
            <w:gridSpan w:val="4"/>
          </w:tcPr>
          <w:p>
            <w:pPr>
              <w:ind w:left="340"/>
              <w:spacing w:after="0"/>
              <w:rPr>
                <w:sz w:val="20"/>
                <w:szCs w:val="20"/>
                <w:color w:val="auto"/>
              </w:rPr>
            </w:pPr>
            <w:r>
              <w:rPr>
                <w:rFonts w:ascii="Arial" w:cs="Arial" w:eastAsia="Arial" w:hAnsi="Arial"/>
                <w:sz w:val="14"/>
                <w:szCs w:val="14"/>
                <w:color w:val="auto"/>
                <w:w w:val="99"/>
              </w:rPr>
              <w:t>The underwriters expect to deliver the notes to investors on or about</w:t>
            </w:r>
          </w:p>
        </w:tc>
        <w:tc>
          <w:tcPr>
            <w:tcW w:w="6860" w:type="dxa"/>
            <w:vAlign w:val="bottom"/>
            <w:gridSpan w:val="5"/>
          </w:tcPr>
          <w:p>
            <w:pPr>
              <w:ind w:left="20"/>
              <w:spacing w:after="0"/>
              <w:rPr>
                <w:sz w:val="20"/>
                <w:szCs w:val="20"/>
                <w:color w:val="auto"/>
              </w:rPr>
            </w:pPr>
            <w:r>
              <w:rPr>
                <w:rFonts w:ascii="Arial" w:cs="Arial" w:eastAsia="Arial" w:hAnsi="Arial"/>
                <w:sz w:val="14"/>
                <w:szCs w:val="14"/>
                <w:color w:val="auto"/>
                <w:w w:val="95"/>
              </w:rPr>
              <w:t>, 2019 only in book-entry form through the facilities of The Depository Trust Company and its participants, including</w:t>
            </w:r>
          </w:p>
        </w:tc>
      </w:tr>
      <w:tr>
        <w:trPr>
          <w:trHeight w:val="172"/>
        </w:trPr>
        <w:tc>
          <w:tcPr>
            <w:tcW w:w="6560" w:type="dxa"/>
            <w:vAlign w:val="bottom"/>
            <w:gridSpan w:val="5"/>
          </w:tcPr>
          <w:p>
            <w:pPr>
              <w:spacing w:after="0"/>
              <w:rPr>
                <w:sz w:val="20"/>
                <w:szCs w:val="20"/>
                <w:color w:val="auto"/>
              </w:rPr>
            </w:pPr>
            <w:r>
              <w:rPr>
                <w:rFonts w:ascii="Arial" w:cs="Arial" w:eastAsia="Arial" w:hAnsi="Arial"/>
                <w:sz w:val="14"/>
                <w:szCs w:val="14"/>
                <w:color w:val="auto"/>
              </w:rPr>
              <w:t>Clearstream Banking S.A. and Euroclear Bank SA/NV, as operator of the Euroclear System.</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203"/>
        </w:trPr>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628"/>
        </w:trPr>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jc w:val="center"/>
              <w:ind w:left="228"/>
              <w:spacing w:after="0"/>
              <w:rPr>
                <w:sz w:val="20"/>
                <w:szCs w:val="20"/>
                <w:color w:val="auto"/>
              </w:rPr>
            </w:pPr>
            <w:r>
              <w:rPr>
                <w:rFonts w:ascii="Arial" w:cs="Arial" w:eastAsia="Arial" w:hAnsi="Arial"/>
                <w:sz w:val="14"/>
                <w:szCs w:val="14"/>
                <w:i w:val="1"/>
                <w:iCs w:val="1"/>
                <w:color w:val="auto"/>
                <w:w w:val="88"/>
              </w:rPr>
              <w:t>Joint Book-Running Managers</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06"/>
        </w:trPr>
        <w:tc>
          <w:tcPr>
            <w:tcW w:w="820" w:type="dxa"/>
            <w:vAlign w:val="bottom"/>
          </w:tcPr>
          <w:p>
            <w:pPr>
              <w:spacing w:after="0"/>
              <w:rPr>
                <w:sz w:val="24"/>
                <w:szCs w:val="24"/>
                <w:color w:val="auto"/>
              </w:rPr>
            </w:pPr>
          </w:p>
        </w:tc>
        <w:tc>
          <w:tcPr>
            <w:tcW w:w="1640" w:type="dxa"/>
            <w:vAlign w:val="bottom"/>
          </w:tcPr>
          <w:p>
            <w:pPr>
              <w:ind w:left="320"/>
              <w:spacing w:after="0"/>
              <w:rPr>
                <w:sz w:val="20"/>
                <w:szCs w:val="20"/>
                <w:color w:val="auto"/>
              </w:rPr>
            </w:pPr>
            <w:r>
              <w:rPr>
                <w:rFonts w:ascii="Arial" w:cs="Arial" w:eastAsia="Arial" w:hAnsi="Arial"/>
                <w:sz w:val="18"/>
                <w:szCs w:val="18"/>
                <w:b w:val="1"/>
                <w:bCs w:val="1"/>
                <w:color w:val="auto"/>
              </w:rPr>
              <w:t>Credit Suisse</w:t>
            </w:r>
          </w:p>
        </w:tc>
        <w:tc>
          <w:tcPr>
            <w:tcW w:w="2100" w:type="dxa"/>
            <w:vAlign w:val="bottom"/>
            <w:gridSpan w:val="2"/>
          </w:tcPr>
          <w:p>
            <w:pPr>
              <w:ind w:left="180"/>
              <w:spacing w:after="0"/>
              <w:rPr>
                <w:sz w:val="20"/>
                <w:szCs w:val="20"/>
                <w:color w:val="auto"/>
              </w:rPr>
            </w:pPr>
            <w:r>
              <w:rPr>
                <w:rFonts w:ascii="Arial" w:cs="Arial" w:eastAsia="Arial" w:hAnsi="Arial"/>
                <w:sz w:val="18"/>
                <w:szCs w:val="18"/>
                <w:b w:val="1"/>
                <w:bCs w:val="1"/>
                <w:color w:val="auto"/>
                <w:w w:val="85"/>
              </w:rPr>
              <w:t>Deutsche Bank Securities</w:t>
            </w:r>
          </w:p>
        </w:tc>
        <w:tc>
          <w:tcPr>
            <w:tcW w:w="2920" w:type="dxa"/>
            <w:vAlign w:val="bottom"/>
            <w:gridSpan w:val="3"/>
          </w:tcPr>
          <w:p>
            <w:pPr>
              <w:ind w:left="480"/>
              <w:spacing w:after="0"/>
              <w:rPr>
                <w:sz w:val="20"/>
                <w:szCs w:val="20"/>
                <w:color w:val="auto"/>
              </w:rPr>
            </w:pPr>
            <w:r>
              <w:rPr>
                <w:rFonts w:ascii="Arial" w:cs="Arial" w:eastAsia="Arial" w:hAnsi="Arial"/>
                <w:sz w:val="18"/>
                <w:szCs w:val="18"/>
                <w:b w:val="1"/>
                <w:bCs w:val="1"/>
                <w:color w:val="auto"/>
              </w:rPr>
              <w:t>Goldman Sachs &amp; Co. LLC</w:t>
            </w:r>
          </w:p>
        </w:tc>
        <w:tc>
          <w:tcPr>
            <w:tcW w:w="1480" w:type="dxa"/>
            <w:vAlign w:val="bottom"/>
          </w:tcPr>
          <w:p>
            <w:pPr>
              <w:ind w:left="120"/>
              <w:spacing w:after="0"/>
              <w:rPr>
                <w:sz w:val="20"/>
                <w:szCs w:val="20"/>
                <w:color w:val="auto"/>
              </w:rPr>
            </w:pPr>
            <w:r>
              <w:rPr>
                <w:rFonts w:ascii="Arial" w:cs="Arial" w:eastAsia="Arial" w:hAnsi="Arial"/>
                <w:sz w:val="18"/>
                <w:szCs w:val="18"/>
                <w:b w:val="1"/>
                <w:bCs w:val="1"/>
                <w:color w:val="auto"/>
              </w:rPr>
              <w:t>J.P. Morgan</w:t>
            </w:r>
          </w:p>
        </w:tc>
        <w:tc>
          <w:tcPr>
            <w:tcW w:w="2460" w:type="dxa"/>
            <w:vAlign w:val="bottom"/>
          </w:tcPr>
          <w:p>
            <w:pPr>
              <w:ind w:left="80"/>
              <w:spacing w:after="0"/>
              <w:rPr>
                <w:sz w:val="20"/>
                <w:szCs w:val="20"/>
                <w:color w:val="auto"/>
              </w:rPr>
            </w:pPr>
            <w:r>
              <w:rPr>
                <w:rFonts w:ascii="Arial" w:cs="Arial" w:eastAsia="Arial" w:hAnsi="Arial"/>
                <w:sz w:val="18"/>
                <w:szCs w:val="18"/>
                <w:b w:val="1"/>
                <w:bCs w:val="1"/>
                <w:color w:val="auto"/>
              </w:rPr>
              <w:t>Mizuho Securities</w:t>
            </w:r>
          </w:p>
        </w:tc>
      </w:tr>
      <w:tr>
        <w:trPr>
          <w:trHeight w:val="174"/>
        </w:trPr>
        <w:tc>
          <w:tcPr>
            <w:tcW w:w="820" w:type="dxa"/>
            <w:vAlign w:val="bottom"/>
          </w:tcPr>
          <w:p>
            <w:pPr>
              <w:spacing w:after="0"/>
              <w:rPr>
                <w:sz w:val="20"/>
                <w:szCs w:val="20"/>
                <w:color w:val="auto"/>
              </w:rPr>
            </w:pPr>
            <w:r>
              <w:rPr>
                <w:rFonts w:ascii="Arial" w:cs="Arial" w:eastAsia="Arial" w:hAnsi="Arial"/>
                <w:sz w:val="14"/>
                <w:szCs w:val="14"/>
                <w:b w:val="1"/>
                <w:bCs w:val="1"/>
                <w:color w:val="auto"/>
              </w:rPr>
              <w:t>Barclays</w:t>
            </w:r>
          </w:p>
        </w:tc>
        <w:tc>
          <w:tcPr>
            <w:tcW w:w="1640" w:type="dxa"/>
            <w:vAlign w:val="bottom"/>
          </w:tcPr>
          <w:p>
            <w:pPr>
              <w:ind w:left="600"/>
              <w:spacing w:after="0"/>
              <w:rPr>
                <w:sz w:val="20"/>
                <w:szCs w:val="20"/>
                <w:color w:val="auto"/>
              </w:rPr>
            </w:pPr>
            <w:r>
              <w:rPr>
                <w:rFonts w:ascii="Arial" w:cs="Arial" w:eastAsia="Arial" w:hAnsi="Arial"/>
                <w:sz w:val="14"/>
                <w:szCs w:val="14"/>
                <w:b w:val="1"/>
                <w:bCs w:val="1"/>
                <w:color w:val="auto"/>
              </w:rPr>
              <w:t>BNP PARIBAS</w:t>
            </w:r>
          </w:p>
        </w:tc>
        <w:tc>
          <w:tcPr>
            <w:tcW w:w="2100" w:type="dxa"/>
            <w:vAlign w:val="bottom"/>
            <w:gridSpan w:val="2"/>
          </w:tcPr>
          <w:p>
            <w:pPr>
              <w:ind w:left="760"/>
              <w:spacing w:after="0"/>
              <w:rPr>
                <w:sz w:val="20"/>
                <w:szCs w:val="20"/>
                <w:color w:val="auto"/>
              </w:rPr>
            </w:pPr>
            <w:r>
              <w:rPr>
                <w:rFonts w:ascii="Arial" w:cs="Arial" w:eastAsia="Arial" w:hAnsi="Arial"/>
                <w:sz w:val="14"/>
                <w:szCs w:val="14"/>
                <w:b w:val="1"/>
                <w:bCs w:val="1"/>
                <w:color w:val="auto"/>
              </w:rPr>
              <w:t>BofA Merrill Lynch</w:t>
            </w:r>
          </w:p>
        </w:tc>
        <w:tc>
          <w:tcPr>
            <w:tcW w:w="2000" w:type="dxa"/>
            <w:vAlign w:val="bottom"/>
          </w:tcPr>
          <w:p>
            <w:pPr>
              <w:ind w:left="680"/>
              <w:spacing w:after="0"/>
              <w:rPr>
                <w:sz w:val="20"/>
                <w:szCs w:val="20"/>
                <w:color w:val="auto"/>
              </w:rPr>
            </w:pPr>
            <w:r>
              <w:rPr>
                <w:rFonts w:ascii="Arial" w:cs="Arial" w:eastAsia="Arial" w:hAnsi="Arial"/>
                <w:sz w:val="14"/>
                <w:szCs w:val="14"/>
                <w:b w:val="1"/>
                <w:bCs w:val="1"/>
                <w:color w:val="auto"/>
              </w:rPr>
              <w:t>Citigroup</w:t>
            </w: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SMBC Nikko</w:t>
            </w:r>
          </w:p>
        </w:tc>
        <w:tc>
          <w:tcPr>
            <w:tcW w:w="1480" w:type="dxa"/>
            <w:vAlign w:val="bottom"/>
          </w:tcPr>
          <w:p>
            <w:pPr>
              <w:ind w:left="700"/>
              <w:spacing w:after="0"/>
              <w:rPr>
                <w:sz w:val="20"/>
                <w:szCs w:val="20"/>
                <w:color w:val="auto"/>
              </w:rPr>
            </w:pPr>
            <w:r>
              <w:rPr>
                <w:rFonts w:ascii="Arial" w:cs="Arial" w:eastAsia="Arial" w:hAnsi="Arial"/>
                <w:sz w:val="14"/>
                <w:szCs w:val="14"/>
                <w:b w:val="1"/>
                <w:bCs w:val="1"/>
                <w:color w:val="auto"/>
                <w:w w:val="94"/>
              </w:rPr>
              <w:t>US Bancorp</w:t>
            </w:r>
          </w:p>
        </w:tc>
        <w:tc>
          <w:tcPr>
            <w:tcW w:w="2460" w:type="dxa"/>
            <w:vAlign w:val="bottom"/>
          </w:tcPr>
          <w:p>
            <w:pPr>
              <w:ind w:left="860"/>
              <w:spacing w:after="0"/>
              <w:rPr>
                <w:sz w:val="20"/>
                <w:szCs w:val="20"/>
                <w:color w:val="auto"/>
              </w:rPr>
            </w:pPr>
            <w:r>
              <w:rPr>
                <w:rFonts w:ascii="Arial" w:cs="Arial" w:eastAsia="Arial" w:hAnsi="Arial"/>
                <w:sz w:val="14"/>
                <w:szCs w:val="14"/>
                <w:b w:val="1"/>
                <w:bCs w:val="1"/>
                <w:color w:val="auto"/>
              </w:rPr>
              <w:t>Wells Fargo Securities</w:t>
            </w:r>
          </w:p>
        </w:tc>
      </w:tr>
      <w:tr>
        <w:trPr>
          <w:trHeight w:val="635"/>
        </w:trPr>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jc w:val="center"/>
              <w:ind w:left="248"/>
              <w:spacing w:after="0"/>
              <w:rPr>
                <w:sz w:val="20"/>
                <w:szCs w:val="20"/>
                <w:color w:val="auto"/>
              </w:rPr>
            </w:pPr>
            <w:r>
              <w:rPr>
                <w:rFonts w:ascii="Arial" w:cs="Arial" w:eastAsia="Arial" w:hAnsi="Arial"/>
                <w:sz w:val="14"/>
                <w:szCs w:val="14"/>
                <w:color w:val="auto"/>
                <w:w w:val="98"/>
              </w:rPr>
              <w:t>May   , 2019</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3"/>
        </w:trPr>
        <w:tc>
          <w:tcPr>
            <w:tcW w:w="82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18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0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24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Neither we nor the underwriters have authorized anyone to provide you with any information other than the information contained in, or incorporated by reference into, this prospectus supplement, the accompanying base prospectus and any free writing prospectus prepared by or on behalf of us. We and the underwriters take no responsibility for, and can provide no assurance as to the reliability of, any other information that others may give you. We are not, and the underwriters are not, making an offer of these securities in any jurisdiction where the offer is not permitted. You should not assume that the information contained in this prospectus supplement, the accompanying prospectus and any related free writing prospectus is accurate as of any date other than the date on the front cover of this prospectus supplement, or that the information we previously filed with the Securities and Exchange Commission, or SEC, and incorporated by reference in this prospectus supplement, the accompanying prospectus and any related free writing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114935</wp:posOffset>
            </wp:positionV>
            <wp:extent cx="1895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180" w:type="dxa"/>
            <w:vAlign w:val="bottom"/>
            <w:gridSpan w:val="4"/>
          </w:tcPr>
          <w:p>
            <w:pPr>
              <w:jc w:val="center"/>
              <w:ind w:right="2740"/>
              <w:spacing w:after="0"/>
              <w:rPr>
                <w:sz w:val="20"/>
                <w:szCs w:val="20"/>
                <w:color w:val="auto"/>
              </w:rPr>
            </w:pPr>
            <w:r>
              <w:rPr>
                <w:rFonts w:ascii="Arial" w:cs="Arial" w:eastAsia="Arial" w:hAnsi="Arial"/>
                <w:sz w:val="18"/>
                <w:szCs w:val="18"/>
                <w:b w:val="1"/>
                <w:bCs w:val="1"/>
                <w:color w:val="auto"/>
                <w:w w:val="96"/>
              </w:rPr>
              <w:t>TABLE OF CONTENTS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80" w:type="dxa"/>
            <w:vAlign w:val="bottom"/>
            <w:gridSpan w:val="4"/>
          </w:tcPr>
          <w:p>
            <w:pPr>
              <w:jc w:val="center"/>
              <w:ind w:right="2740"/>
              <w:spacing w:after="0"/>
              <w:rPr>
                <w:sz w:val="20"/>
                <w:szCs w:val="20"/>
                <w:color w:val="auto"/>
              </w:rPr>
            </w:pPr>
            <w:r>
              <w:rPr>
                <w:rFonts w:ascii="Arial" w:cs="Arial" w:eastAsia="Arial" w:hAnsi="Arial"/>
                <w:sz w:val="18"/>
                <w:szCs w:val="18"/>
                <w:b w:val="1"/>
                <w:bCs w:val="1"/>
                <w:color w:val="auto"/>
                <w:w w:val="85"/>
              </w:rPr>
              <w:t>Prospectus Supplement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520" w:type="dxa"/>
            <w:vAlign w:val="bottom"/>
            <w:gridSpan w:val="20"/>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SUMMARY</w:t>
              </w:r>
            </w:hyperlink>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8520" w:type="dxa"/>
            <w:vAlign w:val="bottom"/>
            <w:gridSpan w:val="20"/>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gridSpan w:val="2"/>
          </w:tcPr>
          <w:p>
            <w:pPr>
              <w:jc w:val="right"/>
              <w:spacing w:after="0"/>
              <w:rPr>
                <w:rFonts w:ascii="Arial" w:cs="Arial" w:eastAsia="Arial" w:hAnsi="Arial"/>
                <w:sz w:val="14"/>
                <w:szCs w:val="14"/>
                <w:color w:val="0000EE"/>
                <w:w w:val="73"/>
              </w:rPr>
            </w:pPr>
            <w:hyperlink w:anchor="page4">
              <w:r>
                <w:rPr>
                  <w:rFonts w:ascii="Arial" w:cs="Arial" w:eastAsia="Arial" w:hAnsi="Arial"/>
                  <w:sz w:val="14"/>
                  <w:szCs w:val="14"/>
                  <w:color w:val="0000EE"/>
                  <w:w w:val="73"/>
                </w:rPr>
                <w:t>S-1</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gridSpan w:val="2"/>
          </w:tcPr>
          <w:p>
            <w:pPr>
              <w:jc w:val="right"/>
              <w:spacing w:after="0"/>
              <w:rPr>
                <w:rFonts w:ascii="Arial" w:cs="Arial" w:eastAsia="Arial" w:hAnsi="Arial"/>
                <w:sz w:val="14"/>
                <w:szCs w:val="14"/>
                <w:color w:val="0000EE"/>
                <w:w w:val="73"/>
              </w:rPr>
            </w:pPr>
            <w:hyperlink w:anchor="page12">
              <w:r>
                <w:rPr>
                  <w:rFonts w:ascii="Arial" w:cs="Arial" w:eastAsia="Arial" w:hAnsi="Arial"/>
                  <w:sz w:val="14"/>
                  <w:szCs w:val="14"/>
                  <w:color w:val="0000EE"/>
                  <w:w w:val="73"/>
                </w:rPr>
                <w:t>S-9</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USE OF PROCEEDS</w:t>
              </w:r>
            </w:hyperlink>
          </w:p>
        </w:tc>
        <w:tc>
          <w:tcPr>
            <w:tcW w:w="6960" w:type="dxa"/>
            <w:vAlign w:val="bottom"/>
            <w:gridSpan w:val="12"/>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18">
              <w:r>
                <w:rPr>
                  <w:rFonts w:ascii="Arial" w:cs="Arial" w:eastAsia="Arial" w:hAnsi="Arial"/>
                  <w:sz w:val="18"/>
                  <w:szCs w:val="18"/>
                  <w:color w:val="0000EE"/>
                  <w:w w:val="84"/>
                </w:rPr>
                <w:t>S-15</w:t>
              </w:r>
            </w:hyperlink>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CAPITALIZATION</w:t>
              </w:r>
            </w:hyperlink>
          </w:p>
        </w:tc>
        <w:tc>
          <w:tcPr>
            <w:tcW w:w="7080" w:type="dxa"/>
            <w:vAlign w:val="bottom"/>
            <w:gridSpan w:val="13"/>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19">
              <w:r>
                <w:rPr>
                  <w:rFonts w:ascii="Arial" w:cs="Arial" w:eastAsia="Arial" w:hAnsi="Arial"/>
                  <w:sz w:val="18"/>
                  <w:szCs w:val="18"/>
                  <w:color w:val="0000EE"/>
                  <w:w w:val="84"/>
                </w:rPr>
                <w:t>S-16</w:t>
              </w:r>
            </w:hyperlink>
          </w:p>
        </w:tc>
        <w:tc>
          <w:tcPr>
            <w:tcW w:w="0" w:type="dxa"/>
            <w:vAlign w:val="bottom"/>
          </w:tcPr>
          <w:p>
            <w:pPr>
              <w:spacing w:after="0"/>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DESCRIPTION OF NOTES</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21">
              <w:r>
                <w:rPr>
                  <w:rFonts w:ascii="Arial" w:cs="Arial" w:eastAsia="Arial" w:hAnsi="Arial"/>
                  <w:sz w:val="18"/>
                  <w:szCs w:val="18"/>
                  <w:color w:val="0000EE"/>
                  <w:w w:val="84"/>
                </w:rPr>
                <w:t>S-18</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CERTAIN U.S. FEDERAL TAX CONSIDERATIONS FOR NON-U.S. HOLDERS</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35">
              <w:r>
                <w:rPr>
                  <w:rFonts w:ascii="Arial" w:cs="Arial" w:eastAsia="Arial" w:hAnsi="Arial"/>
                  <w:sz w:val="18"/>
                  <w:szCs w:val="18"/>
                  <w:color w:val="0000EE"/>
                  <w:w w:val="84"/>
                </w:rPr>
                <w:t>S-32</w:t>
              </w:r>
            </w:hyperlink>
          </w:p>
        </w:tc>
        <w:tc>
          <w:tcPr>
            <w:tcW w:w="0" w:type="dxa"/>
            <w:vAlign w:val="bottom"/>
          </w:tcPr>
          <w:p>
            <w:pPr>
              <w:spacing w:after="0"/>
              <w:rPr>
                <w:sz w:val="1"/>
                <w:szCs w:val="1"/>
                <w:color w:val="auto"/>
              </w:rPr>
            </w:pPr>
          </w:p>
        </w:tc>
      </w:tr>
      <w:tr>
        <w:trPr>
          <w:trHeight w:val="196"/>
        </w:trPr>
        <w:tc>
          <w:tcPr>
            <w:tcW w:w="59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UNDERWRITING</w:t>
              </w:r>
            </w:hyperlink>
          </w:p>
        </w:tc>
        <w:tc>
          <w:tcPr>
            <w:tcW w:w="2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84"/>
              </w:rPr>
            </w:pPr>
            <w:hyperlink w:anchor="page40">
              <w:r>
                <w:rPr>
                  <w:rFonts w:ascii="Arial" w:cs="Arial" w:eastAsia="Arial" w:hAnsi="Arial"/>
                  <w:sz w:val="18"/>
                  <w:szCs w:val="18"/>
                  <w:color w:val="0000EE"/>
                  <w:w w:val="84"/>
                </w:rPr>
                <w:t>S-37</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LEGAL MATTERS</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46">
              <w:r>
                <w:rPr>
                  <w:rFonts w:ascii="Arial" w:cs="Arial" w:eastAsia="Arial" w:hAnsi="Arial"/>
                  <w:sz w:val="18"/>
                  <w:szCs w:val="18"/>
                  <w:color w:val="0000EE"/>
                  <w:w w:val="84"/>
                </w:rPr>
                <w:t>S-43</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7100" w:type="dxa"/>
            <w:vAlign w:val="bottom"/>
            <w:gridSpan w:val="14"/>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4"/>
              </w:rPr>
            </w:pPr>
            <w:hyperlink w:anchor="page46">
              <w:r>
                <w:rPr>
                  <w:rFonts w:ascii="Arial" w:cs="Arial" w:eastAsia="Arial" w:hAnsi="Arial"/>
                  <w:sz w:val="18"/>
                  <w:szCs w:val="18"/>
                  <w:color w:val="0000EE"/>
                  <w:w w:val="84"/>
                </w:rPr>
                <w:t>S-43</w:t>
              </w:r>
            </w:hyperlink>
          </w:p>
        </w:tc>
        <w:tc>
          <w:tcPr>
            <w:tcW w:w="0" w:type="dxa"/>
            <w:vAlign w:val="bottom"/>
          </w:tcPr>
          <w:p>
            <w:pPr>
              <w:spacing w:after="0"/>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INCORPORATION OF CERTAIN DOCUMENTS BY REFERENCE</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47">
              <w:r>
                <w:rPr>
                  <w:rFonts w:ascii="Arial" w:cs="Arial" w:eastAsia="Arial" w:hAnsi="Arial"/>
                  <w:sz w:val="18"/>
                  <w:szCs w:val="18"/>
                  <w:color w:val="0000EE"/>
                  <w:w w:val="84"/>
                </w:rPr>
                <w:t>S-44</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gridSpan w:val="3"/>
          </w:tcPr>
          <w:p>
            <w:pPr>
              <w:jc w:val="center"/>
              <w:ind w:right="3160"/>
              <w:spacing w:after="0"/>
              <w:rPr>
                <w:sz w:val="20"/>
                <w:szCs w:val="20"/>
                <w:color w:val="auto"/>
              </w:rPr>
            </w:pPr>
            <w:r>
              <w:rPr>
                <w:rFonts w:ascii="Arial" w:cs="Arial" w:eastAsia="Arial" w:hAnsi="Arial"/>
                <w:sz w:val="18"/>
                <w:szCs w:val="18"/>
                <w:b w:val="1"/>
                <w:bCs w:val="1"/>
                <w:color w:val="auto"/>
                <w:w w:val="83"/>
              </w:rPr>
              <w:t>Prospectus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520" w:type="dxa"/>
            <w:vAlign w:val="bottom"/>
            <w:gridSpan w:val="20"/>
            <w:vMerge w:val="restart"/>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FORWARD-LOOKING STATEMENTS</w:t>
              </w:r>
            </w:hyperlink>
          </w:p>
        </w:tc>
        <w:tc>
          <w:tcPr>
            <w:tcW w:w="40" w:type="dxa"/>
            <w:vAlign w:val="bottom"/>
          </w:tcPr>
          <w:p>
            <w:pPr>
              <w:spacing w:after="0"/>
              <w:rPr>
                <w:sz w:val="24"/>
                <w:szCs w:val="24"/>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8520" w:type="dxa"/>
            <w:vAlign w:val="bottom"/>
            <w:gridSpan w:val="20"/>
            <w:vMerge w:val="continue"/>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gridSpan w:val="4"/>
          </w:tcPr>
          <w:p>
            <w:pPr>
              <w:jc w:val="right"/>
              <w:spacing w:after="0" w:line="170" w:lineRule="exact"/>
              <w:rPr>
                <w:rFonts w:ascii="Arial" w:cs="Arial" w:eastAsia="Arial" w:hAnsi="Arial"/>
                <w:sz w:val="18"/>
                <w:szCs w:val="18"/>
                <w:color w:val="0000EE"/>
              </w:rPr>
            </w:pPr>
            <w:hyperlink w:anchor="page50">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ABOUT THIS PROSPECTUS</w:t>
              </w:r>
            </w:hyperlink>
          </w:p>
        </w:tc>
        <w:tc>
          <w:tcPr>
            <w:tcW w:w="5660" w:type="dxa"/>
            <w:vAlign w:val="bottom"/>
            <w:gridSpan w:val="6"/>
          </w:tcPr>
          <w:p>
            <w:pPr>
              <w:spacing w:after="0"/>
              <w:rPr>
                <w:sz w:val="17"/>
                <w:szCs w:val="17"/>
                <w:color w:val="auto"/>
              </w:rPr>
            </w:pPr>
          </w:p>
        </w:tc>
        <w:tc>
          <w:tcPr>
            <w:tcW w:w="360" w:type="dxa"/>
            <w:vAlign w:val="bottom"/>
            <w:gridSpan w:val="4"/>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20"/>
        </w:trPr>
        <w:tc>
          <w:tcPr>
            <w:tcW w:w="1260" w:type="dxa"/>
            <w:vAlign w:val="bottom"/>
            <w:gridSpan w:val="4"/>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INCORPORATION OF CERTAIN DOCUMENTS BY REFERENCE</w:t>
              </w:r>
            </w:hyperlink>
          </w:p>
        </w:tc>
        <w:tc>
          <w:tcPr>
            <w:tcW w:w="460" w:type="dxa"/>
            <w:vAlign w:val="bottom"/>
            <w:gridSpan w:val="5"/>
          </w:tcPr>
          <w:p>
            <w:pPr>
              <w:jc w:val="right"/>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196"/>
        </w:trPr>
        <w:tc>
          <w:tcPr>
            <w:tcW w:w="37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5"/>
              </w:rPr>
            </w:pPr>
            <w:hyperlink w:anchor="page55">
              <w:r>
                <w:rPr>
                  <w:rFonts w:ascii="Arial" w:cs="Arial" w:eastAsia="Arial" w:hAnsi="Arial"/>
                  <w:sz w:val="18"/>
                  <w:szCs w:val="18"/>
                  <w:color w:val="0000EE"/>
                  <w:w w:val="95"/>
                </w:rPr>
                <w:t>WHERE YOU CAN FIND MORE INFORMATION</w:t>
              </w:r>
            </w:hyperlink>
          </w:p>
        </w:tc>
        <w:tc>
          <w:tcPr>
            <w:tcW w:w="1200" w:type="dxa"/>
            <w:vAlign w:val="bottom"/>
            <w:tcBorders>
              <w:top w:val="single" w:sz="8" w:color="0000EE"/>
            </w:tcBorders>
          </w:tcPr>
          <w:p>
            <w:pPr>
              <w:spacing w:after="0"/>
              <w:rPr>
                <w:sz w:val="17"/>
                <w:szCs w:val="17"/>
                <w:color w:val="auto"/>
              </w:rPr>
            </w:pPr>
          </w:p>
        </w:tc>
        <w:tc>
          <w:tcPr>
            <w:tcW w:w="3580" w:type="dxa"/>
            <w:vAlign w:val="bottom"/>
            <w:gridSpan w:val="2"/>
          </w:tcPr>
          <w:p>
            <w:pPr>
              <w:spacing w:after="0"/>
              <w:rPr>
                <w:sz w:val="17"/>
                <w:szCs w:val="17"/>
                <w:color w:val="auto"/>
              </w:rPr>
            </w:pPr>
          </w:p>
        </w:tc>
        <w:tc>
          <w:tcPr>
            <w:tcW w:w="360" w:type="dxa"/>
            <w:vAlign w:val="bottom"/>
            <w:gridSpan w:val="4"/>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THE COMPANY</w:t>
              </w:r>
            </w:hyperlink>
          </w:p>
        </w:tc>
        <w:tc>
          <w:tcPr>
            <w:tcW w:w="7260" w:type="dxa"/>
            <w:vAlign w:val="bottom"/>
            <w:gridSpan w:val="16"/>
          </w:tcPr>
          <w:p>
            <w:pPr>
              <w:spacing w:after="0"/>
              <w:rPr>
                <w:sz w:val="17"/>
                <w:szCs w:val="17"/>
                <w:color w:val="auto"/>
              </w:rPr>
            </w:pPr>
          </w:p>
        </w:tc>
        <w:tc>
          <w:tcPr>
            <w:tcW w:w="36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RISK FACTORS</w:t>
              </w:r>
            </w:hyperlink>
          </w:p>
        </w:tc>
        <w:tc>
          <w:tcPr>
            <w:tcW w:w="460" w:type="dxa"/>
            <w:vAlign w:val="bottom"/>
            <w:gridSpan w:val="5"/>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220" w:type="dxa"/>
            <w:vAlign w:val="bottom"/>
            <w:gridSpan w:val="3"/>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USE OF PROCEEDS</w:t>
              </w:r>
            </w:hyperlink>
          </w:p>
        </w:tc>
        <w:tc>
          <w:tcPr>
            <w:tcW w:w="6960" w:type="dxa"/>
            <w:vAlign w:val="bottom"/>
            <w:gridSpan w:val="12"/>
          </w:tcPr>
          <w:p>
            <w:pPr>
              <w:spacing w:after="0"/>
              <w:rPr>
                <w:sz w:val="17"/>
                <w:szCs w:val="17"/>
                <w:color w:val="auto"/>
              </w:rPr>
            </w:pPr>
          </w:p>
        </w:tc>
        <w:tc>
          <w:tcPr>
            <w:tcW w:w="36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DESCRIPTION OF THE DEBT SECURITIES</w:t>
              </w:r>
            </w:hyperlink>
          </w:p>
        </w:tc>
        <w:tc>
          <w:tcPr>
            <w:tcW w:w="460" w:type="dxa"/>
            <w:vAlign w:val="bottom"/>
            <w:gridSpan w:val="5"/>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2000" w:type="dxa"/>
            <w:vAlign w:val="bottom"/>
            <w:gridSpan w:val="9"/>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DESCRIPTION OF GUARANTEES</w:t>
              </w:r>
            </w:hyperlink>
          </w:p>
        </w:tc>
        <w:tc>
          <w:tcPr>
            <w:tcW w:w="700" w:type="dxa"/>
            <w:vAlign w:val="bottom"/>
            <w:gridSpan w:val="4"/>
          </w:tcPr>
          <w:p>
            <w:pPr>
              <w:spacing w:after="0"/>
              <w:rPr>
                <w:sz w:val="17"/>
                <w:szCs w:val="17"/>
                <w:color w:val="auto"/>
              </w:rPr>
            </w:pPr>
          </w:p>
        </w:tc>
        <w:tc>
          <w:tcPr>
            <w:tcW w:w="5180" w:type="dxa"/>
            <w:vAlign w:val="bottom"/>
            <w:gridSpan w:val="4"/>
          </w:tcPr>
          <w:p>
            <w:pPr>
              <w:spacing w:after="0"/>
              <w:rPr>
                <w:sz w:val="17"/>
                <w:szCs w:val="17"/>
                <w:color w:val="auto"/>
              </w:rPr>
            </w:pPr>
          </w:p>
        </w:tc>
        <w:tc>
          <w:tcPr>
            <w:tcW w:w="28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15</w:t>
              </w:r>
            </w:hyperlink>
          </w:p>
        </w:tc>
        <w:tc>
          <w:tcPr>
            <w:tcW w:w="0" w:type="dxa"/>
            <w:vAlign w:val="bottom"/>
          </w:tcPr>
          <w:p>
            <w:pPr>
              <w:spacing w:after="0"/>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DESCRIPTION OF CAPITAL STOCK</w:t>
              </w:r>
            </w:hyperlink>
          </w:p>
        </w:tc>
        <w:tc>
          <w:tcPr>
            <w:tcW w:w="460" w:type="dxa"/>
            <w:vAlign w:val="bottom"/>
            <w:gridSpan w:val="5"/>
          </w:tcPr>
          <w:p>
            <w:pPr>
              <w:jc w:val="right"/>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2000" w:type="dxa"/>
            <w:vAlign w:val="bottom"/>
            <w:gridSpan w:val="9"/>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DESCRIPTION OF OTHER SECURITIES</w:t>
              </w:r>
            </w:hyperlink>
          </w:p>
        </w:tc>
        <w:tc>
          <w:tcPr>
            <w:tcW w:w="460" w:type="dxa"/>
            <w:vAlign w:val="bottom"/>
            <w:gridSpan w:val="5"/>
          </w:tcPr>
          <w:p>
            <w:pPr>
              <w:jc w:val="right"/>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196"/>
        </w:trPr>
        <w:tc>
          <w:tcPr>
            <w:tcW w:w="30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PLAN OF DISTRIBUTION</w:t>
              </w:r>
            </w:hyperlink>
          </w:p>
        </w:tc>
        <w:tc>
          <w:tcPr>
            <w:tcW w:w="5440" w:type="dxa"/>
            <w:vAlign w:val="bottom"/>
            <w:gridSpan w:val="5"/>
          </w:tcPr>
          <w:p>
            <w:pPr>
              <w:spacing w:after="0"/>
              <w:rPr>
                <w:sz w:val="17"/>
                <w:szCs w:val="17"/>
                <w:color w:val="auto"/>
              </w:rPr>
            </w:pPr>
          </w:p>
        </w:tc>
        <w:tc>
          <w:tcPr>
            <w:tcW w:w="28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20"/>
        </w:trPr>
        <w:tc>
          <w:tcPr>
            <w:tcW w:w="2000" w:type="dxa"/>
            <w:vAlign w:val="bottom"/>
            <w:gridSpan w:val="9"/>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60" w:type="dxa"/>
            <w:vAlign w:val="bottom"/>
            <w:gridSpan w:val="9"/>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69">
              <w:r>
                <w:rPr>
                  <w:rFonts w:ascii="Arial" w:cs="Arial" w:eastAsia="Arial" w:hAnsi="Arial"/>
                  <w:sz w:val="18"/>
                  <w:szCs w:val="18"/>
                  <w:color w:val="0000EE"/>
                  <w:w w:val="94"/>
                </w:rPr>
                <w:t>SELLING SECURITYHOLDERS</w:t>
              </w:r>
            </w:hyperlink>
          </w:p>
        </w:tc>
        <w:tc>
          <w:tcPr>
            <w:tcW w:w="6060" w:type="dxa"/>
            <w:vAlign w:val="bottom"/>
            <w:gridSpan w:val="9"/>
          </w:tcPr>
          <w:p>
            <w:pPr>
              <w:spacing w:after="0"/>
              <w:rPr>
                <w:sz w:val="17"/>
                <w:szCs w:val="17"/>
                <w:color w:val="auto"/>
              </w:rPr>
            </w:pPr>
          </w:p>
        </w:tc>
        <w:tc>
          <w:tcPr>
            <w:tcW w:w="28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20</w:t>
              </w:r>
            </w:hyperlink>
          </w:p>
        </w:tc>
        <w:tc>
          <w:tcPr>
            <w:tcW w:w="0" w:type="dxa"/>
            <w:vAlign w:val="bottom"/>
          </w:tcPr>
          <w:p>
            <w:pPr>
              <w:spacing w:after="0"/>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LEGAL MATTERS</w:t>
              </w:r>
            </w:hyperlink>
          </w:p>
        </w:tc>
        <w:tc>
          <w:tcPr>
            <w:tcW w:w="460" w:type="dxa"/>
            <w:vAlign w:val="bottom"/>
            <w:gridSpan w:val="5"/>
          </w:tcPr>
          <w:p>
            <w:pPr>
              <w:jc w:val="right"/>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7100" w:type="dxa"/>
            <w:vAlign w:val="bottom"/>
            <w:gridSpan w:val="14"/>
          </w:tcPr>
          <w:p>
            <w:pPr>
              <w:spacing w:after="0"/>
              <w:rPr>
                <w:sz w:val="17"/>
                <w:szCs w:val="17"/>
                <w:color w:val="auto"/>
              </w:rPr>
            </w:pPr>
          </w:p>
        </w:tc>
        <w:tc>
          <w:tcPr>
            <w:tcW w:w="280" w:type="dxa"/>
            <w:vAlign w:val="bottom"/>
            <w:gridSpan w:val="3"/>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20</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164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716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firstLine="351"/>
        <w:spacing w:after="0" w:line="294" w:lineRule="auto"/>
        <w:rPr>
          <w:sz w:val="20"/>
          <w:szCs w:val="20"/>
          <w:color w:val="auto"/>
        </w:rPr>
      </w:pPr>
      <w:r>
        <w:rPr>
          <w:rFonts w:ascii="Arial" w:cs="Arial" w:eastAsia="Arial" w:hAnsi="Arial"/>
          <w:sz w:val="16"/>
          <w:szCs w:val="16"/>
          <w:i w:val="1"/>
          <w:iCs w:val="1"/>
          <w:color w:val="auto"/>
        </w:rPr>
        <w:t>This summary highlights selected information from this prospectus supplement, the accompanying prospectus and any free writing prospectus prepared by us or on behalf of us, but does not contain all information that may be important to you. This prospectus supplement, the accompanying prospectus and any related free writing prospectus include specific terms of the offering of the notes, information about our business and financial data. We encourage you to read this prospectus supplement, the accompanying prospectus and any related free writing prospectus, together with the documents incorporated by reference, in their entirety before making an investment decision.</w:t>
      </w:r>
    </w:p>
    <w:p>
      <w:pPr>
        <w:spacing w:after="0" w:line="170" w:lineRule="exact"/>
        <w:rPr>
          <w:sz w:val="20"/>
          <w:szCs w:val="20"/>
          <w:color w:val="auto"/>
        </w:rPr>
      </w:pPr>
    </w:p>
    <w:p>
      <w:pPr>
        <w:ind w:left="240" w:right="380" w:firstLine="351"/>
        <w:spacing w:after="0" w:line="332" w:lineRule="auto"/>
        <w:rPr>
          <w:sz w:val="20"/>
          <w:szCs w:val="20"/>
          <w:color w:val="auto"/>
        </w:rPr>
      </w:pPr>
      <w:r>
        <w:rPr>
          <w:rFonts w:ascii="Arial" w:cs="Arial" w:eastAsia="Arial" w:hAnsi="Arial"/>
          <w:sz w:val="16"/>
          <w:szCs w:val="16"/>
          <w:i w:val="1"/>
          <w:iCs w:val="1"/>
          <w:color w:val="auto"/>
        </w:rPr>
        <w:t>As used in this prospectus supplement, the terms "Waste Management," "we," "us" or "our" refer to Waste Management, Inc. and its consolidated subsidiaries and consolidated variable interest entities, taken as a whole, unless the context clearly indicates otherwise.</w:t>
      </w:r>
    </w:p>
    <w:p>
      <w:pPr>
        <w:spacing w:after="0" w:line="34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Waste Management, Inc.</w:t>
      </w:r>
    </w:p>
    <w:p>
      <w:pPr>
        <w:spacing w:after="0" w:line="231" w:lineRule="exact"/>
        <w:rPr>
          <w:sz w:val="20"/>
          <w:szCs w:val="20"/>
          <w:color w:val="auto"/>
        </w:rPr>
      </w:pPr>
    </w:p>
    <w:p>
      <w:pPr>
        <w:ind w:left="240" w:right="120" w:firstLine="348"/>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w:t>
      </w:r>
    </w:p>
    <w:p>
      <w:pPr>
        <w:spacing w:after="0" w:line="170" w:lineRule="exact"/>
        <w:rPr>
          <w:sz w:val="20"/>
          <w:szCs w:val="20"/>
          <w:color w:val="auto"/>
        </w:rPr>
      </w:pPr>
    </w:p>
    <w:p>
      <w:pPr>
        <w:ind w:left="240" w:right="160" w:firstLine="351"/>
        <w:spacing w:after="0" w:line="255" w:lineRule="auto"/>
        <w:rPr>
          <w:sz w:val="20"/>
          <w:szCs w:val="20"/>
          <w:color w:val="auto"/>
        </w:rPr>
      </w:pPr>
      <w:r>
        <w:rPr>
          <w:rFonts w:ascii="Arial" w:cs="Arial" w:eastAsia="Arial" w:hAnsi="Arial"/>
          <w:sz w:val="18"/>
          <w:szCs w:val="18"/>
          <w:color w:val="auto"/>
        </w:rPr>
        <w:t>Our principal executive offices are located at 1001 Fannin Street,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Information on our website is not incorporated by reference into this prospectus supplement and does not constitute a part of this prospectus supplement. Our common stock is traded on the New York Stock Exchange under the symbol "WM".</w:t>
      </w: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Waste Management Holdings, Inc.</w:t>
      </w:r>
    </w:p>
    <w:p>
      <w:pPr>
        <w:spacing w:after="0" w:line="231" w:lineRule="exact"/>
        <w:rPr>
          <w:sz w:val="20"/>
          <w:szCs w:val="20"/>
          <w:color w:val="auto"/>
        </w:rPr>
      </w:pPr>
    </w:p>
    <w:p>
      <w:pPr>
        <w:ind w:left="240" w:right="100" w:firstLine="348"/>
        <w:spacing w:after="0" w:line="268"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 owned subsidiary of Waste Management, Inc. WM Holdings is a holding company and all operations are conducted by subsidiaries.</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Acquisition of Advanced Disposal</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Merger Agreement</w:t>
      </w:r>
    </w:p>
    <w:p>
      <w:pPr>
        <w:spacing w:after="0" w:line="225" w:lineRule="exact"/>
        <w:rPr>
          <w:sz w:val="20"/>
          <w:szCs w:val="20"/>
          <w:color w:val="auto"/>
        </w:rPr>
      </w:pPr>
    </w:p>
    <w:p>
      <w:pPr>
        <w:ind w:left="240" w:right="140" w:firstLine="351"/>
        <w:spacing w:after="0" w:line="256" w:lineRule="auto"/>
        <w:rPr>
          <w:sz w:val="20"/>
          <w:szCs w:val="20"/>
          <w:color w:val="auto"/>
        </w:rPr>
      </w:pPr>
      <w:r>
        <w:rPr>
          <w:rFonts w:ascii="Arial" w:cs="Arial" w:eastAsia="Arial" w:hAnsi="Arial"/>
          <w:sz w:val="18"/>
          <w:szCs w:val="18"/>
          <w:color w:val="auto"/>
        </w:rPr>
        <w:t>On April 14, 2019, we entered into an Agreement and Plan of Merger (the "Merger Agreement") with Advanced Disposal Services, Inc. ("Advanced Disposal") and Everglades Merger Sub Inc. ("Merger Sub"), our indirect wholly owned subsidiary. The Merger Agreement provides that, upon the terms and subject to the conditions set forth therein, Merger Sub will merge with and into Advanced Disposal (the "Merger"), with Advanced Disposal continuing as the surviving corporation and as our indirect wholly owned subsidiary.</w:t>
      </w:r>
    </w:p>
    <w:p>
      <w:pPr>
        <w:spacing w:after="0" w:line="197" w:lineRule="exact"/>
        <w:rPr>
          <w:sz w:val="20"/>
          <w:szCs w:val="20"/>
          <w:color w:val="auto"/>
        </w:rPr>
      </w:pPr>
    </w:p>
    <w:p>
      <w:pPr>
        <w:jc w:val="both"/>
        <w:ind w:left="240" w:right="220" w:firstLine="342"/>
        <w:spacing w:after="0" w:line="259" w:lineRule="auto"/>
        <w:rPr>
          <w:sz w:val="20"/>
          <w:szCs w:val="20"/>
          <w:color w:val="auto"/>
        </w:rPr>
      </w:pPr>
      <w:r>
        <w:rPr>
          <w:rFonts w:ascii="Arial" w:cs="Arial" w:eastAsia="Arial" w:hAnsi="Arial"/>
          <w:sz w:val="18"/>
          <w:szCs w:val="18"/>
          <w:color w:val="auto"/>
        </w:rPr>
        <w:t>At the effective time of the Merger (the "Effective Time"), each share of Advanced Disposal common stock, par value $0.01 per share ("Advanced Disposal Common Stock"), issued and outstanding immediately prior to the Effective Time (other than shares (i) owned by us, Merger Sub or Advanced Disposal or any of our or their respective subsidiaries or (ii) for which appraisal rights have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930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593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400"/>
        <w:spacing w:after="0" w:line="259" w:lineRule="auto"/>
        <w:rPr>
          <w:sz w:val="20"/>
          <w:szCs w:val="20"/>
          <w:color w:val="auto"/>
        </w:rPr>
      </w:pPr>
      <w:r>
        <w:rPr>
          <w:rFonts w:ascii="Arial" w:cs="Arial" w:eastAsia="Arial" w:hAnsi="Arial"/>
          <w:sz w:val="18"/>
          <w:szCs w:val="18"/>
          <w:color w:val="auto"/>
        </w:rPr>
        <w:t>been demanded properly in accordance with Section 262 of the General Corporation Law of the State of Delaware) will be converted into the right to receive $33.15 per share in cash, without interest (the "Per Share Merger Consideration"), representing a total enterprise value of $4.9 billion when including approximately $1.9 billion of Advanced Disposal's net debt.</w:t>
      </w:r>
    </w:p>
    <w:p>
      <w:pPr>
        <w:spacing w:after="0" w:line="194" w:lineRule="exact"/>
        <w:rPr>
          <w:sz w:val="20"/>
          <w:szCs w:val="20"/>
          <w:color w:val="auto"/>
        </w:rPr>
      </w:pPr>
    </w:p>
    <w:p>
      <w:pPr>
        <w:ind w:left="240" w:firstLine="342"/>
        <w:spacing w:after="0" w:line="288" w:lineRule="auto"/>
        <w:rPr>
          <w:sz w:val="20"/>
          <w:szCs w:val="20"/>
          <w:color w:val="auto"/>
        </w:rPr>
      </w:pPr>
      <w:r>
        <w:rPr>
          <w:rFonts w:ascii="Arial" w:cs="Arial" w:eastAsia="Arial" w:hAnsi="Arial"/>
          <w:sz w:val="16"/>
          <w:szCs w:val="16"/>
          <w:color w:val="auto"/>
        </w:rPr>
        <w:t>At the Effective Time, each vested and unvested option of Advanced Disposal Common Stock with a per share exercise price less than the Per Share Merger Consideration that is outstanding at the Effective Time will convert into the right to receive a cash amount equal to the product of (i) the number of shares of Advanced Disposal Common Stock subject to the option multiplied by (ii) the excess of the Per Share Merger Consideration over the per-share exercise price of such option, net of taxes. At the Effective Time, each performance share unit award outstanding as of immediately prior to the Effective Time will convert into the right to receive a cash payment equal to the product of (i) the number of shares of Advanced Disposal Common Stock equal to the greater of (x) the target number of shares of Advanced Disposal Common Stock with respect to such performance share unit award and (y) the number of shares of Advanced Disposal Common Stock that would be considered earned under the terms of such performance share unit award based on the most recent fiscal year-end results of Advanced Disposal preceding the fiscal year during which the Effective Time occurs multiplied by (ii) the Per Share Merger Consideration, net of taxes.</w:t>
      </w:r>
    </w:p>
    <w:p>
      <w:pPr>
        <w:spacing w:after="0" w:line="174" w:lineRule="exact"/>
        <w:rPr>
          <w:sz w:val="20"/>
          <w:szCs w:val="20"/>
          <w:color w:val="auto"/>
        </w:rPr>
      </w:pPr>
    </w:p>
    <w:p>
      <w:pPr>
        <w:jc w:val="both"/>
        <w:ind w:left="240" w:right="220" w:firstLine="342"/>
        <w:spacing w:after="0" w:line="306" w:lineRule="auto"/>
        <w:rPr>
          <w:sz w:val="20"/>
          <w:szCs w:val="20"/>
          <w:color w:val="auto"/>
        </w:rPr>
      </w:pPr>
      <w:r>
        <w:rPr>
          <w:rFonts w:ascii="Arial" w:cs="Arial" w:eastAsia="Arial" w:hAnsi="Arial"/>
          <w:sz w:val="16"/>
          <w:szCs w:val="16"/>
          <w:color w:val="auto"/>
        </w:rPr>
        <w:t>At the Effective Time, each restricted share unit award and restricted share award outstanding immediately prior to the Effective Time will convert into the right to receive a cash payment equal to the product of (i) the number of shares of Advanced Disposal Common Stock subject to such restricted share unit award or restricted share award multiplied by (ii) the Per Share Merger Consideration, net of taxes.</w:t>
      </w:r>
    </w:p>
    <w:p>
      <w:pPr>
        <w:spacing w:after="0" w:line="161" w:lineRule="exact"/>
        <w:rPr>
          <w:sz w:val="20"/>
          <w:szCs w:val="20"/>
          <w:color w:val="auto"/>
        </w:rPr>
      </w:pPr>
    </w:p>
    <w:p>
      <w:pPr>
        <w:ind w:left="240" w:right="40" w:firstLine="348"/>
        <w:spacing w:after="0" w:line="283" w:lineRule="auto"/>
        <w:rPr>
          <w:sz w:val="20"/>
          <w:szCs w:val="20"/>
          <w:color w:val="auto"/>
        </w:rPr>
      </w:pPr>
      <w:r>
        <w:rPr>
          <w:rFonts w:ascii="Arial" w:cs="Arial" w:eastAsia="Arial" w:hAnsi="Arial"/>
          <w:sz w:val="16"/>
          <w:szCs w:val="16"/>
          <w:color w:val="auto"/>
        </w:rPr>
        <w:t>The consummation of the Merger (the "Closing") is subject to certain conditions, including (i) the affirmative vote of the holders of a majority of the outstanding shares of Advanced Disposal Common Stock, (ii) the expiration or termination of any waiting period under the Hart-Scott-Rodino Antitrust Improvements Act of 1976, as amended, and the rules and regulations promulgated thereunder, and (iii) the absence of any law or order restraining, enjoining or otherwise prohibiting the Merger. Each of our, Merger Sub's and Advanced Disposal's obligation to consummate the Merger is also subject to additional customary conditions, including (x) subject to specific standards, the accuracy of the representations and warranties of each other party,</w:t>
      </w:r>
    </w:p>
    <w:p>
      <w:pPr>
        <w:spacing w:after="0" w:line="2" w:lineRule="exact"/>
        <w:rPr>
          <w:sz w:val="20"/>
          <w:szCs w:val="20"/>
          <w:color w:val="auto"/>
        </w:rPr>
      </w:pPr>
    </w:p>
    <w:p>
      <w:pPr>
        <w:ind w:left="240" w:right="240" w:firstLine="2"/>
        <w:spacing w:after="0" w:line="323" w:lineRule="auto"/>
        <w:tabs>
          <w:tab w:leader="none" w:pos="489" w:val="left"/>
        </w:tabs>
        <w:numPr>
          <w:ilvl w:val="0"/>
          <w:numId w:val="2"/>
        </w:numPr>
        <w:rPr>
          <w:rFonts w:ascii="Arial" w:cs="Arial" w:eastAsia="Arial" w:hAnsi="Arial"/>
          <w:sz w:val="16"/>
          <w:szCs w:val="16"/>
          <w:color w:val="auto"/>
        </w:rPr>
      </w:pPr>
      <w:r>
        <w:rPr>
          <w:rFonts w:ascii="Arial" w:cs="Arial" w:eastAsia="Arial" w:hAnsi="Arial"/>
          <w:sz w:val="16"/>
          <w:szCs w:val="16"/>
          <w:color w:val="auto"/>
        </w:rPr>
        <w:t>performance in all material respects by each other party of its obligations under the Merger Agreement and (z) with respect to our and Merger Sub's obligations to consummate the Merger, the absence of a Material Adverse Effect (as defined in the Merger Agreement).</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are required to (i) take all actions to consummate the Merger, including using its reasonable best efforts to obtain antitrust approval and</w:t>
      </w:r>
    </w:p>
    <w:p>
      <w:pPr>
        <w:spacing w:after="0" w:line="38" w:lineRule="exact"/>
        <w:rPr>
          <w:sz w:val="20"/>
          <w:szCs w:val="20"/>
          <w:color w:val="auto"/>
        </w:rPr>
      </w:pPr>
    </w:p>
    <w:p>
      <w:pPr>
        <w:ind w:left="240" w:right="80" w:firstLine="2"/>
        <w:spacing w:after="0" w:line="255" w:lineRule="auto"/>
        <w:tabs>
          <w:tab w:leader="none" w:pos="498"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specifically commit to divest or sell assets and take other actions in connection with using its reasonable best efforts to obtain antitrust approval, up to certain limits specified in the Merger Agreement. Advanced Disposal is required to cooperate with us in connection with our efforts to obtain antitrust approval.</w:t>
      </w:r>
    </w:p>
    <w:p>
      <w:pPr>
        <w:spacing w:after="0" w:line="198" w:lineRule="exact"/>
        <w:rPr>
          <w:sz w:val="20"/>
          <w:szCs w:val="20"/>
          <w:color w:val="auto"/>
        </w:rPr>
      </w:pPr>
    </w:p>
    <w:p>
      <w:pPr>
        <w:ind w:left="240" w:right="60" w:firstLine="348"/>
        <w:spacing w:after="0" w:line="298" w:lineRule="auto"/>
        <w:rPr>
          <w:sz w:val="20"/>
          <w:szCs w:val="20"/>
          <w:color w:val="auto"/>
        </w:rPr>
      </w:pPr>
      <w:r>
        <w:rPr>
          <w:rFonts w:ascii="Arial" w:cs="Arial" w:eastAsia="Arial" w:hAnsi="Arial"/>
          <w:sz w:val="16"/>
          <w:szCs w:val="16"/>
          <w:color w:val="auto"/>
        </w:rPr>
        <w:t>The Merger Agreement provides that we will be required to pay to Advanced Disposal a termination fee of $150 million under certain circumstances specified in the Merger Agreement if the Merger Agreement is terminated because (i) of the issuance of a nonappealable court order or legal restraint prohibiting the transaction for antitrust reasons or (ii) the transactions have not been consummated by April 14, 2020, and at such time, antitrust approval for the transaction has not been obtained but the other conditions to Closing have been satisfied.</w:t>
      </w:r>
    </w:p>
    <w:p>
      <w:pPr>
        <w:spacing w:after="0" w:line="167" w:lineRule="exact"/>
        <w:rPr>
          <w:sz w:val="20"/>
          <w:szCs w:val="20"/>
          <w:color w:val="auto"/>
        </w:rPr>
      </w:pPr>
    </w:p>
    <w:p>
      <w:pPr>
        <w:jc w:val="both"/>
        <w:ind w:left="240" w:firstLine="348"/>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We currently anticipate that the Merger will close by the first quarter of 2020. Copies of the Merger Agreement and the Voting Agreement (as defined below) are included as exhibits to our </w:t>
      </w:r>
      <w:hyperlink r:id="rId19">
        <w:r>
          <w:rPr>
            <w:rFonts w:ascii="Arial" w:cs="Arial" w:eastAsia="Arial" w:hAnsi="Arial"/>
            <w:sz w:val="18"/>
            <w:szCs w:val="18"/>
            <w:u w:val="single" w:color="auto"/>
            <w:color w:val="0000EE"/>
          </w:rPr>
          <w:t>Current Report on Form 8-K filed on April 15, 2019</w:t>
        </w:r>
      </w:hyperlink>
      <w:r>
        <w:rPr>
          <w:rFonts w:ascii="Arial" w:cs="Arial" w:eastAsia="Arial" w:hAnsi="Arial"/>
          <w:sz w:val="18"/>
          <w:szCs w:val="18"/>
          <w:color w:val="auto"/>
        </w:rPr>
        <w:t>, part of which is incorporated by reference into this prospectus supplement and the accompanying prospectus. The descriptions of the Merger, the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04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Merger Agreement and the Voting Agreement do not purport to be complete and are qualified in their entirety by reference to such agreements.</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Voting Agreement</w:t>
      </w:r>
    </w:p>
    <w:p>
      <w:pPr>
        <w:spacing w:after="0" w:line="225" w:lineRule="exact"/>
        <w:rPr>
          <w:sz w:val="20"/>
          <w:szCs w:val="20"/>
          <w:color w:val="auto"/>
        </w:rPr>
      </w:pPr>
    </w:p>
    <w:p>
      <w:pPr>
        <w:ind w:left="240" w:right="20" w:firstLine="351"/>
        <w:spacing w:after="0" w:line="289" w:lineRule="auto"/>
        <w:rPr>
          <w:sz w:val="20"/>
          <w:szCs w:val="20"/>
          <w:color w:val="auto"/>
        </w:rPr>
      </w:pPr>
      <w:r>
        <w:rPr>
          <w:rFonts w:ascii="Arial" w:cs="Arial" w:eastAsia="Arial" w:hAnsi="Arial"/>
          <w:sz w:val="16"/>
          <w:szCs w:val="16"/>
          <w:color w:val="auto"/>
        </w:rPr>
        <w:t>In addition to, and concurrently with the execution of the Merger Agreement, on April 14, 2019, Canada Pension Plan Investment Board (the "Key Stockholder") representing approximately 19% of the outstanding Advanced Disposal Common Stock entered into a Voting and Support Agreement (the "Voting Agreement") with us, pursuant to which, among other things, and subject to the terms and conditions set forth therein, the Key Stockholder agreed to vote its shares of Advanced Disposal Common Stock in favor of the adoption of the Merger Agreement and against any alternative proposal. The Voting Agreement automatically terminates upon the earliest to occur of (i) the Expiration Time (defined in the Voting Agreement as the earlier to occur of (x) the Effective Time and (y) such date and time as the Merger Agreement has been validly terminated in accordance with its terms) and (ii) the election of the Key Stockholder in its sole discretion to terminate the Voting Agreement promptly following any amendment of any term in the original Merger Agreement that reduces or changes the form of consideration payable under the Merger Agreement.</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Merger Financing</w:t>
      </w:r>
    </w:p>
    <w:p>
      <w:pPr>
        <w:spacing w:after="0" w:line="225" w:lineRule="exact"/>
        <w:rPr>
          <w:sz w:val="20"/>
          <w:szCs w:val="20"/>
          <w:color w:val="auto"/>
        </w:rPr>
      </w:pPr>
    </w:p>
    <w:p>
      <w:pPr>
        <w:ind w:left="240" w:firstLine="348"/>
        <w:spacing w:after="0" w:line="259" w:lineRule="auto"/>
        <w:rPr>
          <w:sz w:val="20"/>
          <w:szCs w:val="20"/>
          <w:color w:val="auto"/>
        </w:rPr>
      </w:pPr>
      <w:r>
        <w:rPr>
          <w:rFonts w:ascii="Arial" w:cs="Arial" w:eastAsia="Arial" w:hAnsi="Arial"/>
          <w:sz w:val="18"/>
          <w:szCs w:val="18"/>
          <w:color w:val="auto"/>
        </w:rPr>
        <w:t>We intend to finance the Merger through a combination of borrowings under our commercial paper program, which is fully supported by our U.S. and Canadian revolving credit facility (referred to herein as our "$2.75 billion revolving credit facility"), and a portion of the net proceeds from the notes offered hereby. Please see "Use of Proceeds."</w:t>
      </w:r>
    </w:p>
    <w:p>
      <w:pPr>
        <w:spacing w:after="0" w:line="194" w:lineRule="exact"/>
        <w:rPr>
          <w:sz w:val="20"/>
          <w:szCs w:val="20"/>
          <w:color w:val="auto"/>
        </w:rPr>
      </w:pPr>
    </w:p>
    <w:p>
      <w:pPr>
        <w:ind w:left="240" w:right="60" w:firstLine="348"/>
        <w:spacing w:after="0" w:line="294" w:lineRule="auto"/>
        <w:rPr>
          <w:sz w:val="20"/>
          <w:szCs w:val="20"/>
          <w:color w:val="auto"/>
        </w:rPr>
      </w:pPr>
      <w:r>
        <w:rPr>
          <w:rFonts w:ascii="Arial" w:cs="Arial" w:eastAsia="Arial" w:hAnsi="Arial"/>
          <w:sz w:val="16"/>
          <w:szCs w:val="16"/>
          <w:color w:val="auto"/>
        </w:rPr>
        <w:t>This offering is not contingent on the consummation of the Merger. However, if we do not consummate the Merger on or prior to July 14, 2020, or if, on or prior to such date, the Merger Agreement is terminated for any reason, then we will be required to redeem all of the outstanding 2024 notes, 2026 notes, 2029 notes and 2039 notes at a redemption price equal to 101% of the aggregate principal amount thereof, plus accrued and unpaid interest to, but excluding, the redemption date. See "Description of Notes—Special Mandatory Redemption." The 2049 notes are not subject to the special mandatory redemption, and we expect the 2049 notes to remain outstanding even if we do not consummate the Merger.</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cannot assure you that we will complete the Merger on the terms contemplated in this prospectus supplement or at all.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About Advanced Disposal</w:t>
      </w:r>
    </w:p>
    <w:p>
      <w:pPr>
        <w:spacing w:after="0" w:line="225" w:lineRule="exact"/>
        <w:rPr>
          <w:sz w:val="20"/>
          <w:szCs w:val="20"/>
          <w:color w:val="auto"/>
        </w:rPr>
      </w:pPr>
    </w:p>
    <w:p>
      <w:pPr>
        <w:ind w:left="240" w:right="20" w:firstLine="342"/>
        <w:spacing w:after="0" w:line="291" w:lineRule="auto"/>
        <w:rPr>
          <w:sz w:val="20"/>
          <w:szCs w:val="20"/>
          <w:color w:val="auto"/>
        </w:rPr>
      </w:pPr>
      <w:r>
        <w:rPr>
          <w:rFonts w:ascii="Arial" w:cs="Arial" w:eastAsia="Arial" w:hAnsi="Arial"/>
          <w:sz w:val="16"/>
          <w:szCs w:val="16"/>
          <w:color w:val="auto"/>
        </w:rPr>
        <w:t>Advanced Disposal, a Delaware corporation based in Ponte Vedra, Florida, is a leading integrated provider of nonhazardous solid waste collection, transfer, recycling and disposal services. Advanced Disposal has a presence in 16 states across the Midwest, South and East regions of the United States as well as in the Commonwealth of the Bahamas. During the twelve months ended December 31, 2018, December 31, 2017 and December 31, 2016, Advanced Disposal generated revenues of approximately $1.56 billion, $1.51 billion and $1.40 billion million, respectively. Advanced Disposal also generated net income of $9.4 million and $38.3 million in the twelve months ended December 31, 2018 and December 31, 2017 and a net loss of $30.4 million for the twelve months ended December 31, 2016.</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Cash Tender Offer</w:t>
      </w:r>
    </w:p>
    <w:p>
      <w:pPr>
        <w:spacing w:after="0" w:line="231" w:lineRule="exact"/>
        <w:rPr>
          <w:sz w:val="20"/>
          <w:szCs w:val="20"/>
          <w:color w:val="auto"/>
        </w:rPr>
      </w:pPr>
    </w:p>
    <w:p>
      <w:pPr>
        <w:ind w:left="240" w:right="160" w:firstLine="351"/>
        <w:spacing w:after="0" w:line="306" w:lineRule="auto"/>
        <w:rPr>
          <w:sz w:val="20"/>
          <w:szCs w:val="20"/>
          <w:color w:val="auto"/>
        </w:rPr>
      </w:pPr>
      <w:r>
        <w:rPr>
          <w:rFonts w:ascii="Arial" w:cs="Arial" w:eastAsia="Arial" w:hAnsi="Arial"/>
          <w:sz w:val="16"/>
          <w:szCs w:val="16"/>
          <w:color w:val="auto"/>
        </w:rPr>
        <w:t>Concurrently with this offering, Waste Management, Inc. and WM Holdings are conducting an offer to purchase for cash, referred to herein as the "Tender Offer," any and all of WM Holdings' 7.10% Notes due 2026 and Waste Management, Inc.'s 7.00% Senior Notes due 2028, 7.375% Senior Notes due 2029, 7.75% Senior Notes due 2032 and 6.125% Senior Notes due 2039. We refer to these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637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50430" cy="2637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91" w:lineRule="auto"/>
        <w:rPr>
          <w:sz w:val="20"/>
          <w:szCs w:val="20"/>
          <w:color w:val="auto"/>
        </w:rPr>
      </w:pPr>
      <w:r>
        <w:rPr>
          <w:rFonts w:ascii="Arial" w:cs="Arial" w:eastAsia="Arial" w:hAnsi="Arial"/>
          <w:sz w:val="16"/>
          <w:szCs w:val="16"/>
          <w:color w:val="auto"/>
        </w:rPr>
        <w:t>notes collectively as the "Tender Notes." The Tender Offer is currently scheduled to expire at 5:00 p.m., New York City time, on May 20, 2019, subject to our right to extend or early terminate the Tender Offer for any of the series of Tender Notes. As of May 10, 2019, the aggregate amount outstanding of the Tender Notes was $1.322 billion. The Tender Offer is being made solely pursuant to the terms and conditions described in an offer to purchase, dated as of May 14, 2019, which we refer to as the "Offer to Purchase," issued in connection with the Tender Offer. The consideration per each $1,000 principal amount for each series of Tender Notes validly tendered and accepted for payment will be determined in the manner described in the Offer to Purchase. This prospectus supplement is not an offer to purchase or a solicitation of an offer to sell any of the Tender Notes.</w:t>
      </w:r>
    </w:p>
    <w:p>
      <w:pPr>
        <w:spacing w:after="0" w:line="174" w:lineRule="exact"/>
        <w:rPr>
          <w:sz w:val="20"/>
          <w:szCs w:val="20"/>
          <w:color w:val="auto"/>
        </w:rPr>
      </w:pPr>
    </w:p>
    <w:p>
      <w:pPr>
        <w:ind w:left="240" w:firstLine="348"/>
        <w:spacing w:after="0" w:line="294" w:lineRule="auto"/>
        <w:rPr>
          <w:sz w:val="20"/>
          <w:szCs w:val="20"/>
          <w:color w:val="auto"/>
        </w:rPr>
      </w:pPr>
      <w:r>
        <w:rPr>
          <w:rFonts w:ascii="Arial" w:cs="Arial" w:eastAsia="Arial" w:hAnsi="Arial"/>
          <w:sz w:val="16"/>
          <w:szCs w:val="16"/>
          <w:color w:val="auto"/>
        </w:rPr>
        <w:t>The consummation of the Tender Offer is conditioned on, among other things, the completion of this offering on terms and conditions satisfactory to us. This offering, however, is not conditioned on the consummation of the Tender Offer or the tender of any specific amount of any of the series of Tender Notes. We are permitted, among other things, to amend or terminate the Tender Offer with respect to any or all series of the Tender Notes. There can be no assurance as to the amount of any series of Tender Notes that will be tendered in the Tender Offer or that the Tender Offer will be consummated in accordance with its terms, or at all, which is subject to market conditions and other factors.</w:t>
      </w:r>
    </w:p>
    <w:p>
      <w:pPr>
        <w:spacing w:after="0" w:line="170" w:lineRule="exact"/>
        <w:rPr>
          <w:sz w:val="20"/>
          <w:szCs w:val="20"/>
          <w:color w:val="auto"/>
        </w:rPr>
      </w:pPr>
    </w:p>
    <w:p>
      <w:pPr>
        <w:ind w:left="240" w:right="340" w:firstLine="348"/>
        <w:spacing w:after="0" w:line="268" w:lineRule="auto"/>
        <w:rPr>
          <w:sz w:val="20"/>
          <w:szCs w:val="20"/>
          <w:color w:val="auto"/>
        </w:rPr>
      </w:pPr>
      <w:r>
        <w:rPr>
          <w:rFonts w:ascii="Arial" w:cs="Arial" w:eastAsia="Arial" w:hAnsi="Arial"/>
          <w:sz w:val="18"/>
          <w:szCs w:val="18"/>
          <w:color w:val="auto"/>
        </w:rPr>
        <w:t>We intend to use some or all of the net proceeds from the offering of the 2049 notes and, if necessary, the 2039 notes to fund the Tender Offer, as described further in "Use of Proceeds."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713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50430" cy="771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left="240" w:firstLine="351"/>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194" w:lineRule="exact"/>
        <w:rPr>
          <w:sz w:val="20"/>
          <w:szCs w:val="20"/>
          <w:color w:val="auto"/>
        </w:rPr>
      </w:pPr>
    </w:p>
    <w:tbl>
      <w:tblPr>
        <w:tblLayout w:type="fixed"/>
        <w:tblInd w:w="1340" w:type="dxa"/>
        <w:tblCellMar>
          <w:top w:w="0" w:type="dxa"/>
          <w:left w:w="0" w:type="dxa"/>
          <w:bottom w:w="0" w:type="dxa"/>
          <w:right w:w="0" w:type="dxa"/>
        </w:tblCellMar>
      </w:tblPr>
      <w:tr>
        <w:trPr>
          <w:trHeight w:val="222"/>
        </w:trPr>
        <w:tc>
          <w:tcPr>
            <w:tcW w:w="2340" w:type="dxa"/>
            <w:vAlign w:val="bottom"/>
          </w:tcPr>
          <w:p>
            <w:pPr>
              <w:spacing w:after="0"/>
              <w:rPr>
                <w:sz w:val="20"/>
                <w:szCs w:val="20"/>
                <w:color w:val="auto"/>
              </w:rPr>
            </w:pPr>
            <w:r>
              <w:rPr>
                <w:rFonts w:ascii="Arial" w:cs="Arial" w:eastAsia="Arial" w:hAnsi="Arial"/>
                <w:sz w:val="18"/>
                <w:szCs w:val="18"/>
                <w:color w:val="auto"/>
              </w:rPr>
              <w:t>Issuer</w:t>
            </w:r>
          </w:p>
        </w:tc>
        <w:tc>
          <w:tcPr>
            <w:tcW w:w="3840" w:type="dxa"/>
            <w:vAlign w:val="bottom"/>
            <w:gridSpan w:val="3"/>
          </w:tcPr>
          <w:p>
            <w:pPr>
              <w:ind w:left="760"/>
              <w:spacing w:after="0"/>
              <w:rPr>
                <w:sz w:val="20"/>
                <w:szCs w:val="20"/>
                <w:color w:val="auto"/>
              </w:rPr>
            </w:pPr>
            <w:r>
              <w:rPr>
                <w:rFonts w:ascii="Arial" w:cs="Arial" w:eastAsia="Arial" w:hAnsi="Arial"/>
                <w:sz w:val="18"/>
                <w:szCs w:val="18"/>
                <w:color w:val="auto"/>
              </w:rPr>
              <w:t>Waste Management, Inc.</w:t>
            </w:r>
          </w:p>
        </w:tc>
        <w:tc>
          <w:tcPr>
            <w:tcW w:w="2460" w:type="dxa"/>
            <w:vAlign w:val="bottom"/>
          </w:tcPr>
          <w:p>
            <w:pPr>
              <w:spacing w:after="0"/>
              <w:rPr>
                <w:sz w:val="19"/>
                <w:szCs w:val="19"/>
                <w:color w:val="auto"/>
              </w:rPr>
            </w:pPr>
          </w:p>
        </w:tc>
      </w:tr>
      <w:tr>
        <w:trPr>
          <w:trHeight w:val="426"/>
        </w:trPr>
        <w:tc>
          <w:tcPr>
            <w:tcW w:w="2340" w:type="dxa"/>
            <w:vAlign w:val="bottom"/>
          </w:tcPr>
          <w:p>
            <w:pPr>
              <w:spacing w:after="0"/>
              <w:rPr>
                <w:sz w:val="20"/>
                <w:szCs w:val="20"/>
                <w:color w:val="auto"/>
              </w:rPr>
            </w:pPr>
            <w:r>
              <w:rPr>
                <w:rFonts w:ascii="Arial" w:cs="Arial" w:eastAsia="Arial" w:hAnsi="Arial"/>
                <w:sz w:val="18"/>
                <w:szCs w:val="18"/>
                <w:color w:val="auto"/>
              </w:rPr>
              <w:t>Securities Offered</w:t>
            </w:r>
          </w:p>
        </w:tc>
        <w:tc>
          <w:tcPr>
            <w:tcW w:w="1380" w:type="dxa"/>
            <w:vAlign w:val="bottom"/>
          </w:tcPr>
          <w:p>
            <w:pPr>
              <w:ind w:left="760"/>
              <w:spacing w:after="0"/>
              <w:rPr>
                <w:sz w:val="20"/>
                <w:szCs w:val="20"/>
                <w:color w:val="auto"/>
              </w:rPr>
            </w:pPr>
            <w:r>
              <w:rPr>
                <w:rFonts w:ascii="Arial" w:cs="Arial" w:eastAsia="Arial" w:hAnsi="Arial"/>
                <w:sz w:val="18"/>
                <w:szCs w:val="18"/>
                <w:color w:val="auto"/>
              </w:rPr>
              <w:t>$</w:t>
            </w:r>
          </w:p>
        </w:tc>
        <w:tc>
          <w:tcPr>
            <w:tcW w:w="4920" w:type="dxa"/>
            <w:vAlign w:val="bottom"/>
            <w:gridSpan w:val="3"/>
          </w:tcPr>
          <w:p>
            <w:pPr>
              <w:ind w:left="180"/>
              <w:spacing w:after="0"/>
              <w:rPr>
                <w:sz w:val="20"/>
                <w:szCs w:val="20"/>
                <w:color w:val="auto"/>
              </w:rPr>
            </w:pPr>
            <w:r>
              <w:rPr>
                <w:rFonts w:ascii="Arial" w:cs="Arial" w:eastAsia="Arial" w:hAnsi="Arial"/>
                <w:sz w:val="18"/>
                <w:szCs w:val="18"/>
                <w:color w:val="auto"/>
                <w:w w:val="93"/>
              </w:rPr>
              <w:t>aggregate principal amount of notes, consisting of the following</w:t>
            </w:r>
          </w:p>
        </w:tc>
      </w:tr>
      <w:tr>
        <w:trPr>
          <w:trHeight w:val="222"/>
        </w:trPr>
        <w:tc>
          <w:tcPr>
            <w:tcW w:w="2340" w:type="dxa"/>
            <w:vAlign w:val="bottom"/>
          </w:tcPr>
          <w:p>
            <w:pPr>
              <w:spacing w:after="0"/>
              <w:rPr>
                <w:sz w:val="19"/>
                <w:szCs w:val="19"/>
                <w:color w:val="auto"/>
              </w:rPr>
            </w:pPr>
          </w:p>
        </w:tc>
        <w:tc>
          <w:tcPr>
            <w:tcW w:w="1380" w:type="dxa"/>
            <w:vAlign w:val="bottom"/>
          </w:tcPr>
          <w:p>
            <w:pPr>
              <w:ind w:left="760"/>
              <w:spacing w:after="0"/>
              <w:rPr>
                <w:sz w:val="20"/>
                <w:szCs w:val="20"/>
                <w:color w:val="auto"/>
              </w:rPr>
            </w:pPr>
            <w:r>
              <w:rPr>
                <w:rFonts w:ascii="Arial" w:cs="Arial" w:eastAsia="Arial" w:hAnsi="Arial"/>
                <w:sz w:val="18"/>
                <w:szCs w:val="18"/>
                <w:color w:val="auto"/>
              </w:rPr>
              <w:t>series:</w:t>
            </w:r>
          </w:p>
        </w:tc>
        <w:tc>
          <w:tcPr>
            <w:tcW w:w="5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32"/>
        </w:trPr>
        <w:tc>
          <w:tcPr>
            <w:tcW w:w="2340" w:type="dxa"/>
            <w:vAlign w:val="bottom"/>
          </w:tcPr>
          <w:p>
            <w:pPr>
              <w:spacing w:after="0"/>
              <w:rPr>
                <w:sz w:val="24"/>
                <w:szCs w:val="24"/>
                <w:color w:val="auto"/>
              </w:rPr>
            </w:pPr>
          </w:p>
        </w:tc>
        <w:tc>
          <w:tcPr>
            <w:tcW w:w="1380" w:type="dxa"/>
            <w:vAlign w:val="bottom"/>
          </w:tcPr>
          <w:p>
            <w:pPr>
              <w:ind w:left="760"/>
              <w:spacing w:after="0"/>
              <w:rPr>
                <w:sz w:val="20"/>
                <w:szCs w:val="20"/>
                <w:color w:val="auto"/>
              </w:rPr>
            </w:pPr>
            <w:r>
              <w:rPr>
                <w:rFonts w:ascii="Arial" w:cs="Arial" w:eastAsia="Arial" w:hAnsi="Arial"/>
                <w:sz w:val="18"/>
                <w:szCs w:val="18"/>
                <w:color w:val="auto"/>
              </w:rPr>
              <w:t>$</w:t>
            </w:r>
          </w:p>
        </w:tc>
        <w:tc>
          <w:tcPr>
            <w:tcW w:w="2460" w:type="dxa"/>
            <w:vAlign w:val="bottom"/>
            <w:gridSpan w:val="2"/>
          </w:tcPr>
          <w:p>
            <w:pPr>
              <w:ind w:left="180"/>
              <w:spacing w:after="0"/>
              <w:rPr>
                <w:sz w:val="20"/>
                <w:szCs w:val="20"/>
                <w:color w:val="auto"/>
              </w:rPr>
            </w:pPr>
            <w:r>
              <w:rPr>
                <w:rFonts w:ascii="Arial" w:cs="Arial" w:eastAsia="Arial" w:hAnsi="Arial"/>
                <w:sz w:val="18"/>
                <w:szCs w:val="18"/>
                <w:color w:val="auto"/>
                <w:w w:val="94"/>
              </w:rPr>
              <w:t>aggregate principal amount of</w:t>
            </w:r>
          </w:p>
        </w:tc>
        <w:tc>
          <w:tcPr>
            <w:tcW w:w="2460" w:type="dxa"/>
            <w:vAlign w:val="bottom"/>
          </w:tcPr>
          <w:p>
            <w:pPr>
              <w:ind w:left="180"/>
              <w:spacing w:after="0"/>
              <w:rPr>
                <w:sz w:val="20"/>
                <w:szCs w:val="20"/>
                <w:color w:val="auto"/>
              </w:rPr>
            </w:pPr>
            <w:r>
              <w:rPr>
                <w:rFonts w:ascii="Arial" w:cs="Arial" w:eastAsia="Arial" w:hAnsi="Arial"/>
                <w:sz w:val="18"/>
                <w:szCs w:val="18"/>
                <w:color w:val="auto"/>
              </w:rPr>
              <w:t>% Senior Notes due 2024</w:t>
            </w:r>
          </w:p>
        </w:tc>
      </w:tr>
      <w:tr>
        <w:trPr>
          <w:trHeight w:val="432"/>
        </w:trPr>
        <w:tc>
          <w:tcPr>
            <w:tcW w:w="2340" w:type="dxa"/>
            <w:vAlign w:val="bottom"/>
          </w:tcPr>
          <w:p>
            <w:pPr>
              <w:spacing w:after="0"/>
              <w:rPr>
                <w:sz w:val="24"/>
                <w:szCs w:val="24"/>
                <w:color w:val="auto"/>
              </w:rPr>
            </w:pPr>
          </w:p>
        </w:tc>
        <w:tc>
          <w:tcPr>
            <w:tcW w:w="1380" w:type="dxa"/>
            <w:vAlign w:val="bottom"/>
          </w:tcPr>
          <w:p>
            <w:pPr>
              <w:ind w:left="760"/>
              <w:spacing w:after="0"/>
              <w:rPr>
                <w:sz w:val="20"/>
                <w:szCs w:val="20"/>
                <w:color w:val="auto"/>
              </w:rPr>
            </w:pPr>
            <w:r>
              <w:rPr>
                <w:rFonts w:ascii="Arial" w:cs="Arial" w:eastAsia="Arial" w:hAnsi="Arial"/>
                <w:sz w:val="18"/>
                <w:szCs w:val="18"/>
                <w:color w:val="auto"/>
              </w:rPr>
              <w:t>$</w:t>
            </w:r>
          </w:p>
        </w:tc>
        <w:tc>
          <w:tcPr>
            <w:tcW w:w="2460" w:type="dxa"/>
            <w:vAlign w:val="bottom"/>
            <w:gridSpan w:val="2"/>
          </w:tcPr>
          <w:p>
            <w:pPr>
              <w:ind w:left="180"/>
              <w:spacing w:after="0"/>
              <w:rPr>
                <w:sz w:val="20"/>
                <w:szCs w:val="20"/>
                <w:color w:val="auto"/>
              </w:rPr>
            </w:pPr>
            <w:r>
              <w:rPr>
                <w:rFonts w:ascii="Arial" w:cs="Arial" w:eastAsia="Arial" w:hAnsi="Arial"/>
                <w:sz w:val="18"/>
                <w:szCs w:val="18"/>
                <w:color w:val="auto"/>
                <w:w w:val="94"/>
              </w:rPr>
              <w:t>aggregate principal amount of</w:t>
            </w:r>
          </w:p>
        </w:tc>
        <w:tc>
          <w:tcPr>
            <w:tcW w:w="2460" w:type="dxa"/>
            <w:vAlign w:val="bottom"/>
          </w:tcPr>
          <w:p>
            <w:pPr>
              <w:ind w:left="180"/>
              <w:spacing w:after="0"/>
              <w:rPr>
                <w:sz w:val="20"/>
                <w:szCs w:val="20"/>
                <w:color w:val="auto"/>
              </w:rPr>
            </w:pPr>
            <w:r>
              <w:rPr>
                <w:rFonts w:ascii="Arial" w:cs="Arial" w:eastAsia="Arial" w:hAnsi="Arial"/>
                <w:sz w:val="18"/>
                <w:szCs w:val="18"/>
                <w:color w:val="auto"/>
              </w:rPr>
              <w:t>% Senior Notes due 2026</w:t>
            </w:r>
          </w:p>
        </w:tc>
      </w:tr>
      <w:tr>
        <w:trPr>
          <w:trHeight w:val="432"/>
        </w:trPr>
        <w:tc>
          <w:tcPr>
            <w:tcW w:w="2340" w:type="dxa"/>
            <w:vAlign w:val="bottom"/>
          </w:tcPr>
          <w:p>
            <w:pPr>
              <w:spacing w:after="0"/>
              <w:rPr>
                <w:sz w:val="24"/>
                <w:szCs w:val="24"/>
                <w:color w:val="auto"/>
              </w:rPr>
            </w:pPr>
          </w:p>
        </w:tc>
        <w:tc>
          <w:tcPr>
            <w:tcW w:w="1380" w:type="dxa"/>
            <w:vAlign w:val="bottom"/>
          </w:tcPr>
          <w:p>
            <w:pPr>
              <w:ind w:left="760"/>
              <w:spacing w:after="0"/>
              <w:rPr>
                <w:sz w:val="20"/>
                <w:szCs w:val="20"/>
                <w:color w:val="auto"/>
              </w:rPr>
            </w:pPr>
            <w:r>
              <w:rPr>
                <w:rFonts w:ascii="Arial" w:cs="Arial" w:eastAsia="Arial" w:hAnsi="Arial"/>
                <w:sz w:val="18"/>
                <w:szCs w:val="18"/>
                <w:color w:val="auto"/>
              </w:rPr>
              <w:t>$</w:t>
            </w:r>
          </w:p>
        </w:tc>
        <w:tc>
          <w:tcPr>
            <w:tcW w:w="2460" w:type="dxa"/>
            <w:vAlign w:val="bottom"/>
            <w:gridSpan w:val="2"/>
          </w:tcPr>
          <w:p>
            <w:pPr>
              <w:ind w:left="180"/>
              <w:spacing w:after="0"/>
              <w:rPr>
                <w:sz w:val="20"/>
                <w:szCs w:val="20"/>
                <w:color w:val="auto"/>
              </w:rPr>
            </w:pPr>
            <w:r>
              <w:rPr>
                <w:rFonts w:ascii="Arial" w:cs="Arial" w:eastAsia="Arial" w:hAnsi="Arial"/>
                <w:sz w:val="18"/>
                <w:szCs w:val="18"/>
                <w:color w:val="auto"/>
                <w:w w:val="94"/>
              </w:rPr>
              <w:t>aggregate principal amount of</w:t>
            </w:r>
          </w:p>
        </w:tc>
        <w:tc>
          <w:tcPr>
            <w:tcW w:w="2460" w:type="dxa"/>
            <w:vAlign w:val="bottom"/>
          </w:tcPr>
          <w:p>
            <w:pPr>
              <w:ind w:left="180"/>
              <w:spacing w:after="0"/>
              <w:rPr>
                <w:sz w:val="20"/>
                <w:szCs w:val="20"/>
                <w:color w:val="auto"/>
              </w:rPr>
            </w:pPr>
            <w:r>
              <w:rPr>
                <w:rFonts w:ascii="Arial" w:cs="Arial" w:eastAsia="Arial" w:hAnsi="Arial"/>
                <w:sz w:val="18"/>
                <w:szCs w:val="18"/>
                <w:color w:val="auto"/>
              </w:rPr>
              <w:t>% Senior Notes due 2029</w:t>
            </w:r>
          </w:p>
        </w:tc>
      </w:tr>
      <w:tr>
        <w:trPr>
          <w:trHeight w:val="432"/>
        </w:trPr>
        <w:tc>
          <w:tcPr>
            <w:tcW w:w="2340" w:type="dxa"/>
            <w:vAlign w:val="bottom"/>
          </w:tcPr>
          <w:p>
            <w:pPr>
              <w:spacing w:after="0"/>
              <w:rPr>
                <w:sz w:val="24"/>
                <w:szCs w:val="24"/>
                <w:color w:val="auto"/>
              </w:rPr>
            </w:pPr>
          </w:p>
        </w:tc>
        <w:tc>
          <w:tcPr>
            <w:tcW w:w="1380" w:type="dxa"/>
            <w:vAlign w:val="bottom"/>
          </w:tcPr>
          <w:p>
            <w:pPr>
              <w:ind w:left="760"/>
              <w:spacing w:after="0"/>
              <w:rPr>
                <w:sz w:val="20"/>
                <w:szCs w:val="20"/>
                <w:color w:val="auto"/>
              </w:rPr>
            </w:pPr>
            <w:r>
              <w:rPr>
                <w:rFonts w:ascii="Arial" w:cs="Arial" w:eastAsia="Arial" w:hAnsi="Arial"/>
                <w:sz w:val="18"/>
                <w:szCs w:val="18"/>
                <w:color w:val="auto"/>
              </w:rPr>
              <w:t>$</w:t>
            </w:r>
          </w:p>
        </w:tc>
        <w:tc>
          <w:tcPr>
            <w:tcW w:w="2460" w:type="dxa"/>
            <w:vAlign w:val="bottom"/>
            <w:gridSpan w:val="2"/>
          </w:tcPr>
          <w:p>
            <w:pPr>
              <w:ind w:left="180"/>
              <w:spacing w:after="0"/>
              <w:rPr>
                <w:sz w:val="20"/>
                <w:szCs w:val="20"/>
                <w:color w:val="auto"/>
              </w:rPr>
            </w:pPr>
            <w:r>
              <w:rPr>
                <w:rFonts w:ascii="Arial" w:cs="Arial" w:eastAsia="Arial" w:hAnsi="Arial"/>
                <w:sz w:val="18"/>
                <w:szCs w:val="18"/>
                <w:color w:val="auto"/>
                <w:w w:val="94"/>
              </w:rPr>
              <w:t>aggregate principal amount of</w:t>
            </w:r>
          </w:p>
        </w:tc>
        <w:tc>
          <w:tcPr>
            <w:tcW w:w="2460" w:type="dxa"/>
            <w:vAlign w:val="bottom"/>
          </w:tcPr>
          <w:p>
            <w:pPr>
              <w:ind w:left="180"/>
              <w:spacing w:after="0"/>
              <w:rPr>
                <w:sz w:val="20"/>
                <w:szCs w:val="20"/>
                <w:color w:val="auto"/>
              </w:rPr>
            </w:pPr>
            <w:r>
              <w:rPr>
                <w:rFonts w:ascii="Arial" w:cs="Arial" w:eastAsia="Arial" w:hAnsi="Arial"/>
                <w:sz w:val="18"/>
                <w:szCs w:val="18"/>
                <w:color w:val="auto"/>
              </w:rPr>
              <w:t>% Senior Notes due 2039</w:t>
            </w:r>
          </w:p>
        </w:tc>
      </w:tr>
      <w:tr>
        <w:trPr>
          <w:trHeight w:val="432"/>
        </w:trPr>
        <w:tc>
          <w:tcPr>
            <w:tcW w:w="2340" w:type="dxa"/>
            <w:vAlign w:val="bottom"/>
          </w:tcPr>
          <w:p>
            <w:pPr>
              <w:spacing w:after="0"/>
              <w:rPr>
                <w:sz w:val="24"/>
                <w:szCs w:val="24"/>
                <w:color w:val="auto"/>
              </w:rPr>
            </w:pPr>
          </w:p>
        </w:tc>
        <w:tc>
          <w:tcPr>
            <w:tcW w:w="1380" w:type="dxa"/>
            <w:vAlign w:val="bottom"/>
          </w:tcPr>
          <w:p>
            <w:pPr>
              <w:ind w:left="760"/>
              <w:spacing w:after="0"/>
              <w:rPr>
                <w:sz w:val="20"/>
                <w:szCs w:val="20"/>
                <w:color w:val="auto"/>
              </w:rPr>
            </w:pPr>
            <w:r>
              <w:rPr>
                <w:rFonts w:ascii="Arial" w:cs="Arial" w:eastAsia="Arial" w:hAnsi="Arial"/>
                <w:sz w:val="18"/>
                <w:szCs w:val="18"/>
                <w:color w:val="auto"/>
              </w:rPr>
              <w:t>$</w:t>
            </w:r>
          </w:p>
        </w:tc>
        <w:tc>
          <w:tcPr>
            <w:tcW w:w="2460" w:type="dxa"/>
            <w:vAlign w:val="bottom"/>
            <w:gridSpan w:val="2"/>
          </w:tcPr>
          <w:p>
            <w:pPr>
              <w:ind w:left="180"/>
              <w:spacing w:after="0"/>
              <w:rPr>
                <w:sz w:val="20"/>
                <w:szCs w:val="20"/>
                <w:color w:val="auto"/>
              </w:rPr>
            </w:pPr>
            <w:r>
              <w:rPr>
                <w:rFonts w:ascii="Arial" w:cs="Arial" w:eastAsia="Arial" w:hAnsi="Arial"/>
                <w:sz w:val="18"/>
                <w:szCs w:val="18"/>
                <w:color w:val="auto"/>
                <w:w w:val="94"/>
              </w:rPr>
              <w:t>aggregate principal amount of</w:t>
            </w:r>
          </w:p>
        </w:tc>
        <w:tc>
          <w:tcPr>
            <w:tcW w:w="2460" w:type="dxa"/>
            <w:vAlign w:val="bottom"/>
          </w:tcPr>
          <w:p>
            <w:pPr>
              <w:ind w:left="180"/>
              <w:spacing w:after="0"/>
              <w:rPr>
                <w:sz w:val="20"/>
                <w:szCs w:val="20"/>
                <w:color w:val="auto"/>
              </w:rPr>
            </w:pPr>
            <w:r>
              <w:rPr>
                <w:rFonts w:ascii="Arial" w:cs="Arial" w:eastAsia="Arial" w:hAnsi="Arial"/>
                <w:sz w:val="18"/>
                <w:szCs w:val="18"/>
                <w:color w:val="auto"/>
              </w:rPr>
              <w:t>% Senior Notes due 2049</w:t>
            </w:r>
          </w:p>
        </w:tc>
      </w:tr>
      <w:tr>
        <w:trPr>
          <w:trHeight w:val="426"/>
        </w:trPr>
        <w:tc>
          <w:tcPr>
            <w:tcW w:w="2340" w:type="dxa"/>
            <w:vAlign w:val="bottom"/>
          </w:tcPr>
          <w:p>
            <w:pPr>
              <w:spacing w:after="0"/>
              <w:rPr>
                <w:sz w:val="20"/>
                <w:szCs w:val="20"/>
                <w:color w:val="auto"/>
              </w:rPr>
            </w:pPr>
            <w:r>
              <w:rPr>
                <w:rFonts w:ascii="Arial" w:cs="Arial" w:eastAsia="Arial" w:hAnsi="Arial"/>
                <w:sz w:val="18"/>
                <w:szCs w:val="18"/>
                <w:color w:val="auto"/>
              </w:rPr>
              <w:t>Subsidiary Guarantees</w:t>
            </w:r>
          </w:p>
        </w:tc>
        <w:tc>
          <w:tcPr>
            <w:tcW w:w="6300" w:type="dxa"/>
            <w:vAlign w:val="bottom"/>
            <w:gridSpan w:val="4"/>
          </w:tcPr>
          <w:p>
            <w:pPr>
              <w:ind w:left="760"/>
              <w:spacing w:after="0"/>
              <w:rPr>
                <w:sz w:val="20"/>
                <w:szCs w:val="20"/>
                <w:color w:val="auto"/>
              </w:rPr>
            </w:pPr>
            <w:r>
              <w:rPr>
                <w:rFonts w:ascii="Arial" w:cs="Arial" w:eastAsia="Arial" w:hAnsi="Arial"/>
                <w:sz w:val="18"/>
                <w:szCs w:val="18"/>
                <w:color w:val="auto"/>
                <w:w w:val="90"/>
              </w:rPr>
              <w:t>WM Holdings will fully and unconditionally guarantee, on a senior unsecured</w:t>
            </w:r>
          </w:p>
        </w:tc>
      </w:tr>
      <w:tr>
        <w:trPr>
          <w:trHeight w:val="216"/>
        </w:trPr>
        <w:tc>
          <w:tcPr>
            <w:tcW w:w="2340" w:type="dxa"/>
            <w:vAlign w:val="bottom"/>
          </w:tcPr>
          <w:p>
            <w:pPr>
              <w:spacing w:after="0"/>
              <w:rPr>
                <w:sz w:val="18"/>
                <w:szCs w:val="18"/>
                <w:color w:val="auto"/>
              </w:rPr>
            </w:pPr>
          </w:p>
        </w:tc>
        <w:tc>
          <w:tcPr>
            <w:tcW w:w="6300" w:type="dxa"/>
            <w:vAlign w:val="bottom"/>
            <w:gridSpan w:val="4"/>
          </w:tcPr>
          <w:p>
            <w:pPr>
              <w:ind w:left="760"/>
              <w:spacing w:after="0"/>
              <w:rPr>
                <w:sz w:val="20"/>
                <w:szCs w:val="20"/>
                <w:color w:val="auto"/>
              </w:rPr>
            </w:pPr>
            <w:r>
              <w:rPr>
                <w:rFonts w:ascii="Arial" w:cs="Arial" w:eastAsia="Arial" w:hAnsi="Arial"/>
                <w:sz w:val="18"/>
                <w:szCs w:val="18"/>
                <w:color w:val="auto"/>
                <w:w w:val="95"/>
              </w:rPr>
              <w:t>basis, the full and prompt payment of the principal and any premium and</w:t>
            </w:r>
          </w:p>
        </w:tc>
      </w:tr>
      <w:tr>
        <w:trPr>
          <w:trHeight w:val="216"/>
        </w:trPr>
        <w:tc>
          <w:tcPr>
            <w:tcW w:w="2340" w:type="dxa"/>
            <w:vAlign w:val="bottom"/>
          </w:tcPr>
          <w:p>
            <w:pPr>
              <w:spacing w:after="0"/>
              <w:rPr>
                <w:sz w:val="18"/>
                <w:szCs w:val="18"/>
                <w:color w:val="auto"/>
              </w:rPr>
            </w:pPr>
          </w:p>
        </w:tc>
        <w:tc>
          <w:tcPr>
            <w:tcW w:w="6300" w:type="dxa"/>
            <w:vAlign w:val="bottom"/>
            <w:gridSpan w:val="4"/>
          </w:tcPr>
          <w:p>
            <w:pPr>
              <w:ind w:left="760"/>
              <w:spacing w:after="0"/>
              <w:rPr>
                <w:sz w:val="20"/>
                <w:szCs w:val="20"/>
                <w:color w:val="auto"/>
              </w:rPr>
            </w:pPr>
            <w:r>
              <w:rPr>
                <w:rFonts w:ascii="Arial" w:cs="Arial" w:eastAsia="Arial" w:hAnsi="Arial"/>
                <w:sz w:val="18"/>
                <w:szCs w:val="18"/>
                <w:color w:val="auto"/>
                <w:w w:val="85"/>
              </w:rPr>
              <w:t>interest on the notes of each series, when and as they become due and payable,</w:t>
            </w:r>
          </w:p>
        </w:tc>
      </w:tr>
      <w:tr>
        <w:trPr>
          <w:trHeight w:val="222"/>
        </w:trPr>
        <w:tc>
          <w:tcPr>
            <w:tcW w:w="2340" w:type="dxa"/>
            <w:vAlign w:val="bottom"/>
          </w:tcPr>
          <w:p>
            <w:pPr>
              <w:spacing w:after="0"/>
              <w:rPr>
                <w:sz w:val="19"/>
                <w:szCs w:val="19"/>
                <w:color w:val="auto"/>
              </w:rPr>
            </w:pPr>
          </w:p>
        </w:tc>
        <w:tc>
          <w:tcPr>
            <w:tcW w:w="3840" w:type="dxa"/>
            <w:vAlign w:val="bottom"/>
            <w:gridSpan w:val="3"/>
          </w:tcPr>
          <w:p>
            <w:pPr>
              <w:ind w:left="760"/>
              <w:spacing w:after="0"/>
              <w:rPr>
                <w:sz w:val="20"/>
                <w:szCs w:val="20"/>
                <w:color w:val="auto"/>
              </w:rPr>
            </w:pPr>
            <w:r>
              <w:rPr>
                <w:rFonts w:ascii="Arial" w:cs="Arial" w:eastAsia="Arial" w:hAnsi="Arial"/>
                <w:sz w:val="18"/>
                <w:szCs w:val="18"/>
                <w:color w:val="auto"/>
              </w:rPr>
              <w:t>whether at maturity or otherwise.</w:t>
            </w:r>
          </w:p>
        </w:tc>
        <w:tc>
          <w:tcPr>
            <w:tcW w:w="2460" w:type="dxa"/>
            <w:vAlign w:val="bottom"/>
          </w:tcPr>
          <w:p>
            <w:pPr>
              <w:spacing w:after="0"/>
              <w:rPr>
                <w:sz w:val="19"/>
                <w:szCs w:val="19"/>
                <w:color w:val="auto"/>
              </w:rPr>
            </w:pPr>
          </w:p>
        </w:tc>
      </w:tr>
      <w:tr>
        <w:trPr>
          <w:trHeight w:val="432"/>
        </w:trPr>
        <w:tc>
          <w:tcPr>
            <w:tcW w:w="2340" w:type="dxa"/>
            <w:vAlign w:val="bottom"/>
          </w:tcPr>
          <w:p>
            <w:pPr>
              <w:spacing w:after="0"/>
              <w:rPr>
                <w:sz w:val="20"/>
                <w:szCs w:val="20"/>
                <w:color w:val="auto"/>
              </w:rPr>
            </w:pPr>
            <w:r>
              <w:rPr>
                <w:rFonts w:ascii="Arial" w:cs="Arial" w:eastAsia="Arial" w:hAnsi="Arial"/>
                <w:sz w:val="18"/>
                <w:szCs w:val="18"/>
                <w:color w:val="auto"/>
              </w:rPr>
              <w:t>Maturity Date</w:t>
            </w:r>
          </w:p>
        </w:tc>
        <w:tc>
          <w:tcPr>
            <w:tcW w:w="1880" w:type="dxa"/>
            <w:vAlign w:val="bottom"/>
            <w:gridSpan w:val="2"/>
          </w:tcPr>
          <w:p>
            <w:pPr>
              <w:ind w:left="760"/>
              <w:spacing w:after="0"/>
              <w:rPr>
                <w:sz w:val="20"/>
                <w:szCs w:val="20"/>
                <w:color w:val="auto"/>
              </w:rPr>
            </w:pPr>
            <w:r>
              <w:rPr>
                <w:rFonts w:ascii="Arial" w:cs="Arial" w:eastAsia="Arial" w:hAnsi="Arial"/>
                <w:sz w:val="18"/>
                <w:szCs w:val="18"/>
                <w:color w:val="auto"/>
              </w:rPr>
              <w:t>2024 notes—</w:t>
            </w:r>
          </w:p>
        </w:tc>
        <w:tc>
          <w:tcPr>
            <w:tcW w:w="1960" w:type="dxa"/>
            <w:vAlign w:val="bottom"/>
          </w:tcPr>
          <w:p>
            <w:pPr>
              <w:jc w:val="right"/>
              <w:ind w:right="552"/>
              <w:spacing w:after="0"/>
              <w:rPr>
                <w:sz w:val="20"/>
                <w:szCs w:val="20"/>
                <w:color w:val="auto"/>
              </w:rPr>
            </w:pPr>
            <w:r>
              <w:rPr>
                <w:rFonts w:ascii="Arial" w:cs="Arial" w:eastAsia="Arial" w:hAnsi="Arial"/>
                <w:sz w:val="18"/>
                <w:szCs w:val="18"/>
                <w:color w:val="auto"/>
              </w:rPr>
              <w:t>, 2024</w:t>
            </w:r>
          </w:p>
        </w:tc>
        <w:tc>
          <w:tcPr>
            <w:tcW w:w="2460" w:type="dxa"/>
            <w:vAlign w:val="bottom"/>
          </w:tcPr>
          <w:p>
            <w:pPr>
              <w:spacing w:after="0"/>
              <w:rPr>
                <w:sz w:val="24"/>
                <w:szCs w:val="24"/>
                <w:color w:val="auto"/>
              </w:rPr>
            </w:pPr>
          </w:p>
        </w:tc>
      </w:tr>
      <w:tr>
        <w:trPr>
          <w:trHeight w:val="432"/>
        </w:trPr>
        <w:tc>
          <w:tcPr>
            <w:tcW w:w="2340" w:type="dxa"/>
            <w:vAlign w:val="bottom"/>
          </w:tcPr>
          <w:p>
            <w:pPr>
              <w:spacing w:after="0"/>
              <w:rPr>
                <w:sz w:val="24"/>
                <w:szCs w:val="24"/>
                <w:color w:val="auto"/>
              </w:rPr>
            </w:pPr>
          </w:p>
        </w:tc>
        <w:tc>
          <w:tcPr>
            <w:tcW w:w="1880" w:type="dxa"/>
            <w:vAlign w:val="bottom"/>
            <w:gridSpan w:val="2"/>
          </w:tcPr>
          <w:p>
            <w:pPr>
              <w:ind w:left="760"/>
              <w:spacing w:after="0"/>
              <w:rPr>
                <w:sz w:val="20"/>
                <w:szCs w:val="20"/>
                <w:color w:val="auto"/>
              </w:rPr>
            </w:pPr>
            <w:r>
              <w:rPr>
                <w:rFonts w:ascii="Arial" w:cs="Arial" w:eastAsia="Arial" w:hAnsi="Arial"/>
                <w:sz w:val="18"/>
                <w:szCs w:val="18"/>
                <w:color w:val="auto"/>
              </w:rPr>
              <w:t>2026 notes—</w:t>
            </w:r>
          </w:p>
        </w:tc>
        <w:tc>
          <w:tcPr>
            <w:tcW w:w="1960" w:type="dxa"/>
            <w:vAlign w:val="bottom"/>
          </w:tcPr>
          <w:p>
            <w:pPr>
              <w:jc w:val="right"/>
              <w:ind w:right="552"/>
              <w:spacing w:after="0"/>
              <w:rPr>
                <w:sz w:val="20"/>
                <w:szCs w:val="20"/>
                <w:color w:val="auto"/>
              </w:rPr>
            </w:pPr>
            <w:r>
              <w:rPr>
                <w:rFonts w:ascii="Arial" w:cs="Arial" w:eastAsia="Arial" w:hAnsi="Arial"/>
                <w:sz w:val="18"/>
                <w:szCs w:val="18"/>
                <w:color w:val="auto"/>
              </w:rPr>
              <w:t>, 2026</w:t>
            </w:r>
          </w:p>
        </w:tc>
        <w:tc>
          <w:tcPr>
            <w:tcW w:w="2460" w:type="dxa"/>
            <w:vAlign w:val="bottom"/>
          </w:tcPr>
          <w:p>
            <w:pPr>
              <w:spacing w:after="0"/>
              <w:rPr>
                <w:sz w:val="24"/>
                <w:szCs w:val="24"/>
                <w:color w:val="auto"/>
              </w:rPr>
            </w:pPr>
          </w:p>
        </w:tc>
      </w:tr>
      <w:tr>
        <w:trPr>
          <w:trHeight w:val="432"/>
        </w:trPr>
        <w:tc>
          <w:tcPr>
            <w:tcW w:w="2340" w:type="dxa"/>
            <w:vAlign w:val="bottom"/>
          </w:tcPr>
          <w:p>
            <w:pPr>
              <w:spacing w:after="0"/>
              <w:rPr>
                <w:sz w:val="24"/>
                <w:szCs w:val="24"/>
                <w:color w:val="auto"/>
              </w:rPr>
            </w:pPr>
          </w:p>
        </w:tc>
        <w:tc>
          <w:tcPr>
            <w:tcW w:w="1880" w:type="dxa"/>
            <w:vAlign w:val="bottom"/>
            <w:gridSpan w:val="2"/>
          </w:tcPr>
          <w:p>
            <w:pPr>
              <w:ind w:left="760"/>
              <w:spacing w:after="0"/>
              <w:rPr>
                <w:sz w:val="20"/>
                <w:szCs w:val="20"/>
                <w:color w:val="auto"/>
              </w:rPr>
            </w:pPr>
            <w:r>
              <w:rPr>
                <w:rFonts w:ascii="Arial" w:cs="Arial" w:eastAsia="Arial" w:hAnsi="Arial"/>
                <w:sz w:val="18"/>
                <w:szCs w:val="18"/>
                <w:color w:val="auto"/>
              </w:rPr>
              <w:t>2029 notes—</w:t>
            </w:r>
          </w:p>
        </w:tc>
        <w:tc>
          <w:tcPr>
            <w:tcW w:w="1960" w:type="dxa"/>
            <w:vAlign w:val="bottom"/>
          </w:tcPr>
          <w:p>
            <w:pPr>
              <w:jc w:val="right"/>
              <w:ind w:right="552"/>
              <w:spacing w:after="0"/>
              <w:rPr>
                <w:sz w:val="20"/>
                <w:szCs w:val="20"/>
                <w:color w:val="auto"/>
              </w:rPr>
            </w:pPr>
            <w:r>
              <w:rPr>
                <w:rFonts w:ascii="Arial" w:cs="Arial" w:eastAsia="Arial" w:hAnsi="Arial"/>
                <w:sz w:val="18"/>
                <w:szCs w:val="18"/>
                <w:color w:val="auto"/>
              </w:rPr>
              <w:t>, 2029</w:t>
            </w:r>
          </w:p>
        </w:tc>
        <w:tc>
          <w:tcPr>
            <w:tcW w:w="2460" w:type="dxa"/>
            <w:vAlign w:val="bottom"/>
          </w:tcPr>
          <w:p>
            <w:pPr>
              <w:spacing w:after="0"/>
              <w:rPr>
                <w:sz w:val="24"/>
                <w:szCs w:val="24"/>
                <w:color w:val="auto"/>
              </w:rPr>
            </w:pPr>
          </w:p>
        </w:tc>
      </w:tr>
      <w:tr>
        <w:trPr>
          <w:trHeight w:val="432"/>
        </w:trPr>
        <w:tc>
          <w:tcPr>
            <w:tcW w:w="2340" w:type="dxa"/>
            <w:vAlign w:val="bottom"/>
          </w:tcPr>
          <w:p>
            <w:pPr>
              <w:spacing w:after="0"/>
              <w:rPr>
                <w:sz w:val="24"/>
                <w:szCs w:val="24"/>
                <w:color w:val="auto"/>
              </w:rPr>
            </w:pPr>
          </w:p>
        </w:tc>
        <w:tc>
          <w:tcPr>
            <w:tcW w:w="1880" w:type="dxa"/>
            <w:vAlign w:val="bottom"/>
            <w:gridSpan w:val="2"/>
          </w:tcPr>
          <w:p>
            <w:pPr>
              <w:ind w:left="760"/>
              <w:spacing w:after="0"/>
              <w:rPr>
                <w:sz w:val="20"/>
                <w:szCs w:val="20"/>
                <w:color w:val="auto"/>
              </w:rPr>
            </w:pPr>
            <w:r>
              <w:rPr>
                <w:rFonts w:ascii="Arial" w:cs="Arial" w:eastAsia="Arial" w:hAnsi="Arial"/>
                <w:sz w:val="18"/>
                <w:szCs w:val="18"/>
                <w:color w:val="auto"/>
              </w:rPr>
              <w:t>2039 notes—</w:t>
            </w:r>
          </w:p>
        </w:tc>
        <w:tc>
          <w:tcPr>
            <w:tcW w:w="1960" w:type="dxa"/>
            <w:vAlign w:val="bottom"/>
          </w:tcPr>
          <w:p>
            <w:pPr>
              <w:jc w:val="right"/>
              <w:ind w:right="552"/>
              <w:spacing w:after="0"/>
              <w:rPr>
                <w:sz w:val="20"/>
                <w:szCs w:val="20"/>
                <w:color w:val="auto"/>
              </w:rPr>
            </w:pPr>
            <w:r>
              <w:rPr>
                <w:rFonts w:ascii="Arial" w:cs="Arial" w:eastAsia="Arial" w:hAnsi="Arial"/>
                <w:sz w:val="18"/>
                <w:szCs w:val="18"/>
                <w:color w:val="auto"/>
              </w:rPr>
              <w:t>, 2039</w:t>
            </w:r>
          </w:p>
        </w:tc>
        <w:tc>
          <w:tcPr>
            <w:tcW w:w="2460" w:type="dxa"/>
            <w:vAlign w:val="bottom"/>
          </w:tcPr>
          <w:p>
            <w:pPr>
              <w:spacing w:after="0"/>
              <w:rPr>
                <w:sz w:val="24"/>
                <w:szCs w:val="24"/>
                <w:color w:val="auto"/>
              </w:rPr>
            </w:pPr>
          </w:p>
        </w:tc>
      </w:tr>
      <w:tr>
        <w:trPr>
          <w:trHeight w:val="432"/>
        </w:trPr>
        <w:tc>
          <w:tcPr>
            <w:tcW w:w="2340" w:type="dxa"/>
            <w:vAlign w:val="bottom"/>
          </w:tcPr>
          <w:p>
            <w:pPr>
              <w:spacing w:after="0"/>
              <w:rPr>
                <w:sz w:val="24"/>
                <w:szCs w:val="24"/>
                <w:color w:val="auto"/>
              </w:rPr>
            </w:pPr>
          </w:p>
        </w:tc>
        <w:tc>
          <w:tcPr>
            <w:tcW w:w="1880" w:type="dxa"/>
            <w:vAlign w:val="bottom"/>
            <w:gridSpan w:val="2"/>
          </w:tcPr>
          <w:p>
            <w:pPr>
              <w:ind w:left="760"/>
              <w:spacing w:after="0"/>
              <w:rPr>
                <w:sz w:val="20"/>
                <w:szCs w:val="20"/>
                <w:color w:val="auto"/>
              </w:rPr>
            </w:pPr>
            <w:r>
              <w:rPr>
                <w:rFonts w:ascii="Arial" w:cs="Arial" w:eastAsia="Arial" w:hAnsi="Arial"/>
                <w:sz w:val="18"/>
                <w:szCs w:val="18"/>
                <w:color w:val="auto"/>
              </w:rPr>
              <w:t>2049 notes—</w:t>
            </w:r>
          </w:p>
        </w:tc>
        <w:tc>
          <w:tcPr>
            <w:tcW w:w="1960" w:type="dxa"/>
            <w:vAlign w:val="bottom"/>
          </w:tcPr>
          <w:p>
            <w:pPr>
              <w:jc w:val="right"/>
              <w:ind w:right="552"/>
              <w:spacing w:after="0"/>
              <w:rPr>
                <w:sz w:val="20"/>
                <w:szCs w:val="20"/>
                <w:color w:val="auto"/>
              </w:rPr>
            </w:pPr>
            <w:r>
              <w:rPr>
                <w:rFonts w:ascii="Arial" w:cs="Arial" w:eastAsia="Arial" w:hAnsi="Arial"/>
                <w:sz w:val="18"/>
                <w:szCs w:val="18"/>
                <w:color w:val="auto"/>
              </w:rPr>
              <w:t>, 2049</w:t>
            </w:r>
          </w:p>
        </w:tc>
        <w:tc>
          <w:tcPr>
            <w:tcW w:w="2460" w:type="dxa"/>
            <w:vAlign w:val="bottom"/>
          </w:tcPr>
          <w:p>
            <w:pPr>
              <w:spacing w:after="0"/>
              <w:rPr>
                <w:sz w:val="24"/>
                <w:szCs w:val="24"/>
                <w:color w:val="auto"/>
              </w:rPr>
            </w:pPr>
          </w:p>
        </w:tc>
      </w:tr>
      <w:tr>
        <w:trPr>
          <w:trHeight w:val="432"/>
        </w:trPr>
        <w:tc>
          <w:tcPr>
            <w:tcW w:w="2340" w:type="dxa"/>
            <w:vAlign w:val="bottom"/>
          </w:tcPr>
          <w:p>
            <w:pPr>
              <w:spacing w:after="0"/>
              <w:rPr>
                <w:sz w:val="20"/>
                <w:szCs w:val="20"/>
                <w:color w:val="auto"/>
              </w:rPr>
            </w:pPr>
            <w:r>
              <w:rPr>
                <w:rFonts w:ascii="Arial" w:cs="Arial" w:eastAsia="Arial" w:hAnsi="Arial"/>
                <w:sz w:val="18"/>
                <w:szCs w:val="18"/>
                <w:color w:val="auto"/>
              </w:rPr>
              <w:t>Interest Rate</w:t>
            </w:r>
          </w:p>
        </w:tc>
        <w:tc>
          <w:tcPr>
            <w:tcW w:w="1880" w:type="dxa"/>
            <w:vAlign w:val="bottom"/>
            <w:gridSpan w:val="2"/>
          </w:tcPr>
          <w:p>
            <w:pPr>
              <w:ind w:left="760"/>
              <w:spacing w:after="0"/>
              <w:rPr>
                <w:sz w:val="20"/>
                <w:szCs w:val="20"/>
                <w:color w:val="auto"/>
              </w:rPr>
            </w:pPr>
            <w:r>
              <w:rPr>
                <w:rFonts w:ascii="Arial" w:cs="Arial" w:eastAsia="Arial" w:hAnsi="Arial"/>
                <w:sz w:val="18"/>
                <w:szCs w:val="18"/>
                <w:color w:val="auto"/>
              </w:rPr>
              <w:t>2024 notes—</w:t>
            </w:r>
          </w:p>
        </w:tc>
        <w:tc>
          <w:tcPr>
            <w:tcW w:w="1960" w:type="dxa"/>
            <w:vAlign w:val="bottom"/>
          </w:tcPr>
          <w:p>
            <w:pPr>
              <w:jc w:val="right"/>
              <w:ind w:right="932"/>
              <w:spacing w:after="0"/>
              <w:rPr>
                <w:sz w:val="20"/>
                <w:szCs w:val="20"/>
                <w:color w:val="auto"/>
              </w:rPr>
            </w:pPr>
            <w:r>
              <w:rPr>
                <w:rFonts w:ascii="Arial" w:cs="Arial" w:eastAsia="Arial" w:hAnsi="Arial"/>
                <w:sz w:val="18"/>
                <w:szCs w:val="18"/>
                <w:color w:val="auto"/>
              </w:rPr>
              <w:t>% per year</w:t>
            </w:r>
          </w:p>
        </w:tc>
        <w:tc>
          <w:tcPr>
            <w:tcW w:w="2460" w:type="dxa"/>
            <w:vAlign w:val="bottom"/>
          </w:tcPr>
          <w:p>
            <w:pPr>
              <w:spacing w:after="0"/>
              <w:rPr>
                <w:sz w:val="24"/>
                <w:szCs w:val="24"/>
                <w:color w:val="auto"/>
              </w:rPr>
            </w:pPr>
          </w:p>
        </w:tc>
      </w:tr>
      <w:tr>
        <w:trPr>
          <w:trHeight w:val="432"/>
        </w:trPr>
        <w:tc>
          <w:tcPr>
            <w:tcW w:w="2340" w:type="dxa"/>
            <w:vAlign w:val="bottom"/>
          </w:tcPr>
          <w:p>
            <w:pPr>
              <w:spacing w:after="0"/>
              <w:rPr>
                <w:sz w:val="24"/>
                <w:szCs w:val="24"/>
                <w:color w:val="auto"/>
              </w:rPr>
            </w:pPr>
          </w:p>
        </w:tc>
        <w:tc>
          <w:tcPr>
            <w:tcW w:w="1880" w:type="dxa"/>
            <w:vAlign w:val="bottom"/>
            <w:gridSpan w:val="2"/>
          </w:tcPr>
          <w:p>
            <w:pPr>
              <w:ind w:left="760"/>
              <w:spacing w:after="0"/>
              <w:rPr>
                <w:sz w:val="20"/>
                <w:szCs w:val="20"/>
                <w:color w:val="auto"/>
              </w:rPr>
            </w:pPr>
            <w:r>
              <w:rPr>
                <w:rFonts w:ascii="Arial" w:cs="Arial" w:eastAsia="Arial" w:hAnsi="Arial"/>
                <w:sz w:val="18"/>
                <w:szCs w:val="18"/>
                <w:color w:val="auto"/>
              </w:rPr>
              <w:t>2026 notes—</w:t>
            </w:r>
          </w:p>
        </w:tc>
        <w:tc>
          <w:tcPr>
            <w:tcW w:w="1960" w:type="dxa"/>
            <w:vAlign w:val="bottom"/>
          </w:tcPr>
          <w:p>
            <w:pPr>
              <w:jc w:val="right"/>
              <w:ind w:right="932"/>
              <w:spacing w:after="0"/>
              <w:rPr>
                <w:sz w:val="20"/>
                <w:szCs w:val="20"/>
                <w:color w:val="auto"/>
              </w:rPr>
            </w:pPr>
            <w:r>
              <w:rPr>
                <w:rFonts w:ascii="Arial" w:cs="Arial" w:eastAsia="Arial" w:hAnsi="Arial"/>
                <w:sz w:val="18"/>
                <w:szCs w:val="18"/>
                <w:color w:val="auto"/>
              </w:rPr>
              <w:t>% per year</w:t>
            </w:r>
          </w:p>
        </w:tc>
        <w:tc>
          <w:tcPr>
            <w:tcW w:w="2460" w:type="dxa"/>
            <w:vAlign w:val="bottom"/>
          </w:tcPr>
          <w:p>
            <w:pPr>
              <w:spacing w:after="0"/>
              <w:rPr>
                <w:sz w:val="24"/>
                <w:szCs w:val="24"/>
                <w:color w:val="auto"/>
              </w:rPr>
            </w:pPr>
          </w:p>
        </w:tc>
      </w:tr>
      <w:tr>
        <w:trPr>
          <w:trHeight w:val="432"/>
        </w:trPr>
        <w:tc>
          <w:tcPr>
            <w:tcW w:w="2340" w:type="dxa"/>
            <w:vAlign w:val="bottom"/>
          </w:tcPr>
          <w:p>
            <w:pPr>
              <w:spacing w:after="0"/>
              <w:rPr>
                <w:sz w:val="24"/>
                <w:szCs w:val="24"/>
                <w:color w:val="auto"/>
              </w:rPr>
            </w:pPr>
          </w:p>
        </w:tc>
        <w:tc>
          <w:tcPr>
            <w:tcW w:w="1880" w:type="dxa"/>
            <w:vAlign w:val="bottom"/>
            <w:gridSpan w:val="2"/>
          </w:tcPr>
          <w:p>
            <w:pPr>
              <w:ind w:left="760"/>
              <w:spacing w:after="0"/>
              <w:rPr>
                <w:sz w:val="20"/>
                <w:szCs w:val="20"/>
                <w:color w:val="auto"/>
              </w:rPr>
            </w:pPr>
            <w:r>
              <w:rPr>
                <w:rFonts w:ascii="Arial" w:cs="Arial" w:eastAsia="Arial" w:hAnsi="Arial"/>
                <w:sz w:val="18"/>
                <w:szCs w:val="18"/>
                <w:color w:val="auto"/>
              </w:rPr>
              <w:t>2029 notes—</w:t>
            </w:r>
          </w:p>
        </w:tc>
        <w:tc>
          <w:tcPr>
            <w:tcW w:w="1960" w:type="dxa"/>
            <w:vAlign w:val="bottom"/>
          </w:tcPr>
          <w:p>
            <w:pPr>
              <w:jc w:val="right"/>
              <w:ind w:right="932"/>
              <w:spacing w:after="0"/>
              <w:rPr>
                <w:sz w:val="20"/>
                <w:szCs w:val="20"/>
                <w:color w:val="auto"/>
              </w:rPr>
            </w:pPr>
            <w:r>
              <w:rPr>
                <w:rFonts w:ascii="Arial" w:cs="Arial" w:eastAsia="Arial" w:hAnsi="Arial"/>
                <w:sz w:val="18"/>
                <w:szCs w:val="18"/>
                <w:color w:val="auto"/>
              </w:rPr>
              <w:t>% per year</w:t>
            </w:r>
          </w:p>
        </w:tc>
        <w:tc>
          <w:tcPr>
            <w:tcW w:w="2460" w:type="dxa"/>
            <w:vAlign w:val="bottom"/>
          </w:tcPr>
          <w:p>
            <w:pPr>
              <w:spacing w:after="0"/>
              <w:rPr>
                <w:sz w:val="24"/>
                <w:szCs w:val="24"/>
                <w:color w:val="auto"/>
              </w:rPr>
            </w:pPr>
          </w:p>
        </w:tc>
      </w:tr>
      <w:tr>
        <w:trPr>
          <w:trHeight w:val="432"/>
        </w:trPr>
        <w:tc>
          <w:tcPr>
            <w:tcW w:w="2340" w:type="dxa"/>
            <w:vAlign w:val="bottom"/>
          </w:tcPr>
          <w:p>
            <w:pPr>
              <w:spacing w:after="0"/>
              <w:rPr>
                <w:sz w:val="24"/>
                <w:szCs w:val="24"/>
                <w:color w:val="auto"/>
              </w:rPr>
            </w:pPr>
          </w:p>
        </w:tc>
        <w:tc>
          <w:tcPr>
            <w:tcW w:w="1880" w:type="dxa"/>
            <w:vAlign w:val="bottom"/>
            <w:gridSpan w:val="2"/>
          </w:tcPr>
          <w:p>
            <w:pPr>
              <w:ind w:left="760"/>
              <w:spacing w:after="0"/>
              <w:rPr>
                <w:sz w:val="20"/>
                <w:szCs w:val="20"/>
                <w:color w:val="auto"/>
              </w:rPr>
            </w:pPr>
            <w:r>
              <w:rPr>
                <w:rFonts w:ascii="Arial" w:cs="Arial" w:eastAsia="Arial" w:hAnsi="Arial"/>
                <w:sz w:val="18"/>
                <w:szCs w:val="18"/>
                <w:color w:val="auto"/>
              </w:rPr>
              <w:t>2039 notes—</w:t>
            </w:r>
          </w:p>
        </w:tc>
        <w:tc>
          <w:tcPr>
            <w:tcW w:w="1960" w:type="dxa"/>
            <w:vAlign w:val="bottom"/>
          </w:tcPr>
          <w:p>
            <w:pPr>
              <w:jc w:val="right"/>
              <w:ind w:right="932"/>
              <w:spacing w:after="0"/>
              <w:rPr>
                <w:sz w:val="20"/>
                <w:szCs w:val="20"/>
                <w:color w:val="auto"/>
              </w:rPr>
            </w:pPr>
            <w:r>
              <w:rPr>
                <w:rFonts w:ascii="Arial" w:cs="Arial" w:eastAsia="Arial" w:hAnsi="Arial"/>
                <w:sz w:val="18"/>
                <w:szCs w:val="18"/>
                <w:color w:val="auto"/>
              </w:rPr>
              <w:t>% per year</w:t>
            </w:r>
          </w:p>
        </w:tc>
        <w:tc>
          <w:tcPr>
            <w:tcW w:w="2460" w:type="dxa"/>
            <w:vAlign w:val="bottom"/>
          </w:tcPr>
          <w:p>
            <w:pPr>
              <w:spacing w:after="0"/>
              <w:rPr>
                <w:sz w:val="24"/>
                <w:szCs w:val="24"/>
                <w:color w:val="auto"/>
              </w:rPr>
            </w:pPr>
          </w:p>
        </w:tc>
      </w:tr>
      <w:tr>
        <w:trPr>
          <w:trHeight w:val="432"/>
        </w:trPr>
        <w:tc>
          <w:tcPr>
            <w:tcW w:w="2340" w:type="dxa"/>
            <w:vAlign w:val="bottom"/>
          </w:tcPr>
          <w:p>
            <w:pPr>
              <w:spacing w:after="0"/>
              <w:rPr>
                <w:sz w:val="24"/>
                <w:szCs w:val="24"/>
                <w:color w:val="auto"/>
              </w:rPr>
            </w:pPr>
          </w:p>
        </w:tc>
        <w:tc>
          <w:tcPr>
            <w:tcW w:w="1880" w:type="dxa"/>
            <w:vAlign w:val="bottom"/>
            <w:gridSpan w:val="2"/>
          </w:tcPr>
          <w:p>
            <w:pPr>
              <w:ind w:left="760"/>
              <w:spacing w:after="0"/>
              <w:rPr>
                <w:sz w:val="20"/>
                <w:szCs w:val="20"/>
                <w:color w:val="auto"/>
              </w:rPr>
            </w:pPr>
            <w:r>
              <w:rPr>
                <w:rFonts w:ascii="Arial" w:cs="Arial" w:eastAsia="Arial" w:hAnsi="Arial"/>
                <w:sz w:val="18"/>
                <w:szCs w:val="18"/>
                <w:color w:val="auto"/>
              </w:rPr>
              <w:t>2049 notes—</w:t>
            </w:r>
          </w:p>
        </w:tc>
        <w:tc>
          <w:tcPr>
            <w:tcW w:w="1960" w:type="dxa"/>
            <w:vAlign w:val="bottom"/>
          </w:tcPr>
          <w:p>
            <w:pPr>
              <w:jc w:val="right"/>
              <w:ind w:right="932"/>
              <w:spacing w:after="0"/>
              <w:rPr>
                <w:sz w:val="20"/>
                <w:szCs w:val="20"/>
                <w:color w:val="auto"/>
              </w:rPr>
            </w:pPr>
            <w:r>
              <w:rPr>
                <w:rFonts w:ascii="Arial" w:cs="Arial" w:eastAsia="Arial" w:hAnsi="Arial"/>
                <w:sz w:val="18"/>
                <w:szCs w:val="18"/>
                <w:color w:val="auto"/>
              </w:rPr>
              <w:t>% per year</w:t>
            </w:r>
          </w:p>
        </w:tc>
        <w:tc>
          <w:tcPr>
            <w:tcW w:w="2460" w:type="dxa"/>
            <w:vAlign w:val="bottom"/>
          </w:tcPr>
          <w:p>
            <w:pPr>
              <w:spacing w:after="0"/>
              <w:rPr>
                <w:sz w:val="24"/>
                <w:szCs w:val="24"/>
                <w:color w:val="auto"/>
              </w:rPr>
            </w:pPr>
          </w:p>
        </w:tc>
      </w:tr>
    </w:tbl>
    <w:p>
      <w:pPr>
        <w:spacing w:after="0" w:line="210" w:lineRule="exact"/>
        <w:rPr>
          <w:sz w:val="20"/>
          <w:szCs w:val="20"/>
          <w:color w:val="auto"/>
        </w:rPr>
      </w:pPr>
    </w:p>
    <w:p>
      <w:pPr>
        <w:ind w:left="1340"/>
        <w:spacing w:after="0"/>
        <w:tabs>
          <w:tab w:leader="none" w:pos="4420" w:val="left"/>
        </w:tabs>
        <w:rPr>
          <w:sz w:val="20"/>
          <w:szCs w:val="20"/>
          <w:color w:val="auto"/>
        </w:rPr>
      </w:pPr>
      <w:r>
        <w:rPr>
          <w:rFonts w:ascii="Arial" w:cs="Arial" w:eastAsia="Arial" w:hAnsi="Arial"/>
          <w:sz w:val="18"/>
          <w:szCs w:val="18"/>
          <w:color w:val="auto"/>
        </w:rPr>
        <w:t>Interest Payment Dates</w:t>
      </w:r>
      <w:r>
        <w:rPr>
          <w:sz w:val="20"/>
          <w:szCs w:val="20"/>
          <w:color w:val="auto"/>
        </w:rPr>
        <w:tab/>
      </w:r>
      <w:r>
        <w:rPr>
          <w:rFonts w:ascii="Arial" w:cs="Arial" w:eastAsia="Arial" w:hAnsi="Arial"/>
          <w:sz w:val="15"/>
          <w:szCs w:val="15"/>
          <w:color w:val="auto"/>
        </w:rPr>
        <w:t>For the 2024 notes, the 2026 notes and the 2029 notes,</w:t>
      </w:r>
    </w:p>
    <w:p>
      <w:pPr>
        <w:spacing w:after="0" w:line="15" w:lineRule="exact"/>
        <w:rPr>
          <w:sz w:val="20"/>
          <w:szCs w:val="20"/>
          <w:color w:val="auto"/>
        </w:rPr>
      </w:pPr>
    </w:p>
    <w:p>
      <w:pPr>
        <w:ind w:left="5500"/>
        <w:spacing w:after="0"/>
        <w:tabs>
          <w:tab w:leader="none" w:pos="6820" w:val="left"/>
          <w:tab w:leader="none" w:pos="952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w:t>
      </w:r>
      <w:r>
        <w:rPr>
          <w:sz w:val="20"/>
          <w:szCs w:val="20"/>
          <w:color w:val="auto"/>
        </w:rPr>
        <w:tab/>
      </w:r>
      <w:r>
        <w:rPr>
          <w:rFonts w:ascii="Arial" w:cs="Arial" w:eastAsia="Arial" w:hAnsi="Arial"/>
          <w:sz w:val="15"/>
          <w:szCs w:val="15"/>
          <w:color w:val="auto"/>
        </w:rPr>
        <w:t>, 2019.</w:t>
      </w:r>
    </w:p>
    <w:p>
      <w:pPr>
        <w:spacing w:after="0" w:line="219" w:lineRule="exact"/>
        <w:rPr>
          <w:sz w:val="20"/>
          <w:szCs w:val="20"/>
          <w:color w:val="auto"/>
        </w:rPr>
      </w:pPr>
    </w:p>
    <w:p>
      <w:pPr>
        <w:ind w:left="4440"/>
        <w:spacing w:after="0"/>
        <w:tabs>
          <w:tab w:leader="none" w:pos="8240" w:val="left"/>
          <w:tab w:leader="none" w:pos="9600" w:val="left"/>
        </w:tabs>
        <w:rPr>
          <w:sz w:val="20"/>
          <w:szCs w:val="20"/>
          <w:color w:val="auto"/>
        </w:rPr>
      </w:pPr>
      <w:r>
        <w:rPr>
          <w:rFonts w:ascii="Arial" w:cs="Arial" w:eastAsia="Arial" w:hAnsi="Arial"/>
          <w:sz w:val="18"/>
          <w:szCs w:val="18"/>
          <w:color w:val="auto"/>
        </w:rPr>
        <w:t>For the 2039 notes and the 2049 notes,</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of</w:t>
      </w:r>
    </w:p>
    <w:p>
      <w:pPr>
        <w:spacing w:after="0" w:line="15" w:lineRule="exact"/>
        <w:rPr>
          <w:sz w:val="20"/>
          <w:szCs w:val="20"/>
          <w:color w:val="auto"/>
        </w:rPr>
      </w:pPr>
    </w:p>
    <w:p>
      <w:pPr>
        <w:ind w:left="4440"/>
        <w:spacing w:after="0"/>
        <w:tabs>
          <w:tab w:leader="none" w:pos="6920" w:val="left"/>
        </w:tabs>
        <w:rPr>
          <w:sz w:val="20"/>
          <w:szCs w:val="20"/>
          <w:color w:val="auto"/>
        </w:rPr>
      </w:pPr>
      <w:r>
        <w:rPr>
          <w:rFonts w:ascii="Arial" w:cs="Arial" w:eastAsia="Arial" w:hAnsi="Arial"/>
          <w:sz w:val="18"/>
          <w:szCs w:val="18"/>
          <w:color w:val="auto"/>
        </w:rPr>
        <w:t>each year, beginning</w:t>
      </w:r>
      <w:r>
        <w:rPr>
          <w:sz w:val="20"/>
          <w:szCs w:val="20"/>
          <w:color w:val="auto"/>
        </w:rPr>
        <w:tab/>
      </w:r>
      <w:r>
        <w:rPr>
          <w:rFonts w:ascii="Arial" w:cs="Arial" w:eastAsia="Arial" w:hAnsi="Arial"/>
          <w:sz w:val="16"/>
          <w:szCs w:val="16"/>
          <w:color w:val="auto"/>
        </w:rPr>
        <w:t>, 2019.</w:t>
      </w:r>
    </w:p>
    <w:p>
      <w:pPr>
        <w:sectPr>
          <w:pgSz w:w="11900" w:h="16838" w:orient="portrait"/>
          <w:cols w:equalWidth="0" w:num="1">
            <w:col w:w="10840"/>
          </w:cols>
          <w:pgMar w:left="240" w:top="131"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131" w:right="81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400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Special Mandatory Redemption</w:t>
            </w:r>
          </w:p>
        </w:tc>
        <w:tc>
          <w:tcPr>
            <w:tcW w:w="7420" w:type="dxa"/>
            <w:vAlign w:val="bottom"/>
            <w:tcBorders>
              <w:top w:val="single" w:sz="8" w:color="auto"/>
              <w:right w:val="single" w:sz="8" w:color="auto"/>
            </w:tcBorders>
            <w:gridSpan w:val="4"/>
          </w:tcPr>
          <w:p>
            <w:pPr>
              <w:ind w:left="440"/>
              <w:spacing w:after="0"/>
              <w:rPr>
                <w:sz w:val="20"/>
                <w:szCs w:val="20"/>
                <w:color w:val="auto"/>
              </w:rPr>
            </w:pPr>
            <w:r>
              <w:rPr>
                <w:rFonts w:ascii="Arial" w:cs="Arial" w:eastAsia="Arial" w:hAnsi="Arial"/>
                <w:sz w:val="18"/>
                <w:szCs w:val="18"/>
                <w:color w:val="auto"/>
              </w:rPr>
              <w:t>If we do not consummate the Merger on or prior to July 14, 2020, or if, on or</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prior to such date, the Merger Agreement is terminated for any reason, then, in</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either case, we must redeem all of the outstanding 2024 notes, 2026 notes, 2029</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notes and 2039 notes at a redemption price equal to 101% of the aggregate</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principal amount thereof, plus accrued and unpaid interest to, but excluding, the</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redemption date. See "Description of Notes—Special Mandatory Redemption."</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The 2049 notes are not subject to the special mandatory redemption, and we</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expect the 2049 notes to remain outstanding even if we do not consummate the</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Merger. The proceeds from each series of notes offered in this offering will not</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be deposited into an escrow account, and you will not receive a security interest</w:t>
            </w:r>
          </w:p>
        </w:tc>
      </w:tr>
      <w:tr>
        <w:trPr>
          <w:trHeight w:val="222"/>
        </w:trPr>
        <w:tc>
          <w:tcPr>
            <w:tcW w:w="4000" w:type="dxa"/>
            <w:vAlign w:val="bottom"/>
            <w:tcBorders>
              <w:left w:val="single" w:sz="8" w:color="auto"/>
            </w:tcBorders>
          </w:tcPr>
          <w:p>
            <w:pPr>
              <w:spacing w:after="0"/>
              <w:rPr>
                <w:sz w:val="19"/>
                <w:szCs w:val="19"/>
                <w:color w:val="auto"/>
              </w:rPr>
            </w:pPr>
          </w:p>
        </w:tc>
        <w:tc>
          <w:tcPr>
            <w:tcW w:w="1900" w:type="dxa"/>
            <w:vAlign w:val="bottom"/>
          </w:tcPr>
          <w:p>
            <w:pPr>
              <w:ind w:left="440"/>
              <w:spacing w:after="0"/>
              <w:rPr>
                <w:sz w:val="20"/>
                <w:szCs w:val="20"/>
                <w:color w:val="auto"/>
              </w:rPr>
            </w:pPr>
            <w:r>
              <w:rPr>
                <w:rFonts w:ascii="Arial" w:cs="Arial" w:eastAsia="Arial" w:hAnsi="Arial"/>
                <w:sz w:val="18"/>
                <w:szCs w:val="18"/>
                <w:color w:val="auto"/>
              </w:rPr>
              <w:t>in such proceeds.</w:t>
            </w:r>
          </w:p>
        </w:tc>
        <w:tc>
          <w:tcPr>
            <w:tcW w:w="16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r>
      <w:tr>
        <w:trPr>
          <w:trHeight w:val="426"/>
        </w:trPr>
        <w:tc>
          <w:tcPr>
            <w:tcW w:w="40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Optional Redemption</w:t>
            </w:r>
          </w:p>
        </w:tc>
        <w:tc>
          <w:tcPr>
            <w:tcW w:w="5640" w:type="dxa"/>
            <w:vAlign w:val="bottom"/>
            <w:gridSpan w:val="3"/>
          </w:tcPr>
          <w:p>
            <w:pPr>
              <w:ind w:left="440"/>
              <w:spacing w:after="0"/>
              <w:rPr>
                <w:sz w:val="20"/>
                <w:szCs w:val="20"/>
                <w:color w:val="auto"/>
              </w:rPr>
            </w:pPr>
            <w:r>
              <w:rPr>
                <w:rFonts w:ascii="Arial" w:cs="Arial" w:eastAsia="Arial" w:hAnsi="Arial"/>
                <w:sz w:val="18"/>
                <w:szCs w:val="18"/>
                <w:color w:val="auto"/>
                <w:w w:val="90"/>
              </w:rPr>
              <w:t>We may elect to redeem and repay any or all of the notes at any time in</w:t>
            </w:r>
          </w:p>
        </w:tc>
        <w:tc>
          <w:tcPr>
            <w:tcW w:w="1780" w:type="dxa"/>
            <w:vAlign w:val="bottom"/>
            <w:tcBorders>
              <w:right w:val="single" w:sz="8" w:color="auto"/>
            </w:tcBorders>
          </w:tcPr>
          <w:p>
            <w:pPr>
              <w:spacing w:after="0"/>
              <w:rPr>
                <w:sz w:val="24"/>
                <w:szCs w:val="24"/>
                <w:color w:val="auto"/>
              </w:rPr>
            </w:pP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minimum principal amounts of $2,000 or any integral multiple of $1,000 in</w:t>
            </w:r>
          </w:p>
        </w:tc>
      </w:tr>
      <w:tr>
        <w:trPr>
          <w:trHeight w:val="216"/>
        </w:trPr>
        <w:tc>
          <w:tcPr>
            <w:tcW w:w="4000" w:type="dxa"/>
            <w:vAlign w:val="bottom"/>
            <w:tcBorders>
              <w:left w:val="single" w:sz="8" w:color="auto"/>
            </w:tcBorders>
          </w:tcPr>
          <w:p>
            <w:pPr>
              <w:spacing w:after="0"/>
              <w:rPr>
                <w:sz w:val="18"/>
                <w:szCs w:val="18"/>
                <w:color w:val="auto"/>
              </w:rPr>
            </w:pPr>
          </w:p>
        </w:tc>
        <w:tc>
          <w:tcPr>
            <w:tcW w:w="5640" w:type="dxa"/>
            <w:vAlign w:val="bottom"/>
            <w:gridSpan w:val="3"/>
          </w:tcPr>
          <w:p>
            <w:pPr>
              <w:ind w:left="440"/>
              <w:spacing w:after="0"/>
              <w:rPr>
                <w:sz w:val="20"/>
                <w:szCs w:val="20"/>
                <w:color w:val="auto"/>
              </w:rPr>
            </w:pPr>
            <w:r>
              <w:rPr>
                <w:rFonts w:ascii="Arial" w:cs="Arial" w:eastAsia="Arial" w:hAnsi="Arial"/>
                <w:sz w:val="18"/>
                <w:szCs w:val="18"/>
                <w:color w:val="auto"/>
                <w:w w:val="98"/>
              </w:rPr>
              <w:t>excess thereof. If we elect to redeem and repay (i) the 2024 notes</w:t>
            </w:r>
          </w:p>
        </w:tc>
        <w:tc>
          <w:tcPr>
            <w:tcW w:w="1780" w:type="dxa"/>
            <w:vAlign w:val="bottom"/>
            <w:tcBorders>
              <w:right w:val="single" w:sz="8" w:color="auto"/>
            </w:tcBorders>
          </w:tcPr>
          <w:p>
            <w:pPr>
              <w:spacing w:after="0"/>
              <w:rPr>
                <w:sz w:val="18"/>
                <w:szCs w:val="18"/>
                <w:color w:val="auto"/>
              </w:rPr>
            </w:pPr>
          </w:p>
        </w:tc>
      </w:tr>
      <w:tr>
        <w:trPr>
          <w:trHeight w:val="216"/>
        </w:trPr>
        <w:tc>
          <w:tcPr>
            <w:tcW w:w="4000" w:type="dxa"/>
            <w:vAlign w:val="bottom"/>
            <w:tcBorders>
              <w:left w:val="single" w:sz="8" w:color="auto"/>
            </w:tcBorders>
          </w:tcPr>
          <w:p>
            <w:pPr>
              <w:spacing w:after="0"/>
              <w:rPr>
                <w:sz w:val="18"/>
                <w:szCs w:val="18"/>
                <w:color w:val="auto"/>
              </w:rPr>
            </w:pPr>
          </w:p>
        </w:tc>
        <w:tc>
          <w:tcPr>
            <w:tcW w:w="1900" w:type="dxa"/>
            <w:vAlign w:val="bottom"/>
          </w:tcPr>
          <w:p>
            <w:pPr>
              <w:ind w:left="440"/>
              <w:spacing w:after="0"/>
              <w:rPr>
                <w:sz w:val="20"/>
                <w:szCs w:val="20"/>
                <w:color w:val="auto"/>
              </w:rPr>
            </w:pPr>
            <w:r>
              <w:rPr>
                <w:rFonts w:ascii="Arial" w:cs="Arial" w:eastAsia="Arial" w:hAnsi="Arial"/>
                <w:sz w:val="18"/>
                <w:szCs w:val="18"/>
                <w:color w:val="auto"/>
              </w:rPr>
              <w:t>before</w:t>
            </w:r>
          </w:p>
        </w:tc>
        <w:tc>
          <w:tcPr>
            <w:tcW w:w="5520" w:type="dxa"/>
            <w:vAlign w:val="bottom"/>
            <w:tcBorders>
              <w:right w:val="single" w:sz="8" w:color="auto"/>
            </w:tcBorders>
            <w:gridSpan w:val="3"/>
          </w:tcPr>
          <w:p>
            <w:pPr>
              <w:jc w:val="right"/>
              <w:ind w:right="1452"/>
              <w:spacing w:after="0"/>
              <w:rPr>
                <w:sz w:val="20"/>
                <w:szCs w:val="20"/>
                <w:color w:val="auto"/>
              </w:rPr>
            </w:pPr>
            <w:r>
              <w:rPr>
                <w:rFonts w:ascii="Arial" w:cs="Arial" w:eastAsia="Arial" w:hAnsi="Arial"/>
                <w:sz w:val="18"/>
                <w:szCs w:val="18"/>
                <w:color w:val="auto"/>
                <w:w w:val="89"/>
              </w:rPr>
              <w:t>, 2024 (one month prior to the maturity date of the 2024</w:t>
            </w:r>
          </w:p>
        </w:tc>
      </w:tr>
      <w:tr>
        <w:trPr>
          <w:trHeight w:val="216"/>
        </w:trPr>
        <w:tc>
          <w:tcPr>
            <w:tcW w:w="4000" w:type="dxa"/>
            <w:vAlign w:val="bottom"/>
            <w:tcBorders>
              <w:left w:val="single" w:sz="8" w:color="auto"/>
            </w:tcBorders>
          </w:tcPr>
          <w:p>
            <w:pPr>
              <w:spacing w:after="0"/>
              <w:rPr>
                <w:sz w:val="18"/>
                <w:szCs w:val="18"/>
                <w:color w:val="auto"/>
              </w:rPr>
            </w:pPr>
          </w:p>
        </w:tc>
        <w:tc>
          <w:tcPr>
            <w:tcW w:w="3520" w:type="dxa"/>
            <w:vAlign w:val="bottom"/>
            <w:gridSpan w:val="2"/>
          </w:tcPr>
          <w:p>
            <w:pPr>
              <w:ind w:left="440"/>
              <w:spacing w:after="0"/>
              <w:rPr>
                <w:sz w:val="20"/>
                <w:szCs w:val="20"/>
                <w:color w:val="auto"/>
              </w:rPr>
            </w:pPr>
            <w:r>
              <w:rPr>
                <w:rFonts w:ascii="Arial" w:cs="Arial" w:eastAsia="Arial" w:hAnsi="Arial"/>
                <w:sz w:val="18"/>
                <w:szCs w:val="18"/>
                <w:color w:val="auto"/>
              </w:rPr>
              <w:t>notes), (ii) the 2026 notes before</w:t>
            </w:r>
          </w:p>
        </w:tc>
        <w:tc>
          <w:tcPr>
            <w:tcW w:w="3900" w:type="dxa"/>
            <w:vAlign w:val="bottom"/>
            <w:tcBorders>
              <w:right w:val="single" w:sz="8" w:color="auto"/>
            </w:tcBorders>
            <w:gridSpan w:val="2"/>
          </w:tcPr>
          <w:p>
            <w:pPr>
              <w:jc w:val="right"/>
              <w:ind w:right="1352"/>
              <w:spacing w:after="0"/>
              <w:rPr>
                <w:sz w:val="20"/>
                <w:szCs w:val="20"/>
                <w:color w:val="auto"/>
              </w:rPr>
            </w:pPr>
            <w:r>
              <w:rPr>
                <w:rFonts w:ascii="Arial" w:cs="Arial" w:eastAsia="Arial" w:hAnsi="Arial"/>
                <w:sz w:val="18"/>
                <w:szCs w:val="18"/>
                <w:color w:val="auto"/>
                <w:w w:val="99"/>
              </w:rPr>
              <w:t>, 2026 (two months prior to the</w:t>
            </w:r>
          </w:p>
        </w:tc>
      </w:tr>
      <w:tr>
        <w:trPr>
          <w:trHeight w:val="216"/>
        </w:trPr>
        <w:tc>
          <w:tcPr>
            <w:tcW w:w="4000" w:type="dxa"/>
            <w:vAlign w:val="bottom"/>
            <w:tcBorders>
              <w:left w:val="single" w:sz="8" w:color="auto"/>
            </w:tcBorders>
          </w:tcPr>
          <w:p>
            <w:pPr>
              <w:spacing w:after="0"/>
              <w:rPr>
                <w:sz w:val="18"/>
                <w:szCs w:val="18"/>
                <w:color w:val="auto"/>
              </w:rPr>
            </w:pPr>
          </w:p>
        </w:tc>
        <w:tc>
          <w:tcPr>
            <w:tcW w:w="5640" w:type="dxa"/>
            <w:vAlign w:val="bottom"/>
            <w:gridSpan w:val="3"/>
          </w:tcPr>
          <w:p>
            <w:pPr>
              <w:ind w:left="440"/>
              <w:spacing w:after="0"/>
              <w:rPr>
                <w:sz w:val="20"/>
                <w:szCs w:val="20"/>
                <w:color w:val="auto"/>
              </w:rPr>
            </w:pPr>
            <w:r>
              <w:rPr>
                <w:rFonts w:ascii="Arial" w:cs="Arial" w:eastAsia="Arial" w:hAnsi="Arial"/>
                <w:sz w:val="18"/>
                <w:szCs w:val="18"/>
                <w:color w:val="auto"/>
              </w:rPr>
              <w:t>maturity date of the 2026 notes), (iii) the 2029 notes before</w:t>
            </w:r>
          </w:p>
        </w:tc>
        <w:tc>
          <w:tcPr>
            <w:tcW w:w="1780" w:type="dxa"/>
            <w:vAlign w:val="bottom"/>
            <w:tcBorders>
              <w:right w:val="single" w:sz="8" w:color="auto"/>
            </w:tcBorders>
          </w:tcPr>
          <w:p>
            <w:pPr>
              <w:jc w:val="right"/>
              <w:ind w:right="1632"/>
              <w:spacing w:after="0"/>
              <w:rPr>
                <w:sz w:val="20"/>
                <w:szCs w:val="20"/>
                <w:color w:val="auto"/>
              </w:rPr>
            </w:pPr>
            <w:r>
              <w:rPr>
                <w:rFonts w:ascii="Arial" w:cs="Arial" w:eastAsia="Arial" w:hAnsi="Arial"/>
                <w:sz w:val="18"/>
                <w:szCs w:val="18"/>
                <w:color w:val="auto"/>
                <w:w w:val="78"/>
              </w:rPr>
              <w:t>,</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2029 (three months prior to the maturity date of the 2029 notes), (iv) the 2039</w:t>
            </w:r>
          </w:p>
        </w:tc>
      </w:tr>
      <w:tr>
        <w:trPr>
          <w:trHeight w:val="216"/>
        </w:trPr>
        <w:tc>
          <w:tcPr>
            <w:tcW w:w="4000" w:type="dxa"/>
            <w:vAlign w:val="bottom"/>
            <w:tcBorders>
              <w:left w:val="single" w:sz="8" w:color="auto"/>
            </w:tcBorders>
          </w:tcPr>
          <w:p>
            <w:pPr>
              <w:spacing w:after="0"/>
              <w:rPr>
                <w:sz w:val="18"/>
                <w:szCs w:val="18"/>
                <w:color w:val="auto"/>
              </w:rPr>
            </w:pPr>
          </w:p>
        </w:tc>
        <w:tc>
          <w:tcPr>
            <w:tcW w:w="1900" w:type="dxa"/>
            <w:vAlign w:val="bottom"/>
          </w:tcPr>
          <w:p>
            <w:pPr>
              <w:ind w:left="440"/>
              <w:spacing w:after="0"/>
              <w:rPr>
                <w:sz w:val="20"/>
                <w:szCs w:val="20"/>
                <w:color w:val="auto"/>
              </w:rPr>
            </w:pPr>
            <w:r>
              <w:rPr>
                <w:rFonts w:ascii="Arial" w:cs="Arial" w:eastAsia="Arial" w:hAnsi="Arial"/>
                <w:sz w:val="18"/>
                <w:szCs w:val="18"/>
                <w:color w:val="auto"/>
              </w:rPr>
              <w:t>notes before</w:t>
            </w:r>
          </w:p>
        </w:tc>
        <w:tc>
          <w:tcPr>
            <w:tcW w:w="5520" w:type="dxa"/>
            <w:vAlign w:val="bottom"/>
            <w:tcBorders>
              <w:right w:val="single" w:sz="8" w:color="auto"/>
            </w:tcBorders>
            <w:gridSpan w:val="3"/>
          </w:tcPr>
          <w:p>
            <w:pPr>
              <w:jc w:val="right"/>
              <w:ind w:right="1412"/>
              <w:spacing w:after="0"/>
              <w:rPr>
                <w:sz w:val="20"/>
                <w:szCs w:val="20"/>
                <w:color w:val="auto"/>
              </w:rPr>
            </w:pPr>
            <w:r>
              <w:rPr>
                <w:rFonts w:ascii="Arial" w:cs="Arial" w:eastAsia="Arial" w:hAnsi="Arial"/>
                <w:sz w:val="18"/>
                <w:szCs w:val="18"/>
                <w:color w:val="auto"/>
              </w:rPr>
              <w:t>, 2038 (six months prior to the maturity date of the</w:t>
            </w:r>
          </w:p>
        </w:tc>
      </w:tr>
      <w:tr>
        <w:trPr>
          <w:trHeight w:val="216"/>
        </w:trPr>
        <w:tc>
          <w:tcPr>
            <w:tcW w:w="4000" w:type="dxa"/>
            <w:vAlign w:val="bottom"/>
            <w:tcBorders>
              <w:left w:val="single" w:sz="8" w:color="auto"/>
            </w:tcBorders>
          </w:tcPr>
          <w:p>
            <w:pPr>
              <w:spacing w:after="0"/>
              <w:rPr>
                <w:sz w:val="18"/>
                <w:szCs w:val="18"/>
                <w:color w:val="auto"/>
              </w:rPr>
            </w:pPr>
          </w:p>
        </w:tc>
        <w:tc>
          <w:tcPr>
            <w:tcW w:w="3520" w:type="dxa"/>
            <w:vAlign w:val="bottom"/>
            <w:gridSpan w:val="2"/>
          </w:tcPr>
          <w:p>
            <w:pPr>
              <w:ind w:left="440"/>
              <w:spacing w:after="0"/>
              <w:rPr>
                <w:sz w:val="20"/>
                <w:szCs w:val="20"/>
                <w:color w:val="auto"/>
              </w:rPr>
            </w:pPr>
            <w:r>
              <w:rPr>
                <w:rFonts w:ascii="Arial" w:cs="Arial" w:eastAsia="Arial" w:hAnsi="Arial"/>
                <w:sz w:val="18"/>
                <w:szCs w:val="18"/>
                <w:color w:val="auto"/>
                <w:w w:val="94"/>
              </w:rPr>
              <w:t>2039 notes) or (v) the 2049 notes before</w:t>
            </w:r>
          </w:p>
        </w:tc>
        <w:tc>
          <w:tcPr>
            <w:tcW w:w="3900" w:type="dxa"/>
            <w:vAlign w:val="bottom"/>
            <w:tcBorders>
              <w:right w:val="single" w:sz="8" w:color="auto"/>
            </w:tcBorders>
            <w:gridSpan w:val="2"/>
          </w:tcPr>
          <w:p>
            <w:pPr>
              <w:jc w:val="right"/>
              <w:ind w:right="1312"/>
              <w:spacing w:after="0"/>
              <w:rPr>
                <w:sz w:val="20"/>
                <w:szCs w:val="20"/>
                <w:color w:val="auto"/>
              </w:rPr>
            </w:pPr>
            <w:r>
              <w:rPr>
                <w:rFonts w:ascii="Arial" w:cs="Arial" w:eastAsia="Arial" w:hAnsi="Arial"/>
                <w:sz w:val="18"/>
                <w:szCs w:val="18"/>
                <w:color w:val="auto"/>
              </w:rPr>
              <w:t>, 2048 (six months prior</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to the maturity date of the 2049 notes), we will pay an amount equal to the</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greater of 100% of the principal amount of the notes of such series redeemed</w:t>
            </w:r>
          </w:p>
        </w:tc>
      </w:tr>
      <w:tr>
        <w:trPr>
          <w:trHeight w:val="216"/>
        </w:trPr>
        <w:tc>
          <w:tcPr>
            <w:tcW w:w="4000" w:type="dxa"/>
            <w:vAlign w:val="bottom"/>
            <w:tcBorders>
              <w:left w:val="single" w:sz="8" w:color="auto"/>
            </w:tcBorders>
          </w:tcPr>
          <w:p>
            <w:pPr>
              <w:spacing w:after="0"/>
              <w:rPr>
                <w:sz w:val="18"/>
                <w:szCs w:val="18"/>
                <w:color w:val="auto"/>
              </w:rPr>
            </w:pPr>
          </w:p>
        </w:tc>
        <w:tc>
          <w:tcPr>
            <w:tcW w:w="5640" w:type="dxa"/>
            <w:vAlign w:val="bottom"/>
            <w:gridSpan w:val="3"/>
          </w:tcPr>
          <w:p>
            <w:pPr>
              <w:ind w:left="440"/>
              <w:spacing w:after="0"/>
              <w:rPr>
                <w:sz w:val="20"/>
                <w:szCs w:val="20"/>
                <w:color w:val="auto"/>
              </w:rPr>
            </w:pPr>
            <w:r>
              <w:rPr>
                <w:rFonts w:ascii="Arial" w:cs="Arial" w:eastAsia="Arial" w:hAnsi="Arial"/>
                <w:sz w:val="18"/>
                <w:szCs w:val="18"/>
                <w:color w:val="auto"/>
                <w:w w:val="90"/>
              </w:rPr>
              <w:t>and repaid, or the sum of the present values of the remaining scheduled</w:t>
            </w:r>
          </w:p>
        </w:tc>
        <w:tc>
          <w:tcPr>
            <w:tcW w:w="1780" w:type="dxa"/>
            <w:vAlign w:val="bottom"/>
            <w:tcBorders>
              <w:right w:val="single" w:sz="8" w:color="auto"/>
            </w:tcBorders>
          </w:tcPr>
          <w:p>
            <w:pPr>
              <w:spacing w:after="0"/>
              <w:rPr>
                <w:sz w:val="18"/>
                <w:szCs w:val="18"/>
                <w:color w:val="auto"/>
              </w:rPr>
            </w:pP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payments of principal and interest on the notes of such series to be redeemed</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and repaid that would be due if such series of notes matured on the applicable</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par call date (exclusive of interest accrued to the date of redemption). If we</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elect to redeem and repay the notes of any series on or after the applicable par</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call date, we will pay an amount equal to 100% of the principal amount of the</w:t>
            </w:r>
          </w:p>
        </w:tc>
      </w:tr>
      <w:tr>
        <w:trPr>
          <w:trHeight w:val="222"/>
        </w:trPr>
        <w:tc>
          <w:tcPr>
            <w:tcW w:w="4000" w:type="dxa"/>
            <w:vAlign w:val="bottom"/>
            <w:tcBorders>
              <w:left w:val="single" w:sz="8" w:color="auto"/>
            </w:tcBorders>
          </w:tcPr>
          <w:p>
            <w:pPr>
              <w:spacing w:after="0"/>
              <w:rPr>
                <w:sz w:val="19"/>
                <w:szCs w:val="19"/>
                <w:color w:val="auto"/>
              </w:rPr>
            </w:pPr>
          </w:p>
        </w:tc>
        <w:tc>
          <w:tcPr>
            <w:tcW w:w="3520" w:type="dxa"/>
            <w:vAlign w:val="bottom"/>
            <w:gridSpan w:val="2"/>
          </w:tcPr>
          <w:p>
            <w:pPr>
              <w:ind w:left="440"/>
              <w:spacing w:after="0"/>
              <w:rPr>
                <w:sz w:val="20"/>
                <w:szCs w:val="20"/>
                <w:color w:val="auto"/>
              </w:rPr>
            </w:pPr>
            <w:r>
              <w:rPr>
                <w:rFonts w:ascii="Arial" w:cs="Arial" w:eastAsia="Arial" w:hAnsi="Arial"/>
                <w:sz w:val="18"/>
                <w:szCs w:val="18"/>
                <w:color w:val="auto"/>
              </w:rPr>
              <w:t>notes redeemed and repaid.</w:t>
            </w:r>
          </w:p>
        </w:tc>
        <w:tc>
          <w:tcPr>
            <w:tcW w:w="212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r>
      <w:tr>
        <w:trPr>
          <w:trHeight w:val="426"/>
        </w:trPr>
        <w:tc>
          <w:tcPr>
            <w:tcW w:w="4000" w:type="dxa"/>
            <w:vAlign w:val="bottom"/>
            <w:tcBorders>
              <w:left w:val="single" w:sz="8" w:color="auto"/>
            </w:tcBorders>
          </w:tcPr>
          <w:p>
            <w:pPr>
              <w:spacing w:after="0"/>
              <w:rPr>
                <w:sz w:val="24"/>
                <w:szCs w:val="24"/>
                <w:color w:val="auto"/>
              </w:rPr>
            </w:pP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We will pay accrued interest on the notes redeemed to the redemption date. See</w:t>
            </w:r>
          </w:p>
        </w:tc>
      </w:tr>
      <w:tr>
        <w:trPr>
          <w:trHeight w:val="222"/>
        </w:trPr>
        <w:tc>
          <w:tcPr>
            <w:tcW w:w="4000" w:type="dxa"/>
            <w:vAlign w:val="bottom"/>
            <w:tcBorders>
              <w:left w:val="single" w:sz="8" w:color="auto"/>
            </w:tcBorders>
          </w:tcPr>
          <w:p>
            <w:pPr>
              <w:spacing w:after="0"/>
              <w:rPr>
                <w:sz w:val="19"/>
                <w:szCs w:val="19"/>
                <w:color w:val="auto"/>
              </w:rPr>
            </w:pP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"Description of Notes—Optional Redemption" in this prospectus supplement.</w:t>
            </w:r>
          </w:p>
        </w:tc>
      </w:tr>
      <w:tr>
        <w:trPr>
          <w:trHeight w:val="426"/>
        </w:trPr>
        <w:tc>
          <w:tcPr>
            <w:tcW w:w="40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Change of Control Offer</w:t>
            </w: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If a change of control triggering event occurs, holders of the notes of each series</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may require us to purchase all or a portion of such holders' notes at a price</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equal to 101% of the principal amount, plus accrued interest, if any, to the date</w:t>
            </w:r>
          </w:p>
        </w:tc>
      </w:tr>
      <w:tr>
        <w:trPr>
          <w:trHeight w:val="216"/>
        </w:trPr>
        <w:tc>
          <w:tcPr>
            <w:tcW w:w="4000" w:type="dxa"/>
            <w:vAlign w:val="bottom"/>
            <w:tcBorders>
              <w:left w:val="single" w:sz="8" w:color="auto"/>
            </w:tcBorders>
          </w:tcPr>
          <w:p>
            <w:pPr>
              <w:spacing w:after="0"/>
              <w:rPr>
                <w:sz w:val="18"/>
                <w:szCs w:val="18"/>
                <w:color w:val="auto"/>
              </w:rPr>
            </w:pPr>
          </w:p>
        </w:tc>
        <w:tc>
          <w:tcPr>
            <w:tcW w:w="5640" w:type="dxa"/>
            <w:vAlign w:val="bottom"/>
            <w:gridSpan w:val="3"/>
          </w:tcPr>
          <w:p>
            <w:pPr>
              <w:ind w:left="440"/>
              <w:spacing w:after="0"/>
              <w:rPr>
                <w:sz w:val="20"/>
                <w:szCs w:val="20"/>
                <w:color w:val="auto"/>
              </w:rPr>
            </w:pPr>
            <w:r>
              <w:rPr>
                <w:rFonts w:ascii="Arial" w:cs="Arial" w:eastAsia="Arial" w:hAnsi="Arial"/>
                <w:sz w:val="18"/>
                <w:szCs w:val="18"/>
                <w:color w:val="auto"/>
                <w:w w:val="89"/>
              </w:rPr>
              <w:t>of purchase. See "Description of Notes—Change of Control Offer" in this</w:t>
            </w:r>
          </w:p>
        </w:tc>
        <w:tc>
          <w:tcPr>
            <w:tcW w:w="1780" w:type="dxa"/>
            <w:vAlign w:val="bottom"/>
            <w:tcBorders>
              <w:right w:val="single" w:sz="8" w:color="auto"/>
            </w:tcBorders>
          </w:tcPr>
          <w:p>
            <w:pPr>
              <w:spacing w:after="0"/>
              <w:rPr>
                <w:sz w:val="18"/>
                <w:szCs w:val="18"/>
                <w:color w:val="auto"/>
              </w:rPr>
            </w:pPr>
          </w:p>
        </w:tc>
      </w:tr>
      <w:tr>
        <w:trPr>
          <w:trHeight w:val="222"/>
        </w:trPr>
        <w:tc>
          <w:tcPr>
            <w:tcW w:w="4000" w:type="dxa"/>
            <w:vAlign w:val="bottom"/>
            <w:tcBorders>
              <w:left w:val="single" w:sz="8" w:color="auto"/>
            </w:tcBorders>
          </w:tcPr>
          <w:p>
            <w:pPr>
              <w:spacing w:after="0"/>
              <w:rPr>
                <w:sz w:val="19"/>
                <w:szCs w:val="19"/>
                <w:color w:val="auto"/>
              </w:rPr>
            </w:pPr>
          </w:p>
        </w:tc>
        <w:tc>
          <w:tcPr>
            <w:tcW w:w="3520" w:type="dxa"/>
            <w:vAlign w:val="bottom"/>
            <w:gridSpan w:val="2"/>
          </w:tcPr>
          <w:p>
            <w:pPr>
              <w:ind w:left="440"/>
              <w:spacing w:after="0"/>
              <w:rPr>
                <w:sz w:val="20"/>
                <w:szCs w:val="20"/>
                <w:color w:val="auto"/>
              </w:rPr>
            </w:pPr>
            <w:r>
              <w:rPr>
                <w:rFonts w:ascii="Arial" w:cs="Arial" w:eastAsia="Arial" w:hAnsi="Arial"/>
                <w:sz w:val="18"/>
                <w:szCs w:val="18"/>
                <w:color w:val="auto"/>
              </w:rPr>
              <w:t>prospectus supplement.</w:t>
            </w:r>
          </w:p>
        </w:tc>
        <w:tc>
          <w:tcPr>
            <w:tcW w:w="212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r>
      <w:tr>
        <w:trPr>
          <w:trHeight w:val="444"/>
        </w:trPr>
        <w:tc>
          <w:tcPr>
            <w:tcW w:w="4000" w:type="dxa"/>
            <w:vAlign w:val="bottom"/>
            <w:tcBorders>
              <w:left w:val="single" w:sz="8" w:color="auto"/>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r>
      <w:tr>
        <w:trPr>
          <w:trHeight w:val="427"/>
        </w:trPr>
        <w:tc>
          <w:tcPr>
            <w:tcW w:w="4000" w:type="dxa"/>
            <w:vAlign w:val="bottom"/>
          </w:tcPr>
          <w:p>
            <w:pPr>
              <w:spacing w:after="0"/>
              <w:rPr>
                <w:sz w:val="24"/>
                <w:szCs w:val="24"/>
                <w:color w:val="auto"/>
              </w:rPr>
            </w:pPr>
          </w:p>
        </w:tc>
        <w:tc>
          <w:tcPr>
            <w:tcW w:w="1900" w:type="dxa"/>
            <w:vAlign w:val="bottom"/>
          </w:tcPr>
          <w:p>
            <w:pPr>
              <w:ind w:left="1600"/>
              <w:spacing w:after="0"/>
              <w:rPr>
                <w:sz w:val="20"/>
                <w:szCs w:val="20"/>
                <w:color w:val="auto"/>
              </w:rPr>
            </w:pPr>
            <w:r>
              <w:rPr>
                <w:rFonts w:ascii="Arial" w:cs="Arial" w:eastAsia="Arial" w:hAnsi="Arial"/>
                <w:sz w:val="18"/>
                <w:szCs w:val="18"/>
                <w:color w:val="auto"/>
                <w:w w:val="99"/>
              </w:rPr>
              <w:t>S-6</w:t>
            </w:r>
          </w:p>
        </w:tc>
        <w:tc>
          <w:tcPr>
            <w:tcW w:w="1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28"/>
        </w:trPr>
        <w:tc>
          <w:tcPr>
            <w:tcW w:w="400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56553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50430" cy="565531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ind w:right="199"/>
        <w:spacing w:after="0" w:line="256" w:lineRule="auto"/>
        <w:rPr>
          <w:sz w:val="20"/>
          <w:szCs w:val="20"/>
          <w:color w:val="auto"/>
        </w:rPr>
      </w:pPr>
      <w:r>
        <w:rPr>
          <w:rFonts w:ascii="Arial" w:cs="Arial" w:eastAsia="Arial" w:hAnsi="Arial"/>
          <w:sz w:val="18"/>
          <w:szCs w:val="18"/>
          <w:color w:val="auto"/>
        </w:rPr>
        <w:t>The notes and the guarantees will constitute the senior unsecured debt of Waste Management, Inc. and WM Holdings, respectively, and will rank equally with all of our and its other existing and future senior obligations from time to time outstanding.</w:t>
      </w:r>
    </w:p>
    <w:p>
      <w:pPr>
        <w:spacing w:after="0" w:line="197" w:lineRule="exact"/>
        <w:rPr>
          <w:sz w:val="20"/>
          <w:szCs w:val="20"/>
          <w:color w:val="auto"/>
        </w:rPr>
      </w:pPr>
    </w:p>
    <w:p>
      <w:pPr>
        <w:sectPr>
          <w:pgSz w:w="11900" w:h="16838" w:orient="portrait"/>
          <w:cols w:equalWidth="0" w:num="2">
            <w:col w:w="3720" w:space="720"/>
            <w:col w:w="5779"/>
          </w:cols>
          <w:pgMar w:left="240" w:top="131" w:right="1440" w:bottom="1440" w:gutter="0" w:footer="0" w:header="0"/>
          <w:type w:val="continuous"/>
        </w:sectPr>
      </w:pPr>
    </w:p>
    <w:p>
      <w:pPr>
        <w:ind w:left="1340"/>
        <w:spacing w:after="0"/>
        <w:rPr>
          <w:sz w:val="20"/>
          <w:szCs w:val="20"/>
          <w:color w:val="auto"/>
        </w:rPr>
      </w:pPr>
      <w:r>
        <w:rPr>
          <w:rFonts w:ascii="Arial" w:cs="Arial" w:eastAsia="Arial" w:hAnsi="Arial"/>
          <w:sz w:val="15"/>
          <w:szCs w:val="15"/>
          <w:color w:val="auto"/>
        </w:rPr>
        <w:t>Covenants</w:t>
      </w:r>
    </w:p>
    <w:p>
      <w:pPr>
        <w:spacing w:after="0" w:line="20" w:lineRule="exact"/>
        <w:rPr>
          <w:sz w:val="20"/>
          <w:szCs w:val="20"/>
          <w:color w:val="auto"/>
        </w:rPr>
      </w:pPr>
      <w:r>
        <w:rPr>
          <w:sz w:val="20"/>
          <w:szCs w:val="20"/>
          <w:color w:val="auto"/>
        </w:rPr>
        <w:br w:type="column"/>
      </w:r>
    </w:p>
    <w:p>
      <w:pPr>
        <w:ind w:right="659"/>
        <w:spacing w:after="0" w:line="370" w:lineRule="auto"/>
        <w:rPr>
          <w:sz w:val="20"/>
          <w:szCs w:val="20"/>
          <w:color w:val="auto"/>
        </w:rPr>
      </w:pPr>
      <w:r>
        <w:rPr>
          <w:rFonts w:ascii="Arial" w:cs="Arial" w:eastAsia="Arial" w:hAnsi="Arial"/>
          <w:sz w:val="15"/>
          <w:szCs w:val="15"/>
          <w:color w:val="auto"/>
        </w:rPr>
        <w:t>We will issue the notes under an indenture containing covenants for your benefit. These covenants restrict our ability, with certain exceptions, to:</w:t>
      </w:r>
    </w:p>
    <w:p>
      <w:pPr>
        <w:spacing w:after="0" w:line="116" w:lineRule="exact"/>
        <w:rPr>
          <w:sz w:val="20"/>
          <w:szCs w:val="20"/>
          <w:color w:val="auto"/>
        </w:rPr>
      </w:pPr>
    </w:p>
    <w:p>
      <w:pPr>
        <w:sectPr>
          <w:pgSz w:w="11900" w:h="16838" w:orient="portrait"/>
          <w:cols w:equalWidth="0" w:num="2">
            <w:col w:w="3720" w:space="720"/>
            <w:col w:w="5779"/>
          </w:cols>
          <w:pgMar w:left="240" w:top="131" w:right="1440" w:bottom="1440" w:gutter="0" w:footer="0" w:header="0"/>
          <w:type w:val="continuous"/>
        </w:sectPr>
      </w:pPr>
    </w:p>
    <w:p>
      <w:pPr>
        <w:ind w:left="4440"/>
        <w:spacing w:after="0"/>
        <w:rPr>
          <w:sz w:val="20"/>
          <w:szCs w:val="20"/>
          <w:color w:val="auto"/>
        </w:rPr>
      </w:pPr>
      <w:r>
        <w:rPr>
          <w:rFonts w:ascii="Arial" w:cs="Arial" w:eastAsia="Arial" w:hAnsi="Arial"/>
          <w:sz w:val="18"/>
          <w:szCs w:val="18"/>
          <w:color w:val="auto"/>
        </w:rPr>
        <w:t>•  create, incur or assume debt secured by liens;</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engage in sale and leaseback transactions; and</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  merge, consolidate or transfer all or substantially all of our assets.</w:t>
      </w:r>
    </w:p>
    <w:p>
      <w:pPr>
        <w:sectPr>
          <w:pgSz w:w="11900" w:h="16838" w:orient="portrait"/>
          <w:cols w:equalWidth="0" w:num="1">
            <w:col w:w="10219"/>
          </w:cols>
          <w:pgMar w:left="240" w:top="131" w:right="1440" w:bottom="1440" w:gutter="0" w:footer="0" w:header="0"/>
          <w:type w:val="continuous"/>
        </w:sectPr>
      </w:pPr>
    </w:p>
    <w:p>
      <w:pPr>
        <w:spacing w:after="0" w:line="248"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We expect the net proceeds from the offering of the notes to be $</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61" w:lineRule="exact"/>
        <w:rPr>
          <w:sz w:val="20"/>
          <w:szCs w:val="20"/>
          <w:color w:val="auto"/>
        </w:rPr>
      </w:pPr>
    </w:p>
    <w:p>
      <w:pPr>
        <w:sectPr>
          <w:pgSz w:w="11900" w:h="16838" w:orient="portrait"/>
          <w:cols w:equalWidth="0" w:num="3">
            <w:col w:w="3720" w:space="720"/>
            <w:col w:w="4560" w:space="700"/>
            <w:col w:w="519"/>
          </w:cols>
          <w:pgMar w:left="240" w:top="131" w:right="1440" w:bottom="1440" w:gutter="0" w:footer="0" w:header="0"/>
          <w:type w:val="continuous"/>
        </w:sectPr>
      </w:pPr>
    </w:p>
    <w:p>
      <w:pPr>
        <w:ind w:left="4440" w:right="139"/>
        <w:spacing w:after="0" w:line="285" w:lineRule="auto"/>
        <w:rPr>
          <w:sz w:val="20"/>
          <w:szCs w:val="20"/>
          <w:color w:val="auto"/>
        </w:rPr>
      </w:pPr>
      <w:r>
        <w:rPr>
          <w:rFonts w:ascii="Arial" w:cs="Arial" w:eastAsia="Arial" w:hAnsi="Arial"/>
          <w:sz w:val="16"/>
          <w:szCs w:val="16"/>
          <w:color w:val="auto"/>
        </w:rPr>
        <w:t>after deducting the underwriting discounts and estimated expenses of the offering that we will pay. We intend to use some or all of the net proceeds from the offering of the 2049 notes and, if necessary, the 2039 notes to fund the Tender Offer. We intend to use the net proceeds from the 2024 notes, the 2026 notes and the 2029 notes, together with any remaining net proceeds from the 2039 notes and the 2049 notes, to pay a portion of the consideration for the Merger and related fees and expenses. However, under specific circumstances in which the Merger is not consummated and we are required to redeem all of the outstanding 2024 notes, 2026 notes, 2029 notes and 2039 notes (as described under "Description of Notes—Special Mandatory Redemption"), we intend to use any remaining net proceeds from the sale of the 2049 notes (which are not subject to the special mandatory redemption) for general corporate purposes, which may include payment of fees and expenses relating to the termination of the Merger Agreement.</w:t>
      </w:r>
    </w:p>
    <w:p>
      <w:pPr>
        <w:spacing w:after="0" w:line="176" w:lineRule="exact"/>
        <w:rPr>
          <w:sz w:val="20"/>
          <w:szCs w:val="20"/>
          <w:color w:val="auto"/>
        </w:rPr>
      </w:pPr>
    </w:p>
    <w:p>
      <w:pPr>
        <w:ind w:left="4440" w:right="239"/>
        <w:spacing w:after="0" w:line="289" w:lineRule="auto"/>
        <w:rPr>
          <w:sz w:val="20"/>
          <w:szCs w:val="20"/>
          <w:color w:val="auto"/>
        </w:rPr>
      </w:pPr>
      <w:r>
        <w:rPr>
          <w:rFonts w:ascii="Arial" w:cs="Arial" w:eastAsia="Arial" w:hAnsi="Arial"/>
          <w:sz w:val="16"/>
          <w:szCs w:val="16"/>
          <w:color w:val="auto"/>
        </w:rPr>
        <w:t>This offering is not contingent on the consummation of either the Tender Offer or the Merger, although the consummation of the Tender Offer is contingent upon, among other things, the completion of this offering on terms and conditions satisfactory to us. There can be no assurance that either the Tender Offer or the Merger will be consummated on the terms described herein or at all. Additionally, certain of the underwriters and/or certain of their affiliates may hold a position in the Tender Notes and, as a result, may receive a portion of the net proceeds of the notes offered hereby.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380" w:type="dxa"/>
            <w:vAlign w:val="bottom"/>
            <w:tcBorders>
              <w:top w:val="single" w:sz="8" w:color="auto"/>
              <w:left w:val="single" w:sz="8" w:color="auto"/>
            </w:tcBorders>
          </w:tcPr>
          <w:p>
            <w:pPr>
              <w:spacing w:after="0"/>
              <w:rPr>
                <w:sz w:val="24"/>
                <w:szCs w:val="24"/>
                <w:color w:val="auto"/>
              </w:rPr>
            </w:pPr>
          </w:p>
        </w:tc>
        <w:tc>
          <w:tcPr>
            <w:tcW w:w="804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8"/>
                <w:szCs w:val="18"/>
                <w:color w:val="auto"/>
              </w:rPr>
              <w:t>Pending application of the net proceeds as described immediately above, we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anticipate that we may repay borrowings under our commercial paper program</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used for working capital, which is fully supported by our $2.75 billion</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revolving credit facility. Because certain of the underwriters serve as dealers</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under our commercial paper program, they may receive as customary dealer</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fees a portion of the net proceeds of the notes offered hereby. We may</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temporarily invest in short-term investments, and any excess proceeds will be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used for general corporate purposes. See "Use of Proceeds" in this prospectus</w:t>
            </w:r>
          </w:p>
        </w:tc>
      </w:tr>
      <w:tr>
        <w:trPr>
          <w:trHeight w:val="222"/>
        </w:trPr>
        <w:tc>
          <w:tcPr>
            <w:tcW w:w="3380" w:type="dxa"/>
            <w:vAlign w:val="bottom"/>
            <w:tcBorders>
              <w:left w:val="single" w:sz="8" w:color="auto"/>
            </w:tcBorders>
          </w:tcPr>
          <w:p>
            <w:pPr>
              <w:spacing w:after="0"/>
              <w:rPr>
                <w:sz w:val="19"/>
                <w:szCs w:val="19"/>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supplement.</w:t>
            </w:r>
          </w:p>
        </w:tc>
      </w:tr>
      <w:tr>
        <w:trPr>
          <w:trHeight w:val="432"/>
        </w:trPr>
        <w:tc>
          <w:tcPr>
            <w:tcW w:w="33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Trustee</w:t>
            </w: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The Bank of New York Mellon Trust Company, N.A.</w:t>
            </w:r>
          </w:p>
        </w:tc>
      </w:tr>
      <w:tr>
        <w:trPr>
          <w:trHeight w:val="426"/>
        </w:trPr>
        <w:tc>
          <w:tcPr>
            <w:tcW w:w="33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Further Issues</w:t>
            </w: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We may create and issue additional notes of each series ranking equally and</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ratably with the notes of such series offered by this prospectus supplement in all</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respects, so that such additional notes will be consolidated and form a single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series with the notes of such series offered by this prospectus supplement and</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will have the same terms, as to status, redemption or otherwise except for the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issue date, the initial interest payment date, if applicable, the payment of</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interest accruing prior to the issue date of such additional notes and, depending</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on the status of the Merger and the financing related thereto, redemption upon a</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Special Mandatory Redemption Event (as defined below); provided, however,</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that a separate CUSIP or ISIN will be issued for the additional notes, unless the</w:t>
            </w:r>
          </w:p>
        </w:tc>
      </w:tr>
      <w:tr>
        <w:trPr>
          <w:trHeight w:val="222"/>
        </w:trPr>
        <w:tc>
          <w:tcPr>
            <w:tcW w:w="3380" w:type="dxa"/>
            <w:vAlign w:val="bottom"/>
            <w:tcBorders>
              <w:left w:val="single" w:sz="8" w:color="auto"/>
            </w:tcBorders>
          </w:tcPr>
          <w:p>
            <w:pPr>
              <w:spacing w:after="0"/>
              <w:rPr>
                <w:sz w:val="19"/>
                <w:szCs w:val="19"/>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notes and the additional notes are fungible for U.S. federal income tax purposes.</w:t>
            </w:r>
          </w:p>
        </w:tc>
      </w:tr>
      <w:tr>
        <w:trPr>
          <w:trHeight w:val="426"/>
        </w:trPr>
        <w:tc>
          <w:tcPr>
            <w:tcW w:w="33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Risk Factors</w:t>
            </w: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See page S-9 of this prospectus supplement and page 6 of the accompanying</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prospectus for a discussion of the risks you should consider before investing in</w:t>
            </w:r>
          </w:p>
        </w:tc>
      </w:tr>
      <w:tr>
        <w:trPr>
          <w:trHeight w:val="222"/>
        </w:trPr>
        <w:tc>
          <w:tcPr>
            <w:tcW w:w="3380" w:type="dxa"/>
            <w:vAlign w:val="bottom"/>
            <w:tcBorders>
              <w:left w:val="single" w:sz="8" w:color="auto"/>
            </w:tcBorders>
          </w:tcPr>
          <w:p>
            <w:pPr>
              <w:spacing w:after="0"/>
              <w:rPr>
                <w:sz w:val="19"/>
                <w:szCs w:val="19"/>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the notes.</w:t>
            </w:r>
          </w:p>
        </w:tc>
      </w:tr>
      <w:tr>
        <w:trPr>
          <w:trHeight w:val="228"/>
        </w:trPr>
        <w:tc>
          <w:tcPr>
            <w:tcW w:w="3380" w:type="dxa"/>
            <w:vAlign w:val="bottom"/>
            <w:tcBorders>
              <w:left w:val="single" w:sz="8" w:color="auto"/>
              <w:bottom w:val="single" w:sz="8" w:color="auto"/>
            </w:tcBorders>
          </w:tcPr>
          <w:p>
            <w:pPr>
              <w:spacing w:after="0"/>
              <w:rPr>
                <w:sz w:val="19"/>
                <w:szCs w:val="19"/>
                <w:color w:val="auto"/>
              </w:rPr>
            </w:pPr>
          </w:p>
        </w:tc>
        <w:tc>
          <w:tcPr>
            <w:tcW w:w="8040" w:type="dxa"/>
            <w:vAlign w:val="bottom"/>
            <w:tcBorders>
              <w:bottom w:val="single" w:sz="8" w:color="auto"/>
              <w:right w:val="single" w:sz="8" w:color="auto"/>
            </w:tcBorders>
          </w:tcPr>
          <w:p>
            <w:pPr>
              <w:spacing w:after="0"/>
              <w:rPr>
                <w:sz w:val="19"/>
                <w:szCs w:val="19"/>
                <w:color w:val="auto"/>
              </w:rPr>
            </w:pPr>
          </w:p>
        </w:tc>
      </w:tr>
      <w:tr>
        <w:trPr>
          <w:trHeight w:val="427"/>
        </w:trPr>
        <w:tc>
          <w:tcPr>
            <w:tcW w:w="3380" w:type="dxa"/>
            <w:vAlign w:val="bottom"/>
          </w:tcPr>
          <w:p>
            <w:pPr>
              <w:spacing w:after="0"/>
              <w:rPr>
                <w:sz w:val="24"/>
                <w:szCs w:val="24"/>
                <w:color w:val="auto"/>
              </w:rPr>
            </w:pPr>
          </w:p>
        </w:tc>
        <w:tc>
          <w:tcPr>
            <w:tcW w:w="8040" w:type="dxa"/>
            <w:vAlign w:val="bottom"/>
          </w:tcPr>
          <w:p>
            <w:pPr>
              <w:ind w:left="2220"/>
              <w:spacing w:after="0"/>
              <w:rPr>
                <w:sz w:val="20"/>
                <w:szCs w:val="20"/>
                <w:color w:val="auto"/>
              </w:rPr>
            </w:pPr>
            <w:r>
              <w:rPr>
                <w:rFonts w:ascii="Arial" w:cs="Arial" w:eastAsia="Arial" w:hAnsi="Arial"/>
                <w:sz w:val="18"/>
                <w:szCs w:val="18"/>
                <w:color w:val="auto"/>
              </w:rPr>
              <w:t>S-8</w:t>
            </w:r>
          </w:p>
        </w:tc>
      </w:tr>
      <w:tr>
        <w:trPr>
          <w:trHeight w:val="228"/>
        </w:trPr>
        <w:tc>
          <w:tcPr>
            <w:tcW w:w="3380" w:type="dxa"/>
            <w:vAlign w:val="bottom"/>
            <w:tcBorders>
              <w:bottom w:val="single" w:sz="8" w:color="808080"/>
            </w:tcBorders>
          </w:tcPr>
          <w:p>
            <w:pPr>
              <w:spacing w:after="0"/>
              <w:rPr>
                <w:sz w:val="19"/>
                <w:szCs w:val="19"/>
                <w:color w:val="auto"/>
              </w:rPr>
            </w:pPr>
          </w:p>
        </w:tc>
        <w:tc>
          <w:tcPr>
            <w:tcW w:w="8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89" w:lineRule="auto"/>
        <w:rPr>
          <w:rFonts w:ascii="Arial" w:cs="Arial" w:eastAsia="Arial" w:hAnsi="Arial"/>
          <w:sz w:val="16"/>
          <w:szCs w:val="16"/>
          <w:i w:val="1"/>
          <w:iCs w:val="1"/>
          <w:color w:val="0000EE"/>
        </w:rPr>
      </w:pPr>
      <w:hyperlink r:id="rId33">
        <w:r>
          <w:rPr>
            <w:rFonts w:ascii="Arial" w:cs="Arial" w:eastAsia="Arial" w:hAnsi="Arial"/>
            <w:sz w:val="16"/>
            <w:szCs w:val="16"/>
            <w:i w:val="1"/>
            <w:iCs w:val="1"/>
            <w:color w:val="auto"/>
          </w:rPr>
          <w:t xml:space="preserve">You should carefully consider the risk factors identified in Part I, Item 1A., "Risk Factors," of our </w:t>
        </w:r>
        <w:r>
          <w:rPr>
            <w:rFonts w:ascii="Arial" w:cs="Arial" w:eastAsia="Arial" w:hAnsi="Arial"/>
            <w:sz w:val="16"/>
            <w:szCs w:val="16"/>
            <w:i w:val="1"/>
            <w:iCs w:val="1"/>
            <w:u w:val="single" w:color="auto"/>
            <w:color w:val="0000EE"/>
          </w:rPr>
          <w:t>Annual Report on Form 10-K for the year ended</w:t>
        </w:r>
      </w:hyperlink>
      <w:r>
        <w:rPr>
          <w:rFonts w:ascii="Arial" w:cs="Arial" w:eastAsia="Arial" w:hAnsi="Arial"/>
          <w:sz w:val="16"/>
          <w:szCs w:val="16"/>
          <w:i w:val="1"/>
          <w:iCs w:val="1"/>
          <w:color w:val="auto"/>
        </w:rPr>
        <w:t xml:space="preserve"> </w:t>
      </w:r>
      <w:hyperlink r:id="rId33">
        <w:r>
          <w:rPr>
            <w:rFonts w:ascii="Arial" w:cs="Arial" w:eastAsia="Arial" w:hAnsi="Arial"/>
            <w:sz w:val="16"/>
            <w:szCs w:val="16"/>
            <w:i w:val="1"/>
            <w:iCs w:val="1"/>
            <w:u w:val="single" w:color="auto"/>
            <w:color w:val="0000EE"/>
          </w:rPr>
          <w:t>December 31, 2018</w:t>
        </w:r>
        <w:r>
          <w:rPr>
            <w:rFonts w:ascii="Arial" w:cs="Arial" w:eastAsia="Arial" w:hAnsi="Arial"/>
            <w:sz w:val="16"/>
            <w:szCs w:val="16"/>
            <w:i w:val="1"/>
            <w:iCs w:val="1"/>
            <w:color w:val="000000"/>
          </w:rPr>
          <w:t>, and in Part II Item 1A., "Risk Factors," of our</w:t>
        </w:r>
        <w:r>
          <w:rPr>
            <w:rFonts w:ascii="Arial" w:cs="Arial" w:eastAsia="Arial" w:hAnsi="Arial"/>
            <w:sz w:val="16"/>
            <w:szCs w:val="16"/>
            <w:i w:val="1"/>
            <w:iCs w:val="1"/>
            <w:color w:val="0000EE"/>
          </w:rPr>
          <w:t xml:space="preserve"> </w:t>
        </w:r>
      </w:hyperlink>
      <w:hyperlink r:id="rId34">
        <w:r>
          <w:rPr>
            <w:rFonts w:ascii="Arial" w:cs="Arial" w:eastAsia="Arial" w:hAnsi="Arial"/>
            <w:sz w:val="16"/>
            <w:szCs w:val="16"/>
            <w:i w:val="1"/>
            <w:iCs w:val="1"/>
            <w:u w:val="single" w:color="auto"/>
            <w:color w:val="0000EE"/>
          </w:rPr>
          <w:t>Quarterly Report on Form 10-Q for the quarter ended March 31, 2019</w:t>
        </w:r>
      </w:hyperlink>
      <w:hyperlink r:id="rId33">
        <w:r>
          <w:rPr>
            <w:rFonts w:ascii="Arial" w:cs="Arial" w:eastAsia="Arial" w:hAnsi="Arial"/>
            <w:sz w:val="16"/>
            <w:szCs w:val="16"/>
            <w:i w:val="1"/>
            <w:iCs w:val="1"/>
            <w:color w:val="000000"/>
          </w:rPr>
          <w:t xml:space="preserve">, before making </w:t>
        </w:r>
      </w:hyperlink>
      <w:r>
        <w:rPr>
          <w:rFonts w:ascii="Arial" w:cs="Arial" w:eastAsia="Arial" w:hAnsi="Arial"/>
          <w:sz w:val="16"/>
          <w:szCs w:val="16"/>
          <w:i w:val="1"/>
          <w:iCs w:val="1"/>
          <w:color w:val="0000EE"/>
        </w:rPr>
        <w:t xml:space="preserve">an </w:t>
      </w:r>
      <w:r>
        <w:rPr>
          <w:rFonts w:ascii="Arial" w:cs="Arial" w:eastAsia="Arial" w:hAnsi="Arial"/>
          <w:sz w:val="16"/>
          <w:szCs w:val="16"/>
          <w:i w:val="1"/>
          <w:iCs w:val="1"/>
          <w:color w:val="000000"/>
        </w:rPr>
        <w:t>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382" w:lineRule="exact"/>
        <w:rPr>
          <w:rFonts w:ascii="Arial" w:cs="Arial" w:eastAsia="Arial" w:hAnsi="Arial"/>
          <w:sz w:val="16"/>
          <w:szCs w:val="16"/>
          <w:i w:val="1"/>
          <w:iCs w:val="1"/>
          <w:color w:val="0000EE"/>
        </w:rPr>
      </w:pPr>
    </w:p>
    <w:p>
      <w:pPr>
        <w:jc w:val="center"/>
        <w:ind w:right="20"/>
        <w:spacing w:after="0"/>
        <w:rPr>
          <w:sz w:val="20"/>
          <w:szCs w:val="20"/>
          <w:color w:val="auto"/>
        </w:rPr>
      </w:pPr>
      <w:r>
        <w:rPr>
          <w:rFonts w:ascii="Arial" w:cs="Arial" w:eastAsia="Arial" w:hAnsi="Arial"/>
          <w:sz w:val="18"/>
          <w:szCs w:val="18"/>
          <w:b w:val="1"/>
          <w:bCs w:val="1"/>
          <w:color w:val="auto"/>
        </w:rPr>
        <w:t>Risks Related to the Merger</w:t>
      </w:r>
    </w:p>
    <w:p>
      <w:pPr>
        <w:spacing w:after="0" w:line="231" w:lineRule="exact"/>
        <w:rPr>
          <w:rFonts w:ascii="Arial" w:cs="Arial" w:eastAsia="Arial" w:hAnsi="Arial"/>
          <w:sz w:val="16"/>
          <w:szCs w:val="16"/>
          <w:i w:val="1"/>
          <w:iCs w:val="1"/>
          <w:color w:val="0000EE"/>
        </w:rPr>
      </w:pPr>
    </w:p>
    <w:p>
      <w:pPr>
        <w:ind w:right="540"/>
        <w:spacing w:after="0" w:line="370" w:lineRule="auto"/>
        <w:rPr>
          <w:sz w:val="20"/>
          <w:szCs w:val="20"/>
          <w:color w:val="auto"/>
        </w:rPr>
      </w:pPr>
      <w:r>
        <w:rPr>
          <w:rFonts w:ascii="Arial" w:cs="Arial" w:eastAsia="Arial" w:hAnsi="Arial"/>
          <w:sz w:val="15"/>
          <w:szCs w:val="15"/>
          <w:b w:val="1"/>
          <w:bCs w:val="1"/>
          <w:i w:val="1"/>
          <w:iCs w:val="1"/>
          <w:color w:val="auto"/>
        </w:rPr>
        <w:t>Our planned acquisition of Advanced Disposal may not occur at all, may not occur in the expected time frame or may involve the divestiture of certain businesses and assets, which may negatively affect the trading price of our common stock and our future business and financial results.</w:t>
      </w:r>
    </w:p>
    <w:p>
      <w:pPr>
        <w:spacing w:after="0" w:line="116" w:lineRule="exact"/>
        <w:rPr>
          <w:rFonts w:ascii="Arial" w:cs="Arial" w:eastAsia="Arial" w:hAnsi="Arial"/>
          <w:sz w:val="16"/>
          <w:szCs w:val="16"/>
          <w:i w:val="1"/>
          <w:iCs w:val="1"/>
          <w:color w:val="0000EE"/>
        </w:rPr>
      </w:pPr>
    </w:p>
    <w:p>
      <w:pPr>
        <w:ind w:firstLine="351"/>
        <w:spacing w:after="0" w:line="255" w:lineRule="auto"/>
        <w:rPr>
          <w:sz w:val="20"/>
          <w:szCs w:val="20"/>
          <w:color w:val="auto"/>
        </w:rPr>
      </w:pPr>
      <w:r>
        <w:rPr>
          <w:rFonts w:ascii="Arial" w:cs="Arial" w:eastAsia="Arial" w:hAnsi="Arial"/>
          <w:sz w:val="18"/>
          <w:szCs w:val="18"/>
          <w:color w:val="auto"/>
        </w:rPr>
        <w:t>If the Merger is completed, Advanced Disposal will become our indirect wholly owned subsidiary. The consummation of the acquisition is not assured and is subject to certain conditions, including the affirmative vote of the holders of a majority of the outstanding shares of Advanced Disposal common stock, the expiration or termination of any waiting period under the Hart-Scott-Rodino Antitrust Improvements Act of 1976, as amended, and the rules and regulations promulgated thereunder and the absence of any law or order restraining, enjoining or otherwise prohibiting the acquisition, as well as other customary closing conditions.</w:t>
      </w:r>
    </w:p>
    <w:p>
      <w:pPr>
        <w:spacing w:after="0" w:line="197" w:lineRule="exact"/>
        <w:rPr>
          <w:rFonts w:ascii="Arial" w:cs="Arial" w:eastAsia="Arial" w:hAnsi="Arial"/>
          <w:sz w:val="16"/>
          <w:szCs w:val="16"/>
          <w:i w:val="1"/>
          <w:iCs w:val="1"/>
          <w:color w:val="0000EE"/>
        </w:rPr>
      </w:pPr>
    </w:p>
    <w:p>
      <w:pPr>
        <w:ind w:right="100" w:firstLine="348"/>
        <w:spacing w:after="0" w:line="288" w:lineRule="auto"/>
        <w:rPr>
          <w:sz w:val="20"/>
          <w:szCs w:val="20"/>
          <w:color w:val="auto"/>
        </w:rPr>
      </w:pPr>
      <w:r>
        <w:rPr>
          <w:rFonts w:ascii="Arial" w:cs="Arial" w:eastAsia="Arial" w:hAnsi="Arial"/>
          <w:sz w:val="16"/>
          <w:szCs w:val="16"/>
          <w:color w:val="auto"/>
        </w:rPr>
        <w:t>The planned acquisition of Advanced Disposal is subject to a number of risks and uncertainties, including general economic and capital markets conditions; the effects that the announcement or pendency of the Merger may have on us, Advanced Disposal and our respective businesses; inability to obtain required regulatory or government approvals or to obtain such approvals on satisfactory conditions; inability of Advanced Disposal to obtain stockholder approval or satisfy other closing conditions; our inability to obtain financing on acceptable terms; the occurrence of any event, change or other circumstance that could give rise to the termination of the Merger Agreement, several of which could require us to pay a termination fee of $150 million to Advanced Disposal; legal proceedings that may be instituted related to the proposed acquisition and the legal expenses and diversion of management's attention that may be associated therewith; and unexpected costs, charges or expenses. If the planned acquisition of Advanced Disposal is not completed, if there are significant delays in completing the planned acquisition or if the planned acquisition involves an unexpected amount of required divestitures, it could negatively affect the trading price of our common stock and our future business and financial results.</w:t>
      </w:r>
    </w:p>
    <w:p>
      <w:pPr>
        <w:spacing w:after="0" w:line="174" w:lineRule="exact"/>
        <w:rPr>
          <w:rFonts w:ascii="Arial" w:cs="Arial" w:eastAsia="Arial" w:hAnsi="Arial"/>
          <w:sz w:val="16"/>
          <w:szCs w:val="16"/>
          <w:i w:val="1"/>
          <w:iCs w:val="1"/>
          <w:color w:val="0000EE"/>
        </w:rPr>
      </w:pPr>
    </w:p>
    <w:p>
      <w:pPr>
        <w:spacing w:after="0"/>
        <w:rPr>
          <w:sz w:val="20"/>
          <w:szCs w:val="20"/>
          <w:color w:val="auto"/>
        </w:rPr>
      </w:pPr>
      <w:r>
        <w:rPr>
          <w:rFonts w:ascii="Arial" w:cs="Arial" w:eastAsia="Arial" w:hAnsi="Arial"/>
          <w:sz w:val="18"/>
          <w:szCs w:val="18"/>
          <w:b w:val="1"/>
          <w:bCs w:val="1"/>
          <w:i w:val="1"/>
          <w:iCs w:val="1"/>
          <w:color w:val="auto"/>
        </w:rPr>
        <w:t>We may not realize the strategic benefits and cost synergies that are anticipated from the planned acquisition of Advanced Disposal.</w:t>
      </w:r>
    </w:p>
    <w:p>
      <w:pPr>
        <w:spacing w:after="0" w:line="225" w:lineRule="exact"/>
        <w:rPr>
          <w:rFonts w:ascii="Arial" w:cs="Arial" w:eastAsia="Arial" w:hAnsi="Arial"/>
          <w:sz w:val="16"/>
          <w:szCs w:val="16"/>
          <w:i w:val="1"/>
          <w:iCs w:val="1"/>
          <w:color w:val="0000EE"/>
        </w:rPr>
      </w:pPr>
    </w:p>
    <w:p>
      <w:pPr>
        <w:ind w:right="220" w:firstLine="348"/>
        <w:spacing w:after="0" w:line="298" w:lineRule="auto"/>
        <w:rPr>
          <w:sz w:val="20"/>
          <w:szCs w:val="20"/>
          <w:color w:val="auto"/>
        </w:rPr>
      </w:pPr>
      <w:r>
        <w:rPr>
          <w:rFonts w:ascii="Arial" w:cs="Arial" w:eastAsia="Arial" w:hAnsi="Arial"/>
          <w:sz w:val="16"/>
          <w:szCs w:val="16"/>
          <w:color w:val="auto"/>
        </w:rPr>
        <w:t>The benefits that are expected to result from the planned acquisition of Advanced Disposal will depend, in part, on our ability to realize anticipated cost synergies. Our success in realizing these benefits and cost synergies, and the timing of this realization, depends on the successful integration of Advanced Disposal. There is a significant degree of difficulty and management distraction inherent in the process of integrating an acquisition of this size. The process of integrating operations could cause business interruption and distraction. Some members of our management may be required to devote</w:t>
      </w:r>
    </w:p>
    <w:p>
      <w:pPr>
        <w:spacing w:after="0" w:line="167" w:lineRule="exact"/>
        <w:rPr>
          <w:rFonts w:ascii="Arial" w:cs="Arial" w:eastAsia="Arial" w:hAnsi="Arial"/>
          <w:sz w:val="16"/>
          <w:szCs w:val="16"/>
          <w:i w:val="1"/>
          <w:iCs w:val="1"/>
          <w:color w:val="0000EE"/>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rFonts w:ascii="Arial" w:cs="Arial" w:eastAsia="Arial" w:hAnsi="Arial"/>
          <w:sz w:val="16"/>
          <w:szCs w:val="16"/>
          <w:i w:val="1"/>
          <w:iCs w:val="1"/>
          <w:color w:val="0000EE"/>
        </w:rPr>
      </w:pPr>
      <w:r>
        <w:rPr>
          <w:rFonts w:ascii="Arial" w:cs="Arial" w:eastAsia="Arial" w:hAnsi="Arial"/>
          <w:sz w:val="16"/>
          <w:szCs w:val="16"/>
          <w:i w:val="1"/>
          <w:iCs w:val="1"/>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considerable time to this integration process, which will decrease the time they will have to manage Waste Management, service existing customers, attract new customers and develop new products or strategies. If management is not able to effectively manage the integration process, or if any significant business activities are interrupted as a result of the integration process, our business, financial condition and results of operations could suffer.</w:t>
      </w:r>
    </w:p>
    <w:p>
      <w:pPr>
        <w:spacing w:after="0" w:line="161"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acquisition of Advanced Disposal may not result in realization of the benefits and cost synergies that we currently expect, and we cannot guarantee that these benefits and cost synergies will be achieved within anticipated time frames or at all. Additionally, we may incur substantial expenses in connection with the integration of Advanced Disposal, which may exceed expectations and offset certain benefits.</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indebtedness following the consummation of the Merger will be greater than our existing indebtedness. Therefore, following the consummation of the Merger, it may be more difficult for us to pay or refinance our debts or take other actions, and we may need to divert cash flow from operations to debt service payments.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the Merger, we will assume the debt of Advanced Disposal and we intend to issue certain of the notes offered hereby to pay a portion of the consideration for the Merger and transaction expenses, which will result in our indebtedness following the consummation of the Merger being greater than our current indebtedness. We may also incur additional unsecured debt under our $2.75 billion revolving credit facility and under our commercial paper program which is fully supported by such credit facility, in order to pay the difference between (i) the net proceeds received from the issuance of the notes offered hereby, and (ii) the consideration for the Merger and related fees and expenses, and the consideration for the purchase price and accrued and unpaid interest for the Tender Notes validly tendered and accepted for purchase under the Tender Offer, and any related fees and expenses. Following consummation of the Merger, our debt service obligations with respect to our increased indebtedness could have an adverse impact on our earnings and cash flows, which following the consummation of the Merger would include the earnings and cash flows of Advanced Disposal, for as long as the indebtedness is outstanding.</w:t>
      </w:r>
    </w:p>
    <w:p>
      <w:pPr>
        <w:spacing w:after="0" w:line="172" w:lineRule="exact"/>
        <w:rPr>
          <w:sz w:val="20"/>
          <w:szCs w:val="20"/>
          <w:color w:val="auto"/>
        </w:rPr>
      </w:pPr>
    </w:p>
    <w:p>
      <w:pPr>
        <w:jc w:val="both"/>
        <w:ind w:right="360" w:firstLine="351"/>
        <w:spacing w:after="0" w:line="306" w:lineRule="auto"/>
        <w:rPr>
          <w:sz w:val="20"/>
          <w:szCs w:val="20"/>
          <w:color w:val="auto"/>
        </w:rPr>
      </w:pPr>
      <w:r>
        <w:rPr>
          <w:rFonts w:ascii="Arial" w:cs="Arial" w:eastAsia="Arial" w:hAnsi="Arial"/>
          <w:sz w:val="16"/>
          <w:szCs w:val="16"/>
          <w:color w:val="auto"/>
        </w:rPr>
        <w:t>In addition to increasing the likelihood of the negative consequences mentioned below under "Risks Related to the Notes—Our substantial indebtedness could impair our financial condition and our ability to fulfill our debt obligations, including our obligations under the notes," the increase in our indebtedness following the consummation of the Merger could have other important consequences. For example, it could:</w:t>
      </w:r>
    </w:p>
    <w:p>
      <w:pPr>
        <w:spacing w:after="0" w:line="174" w:lineRule="exact"/>
        <w:rPr>
          <w:sz w:val="20"/>
          <w:szCs w:val="20"/>
          <w:color w:val="auto"/>
        </w:rPr>
      </w:pPr>
    </w:p>
    <w:p>
      <w:pPr>
        <w:ind w:left="1080" w:right="3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 in a downgrade in the rating of our indebtedness, which could limit our ability to borrow additional funds and increase the interest rates applicable to our indebtedness;</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 in higher interest expense in the event of increases in interest rates since some of our borrowings are, and will continue to be, at variable rates of interest;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us to repatriate foreign earnings to meet liquidity demands, resulting in a tax payment that may not be accrued for.</w:t>
      </w:r>
    </w:p>
    <w:p>
      <w:pPr>
        <w:spacing w:after="0" w:line="225" w:lineRule="exact"/>
        <w:rPr>
          <w:sz w:val="20"/>
          <w:szCs w:val="20"/>
          <w:color w:val="auto"/>
        </w:rPr>
      </w:pPr>
    </w:p>
    <w:p>
      <w:pPr>
        <w:ind w:right="300" w:firstLine="351"/>
        <w:spacing w:after="0" w:line="335" w:lineRule="auto"/>
        <w:rPr>
          <w:sz w:val="20"/>
          <w:szCs w:val="20"/>
          <w:color w:val="auto"/>
        </w:rPr>
      </w:pPr>
      <w:r>
        <w:rPr>
          <w:rFonts w:ascii="Arial" w:cs="Arial" w:eastAsia="Arial" w:hAnsi="Arial"/>
          <w:sz w:val="15"/>
          <w:szCs w:val="15"/>
          <w:color w:val="auto"/>
        </w:rPr>
        <w:t>Based upon current levels of operations, we expect that following the consummation of the Merger we would be able to generate sufficient cash on a consolidated basis to make all of the principal and interest payments when such payments are due under our existing credit facility, indentures and other instruments governing our outstanding indebtedness, but there can be no assurance that we will be able to repay or refinance such borrowings and obligations.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and will continue to incur significant transaction costs in connection with the Merger that could adversely affect our results of operations.</w:t>
      </w:r>
    </w:p>
    <w:p>
      <w:pPr>
        <w:spacing w:after="0" w:line="26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Whether or not we complete the Merger, we have incurred, and will continue to incur, significant transaction costs in connection with the Merger, including payment of certain fees and expenses incurred in connection with the Merger and related financing transactions. Additional unanticipated costs may be incurred in the integration process. These could adversely affect our results of operations in the period in which such expenses are recorded or our cash flow in the period in which any related costs are actually paid. Furthermore, we may incur material restructuring charges in connection with the Merger, which may adversely affect our operating results following the closing of the Merger in the period in which such expenses are recorded or our cash flow in the period in which any related costs are actually paid. A delay in closing or a failure to complete the Merger could have a negative impact on our business.</w:t>
      </w:r>
    </w:p>
    <w:p>
      <w:pPr>
        <w:spacing w:after="0" w:line="17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Following the consummation of the Merger, we will record goodwill and other intangible assets that could become impaired and result in material non-cash charges to our results of operations in the future.</w:t>
      </w:r>
    </w:p>
    <w:p>
      <w:pPr>
        <w:spacing w:after="0" w:line="186"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Following the consummation of the Merger, we will record a significant amount of goodwill and other intangible assets on our consolidated financial statements that are subject to impairment based upon future adverse changes in our business or prospects. The impairment of any goodwill and other intangible assets could result in material non-cash charges and may have negative impact on our consolidated results of operations in the future.</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the Notes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substantial indebtedness could impair our financial condition and our ability to fulfill our debt obligations, including our obligations under the notes.</w:t>
      </w:r>
    </w:p>
    <w:p>
      <w:pPr>
        <w:spacing w:after="0" w:line="260"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We have substantial indebtedness. At March 31, 2019, our ratio of total debt to total capitalization was 61.8%, and we had $10.366 billion of total debt. In addition, as of March 31, 2019, we had approximately $1.114 billion of letters of credit outstanding under our $2.75 billion revolving credit facility and other letter of credit facilities. Our indebtedness that bears interest at a floating rate makes us vulnerable to changes in interest rates. As of March 31, 2019, we had $2.2 billion of debt maturing within the next 12 months which includes $680 million of tax-exempt bonds with term interest rate periods that expire within the next 12 months. Our level of indebtedness and the covenants contained in the agreements governing our debt could have important consequences, including:</w:t>
      </w:r>
    </w:p>
    <w:p>
      <w:pPr>
        <w:spacing w:after="0" w:line="183" w:lineRule="exact"/>
        <w:rPr>
          <w:sz w:val="20"/>
          <w:szCs w:val="20"/>
          <w:color w:val="auto"/>
        </w:rPr>
      </w:pPr>
    </w:p>
    <w:p>
      <w:pPr>
        <w:ind w:left="1080" w:right="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w:t>
      </w:r>
    </w:p>
    <w:p>
      <w:pPr>
        <w:spacing w:after="0" w:line="225"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are not prohibited under the indenture governing the notes from incurring additional indebtedness. Although our $2.75 billion revolving credit facility requires us to comply with a specified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ratio of Total Debt to EBITDA (each as defined in our $2.75 billion revolving credit facility), which ratio will increase during the quarter in which the Merger is consummated and for the following three fiscal quarters, as of March 31, 2019 and after giving effect to the offering of the notes and the use of proceeds contemplated hereby, we expect to have the ability to incur additional indebtedness while remaining in compliance with this ratio. Our incurrence of additional indebtedness would exacerbate the negative consequences mentioned above, and could adversely affect our ability to service and repay the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holding company and we depend upon cash distributions from our subsidiaries to service our debt.</w:t>
      </w:r>
    </w:p>
    <w:p>
      <w:pPr>
        <w:spacing w:after="0" w:line="225" w:lineRule="exact"/>
        <w:rPr>
          <w:sz w:val="20"/>
          <w:szCs w:val="20"/>
          <w:color w:val="auto"/>
        </w:rPr>
      </w:pPr>
    </w:p>
    <w:p>
      <w:pPr>
        <w:ind w:right="60" w:firstLine="341"/>
        <w:spacing w:after="0" w:line="253" w:lineRule="auto"/>
        <w:rPr>
          <w:sz w:val="20"/>
          <w:szCs w:val="20"/>
          <w:color w:val="auto"/>
        </w:rPr>
      </w:pPr>
      <w:r>
        <w:rPr>
          <w:rFonts w:ascii="Arial" w:cs="Arial" w:eastAsia="Arial" w:hAnsi="Arial"/>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will be effectively subordinated to certain of our subsidiaries' debt and our secured debt.</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While the notes of each series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each series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notes payable associated with our investment in federal low-income housing tax credits. The balance on such notes payable as of March 31, 2019 was $149 million. As of March 31, 2019, our operating subsidiaries had $2.061 billion of indebtedness and WM Holdings had $304 million of long-term debt, less current portion (excluding guarantees of $5.88 billion of our senior debt), in each case excluding intercompany loans. For a description of the ranking of the notes, see "Description of Notes—Ranking" in this prospectus supplement.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the guarantees of the notes.</w:t>
      </w:r>
    </w:p>
    <w:p>
      <w:pPr>
        <w:spacing w:after="0" w:line="225"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Our obligations under the notes will be guaranteed by our wholly owned subsidiary, WM Holdings. The guarantees may be subject to review under various laws for the protection of creditors. It is possible that the creditors of WM Holdings may challenge the guarantees as fraudulent transfers under relevant federal and state laws. Under certain circumstances, including a finding that WM Holdings was insolvent at the time its guarantees were issued, a court could hold that the obligations of WM Holdings under the guarantees may be voided or are subordinate to other obligations of WM Holdings, or that the amount for which WM Holdings is liable under its guarantees of the notes may be limited. Different jurisdictions define "insolvency" differently, and we cannot assure you as to what standard a court would apply to determine whether WM Holdings was insolvent. If a court determined that WM Holdings was insolvent on the date the guarantees of the notes were issued, or that the guarantees constituted a fraudulent transfer on another ground, the claims of creditors of WM Holdings would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effectively have priority with respect to WM Holdings' assets and earnings over the claims of the holders of the notes.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have sufficient funds to purchase the notes upon a change of control triggering event, and this covenant provides limited protection to investors.</w:t>
      </w:r>
    </w:p>
    <w:p>
      <w:pPr>
        <w:spacing w:after="0" w:line="26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Holders of the notes may require us to purchase their notes upon a "change of control triggering event" as defined under "Description of Notes—Change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than existing debt.</w:t>
      </w:r>
    </w:p>
    <w:p>
      <w:pPr>
        <w:spacing w:after="0" w:line="19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change of control offer covenant is limited to the transactions specified in "Description of Notes—Change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sell the notes.</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notes of each series will be a new issue of securities. There is no existing active trading market for the notes of any series, and a market may never develop. We do not currently intend to apply for listing of any series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are:</w:t>
      </w:r>
    </w:p>
    <w:p>
      <w:pPr>
        <w:spacing w:after="0" w:line="211"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This offering is not contingent upon the completion of the Merger. If we do not consummate the Merger on or prior to July 14, 2020, or if, on or prior to such date, the Merger Agreement is terminated, we will be required to redeem all of the outstanding 2024 notes, 2026 notes, 2029 notes and 2039 notes, and we may not have the financial resources necessary to effect such redemption.</w:t>
      </w:r>
    </w:p>
    <w:p>
      <w:pPr>
        <w:spacing w:after="0" w:line="19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This offering is not contingent upon the completion of the Merger. The consummation of the Merger is not assured and is subject to certain conditions, including the affirmative vote of the holders of a majority of the outstanding shares of Advanced Disposal common stock, the expiration or termination of any waiting period under the Hart-Scott-Rodino Antitrust Improvements Act of 1976, as amended, and the rules and regulations promulgated thereunder and the absence of any law or order restraining, enjoining or otherwise prohibiting the acquisition, as well as other customary closing conditions. The Merger Agreement contains certain provisions permitting its termination under certain circumstances.</w:t>
      </w:r>
    </w:p>
    <w:p>
      <w:pPr>
        <w:spacing w:after="0" w:line="170"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If we do not consummate the Merger on or prior to July 14, 2020, or if, on or prior to such date, the Merger Agreement is terminated, we will be required to redeem all of the outstanding 2024 notes, 2026 notes, 2029 notes and 2039 notes at a redemption price equal to 101% of the aggregate principal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amount of such series of notes plus accrued and unpaid interest, if any, to, but excluding, the date of such special mandatory redemption. See "Description of the Notes—Special Mandatory Redemption" in this prospectus supplement. If we redeem those series of notes pursuant to the special mandatory redemption, you may not obtain the return that you expected on your investment in those series of notes. In particular, we cannot assure that you will be able reinvest your redemption proceeds in an investment with a return that is as high as the return you would have earned on the 2024 notes, 2026 notes, 2029 notes and 2039 notes that we redeemed and that have a similar level of investment risk.</w:t>
      </w:r>
    </w:p>
    <w:p>
      <w:pPr>
        <w:spacing w:after="0" w:line="197"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Whether or not the special mandatory redemption is ultimately triggered, the existence of the mandatory redemption provisions may adversely affect the trading prices of the 2024 notes, 2026 notes, 2029 notes and 2039 notes until such time, if any, as the Merger is consummated.</w:t>
      </w:r>
    </w:p>
    <w:p>
      <w:pPr>
        <w:spacing w:after="0" w:line="13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will not be required to deposit the proceeds from the issuance of any series of notes into an escrow account pending completion of the Merger, nor will we be required to grant any security interest in or other lien on those proceeds to secure any mandatory redemption of the 2024 notes, 2026 notes, 2029 notes and 2039 notes. The redemption price will exceed the net proceeds we receive from the sale of the notes, and we may apply the cash proceeds for other purposes prior to any redemption date as described in "Use of Proceeds." If we are required to redeem all of the outstanding 2024 notes, 2026 notes, 2029 notes and 2039 notes, whether because the Merger is not completed by a specified date, the Merger Agreement is terminated or under similar circumstances, our ability to pay the redemption price may be limited by our financial resources at the time and the terms of our debt instruments and other instruments and agreements, and it is possible that we will not have sufficient financial resources available to satisfy our obligations to redeem any or all of the 2024 notes, 2026 notes, 2029 notes and 2039 notes. We may also be required to incur additional indebtedness and reduce availability under our $2.75 billion revolving credit facility to fund the redemption price.</w:t>
      </w:r>
    </w:p>
    <w:p>
      <w:pPr>
        <w:spacing w:after="0" w:line="174"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Any failure to pay the special mandatory redemption price of the 2024 notes, 2026 notes, 2029 notes and 2039 notes when due would constitute an event of default with respect to the notes of such series pursuant to the indenture under which those notes are issued and could have a material adverse effect on our business, results of operations and financial condition and the market prices of our securities, including the notes offered hereby.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expect the net proceeds from the offering of the notes to be $ , after deducting the underwriting discounts and estimated expenses of the offering that we will pay. We intend to use some or all of the net proceeds from the offering of the 2049 notes and, if necessary, the 2039 notes to fund the Tender Offer. We intend to use the net proceeds from the 2024 notes, the 2026 notes and the 2029 notes, together with any remaining net proceeds from the 2039 notes and the 2049 notes, to pay a portion of the consideration for the Merger and related fees and expenses. However, under specific circumstances in which the Merger is not consummated and we are required to redeem all of the outstanding 2024 notes, 2026 notes, 2029 notes and 2039 notes (as described under "Description of Notes —Special Mandatory Redemption"), we intend to use any remaining net proceeds from the sale of the 2049 notes (which are not subject to the special mandatory redemption) for general corporate purposes, which may include payment of fees and expenses relating to the termination of the Merger Agreement.</w:t>
      </w:r>
    </w:p>
    <w:p>
      <w:pPr>
        <w:spacing w:after="0" w:line="172"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This offering is not contingent on the consummation of either the Tender Offer or the Merger, although the consummation of the Tender Offer is contingent upon, among other things, the completion of this offering on terms and conditions satisfactory to us. There can be no assurance that either the Tender Offer or the Merger will be consummated on the terms described herein or at all. Additionally, certain of the underwriters and/or certain of their affiliates may hold a position in the Tender Notes and, as a result, may receive a portion of the net proceeds of the notes offered hereby.</w:t>
      </w:r>
    </w:p>
    <w:p>
      <w:pPr>
        <w:spacing w:after="0" w:line="16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Pending application of the net proceeds as described immediately above, we anticipate that we may repay borrowings under our commercial paper program used for working capital, which is fully supported by our $2.75 billion revolving credit facility. Because certain of the underwriters serve as dealers under our commercial paper program, they may receive as customary dealer fees a portion of the net proceeds of the notes offered hereby. We may temporarily invest in short-term investments, and any excess proceeds will be used for general corporate purposes.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Commercial Paper Program</w:t>
      </w:r>
    </w:p>
    <w:p>
      <w:pPr>
        <w:spacing w:after="0" w:line="231" w:lineRule="exact"/>
        <w:rPr>
          <w:sz w:val="20"/>
          <w:szCs w:val="20"/>
          <w:color w:val="auto"/>
        </w:rPr>
      </w:pPr>
    </w:p>
    <w:p>
      <w:pPr>
        <w:ind w:right="340" w:firstLine="351"/>
        <w:spacing w:after="0" w:line="255" w:lineRule="auto"/>
        <w:rPr>
          <w:sz w:val="20"/>
          <w:szCs w:val="20"/>
          <w:color w:val="auto"/>
        </w:rPr>
      </w:pPr>
      <w:r>
        <w:rPr>
          <w:rFonts w:ascii="Arial" w:cs="Arial" w:eastAsia="Arial" w:hAnsi="Arial"/>
          <w:sz w:val="18"/>
          <w:szCs w:val="18"/>
          <w:color w:val="auto"/>
        </w:rPr>
        <w:t>Our commercial paper program enables us to borrow up to $2.75 billion, which capacity is reduced by the aggregate amount of borrowings outstanding under our $2.75 billion revolving credit facility, for up to 397 days at competitive interest rates. As of May 9, 2019, we had $1.191 billion of outstanding borrowings under our commercial paper program with a weighted average interest rate of 2.70%. As of May 9, 2019, the outstanding borrowings under our commercial paper program have a weighted average maturity of 7.93 days. The proceeds of our commercial paper program were used for general corporate purposes.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right="400" w:firstLine="348"/>
        <w:spacing w:after="0" w:line="259" w:lineRule="auto"/>
        <w:rPr>
          <w:sz w:val="20"/>
          <w:szCs w:val="20"/>
          <w:color w:val="auto"/>
        </w:rPr>
      </w:pPr>
      <w:r>
        <w:rPr>
          <w:rFonts w:ascii="Arial" w:cs="Arial" w:eastAsia="Arial" w:hAnsi="Arial"/>
          <w:sz w:val="18"/>
          <w:szCs w:val="18"/>
          <w:color w:val="auto"/>
        </w:rPr>
        <w:t>The following table sets forth our consolidated cash and cash equivalents and consolidated capitalization as of March 31, 2019 on an actual basis and as adjusted to give effect to the offering of the notes but not the use of proceeds thereof, including the Tender Offer or the Merger. See "Summary—Recent Developments."</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275"/>
              <w:spacing w:after="0"/>
              <w:rPr>
                <w:sz w:val="20"/>
                <w:szCs w:val="20"/>
                <w:color w:val="auto"/>
              </w:rPr>
            </w:pPr>
            <w:r>
              <w:rPr>
                <w:rFonts w:ascii="Arial" w:cs="Arial" w:eastAsia="Arial" w:hAnsi="Arial"/>
                <w:sz w:val="14"/>
                <w:szCs w:val="14"/>
                <w:b w:val="1"/>
                <w:bCs w:val="1"/>
                <w:color w:val="auto"/>
                <w:w w:val="90"/>
              </w:rPr>
              <w:t>March 31, 2019</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3"/>
              </w:rPr>
              <w:t>Actual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As Adjusted(a)</w:t>
            </w: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6"/>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(Unaudited, Dollars</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4"/>
          </w:tcPr>
          <w:p>
            <w:pPr>
              <w:jc w:val="center"/>
              <w:ind w:left="255"/>
              <w:spacing w:after="0"/>
              <w:rPr>
                <w:sz w:val="20"/>
                <w:szCs w:val="20"/>
                <w:color w:val="auto"/>
              </w:rPr>
            </w:pPr>
            <w:r>
              <w:rPr>
                <w:rFonts w:ascii="Arial" w:cs="Arial" w:eastAsia="Arial" w:hAnsi="Arial"/>
                <w:sz w:val="14"/>
                <w:szCs w:val="14"/>
                <w:b w:val="1"/>
                <w:bCs w:val="1"/>
                <w:color w:val="auto"/>
                <w:w w:val="86"/>
              </w:rPr>
              <w:t>in millions)</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Debt: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$2.75 billion revolving credit facility(b)(c)</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w w:val="90"/>
              </w:rPr>
              <w:t>Commercial paper program (weighted average interest rate of 2.8% as of March 31, 2019)(b)</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80" w:type="dxa"/>
            <w:vAlign w:val="bottom"/>
            <w:gridSpan w:val="2"/>
          </w:tcPr>
          <w:p>
            <w:pPr>
              <w:ind w:left="340"/>
              <w:spacing w:after="0"/>
              <w:rPr>
                <w:sz w:val="20"/>
                <w:szCs w:val="20"/>
                <w:color w:val="auto"/>
              </w:rPr>
            </w:pPr>
            <w:r>
              <w:rPr>
                <w:rFonts w:ascii="Arial" w:cs="Arial" w:eastAsia="Arial" w:hAnsi="Arial"/>
                <w:sz w:val="18"/>
                <w:szCs w:val="18"/>
                <w:color w:val="auto"/>
              </w:rPr>
              <w:t>(c)</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Senior notes, maturing through 2045, interest rates ranging from 2.4% to 7.75% (weighted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average interest rate of 4.3% as of March 31, 2019)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w w:val="94"/>
              </w:rPr>
              <w:t>Tax-exempt bonds, maturing through 2048, fixed and variable interest rates ranging from</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80" w:type="dxa"/>
            <w:vAlign w:val="bottom"/>
            <w:gridSpan w:val="2"/>
          </w:tcPr>
          <w:p>
            <w:pPr>
              <w:ind w:left="340"/>
              <w:spacing w:after="0"/>
              <w:rPr>
                <w:sz w:val="20"/>
                <w:szCs w:val="20"/>
                <w:color w:val="auto"/>
              </w:rPr>
            </w:pPr>
            <w:r>
              <w:rPr>
                <w:rFonts w:ascii="Arial" w:cs="Arial" w:eastAsia="Arial" w:hAnsi="Arial"/>
                <w:sz w:val="18"/>
                <w:szCs w:val="18"/>
                <w:color w:val="auto"/>
              </w:rPr>
              <w:t>1.35% to 4.3% (weighted average interest rate of 2.4% as of March 31, 2019)(d)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2,354</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Senior Notes due 2024 offered hereby (excluding unamortized discount)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340"/>
              <w:spacing w:after="0"/>
              <w:rPr>
                <w:sz w:val="20"/>
                <w:szCs w:val="20"/>
                <w:color w:val="auto"/>
              </w:rPr>
            </w:pPr>
            <w:r>
              <w:rPr>
                <w:rFonts w:ascii="Arial" w:cs="Arial" w:eastAsia="Arial" w:hAnsi="Arial"/>
                <w:sz w:val="18"/>
                <w:szCs w:val="18"/>
                <w:color w:val="auto"/>
              </w:rPr>
              <w:t>% Senior Notes due 2026 offered hereby (excluding unamortized discount)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Senior Notes due 2029 offered hereby (excluding unamortized discount)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340"/>
              <w:spacing w:after="0"/>
              <w:rPr>
                <w:sz w:val="20"/>
                <w:szCs w:val="20"/>
                <w:color w:val="auto"/>
              </w:rPr>
            </w:pPr>
            <w:r>
              <w:rPr>
                <w:rFonts w:ascii="Arial" w:cs="Arial" w:eastAsia="Arial" w:hAnsi="Arial"/>
                <w:sz w:val="18"/>
                <w:szCs w:val="18"/>
                <w:color w:val="auto"/>
              </w:rPr>
              <w:t>% Senior Notes due 2039 offered hereby (excluding unamortized discount)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Senior Notes due 2049 offered hereby (excluding unamortized discount)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Financing leases and other, maturing through 2040, interest rates up to 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Debt issuance costs, discounts and other</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Total debt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10,366</w:t>
            </w:r>
          </w:p>
        </w:tc>
        <w:tc>
          <w:tcPr>
            <w:tcW w:w="100" w:type="dxa"/>
            <w:vAlign w:val="bottom"/>
          </w:tcPr>
          <w:p>
            <w:pPr>
              <w:spacing w:after="0"/>
              <w:rPr>
                <w:sz w:val="18"/>
                <w:szCs w:val="18"/>
                <w:color w:val="auto"/>
              </w:rPr>
            </w:pPr>
          </w:p>
        </w:tc>
        <w:tc>
          <w:tcPr>
            <w:tcW w:w="6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Waste Management, Inc. Stockholders'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8"/>
              </w:rPr>
              <w:t>Common stock, $0.01 par value; 1,500,000,000 shares authorized; 630,282,461 shares issued</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4,978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Treasury stock at cost, 205,555,810 shares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(8,440)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(8,440)</w:t>
            </w:r>
          </w:p>
        </w:tc>
      </w:tr>
      <w:tr>
        <w:trPr>
          <w:trHeight w:val="216"/>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Total Waste Management, Inc. stockholders'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6,415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Total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6,417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debt and equity</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4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540" w:right="60" w:hanging="532"/>
        <w:spacing w:after="0" w:line="25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 Adjusted column gives effect to the notes offering but does not give effect to any use of proceeds thereof, including the Tender Offer and the Merger. As of May 10, 2019, the aggregate amount outstanding of the Tender Notes was $1.322 billion. There is no assurance that either the Tender Offer or the Merger will be consummated in accordance with its respective terms, or at all.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line="298"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$2.75 billion revolving credit facility provides us with credit capacity to be used for either cash borrowings, including borrowings in Canadian dollars up to the U.S. dollar equivalent of $375 million, or to support letters of credit or commercial paper. The rates we pay for outstanding U.S. or Canadian loans are generally based on LIBOR or CDOR, respectively, plus a spread depending on our debt rating assigned by Moody's and S&amp;P (each as defined below). WM Holdings guarantees all of the obligations under our $2.75 billion revolving credit facility.</w:t>
      </w:r>
    </w:p>
    <w:p>
      <w:pPr>
        <w:spacing w:after="0" w:line="193" w:lineRule="exact"/>
        <w:rPr>
          <w:rFonts w:ascii="Arial" w:cs="Arial" w:eastAsia="Arial" w:hAnsi="Arial"/>
          <w:sz w:val="16"/>
          <w:szCs w:val="16"/>
          <w:color w:val="auto"/>
        </w:rPr>
      </w:pPr>
    </w:p>
    <w:p>
      <w:pPr>
        <w:ind w:left="540" w:right="140" w:hanging="532"/>
        <w:spacing w:after="0" w:line="290"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of March 31, 2019, we had an aggregate committed capacity of $2.87 billion for letters of credit under various credit facilities. Our $2.75 billion revolving credit facility expires in June 2023 and is our primary source of letter of credit capacity. Our remaining committed letter of credit capacity is provided under facilities with terms extending through December 2020. As of March 31, 2019, we had an aggregate of $1.114 billion of letters of credit outstanding under various credit facilities and no outstanding borrowings under our $2.75 billion revolving credit facility. As of March 31, 2019, we had $572 million of letters of credit issued and $1.4 billion of outstanding borrowings under our commercial paper program, both of which are supported by our $2.75 billion revolving credit facility, leaving $824 million of unused and available credit capacity. We supplement the letter of credit capacity we have through these committed and uncommitted facilities with stand-alone letters of credit with various banking partners.</w:t>
      </w:r>
    </w:p>
    <w:p>
      <w:pPr>
        <w:spacing w:after="0" w:line="185"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NOTES</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tabs>
          <w:tab w:leader="none" w:pos="2080" w:val="left"/>
          <w:tab w:leader="none" w:pos="5040" w:val="left"/>
          <w:tab w:leader="none" w:pos="5820" w:val="left"/>
          <w:tab w:leader="none" w:pos="8260" w:val="left"/>
          <w:tab w:leader="none" w:pos="9020" w:val="left"/>
        </w:tabs>
        <w:rPr>
          <w:sz w:val="20"/>
          <w:szCs w:val="20"/>
          <w:color w:val="auto"/>
        </w:rPr>
      </w:pPr>
      <w:r>
        <w:rPr>
          <w:rFonts w:ascii="Arial" w:cs="Arial" w:eastAsia="Arial" w:hAnsi="Arial"/>
          <w:sz w:val="18"/>
          <w:szCs w:val="18"/>
          <w:color w:val="auto"/>
        </w:rPr>
        <w:t>We are offering $</w:t>
      </w:r>
      <w:r>
        <w:rPr>
          <w:sz w:val="20"/>
          <w:szCs w:val="20"/>
          <w:color w:val="auto"/>
        </w:rPr>
        <w:tab/>
      </w:r>
      <w:r>
        <w:rPr>
          <w:rFonts w:ascii="Arial" w:cs="Arial" w:eastAsia="Arial" w:hAnsi="Arial"/>
          <w:sz w:val="18"/>
          <w:szCs w:val="18"/>
          <w:color w:val="auto"/>
        </w:rPr>
        <w:t>of our senior notes, consisting of $</w:t>
      </w:r>
      <w:r>
        <w:rPr>
          <w:sz w:val="20"/>
          <w:szCs w:val="20"/>
          <w:color w:val="auto"/>
        </w:rPr>
        <w:tab/>
      </w:r>
      <w:r>
        <w:rPr>
          <w:rFonts w:ascii="Arial" w:cs="Arial" w:eastAsia="Arial" w:hAnsi="Arial"/>
          <w:sz w:val="18"/>
          <w:szCs w:val="18"/>
          <w:color w:val="auto"/>
        </w:rPr>
        <w:t>of our</w:t>
      </w:r>
      <w:r>
        <w:rPr>
          <w:sz w:val="20"/>
          <w:szCs w:val="20"/>
          <w:color w:val="auto"/>
        </w:rPr>
        <w:tab/>
      </w:r>
      <w:r>
        <w:rPr>
          <w:rFonts w:ascii="Arial" w:cs="Arial" w:eastAsia="Arial" w:hAnsi="Arial"/>
          <w:sz w:val="18"/>
          <w:szCs w:val="18"/>
          <w:color w:val="auto"/>
        </w:rPr>
        <w:t>% senior notes due 2024, $</w:t>
      </w:r>
      <w:r>
        <w:rPr>
          <w:sz w:val="20"/>
          <w:szCs w:val="20"/>
          <w:color w:val="auto"/>
        </w:rPr>
        <w:tab/>
      </w:r>
      <w:r>
        <w:rPr>
          <w:rFonts w:ascii="Arial" w:cs="Arial" w:eastAsia="Arial" w:hAnsi="Arial"/>
          <w:sz w:val="18"/>
          <w:szCs w:val="18"/>
          <w:color w:val="auto"/>
        </w:rPr>
        <w:t>of our</w:t>
      </w:r>
      <w:r>
        <w:rPr>
          <w:sz w:val="20"/>
          <w:szCs w:val="20"/>
          <w:color w:val="auto"/>
        </w:rPr>
        <w:tab/>
      </w:r>
      <w:r>
        <w:rPr>
          <w:rFonts w:ascii="Arial" w:cs="Arial" w:eastAsia="Arial" w:hAnsi="Arial"/>
          <w:sz w:val="15"/>
          <w:szCs w:val="15"/>
          <w:color w:val="auto"/>
        </w:rPr>
        <w:t>% senior notes due 2026,</w:t>
      </w:r>
    </w:p>
    <w:p>
      <w:pPr>
        <w:spacing w:after="0" w:line="15" w:lineRule="exact"/>
        <w:rPr>
          <w:sz w:val="20"/>
          <w:szCs w:val="20"/>
          <w:color w:val="auto"/>
        </w:rPr>
      </w:pPr>
    </w:p>
    <w:p>
      <w:pPr>
        <w:spacing w:after="0"/>
        <w:tabs>
          <w:tab w:leader="none" w:pos="600" w:val="left"/>
          <w:tab w:leader="none" w:pos="1380" w:val="left"/>
          <w:tab w:leader="none" w:pos="3800" w:val="left"/>
          <w:tab w:leader="none" w:pos="4580" w:val="left"/>
          <w:tab w:leader="none" w:pos="7260" w:val="left"/>
          <w:tab w:leader="none" w:pos="8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of our</w:t>
      </w:r>
      <w:r>
        <w:rPr>
          <w:sz w:val="20"/>
          <w:szCs w:val="20"/>
          <w:color w:val="auto"/>
        </w:rPr>
        <w:tab/>
      </w:r>
      <w:r>
        <w:rPr>
          <w:rFonts w:ascii="Arial" w:cs="Arial" w:eastAsia="Arial" w:hAnsi="Arial"/>
          <w:sz w:val="18"/>
          <w:szCs w:val="18"/>
          <w:color w:val="auto"/>
        </w:rPr>
        <w:t>% senior notes due 2029, $</w:t>
      </w:r>
      <w:r>
        <w:rPr>
          <w:sz w:val="20"/>
          <w:szCs w:val="20"/>
          <w:color w:val="auto"/>
        </w:rPr>
        <w:tab/>
      </w:r>
      <w:r>
        <w:rPr>
          <w:rFonts w:ascii="Arial" w:cs="Arial" w:eastAsia="Arial" w:hAnsi="Arial"/>
          <w:sz w:val="18"/>
          <w:szCs w:val="18"/>
          <w:color w:val="auto"/>
        </w:rPr>
        <w:t>of our</w:t>
      </w:r>
      <w:r>
        <w:rPr>
          <w:sz w:val="20"/>
          <w:szCs w:val="20"/>
          <w:color w:val="auto"/>
        </w:rPr>
        <w:tab/>
      </w:r>
      <w:r>
        <w:rPr>
          <w:rFonts w:ascii="Arial" w:cs="Arial" w:eastAsia="Arial" w:hAnsi="Arial"/>
          <w:sz w:val="18"/>
          <w:szCs w:val="18"/>
          <w:color w:val="auto"/>
        </w:rPr>
        <w:t>% senior notes due 2039 and $</w:t>
      </w:r>
      <w:r>
        <w:rPr>
          <w:sz w:val="20"/>
          <w:szCs w:val="20"/>
          <w:color w:val="auto"/>
        </w:rPr>
        <w:tab/>
      </w:r>
      <w:r>
        <w:rPr>
          <w:rFonts w:ascii="Arial" w:cs="Arial" w:eastAsia="Arial" w:hAnsi="Arial"/>
          <w:sz w:val="18"/>
          <w:szCs w:val="18"/>
          <w:color w:val="auto"/>
        </w:rPr>
        <w:t>of our</w:t>
      </w:r>
      <w:r>
        <w:rPr>
          <w:sz w:val="20"/>
          <w:szCs w:val="20"/>
          <w:color w:val="auto"/>
        </w:rPr>
        <w:tab/>
      </w:r>
      <w:r>
        <w:rPr>
          <w:rFonts w:ascii="Arial" w:cs="Arial" w:eastAsia="Arial" w:hAnsi="Arial"/>
          <w:sz w:val="15"/>
          <w:szCs w:val="15"/>
          <w:color w:val="auto"/>
        </w:rPr>
        <w:t>% senior notes due 2049. The notes of each</w:t>
      </w:r>
    </w:p>
    <w:p>
      <w:pPr>
        <w:spacing w:after="0" w:line="9" w:lineRule="exact"/>
        <w:rPr>
          <w:sz w:val="20"/>
          <w:szCs w:val="20"/>
          <w:color w:val="auto"/>
        </w:rPr>
      </w:pPr>
    </w:p>
    <w:p>
      <w:pPr>
        <w:jc w:val="both"/>
        <w:ind w:right="300"/>
        <w:spacing w:after="0" w:line="295" w:lineRule="auto"/>
        <w:rPr>
          <w:sz w:val="20"/>
          <w:szCs w:val="20"/>
          <w:color w:val="auto"/>
        </w:rPr>
      </w:pPr>
      <w:r>
        <w:rPr>
          <w:rFonts w:ascii="Arial" w:cs="Arial" w:eastAsia="Arial" w:hAnsi="Arial"/>
          <w:sz w:val="16"/>
          <w:szCs w:val="16"/>
          <w:color w:val="auto"/>
        </w:rPr>
        <w:t>series will be issued under and pursuant to an Indenture dated as of September 10, 1997, between us and The Bank of New York Mellon Trust Company, N.A. (the current successor to the initial trustee, Texas Commerce Bank National Association), as Trustee (the "Trustee"). The 2024 notes, the 2026 notes, the 2029 notes, the 2039 notes and the 2049 notes are separate series of notes under the Indenture. We will issue the notes of each series pursuant to a resolution of our Board of Directors and an accompanying officers' certificate setting forth the specific terms applicable to the notes of each series.</w:t>
      </w:r>
    </w:p>
    <w:p>
      <w:pPr>
        <w:spacing w:after="0" w:line="169" w:lineRule="exact"/>
        <w:rPr>
          <w:sz w:val="20"/>
          <w:szCs w:val="20"/>
          <w:color w:val="auto"/>
        </w:rPr>
      </w:pPr>
    </w:p>
    <w:p>
      <w:pPr>
        <w:ind w:left="360"/>
        <w:spacing w:after="0"/>
        <w:tabs>
          <w:tab w:leader="none" w:pos="1260" w:val="left"/>
        </w:tabs>
        <w:rPr>
          <w:sz w:val="20"/>
          <w:szCs w:val="20"/>
          <w:color w:val="auto"/>
        </w:rPr>
      </w:pPr>
      <w:r>
        <w:rPr>
          <w:rFonts w:ascii="Arial" w:cs="Arial" w:eastAsia="Arial" w:hAnsi="Arial"/>
          <w:sz w:val="18"/>
          <w:szCs w:val="18"/>
          <w:i w:val="1"/>
          <w:iCs w:val="1"/>
          <w:color w:val="auto"/>
        </w:rPr>
        <w:t>The Notes.</w:t>
      </w:r>
      <w:r>
        <w:rPr>
          <w:sz w:val="20"/>
          <w:szCs w:val="20"/>
          <w:color w:val="auto"/>
        </w:rPr>
        <w:tab/>
      </w:r>
      <w:r>
        <w:rPr>
          <w:rFonts w:ascii="Arial" w:cs="Arial" w:eastAsia="Arial" w:hAnsi="Arial"/>
          <w:sz w:val="16"/>
          <w:szCs w:val="16"/>
          <w:color w:val="auto"/>
        </w:rPr>
        <w:t>Each series of notes will:</w:t>
      </w:r>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our general unsecured, senior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5"/>
          <w:szCs w:val="15"/>
          <w:color w:val="auto"/>
        </w:rPr>
      </w:pPr>
      <w:r>
        <w:rPr>
          <w:rFonts w:ascii="Arial" w:cs="Arial" w:eastAsia="Arial" w:hAnsi="Arial"/>
          <w:sz w:val="15"/>
          <w:szCs w:val="15"/>
          <w:color w:val="auto"/>
        </w:rPr>
        <w:t>constitute a new and separate series of debt securities issued under the Indenture and will be initially limited to an aggregate principal amount as</w:t>
      </w:r>
    </w:p>
    <w:p>
      <w:pPr>
        <w:sectPr>
          <w:pgSz w:w="11900" w:h="16838" w:orient="portrait"/>
          <w:cols w:equalWidth="0" w:num="1">
            <w:col w:w="11420"/>
          </w:cols>
          <w:pgMar w:left="240" w:top="131" w:right="239" w:bottom="1440" w:gutter="0" w:footer="0" w:header="0"/>
        </w:sectPr>
      </w:pPr>
    </w:p>
    <w:p>
      <w:pPr>
        <w:spacing w:after="0" w:line="50" w:lineRule="exact"/>
        <w:rPr>
          <w:sz w:val="20"/>
          <w:szCs w:val="20"/>
          <w:color w:val="auto"/>
        </w:rPr>
      </w:pPr>
    </w:p>
    <w:p>
      <w:pPr>
        <w:ind w:left="1080" w:right="60"/>
        <w:spacing w:after="0" w:line="261" w:lineRule="auto"/>
        <w:rPr>
          <w:sz w:val="20"/>
          <w:szCs w:val="20"/>
          <w:color w:val="auto"/>
        </w:rPr>
      </w:pPr>
      <w:r>
        <w:rPr>
          <w:rFonts w:ascii="Arial" w:cs="Arial" w:eastAsia="Arial" w:hAnsi="Arial"/>
          <w:sz w:val="18"/>
          <w:szCs w:val="18"/>
          <w:color w:val="auto"/>
        </w:rPr>
        <w:t>follows: $ in the case of the 2024 notes, $ in the case of the 2026 notes, $ in the case of the 2029 notes, $ in the case of the 2039 notes and $ in the case of the 2049 notes;</w:t>
      </w:r>
    </w:p>
    <w:p>
      <w:pPr>
        <w:sectPr>
          <w:pgSz w:w="11900" w:h="16838" w:orient="portrait"/>
          <w:cols w:equalWidth="0" w:num="1">
            <w:col w:w="11420"/>
          </w:cols>
          <w:pgMar w:left="240" w:top="131" w:right="239" w:bottom="1440" w:gutter="0" w:footer="0" w:header="0"/>
          <w:type w:val="continuous"/>
        </w:sectPr>
      </w:pPr>
    </w:p>
    <w:p>
      <w:pPr>
        <w:spacing w:after="0" w:line="19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mature on , 2024, in the case of the 2024 notes, notes, , 2029, in the case of the 2029 notes,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right="740" w:firstLine="819"/>
        <w:spacing w:after="0" w:line="305" w:lineRule="auto"/>
        <w:rPr>
          <w:sz w:val="20"/>
          <w:szCs w:val="20"/>
          <w:color w:val="auto"/>
        </w:rPr>
      </w:pPr>
      <w:r>
        <w:rPr>
          <w:rFonts w:ascii="Arial" w:cs="Arial" w:eastAsia="Arial" w:hAnsi="Arial"/>
          <w:sz w:val="15"/>
          <w:szCs w:val="15"/>
          <w:color w:val="auto"/>
        </w:rPr>
        <w:t>, 2026, in the case of the 2026 , 2039, in the case of the 2039 notes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 w:lineRule="exact"/>
        <w:rPr>
          <w:sz w:val="20"/>
          <w:szCs w:val="20"/>
          <w:color w:val="auto"/>
        </w:rPr>
      </w:pPr>
    </w:p>
    <w:p>
      <w:pPr>
        <w:sectPr>
          <w:pgSz w:w="11900" w:h="16838" w:orient="portrait"/>
          <w:cols w:equalWidth="0" w:num="4">
            <w:col w:w="600" w:space="480"/>
            <w:col w:w="4900" w:space="720"/>
            <w:col w:w="3680" w:space="720"/>
            <w:col w:w="320"/>
          </w:cols>
          <w:pgMar w:left="240" w:top="131" w:right="239" w:bottom="1440" w:gutter="0" w:footer="0" w:header="0"/>
          <w:type w:val="continuous"/>
        </w:sectPr>
      </w:pPr>
    </w:p>
    <w:p>
      <w:pPr>
        <w:ind w:left="1080"/>
        <w:spacing w:after="0"/>
        <w:rPr>
          <w:sz w:val="20"/>
          <w:szCs w:val="20"/>
          <w:color w:val="auto"/>
        </w:rPr>
      </w:pPr>
      <w:r>
        <w:rPr>
          <w:rFonts w:ascii="Arial" w:cs="Arial" w:eastAsia="Arial" w:hAnsi="Arial"/>
          <w:sz w:val="18"/>
          <w:szCs w:val="18"/>
          <w:color w:val="auto"/>
        </w:rPr>
        <w:t>2049, in the case of the 2049 notes;</w:t>
      </w:r>
    </w:p>
    <w:p>
      <w:pPr>
        <w:spacing w:after="0" w:line="232"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unconditionally guaranteed by our wholly owned subsidiary WM Holdings;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be entitled to the benefit of any sinking fund;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issued in minimum denominations of $2,000 and integral multiples of $1,000 in excess thereof; and</w:t>
      </w:r>
    </w:p>
    <w:p>
      <w:pPr>
        <w:spacing w:after="0" w:line="238" w:lineRule="exact"/>
        <w:rPr>
          <w:rFonts w:ascii="Arial" w:cs="Arial" w:eastAsia="Arial" w:hAnsi="Arial"/>
          <w:sz w:val="18"/>
          <w:szCs w:val="18"/>
          <w:color w:val="auto"/>
        </w:rPr>
      </w:pPr>
    </w:p>
    <w:p>
      <w:pPr>
        <w:ind w:left="1080" w:right="36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issued only in book-entry form represented by one or more global notes registered initially in the name of Cede &amp; Co., as nominee of The Depository Trust Company ("DTC"), or such other name as may be requested by an authorized representative of DTC, and deposited with the Trustee, as custodian for DTC.</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ind w:left="360"/>
              <w:spacing w:after="0"/>
              <w:rPr>
                <w:sz w:val="20"/>
                <w:szCs w:val="20"/>
                <w:color w:val="auto"/>
              </w:rPr>
            </w:pPr>
            <w:r>
              <w:rPr>
                <w:rFonts w:ascii="Arial" w:cs="Arial" w:eastAsia="Arial" w:hAnsi="Arial"/>
                <w:sz w:val="18"/>
                <w:szCs w:val="18"/>
                <w:i w:val="1"/>
                <w:iCs w:val="1"/>
                <w:color w:val="auto"/>
                <w:w w:val="98"/>
              </w:rPr>
              <w:t>Interest.</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Interest will:</w:t>
            </w:r>
          </w:p>
        </w:tc>
        <w:tc>
          <w:tcPr>
            <w:tcW w:w="1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53"/>
        </w:trPr>
        <w:tc>
          <w:tcPr>
            <w:tcW w:w="1020" w:type="dxa"/>
            <w:vAlign w:val="bottom"/>
          </w:tcPr>
          <w:p>
            <w:pPr>
              <w:ind w:left="540"/>
              <w:spacing w:after="0"/>
              <w:rPr>
                <w:sz w:val="20"/>
                <w:szCs w:val="20"/>
                <w:color w:val="auto"/>
              </w:rPr>
            </w:pPr>
            <w:r>
              <w:rPr>
                <w:rFonts w:ascii="Arial" w:cs="Arial" w:eastAsia="Arial" w:hAnsi="Arial"/>
                <w:sz w:val="18"/>
                <w:szCs w:val="18"/>
                <w:color w:val="auto"/>
              </w:rPr>
              <w:t>•</w:t>
            </w:r>
          </w:p>
        </w:tc>
        <w:tc>
          <w:tcPr>
            <w:tcW w:w="2920" w:type="dxa"/>
            <w:vAlign w:val="bottom"/>
            <w:gridSpan w:val="3"/>
          </w:tcPr>
          <w:p>
            <w:pPr>
              <w:ind w:left="60"/>
              <w:spacing w:after="0"/>
              <w:rPr>
                <w:sz w:val="20"/>
                <w:szCs w:val="20"/>
                <w:color w:val="auto"/>
              </w:rPr>
            </w:pPr>
            <w:r>
              <w:rPr>
                <w:rFonts w:ascii="Arial" w:cs="Arial" w:eastAsia="Arial" w:hAnsi="Arial"/>
                <w:sz w:val="18"/>
                <w:szCs w:val="18"/>
                <w:color w:val="auto"/>
                <w:w w:val="91"/>
              </w:rPr>
              <w:t>accrue on the 2024 notes at the rate of</w:t>
            </w:r>
          </w:p>
        </w:tc>
        <w:tc>
          <w:tcPr>
            <w:tcW w:w="4040" w:type="dxa"/>
            <w:vAlign w:val="bottom"/>
            <w:gridSpan w:val="2"/>
          </w:tcPr>
          <w:p>
            <w:pPr>
              <w:ind w:left="180"/>
              <w:spacing w:after="0"/>
              <w:rPr>
                <w:sz w:val="20"/>
                <w:szCs w:val="20"/>
                <w:color w:val="auto"/>
              </w:rPr>
            </w:pPr>
            <w:r>
              <w:rPr>
                <w:rFonts w:ascii="Arial" w:cs="Arial" w:eastAsia="Arial" w:hAnsi="Arial"/>
                <w:sz w:val="18"/>
                <w:szCs w:val="18"/>
                <w:color w:val="auto"/>
                <w:w w:val="90"/>
              </w:rPr>
              <w:t>% per annum, accrue on the 2026 notes at the rate of</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w w:val="87"/>
              </w:rPr>
              <w:t>% per annum, accrue on the 2029 notes at the</w:t>
            </w:r>
          </w:p>
        </w:tc>
      </w:tr>
      <w:tr>
        <w:trPr>
          <w:trHeight w:val="222"/>
        </w:trPr>
        <w:tc>
          <w:tcPr>
            <w:tcW w:w="1020" w:type="dxa"/>
            <w:vAlign w:val="bottom"/>
          </w:tcPr>
          <w:p>
            <w:pPr>
              <w:spacing w:after="0"/>
              <w:rPr>
                <w:sz w:val="19"/>
                <w:szCs w:val="19"/>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rPr>
              <w:t>rate of</w:t>
            </w:r>
          </w:p>
        </w:tc>
        <w:tc>
          <w:tcPr>
            <w:tcW w:w="4180" w:type="dxa"/>
            <w:vAlign w:val="bottom"/>
            <w:gridSpan w:val="3"/>
          </w:tcPr>
          <w:p>
            <w:pPr>
              <w:ind w:left="180"/>
              <w:spacing w:after="0"/>
              <w:rPr>
                <w:sz w:val="20"/>
                <w:szCs w:val="20"/>
                <w:color w:val="auto"/>
              </w:rPr>
            </w:pPr>
            <w:r>
              <w:rPr>
                <w:rFonts w:ascii="Arial" w:cs="Arial" w:eastAsia="Arial" w:hAnsi="Arial"/>
                <w:sz w:val="18"/>
                <w:szCs w:val="18"/>
                <w:color w:val="auto"/>
                <w:w w:val="93"/>
              </w:rPr>
              <w:t>% per annum, accrue on the 2039 notes at the rate of</w:t>
            </w:r>
          </w:p>
        </w:tc>
        <w:tc>
          <w:tcPr>
            <w:tcW w:w="4160" w:type="dxa"/>
            <w:vAlign w:val="bottom"/>
            <w:gridSpan w:val="2"/>
          </w:tcPr>
          <w:p>
            <w:pPr>
              <w:ind w:left="40"/>
              <w:spacing w:after="0"/>
              <w:rPr>
                <w:sz w:val="20"/>
                <w:szCs w:val="20"/>
                <w:color w:val="auto"/>
              </w:rPr>
            </w:pPr>
            <w:r>
              <w:rPr>
                <w:rFonts w:ascii="Arial" w:cs="Arial" w:eastAsia="Arial" w:hAnsi="Arial"/>
                <w:sz w:val="18"/>
                <w:szCs w:val="18"/>
                <w:color w:val="auto"/>
                <w:w w:val="89"/>
              </w:rPr>
              <w:t>% per annum and accrue on the 2049 notes at the rate of</w:t>
            </w:r>
          </w:p>
        </w:tc>
        <w:tc>
          <w:tcPr>
            <w:tcW w:w="1360" w:type="dxa"/>
            <w:vAlign w:val="bottom"/>
          </w:tcPr>
          <w:p>
            <w:pPr>
              <w:ind w:left="180"/>
              <w:spacing w:after="0"/>
              <w:rPr>
                <w:sz w:val="20"/>
                <w:szCs w:val="20"/>
                <w:color w:val="auto"/>
              </w:rPr>
            </w:pPr>
            <w:r>
              <w:rPr>
                <w:rFonts w:ascii="Arial" w:cs="Arial" w:eastAsia="Arial" w:hAnsi="Arial"/>
                <w:sz w:val="18"/>
                <w:szCs w:val="18"/>
                <w:color w:val="auto"/>
              </w:rPr>
              <w:t>% per annum;</w:t>
            </w:r>
          </w:p>
        </w:tc>
      </w:tr>
      <w:tr>
        <w:trPr>
          <w:trHeight w:val="446"/>
        </w:trPr>
        <w:tc>
          <w:tcPr>
            <w:tcW w:w="1020" w:type="dxa"/>
            <w:vAlign w:val="bottom"/>
          </w:tcPr>
          <w:p>
            <w:pPr>
              <w:ind w:left="5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60"/>
              <w:spacing w:after="0"/>
              <w:rPr>
                <w:sz w:val="20"/>
                <w:szCs w:val="20"/>
                <w:color w:val="auto"/>
              </w:rPr>
            </w:pPr>
            <w:r>
              <w:rPr>
                <w:rFonts w:ascii="Arial" w:cs="Arial" w:eastAsia="Arial" w:hAnsi="Arial"/>
                <w:sz w:val="18"/>
                <w:szCs w:val="18"/>
                <w:color w:val="auto"/>
              </w:rPr>
              <w:t>accrue from</w:t>
            </w:r>
          </w:p>
        </w:tc>
        <w:tc>
          <w:tcPr>
            <w:tcW w:w="5480" w:type="dxa"/>
            <w:vAlign w:val="bottom"/>
            <w:gridSpan w:val="3"/>
          </w:tcPr>
          <w:p>
            <w:pPr>
              <w:ind w:left="480"/>
              <w:spacing w:after="0"/>
              <w:rPr>
                <w:sz w:val="20"/>
                <w:szCs w:val="20"/>
                <w:color w:val="auto"/>
              </w:rPr>
            </w:pPr>
            <w:r>
              <w:rPr>
                <w:rFonts w:ascii="Arial" w:cs="Arial" w:eastAsia="Arial" w:hAnsi="Arial"/>
                <w:sz w:val="18"/>
                <w:szCs w:val="18"/>
                <w:color w:val="auto"/>
              </w:rPr>
              <w:t>, 2019 or the most recent interest payment date;</w:t>
            </w:r>
          </w:p>
        </w:tc>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60" w:type="dxa"/>
            <w:vAlign w:val="bottom"/>
          </w:tcPr>
          <w:p>
            <w:pPr>
              <w:ind w:left="1600"/>
              <w:spacing w:after="0"/>
              <w:rPr>
                <w:sz w:val="20"/>
                <w:szCs w:val="20"/>
                <w:color w:val="auto"/>
              </w:rPr>
            </w:pPr>
            <w:r>
              <w:rPr>
                <w:rFonts w:ascii="Arial" w:cs="Arial" w:eastAsia="Arial" w:hAnsi="Arial"/>
                <w:sz w:val="18"/>
                <w:szCs w:val="18"/>
                <w:color w:val="auto"/>
                <w:w w:val="89"/>
              </w:rPr>
              <w:t>S-18</w:t>
            </w: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8"/>
        </w:trPr>
        <w:tc>
          <w:tcPr>
            <w:tcW w:w="10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3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58"/>
        </w:trPr>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w w:val="93"/>
              </w:rPr>
              <w:t>be payable in cash semi-annually in arrears on</w:t>
            </w:r>
          </w:p>
        </w:tc>
        <w:tc>
          <w:tcPr>
            <w:tcW w:w="1320" w:type="dxa"/>
            <w:vAlign w:val="bottom"/>
          </w:tcPr>
          <w:p>
            <w:pPr>
              <w:ind w:left="820"/>
              <w:spacing w:after="0"/>
              <w:rPr>
                <w:sz w:val="20"/>
                <w:szCs w:val="20"/>
                <w:color w:val="auto"/>
              </w:rPr>
            </w:pPr>
            <w:r>
              <w:rPr>
                <w:rFonts w:ascii="Arial" w:cs="Arial" w:eastAsia="Arial" w:hAnsi="Arial"/>
                <w:sz w:val="18"/>
                <w:szCs w:val="18"/>
                <w:color w:val="auto"/>
              </w:rPr>
              <w:t>and</w:t>
            </w:r>
          </w:p>
        </w:tc>
        <w:tc>
          <w:tcPr>
            <w:tcW w:w="3240" w:type="dxa"/>
            <w:vAlign w:val="bottom"/>
          </w:tcPr>
          <w:p>
            <w:pPr>
              <w:ind w:left="840"/>
              <w:spacing w:after="0"/>
              <w:rPr>
                <w:sz w:val="20"/>
                <w:szCs w:val="20"/>
                <w:color w:val="auto"/>
              </w:rPr>
            </w:pPr>
            <w:r>
              <w:rPr>
                <w:rFonts w:ascii="Arial" w:cs="Arial" w:eastAsia="Arial" w:hAnsi="Arial"/>
                <w:sz w:val="18"/>
                <w:szCs w:val="18"/>
                <w:color w:val="auto"/>
              </w:rPr>
              <w:t>of each year, beginning on</w:t>
            </w:r>
          </w:p>
        </w:tc>
        <w:tc>
          <w:tcPr>
            <w:tcW w:w="2260" w:type="dxa"/>
            <w:vAlign w:val="bottom"/>
          </w:tcPr>
          <w:p>
            <w:pPr>
              <w:ind w:left="520"/>
              <w:spacing w:after="0"/>
              <w:rPr>
                <w:sz w:val="20"/>
                <w:szCs w:val="20"/>
                <w:color w:val="auto"/>
              </w:rPr>
            </w:pPr>
            <w:r>
              <w:rPr>
                <w:rFonts w:ascii="Arial" w:cs="Arial" w:eastAsia="Arial" w:hAnsi="Arial"/>
                <w:sz w:val="18"/>
                <w:szCs w:val="18"/>
                <w:color w:val="auto"/>
                <w:w w:val="87"/>
              </w:rPr>
              <w:t>, 2019, in the case of the</w:t>
            </w:r>
          </w:p>
        </w:tc>
      </w:tr>
      <w:tr>
        <w:trPr>
          <w:trHeight w:val="222"/>
        </w:trPr>
        <w:tc>
          <w:tcPr>
            <w:tcW w:w="840" w:type="dxa"/>
            <w:vAlign w:val="bottom"/>
          </w:tcPr>
          <w:p>
            <w:pPr>
              <w:spacing w:after="0"/>
              <w:rPr>
                <w:sz w:val="19"/>
                <w:szCs w:val="19"/>
                <w:color w:val="auto"/>
              </w:rPr>
            </w:pP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w w:val="91"/>
              </w:rPr>
              <w:t>2024 notes, the 2026 notes and the 2029 notes;</w:t>
            </w:r>
          </w:p>
        </w:tc>
        <w:tc>
          <w:tcPr>
            <w:tcW w:w="13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53"/>
        </w:trPr>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w w:val="93"/>
              </w:rPr>
              <w:t>be payable in cash semi-annually in arrears on</w:t>
            </w:r>
          </w:p>
        </w:tc>
        <w:tc>
          <w:tcPr>
            <w:tcW w:w="1320" w:type="dxa"/>
            <w:vAlign w:val="bottom"/>
          </w:tcPr>
          <w:p>
            <w:pPr>
              <w:ind w:left="820"/>
              <w:spacing w:after="0"/>
              <w:rPr>
                <w:sz w:val="20"/>
                <w:szCs w:val="20"/>
                <w:color w:val="auto"/>
              </w:rPr>
            </w:pPr>
            <w:r>
              <w:rPr>
                <w:rFonts w:ascii="Arial" w:cs="Arial" w:eastAsia="Arial" w:hAnsi="Arial"/>
                <w:sz w:val="18"/>
                <w:szCs w:val="18"/>
                <w:color w:val="auto"/>
              </w:rPr>
              <w:t>and</w:t>
            </w:r>
          </w:p>
        </w:tc>
        <w:tc>
          <w:tcPr>
            <w:tcW w:w="3240" w:type="dxa"/>
            <w:vAlign w:val="bottom"/>
          </w:tcPr>
          <w:p>
            <w:pPr>
              <w:ind w:left="840"/>
              <w:spacing w:after="0"/>
              <w:rPr>
                <w:sz w:val="20"/>
                <w:szCs w:val="20"/>
                <w:color w:val="auto"/>
              </w:rPr>
            </w:pPr>
            <w:r>
              <w:rPr>
                <w:rFonts w:ascii="Arial" w:cs="Arial" w:eastAsia="Arial" w:hAnsi="Arial"/>
                <w:sz w:val="18"/>
                <w:szCs w:val="18"/>
                <w:color w:val="auto"/>
              </w:rPr>
              <w:t>of each year, beginning on</w:t>
            </w:r>
          </w:p>
        </w:tc>
        <w:tc>
          <w:tcPr>
            <w:tcW w:w="2260" w:type="dxa"/>
            <w:vAlign w:val="bottom"/>
          </w:tcPr>
          <w:p>
            <w:pPr>
              <w:ind w:left="520"/>
              <w:spacing w:after="0"/>
              <w:rPr>
                <w:sz w:val="20"/>
                <w:szCs w:val="20"/>
                <w:color w:val="auto"/>
              </w:rPr>
            </w:pPr>
            <w:r>
              <w:rPr>
                <w:rFonts w:ascii="Arial" w:cs="Arial" w:eastAsia="Arial" w:hAnsi="Arial"/>
                <w:sz w:val="18"/>
                <w:szCs w:val="18"/>
                <w:color w:val="auto"/>
                <w:w w:val="87"/>
              </w:rPr>
              <w:t>, 2019, in the case of the</w:t>
            </w:r>
          </w:p>
        </w:tc>
      </w:tr>
      <w:tr>
        <w:trPr>
          <w:trHeight w:val="222"/>
        </w:trPr>
        <w:tc>
          <w:tcPr>
            <w:tcW w:w="840" w:type="dxa"/>
            <w:vAlign w:val="bottom"/>
          </w:tcPr>
          <w:p>
            <w:pPr>
              <w:spacing w:after="0"/>
              <w:rPr>
                <w:sz w:val="19"/>
                <w:szCs w:val="19"/>
                <w:color w:val="auto"/>
              </w:rPr>
            </w:pP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rPr>
              <w:t>2039 notes and the 2049 notes;</w:t>
            </w:r>
          </w:p>
        </w:tc>
        <w:tc>
          <w:tcPr>
            <w:tcW w:w="13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9"/>
        </w:trPr>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rPr>
              <w:t>be payable to holders of record on the</w:t>
            </w:r>
          </w:p>
        </w:tc>
        <w:tc>
          <w:tcPr>
            <w:tcW w:w="1320" w:type="dxa"/>
            <w:vAlign w:val="bottom"/>
          </w:tcPr>
          <w:p>
            <w:pPr>
              <w:ind w:left="220"/>
              <w:spacing w:after="0"/>
              <w:rPr>
                <w:sz w:val="20"/>
                <w:szCs w:val="20"/>
                <w:color w:val="auto"/>
              </w:rPr>
            </w:pPr>
            <w:r>
              <w:rPr>
                <w:rFonts w:ascii="Arial" w:cs="Arial" w:eastAsia="Arial" w:hAnsi="Arial"/>
                <w:sz w:val="18"/>
                <w:szCs w:val="18"/>
                <w:color w:val="auto"/>
              </w:rPr>
              <w:t>and</w:t>
            </w:r>
          </w:p>
        </w:tc>
        <w:tc>
          <w:tcPr>
            <w:tcW w:w="5500" w:type="dxa"/>
            <w:vAlign w:val="bottom"/>
            <w:gridSpan w:val="2"/>
          </w:tcPr>
          <w:p>
            <w:pPr>
              <w:ind w:left="260"/>
              <w:spacing w:after="0"/>
              <w:rPr>
                <w:sz w:val="20"/>
                <w:szCs w:val="20"/>
                <w:color w:val="auto"/>
              </w:rPr>
            </w:pPr>
            <w:r>
              <w:rPr>
                <w:rFonts w:ascii="Arial" w:cs="Arial" w:eastAsia="Arial" w:hAnsi="Arial"/>
                <w:sz w:val="18"/>
                <w:szCs w:val="18"/>
                <w:color w:val="auto"/>
                <w:w w:val="87"/>
              </w:rPr>
              <w:t>immediately preceding the related interest payment dates in the case of the</w:t>
            </w:r>
          </w:p>
        </w:tc>
      </w:tr>
      <w:tr>
        <w:trPr>
          <w:trHeight w:val="222"/>
        </w:trPr>
        <w:tc>
          <w:tcPr>
            <w:tcW w:w="840" w:type="dxa"/>
            <w:vAlign w:val="bottom"/>
          </w:tcPr>
          <w:p>
            <w:pPr>
              <w:spacing w:after="0"/>
              <w:rPr>
                <w:sz w:val="19"/>
                <w:szCs w:val="19"/>
                <w:color w:val="auto"/>
              </w:rPr>
            </w:pP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w w:val="91"/>
              </w:rPr>
              <w:t>2024 notes, the 2026 notes and the 2029 notes;</w:t>
            </w:r>
          </w:p>
        </w:tc>
        <w:tc>
          <w:tcPr>
            <w:tcW w:w="13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9"/>
        </w:trPr>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rPr>
              <w:t>be payable to holders of record on the</w:t>
            </w:r>
          </w:p>
        </w:tc>
        <w:tc>
          <w:tcPr>
            <w:tcW w:w="1320" w:type="dxa"/>
            <w:vAlign w:val="bottom"/>
          </w:tcPr>
          <w:p>
            <w:pPr>
              <w:ind w:left="220"/>
              <w:spacing w:after="0"/>
              <w:rPr>
                <w:sz w:val="20"/>
                <w:szCs w:val="20"/>
                <w:color w:val="auto"/>
              </w:rPr>
            </w:pPr>
            <w:r>
              <w:rPr>
                <w:rFonts w:ascii="Arial" w:cs="Arial" w:eastAsia="Arial" w:hAnsi="Arial"/>
                <w:sz w:val="18"/>
                <w:szCs w:val="18"/>
                <w:color w:val="auto"/>
              </w:rPr>
              <w:t>and</w:t>
            </w:r>
          </w:p>
        </w:tc>
        <w:tc>
          <w:tcPr>
            <w:tcW w:w="5500" w:type="dxa"/>
            <w:vAlign w:val="bottom"/>
            <w:gridSpan w:val="2"/>
          </w:tcPr>
          <w:p>
            <w:pPr>
              <w:ind w:left="260"/>
              <w:spacing w:after="0"/>
              <w:rPr>
                <w:sz w:val="20"/>
                <w:szCs w:val="20"/>
                <w:color w:val="auto"/>
              </w:rPr>
            </w:pPr>
            <w:r>
              <w:rPr>
                <w:rFonts w:ascii="Arial" w:cs="Arial" w:eastAsia="Arial" w:hAnsi="Arial"/>
                <w:sz w:val="18"/>
                <w:szCs w:val="18"/>
                <w:color w:val="auto"/>
                <w:w w:val="87"/>
              </w:rPr>
              <w:t>immediately preceding the related interest payment dates in the case of the</w:t>
            </w:r>
          </w:p>
        </w:tc>
      </w:tr>
      <w:tr>
        <w:trPr>
          <w:trHeight w:val="222"/>
        </w:trPr>
        <w:tc>
          <w:tcPr>
            <w:tcW w:w="840" w:type="dxa"/>
            <w:vAlign w:val="bottom"/>
          </w:tcPr>
          <w:p>
            <w:pPr>
              <w:spacing w:after="0"/>
              <w:rPr>
                <w:sz w:val="19"/>
                <w:szCs w:val="19"/>
                <w:color w:val="auto"/>
              </w:rPr>
            </w:pP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rPr>
              <w:t>2039 notes and the 2049 notes; and</w:t>
            </w:r>
          </w:p>
        </w:tc>
        <w:tc>
          <w:tcPr>
            <w:tcW w:w="13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260" w:type="dxa"/>
            <w:vAlign w:val="bottom"/>
          </w:tcPr>
          <w:p>
            <w:pPr>
              <w:spacing w:after="0"/>
              <w:rPr>
                <w:sz w:val="19"/>
                <w:szCs w:val="19"/>
                <w:color w:val="auto"/>
              </w:rPr>
            </w:pPr>
          </w:p>
        </w:tc>
      </w:tr>
    </w:tbl>
    <w:p>
      <w:pPr>
        <w:spacing w:after="0" w:line="237"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computed on the basis of a 360-day year consisting of twelve 30-day months.</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Payment and Transfer</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101 Barclay Street, Floor 21 West, New York, New York 10286).</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167"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Special Mandatory Redemption</w:t>
      </w:r>
    </w:p>
    <w:p>
      <w:pPr>
        <w:spacing w:after="0" w:line="231"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Although we intend to use a portion of the net proceeds from this offering to pay a portion of the consideration for the Merger and to pay related fees and expenses, this offering is not contingent on the consummation of the Merger. See "Use of Proceeds." The closing of this offering will occur prior to the consummation of the Merger.</w:t>
      </w:r>
    </w:p>
    <w:p>
      <w:pPr>
        <w:spacing w:after="0" w:line="194"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Merger is subject to various closing conditions. If the Merger is not completed on or prior to July 14, 2020, or if, on or prior to such date, the Merger Agreement is terminated for any reason (each, a "Special Mandatory Redemption Event"), we will be required to redeem all of the outstanding 2024 notes, 2026 notes, 2029 notes and 2039 notes as described below.</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Upon the occurrence of a Special Mandatory Redemption Event, all of the outstanding 2024 notes, 2026 notes, 2029 notes and 2039 notes will be redeemed in whole at a special mandatory redemption price (the "Special Mandatory Redemption Price") equal to 101% of the aggregate principal amount of such notes, plus accrued but unpaid interest on the principal amount of such notes to, but not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including, the Special Mandatory Redemption Date (as defined below) (subject to the right of holders as of the close of business on a regular record date to receive interest due on the related interest payment date).</w:t>
      </w:r>
    </w:p>
    <w:p>
      <w:pPr>
        <w:spacing w:after="0" w:line="186"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Upon the occurrence of a Special Mandatory Redemption Event, we will promptly (but in no event later than 5 business days following such Special Mandatory Redemption Event) notify the Trustee in writing of such event, and will, no later than 5 business days following such notice to the Trustee, mail (or with respect to global notes, to the extent permitted or required by applicable procedures or regulations of the depositary, send electronically) a notice of redemption to the registered address of each holder of the 2024 notes, the 2026 notes, the 2029 notes and the 2039 notes (such date of notification to the holders, the "Special Mandatory Redemption Notice Date") fixing the date of such mandatory redemption, which date will be no earlier than 3 business days and no later than 30 days from the Special Mandatory Redemption Notice Date (such date, the "Special Mandatory Redemption Date"), in each case, in accordance with the applicable provisions of the Indenture. We will notify each holder in accordance with the applicable provisions of the Indenture that all of such outstanding 2024 notes, 2026 notes, 2029 notes and 2039 notes shall be redeemed at the Special Mandatory Redemption Price on the Special Mandatory Redemption Date automatically and without any further action by the holders of such notes. At or prior to 12:00 p.m. (New York City time) on the business day immediately preceding the Special Mandatory Redemption Date, we will deposit with the Trustee funds sufficient to pay the Special Mandatory Redemption Price for such notes. If such deposit is made as provided above, all of the outstanding 2024 notes, 2026 notes, 2029 notes and 2039 notes will cease to bear interest on and after the Special Mandatory Redemption Date.</w:t>
      </w:r>
    </w:p>
    <w:p>
      <w:pPr>
        <w:spacing w:after="0" w:line="178"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aggregate net proceeds from the sale of each series of notes will not be held in escrow, and holders of the notes of each series will not have any special access or rights to, or a security interest in or encumbrance of any kind on, the net proceeds from the offering of the notes of any series. See "Risk Factors—This offering is not contingent upon the completion of the Merger. If we do not consummate the Merger on or prior to July 14, 2020, or if, on or prior to such date, the Merger Agreement is terminated, we will be required to redeem all of the outstanding 2024 notes, 2026 notes, 2029 notes and 2039 notes, and we may not have the financial resources necessary to effect such redemption."</w:t>
      </w:r>
    </w:p>
    <w:p>
      <w:pPr>
        <w:spacing w:after="0" w:line="170"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2049 notes are not subject to the special mandatory redemption and we expect the 2049 notes to remain outstanding even if we do not consummate the Merger. Upon the occurrence of the closing of the Merger, the foregoing provisions regarding the Special Mandatory Redemption Event will cease to apply.</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Before the applicable Par Call Date for each series of notes, the notes of each series will be redeemable and repayable, at our option, at any time in whole, or from time to time in part, at a price equal to the greater of:</w:t>
      </w:r>
    </w:p>
    <w:p>
      <w:pPr>
        <w:spacing w:after="0" w:line="19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sum, as calculated by us, of the present values of the remaining scheduled payments of principal and interest on the notes of the applicable</w:t>
      </w:r>
    </w:p>
    <w:p>
      <w:pPr>
        <w:spacing w:after="0" w:line="38" w:lineRule="exact"/>
        <w:rPr>
          <w:sz w:val="20"/>
          <w:szCs w:val="20"/>
          <w:color w:val="auto"/>
        </w:rPr>
      </w:pPr>
    </w:p>
    <w:p>
      <w:pPr>
        <w:ind w:left="1080" w:right="340"/>
        <w:spacing w:after="0" w:line="300" w:lineRule="auto"/>
        <w:rPr>
          <w:sz w:val="20"/>
          <w:szCs w:val="20"/>
          <w:color w:val="auto"/>
        </w:rPr>
      </w:pPr>
      <w:r>
        <w:rPr>
          <w:rFonts w:ascii="Arial" w:cs="Arial" w:eastAsia="Arial" w:hAnsi="Arial"/>
          <w:sz w:val="15"/>
          <w:szCs w:val="15"/>
          <w:color w:val="auto"/>
        </w:rPr>
        <w:t>series to be redeemed that would be due if such notes matured on the applicable Par Call Date (exclusive of interest accrued to the date of redemption) discounted to the date of redemption on a semi-annual basis (assuming a 360-day year consisting of twelve 30-day months) at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gridSpan w:val="2"/>
          </w:tcPr>
          <w:p>
            <w:pPr>
              <w:ind w:left="1080"/>
              <w:spacing w:after="0"/>
              <w:rPr>
                <w:sz w:val="20"/>
                <w:szCs w:val="20"/>
                <w:color w:val="auto"/>
              </w:rPr>
            </w:pPr>
            <w:r>
              <w:rPr>
                <w:rFonts w:ascii="Arial" w:cs="Arial" w:eastAsia="Arial" w:hAnsi="Arial"/>
                <w:sz w:val="18"/>
                <w:szCs w:val="18"/>
                <w:color w:val="auto"/>
              </w:rPr>
              <w:t>applicable Treasury Yield plus</w:t>
            </w:r>
          </w:p>
        </w:tc>
        <w:tc>
          <w:tcPr>
            <w:tcW w:w="2920" w:type="dxa"/>
            <w:vAlign w:val="bottom"/>
            <w:gridSpan w:val="2"/>
          </w:tcPr>
          <w:p>
            <w:pPr>
              <w:ind w:left="360"/>
              <w:spacing w:after="0"/>
              <w:rPr>
                <w:sz w:val="20"/>
                <w:szCs w:val="20"/>
                <w:color w:val="auto"/>
              </w:rPr>
            </w:pPr>
            <w:r>
              <w:rPr>
                <w:rFonts w:ascii="Arial" w:cs="Arial" w:eastAsia="Arial" w:hAnsi="Arial"/>
                <w:sz w:val="18"/>
                <w:szCs w:val="18"/>
                <w:color w:val="auto"/>
              </w:rPr>
              <w:t>basis points for the 2024 notes,</w:t>
            </w:r>
          </w:p>
        </w:tc>
        <w:tc>
          <w:tcPr>
            <w:tcW w:w="2900" w:type="dxa"/>
            <w:vAlign w:val="bottom"/>
          </w:tcPr>
          <w:p>
            <w:pPr>
              <w:ind w:left="360"/>
              <w:spacing w:after="0"/>
              <w:rPr>
                <w:sz w:val="20"/>
                <w:szCs w:val="20"/>
                <w:color w:val="auto"/>
              </w:rPr>
            </w:pPr>
            <w:r>
              <w:rPr>
                <w:rFonts w:ascii="Arial" w:cs="Arial" w:eastAsia="Arial" w:hAnsi="Arial"/>
                <w:sz w:val="18"/>
                <w:szCs w:val="18"/>
                <w:color w:val="auto"/>
              </w:rPr>
              <w:t>basis points for the 2026 notes,</w:t>
            </w:r>
          </w:p>
        </w:tc>
        <w:tc>
          <w:tcPr>
            <w:tcW w:w="2020" w:type="dxa"/>
            <w:vAlign w:val="bottom"/>
          </w:tcPr>
          <w:p>
            <w:pPr>
              <w:ind w:left="360"/>
              <w:spacing w:after="0"/>
              <w:rPr>
                <w:sz w:val="20"/>
                <w:szCs w:val="20"/>
                <w:color w:val="auto"/>
              </w:rPr>
            </w:pPr>
            <w:r>
              <w:rPr>
                <w:rFonts w:ascii="Arial" w:cs="Arial" w:eastAsia="Arial" w:hAnsi="Arial"/>
                <w:sz w:val="18"/>
                <w:szCs w:val="18"/>
                <w:color w:val="auto"/>
              </w:rPr>
              <w:t>basis points for the</w:t>
            </w:r>
          </w:p>
        </w:tc>
      </w:tr>
      <w:tr>
        <w:trPr>
          <w:trHeight w:val="222"/>
        </w:trPr>
        <w:tc>
          <w:tcPr>
            <w:tcW w:w="2240" w:type="dxa"/>
            <w:vAlign w:val="bottom"/>
          </w:tcPr>
          <w:p>
            <w:pPr>
              <w:ind w:left="1080"/>
              <w:spacing w:after="0"/>
              <w:rPr>
                <w:sz w:val="20"/>
                <w:szCs w:val="20"/>
                <w:color w:val="auto"/>
              </w:rPr>
            </w:pPr>
            <w:r>
              <w:rPr>
                <w:rFonts w:ascii="Arial" w:cs="Arial" w:eastAsia="Arial" w:hAnsi="Arial"/>
                <w:sz w:val="18"/>
                <w:szCs w:val="18"/>
                <w:color w:val="auto"/>
              </w:rPr>
              <w:t>2029 notes,</w:t>
            </w:r>
          </w:p>
        </w:tc>
        <w:tc>
          <w:tcPr>
            <w:tcW w:w="3060" w:type="dxa"/>
            <w:vAlign w:val="bottom"/>
            <w:gridSpan w:val="2"/>
          </w:tcPr>
          <w:p>
            <w:pPr>
              <w:ind w:left="360"/>
              <w:spacing w:after="0"/>
              <w:rPr>
                <w:sz w:val="20"/>
                <w:szCs w:val="20"/>
                <w:color w:val="auto"/>
              </w:rPr>
            </w:pPr>
            <w:r>
              <w:rPr>
                <w:rFonts w:ascii="Arial" w:cs="Arial" w:eastAsia="Arial" w:hAnsi="Arial"/>
                <w:sz w:val="18"/>
                <w:szCs w:val="18"/>
                <w:color w:val="auto"/>
                <w:w w:val="95"/>
              </w:rPr>
              <w:t>basis points for the 2039 notes and</w:t>
            </w:r>
          </w:p>
        </w:tc>
        <w:tc>
          <w:tcPr>
            <w:tcW w:w="4100" w:type="dxa"/>
            <w:vAlign w:val="bottom"/>
            <w:gridSpan w:val="2"/>
          </w:tcPr>
          <w:p>
            <w:pPr>
              <w:ind w:left="440"/>
              <w:spacing w:after="0"/>
              <w:rPr>
                <w:sz w:val="20"/>
                <w:szCs w:val="20"/>
                <w:color w:val="auto"/>
              </w:rPr>
            </w:pPr>
            <w:r>
              <w:rPr>
                <w:rFonts w:ascii="Arial" w:cs="Arial" w:eastAsia="Arial" w:hAnsi="Arial"/>
                <w:sz w:val="18"/>
                <w:szCs w:val="18"/>
                <w:color w:val="auto"/>
              </w:rPr>
              <w:t>basis points for the 2049 notes;</w:t>
            </w:r>
          </w:p>
        </w:tc>
        <w:tc>
          <w:tcPr>
            <w:tcW w:w="2020" w:type="dxa"/>
            <w:vAlign w:val="bottom"/>
          </w:tcPr>
          <w:p>
            <w:pPr>
              <w:spacing w:after="0"/>
              <w:rPr>
                <w:sz w:val="19"/>
                <w:szCs w:val="19"/>
                <w:color w:val="auto"/>
              </w:rPr>
            </w:pPr>
          </w:p>
        </w:tc>
      </w:tr>
      <w:tr>
        <w:trPr>
          <w:trHeight w:val="432"/>
        </w:trPr>
        <w:tc>
          <w:tcPr>
            <w:tcW w:w="2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0" w:type="dxa"/>
            <w:vAlign w:val="bottom"/>
          </w:tcPr>
          <w:p>
            <w:pPr>
              <w:ind w:left="240"/>
              <w:spacing w:after="0"/>
              <w:rPr>
                <w:sz w:val="20"/>
                <w:szCs w:val="20"/>
                <w:color w:val="auto"/>
              </w:rPr>
            </w:pPr>
            <w:r>
              <w:rPr>
                <w:rFonts w:ascii="Arial" w:cs="Arial" w:eastAsia="Arial" w:hAnsi="Arial"/>
                <w:sz w:val="18"/>
                <w:szCs w:val="18"/>
                <w:color w:val="auto"/>
              </w:rPr>
              <w:t>S-20</w:t>
            </w:r>
          </w:p>
        </w:tc>
        <w:tc>
          <w:tcPr>
            <w:tcW w:w="29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8"/>
        </w:trPr>
        <w:tc>
          <w:tcPr>
            <w:tcW w:w="22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On or after the applicable Par Call Date for each series of notes, the notes of each series will be redeemable and repayable, at our option, at any time in whole, or from time to time in part, at a price equal to 100% of the principal amount of the notes of the applicable series to be redeemed plus accrued interest on the notes of the applicable series to be redeemed to the date of redemption.</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Notes called for redemption become due on the date fixed for redemption. Notices of redemption will be mailed at least 10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of a series are redeemed at any time, the Trustee will select the notes to be redeemed on a pro rata basis or by any other method the Trustee deems fair and appropriate (or in the case of notes represented by a note in global form, by such method as the DTC may require).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optional redemption, the following definitions are applicable:</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Yield</w:t>
      </w:r>
      <w:r>
        <w:rPr>
          <w:rFonts w:ascii="Arial" w:cs="Arial" w:eastAsia="Arial" w:hAnsi="Arial"/>
          <w:sz w:val="16"/>
          <w:szCs w:val="16"/>
          <w:color w:val="auto"/>
        </w:rPr>
        <w:t>" means, with respect to any redemption date applicable to the notes of a series,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16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an Independent Investment Banker as having a maturity comparable to the remaining term of the notes of the series to be redeemed, calculated as if the maturity date of such notes were the applicable Par Call Date (the "Remaining Life"), that would be utilized, at the time of selection and in accordance with customary financial practice, in pricing new issues of corporate debt securities of comparable maturity to the Remaining Life of the notes of such series.</w:t>
      </w:r>
    </w:p>
    <w:p>
      <w:pPr>
        <w:spacing w:after="0" w:line="19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appointed by us to act as the Independent Investment Banker from time to time.</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6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 (i) , 2024 (one month prior to the maturity date), in the case of the 2024 notes, (ii) , 2026 (two months prior to the maturity date), in the case of the 2026 notes, (iii) , 2029 (three months prior to the maturity date), in the case of the 2029 notes, (iv) , 2038 (six months prior to the maturity date), in the case of the 2039 notes and (v) , 2048 (six months prior to the maturity date), in the case of the 2049 notes.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(i) each of Credit Suisse Securities (USA) LLC, Deutsche Bank Securities Inc., Goldman Sachs &amp; Co. LLC, J.P. Morgan Securities LLC and Mizuho Securities USA LLC (and their respective successors), unless any of them ceases to be a primary U.S. government securities dealer in New York City (a "Primary Treasury Dealer"), in which case we will substitute therefor another Primary Treasury Dealer, and (ii) any other Primary Treasury Dealer selected by 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for the notes of a series, an average, as determined by the Independent Investment Banker, of the bid and asked prices for the Comparable Treasury Issue for such notes (expressed in each case as a percentage of its principal amount) quoted in writing to the Independent Investment Banker by the Reference Treasury Dealer at 5:00 p.m., New York City time, on the third business day preceding such redemption date.</w:t>
      </w:r>
    </w:p>
    <w:p>
      <w:pPr>
        <w:spacing w:after="0" w:line="19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Except as set forth above under "—Special Mandatory Redemption" and "—Optional Redemption," the notes will not be redeemable by us prior to maturity and will not be entitled to the benefit of any sinking fund.</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Defeasance</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Each series of notes will be subject to legal defeasance and to covenant defeasance as provided under "Description of the Debt Securities—Provisions Applicable to Each Indenture—Defeasance" in the accompanying prospectus.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of a series, when:</w:t>
      </w:r>
    </w:p>
    <w:p>
      <w:pPr>
        <w:spacing w:after="0" w:line="139" w:lineRule="exact"/>
        <w:rPr>
          <w:sz w:val="20"/>
          <w:szCs w:val="20"/>
          <w:color w:val="auto"/>
        </w:rPr>
      </w:pPr>
    </w:p>
    <w:p>
      <w:pPr>
        <w:ind w:left="700" w:hanging="341"/>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540" w:right="20" w:firstLine="359"/>
        <w:spacing w:after="0" w:line="259" w:lineRule="auto"/>
        <w:tabs>
          <w:tab w:leader="none" w:pos="121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the notes of that series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194" w:lineRule="exact"/>
        <w:rPr>
          <w:rFonts w:ascii="Arial" w:cs="Arial" w:eastAsia="Arial" w:hAnsi="Arial"/>
          <w:sz w:val="18"/>
          <w:szCs w:val="18"/>
          <w:color w:val="auto"/>
        </w:rPr>
      </w:pPr>
    </w:p>
    <w:p>
      <w:pPr>
        <w:ind w:left="540" w:firstLine="359"/>
        <w:spacing w:after="0" w:line="312" w:lineRule="auto"/>
        <w:tabs>
          <w:tab w:leader="none" w:pos="1228" w:val="left"/>
        </w:tabs>
        <w:numPr>
          <w:ilvl w:val="1"/>
          <w:numId w:val="13"/>
        </w:numPr>
        <w:rPr>
          <w:rFonts w:ascii="Arial" w:cs="Arial" w:eastAsia="Arial" w:hAnsi="Arial"/>
          <w:sz w:val="15"/>
          <w:szCs w:val="15"/>
          <w:color w:val="auto"/>
        </w:rPr>
      </w:pPr>
      <w:r>
        <w:rPr>
          <w:rFonts w:ascii="Arial" w:cs="Arial" w:eastAsia="Arial" w:hAnsi="Arial"/>
          <w:sz w:val="15"/>
          <w:szCs w:val="15"/>
          <w:color w:val="auto"/>
        </w:rPr>
        <w:t>all notes of that series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of that series not theretofore delivered to the Trustee for cancellation, including any premium and interest on such series of notes to the applicable maturity date or applicable redemption date (provided that, upon any redemption that requires the payment of any make-whole premium, (x) the amount of cash that must be deposited will be determined using an assumed applicable premium calculated as of the date of such deposit and (y) we will deposit any deficit in trust on or prior to the redemption date as necessary to pay the applicable premium as determined by such date);</w:t>
      </w:r>
    </w:p>
    <w:p>
      <w:pPr>
        <w:spacing w:after="0" w:line="159" w:lineRule="exact"/>
        <w:rPr>
          <w:rFonts w:ascii="Arial" w:cs="Arial" w:eastAsia="Arial" w:hAnsi="Arial"/>
          <w:sz w:val="15"/>
          <w:szCs w:val="15"/>
          <w:color w:val="auto"/>
        </w:rPr>
      </w:pPr>
    </w:p>
    <w:p>
      <w:pPr>
        <w:ind w:left="700" w:hanging="341"/>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with respect to the notes of that series; and</w:t>
      </w:r>
    </w:p>
    <w:p>
      <w:pPr>
        <w:spacing w:after="0" w:line="225" w:lineRule="exact"/>
        <w:rPr>
          <w:rFonts w:ascii="Arial" w:cs="Arial" w:eastAsia="Arial" w:hAnsi="Arial"/>
          <w:sz w:val="18"/>
          <w:szCs w:val="18"/>
          <w:color w:val="auto"/>
        </w:rPr>
      </w:pPr>
    </w:p>
    <w:p>
      <w:pPr>
        <w:ind w:right="20" w:firstLine="359"/>
        <w:spacing w:after="0" w:line="268" w:lineRule="auto"/>
        <w:tabs>
          <w:tab w:leader="none" w:pos="6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Ranking</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notes of each series will be our unsecured and unsubordinated obligations, and will rank equally in contractual right of payment with the other series and all of our other existing and future senior indebtedness from time to time outstanding.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"—Further Issuances" in this prospectus supplement.</w:t>
      </w:r>
    </w:p>
    <w:p>
      <w:pPr>
        <w:spacing w:after="0" w:line="197"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the Debt Securities—Provisions Applicable Solely to Senior Debt Securities" in the accompanying prospectus.</w:t>
      </w:r>
    </w:p>
    <w:p>
      <w:pPr>
        <w:spacing w:after="0" w:line="177"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As of March 31, 2019, our operating subsidiaries had $2.061 billion of indebtedness and WM Holdings had $304 million of long-term debt, less current portion (excluding guarantees of $5.88 billion of our senior debt), in each case excluding intercompany loans.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WM Holdings will unconditionally guarantee our obligations under the notes of each series. Each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each guarantee limits the amount of such guarantee to the amount that will result in the guarantee not constituting a fraudulent transfer or improper corporate distribution.</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guarantees of the notes shall be binding on WM Holdings, its successors and assigns, and shall continue in full force and effect for the benefit of holders of the notes of each series until the earliest to occur of:</w:t>
      </w:r>
    </w:p>
    <w:p>
      <w:pPr>
        <w:spacing w:after="0" w:line="19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of that series; or</w:t>
      </w:r>
    </w:p>
    <w:p>
      <w:pPr>
        <w:spacing w:after="0" w:line="238" w:lineRule="exact"/>
        <w:rPr>
          <w:rFonts w:ascii="Arial" w:cs="Arial" w:eastAsia="Arial" w:hAnsi="Arial"/>
          <w:sz w:val="18"/>
          <w:szCs w:val="18"/>
          <w:color w:val="auto"/>
        </w:rPr>
      </w:pPr>
    </w:p>
    <w:p>
      <w:pPr>
        <w:ind w:left="1080" w:right="120" w:hanging="532"/>
        <w:spacing w:after="0" w:line="306"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release of the guarantees by WM Holdings of obligations of Waste Management under its $2.75 billion revolving credit facility (or any replacement or new principal credit facility). Our $2.75 billion revolving credit facility currently states that WM Holdings' guarantees under such facility can only be released with the written consent of each of the lenders that is a party thereto.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Control Offer</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If a change of control triggering event occurs, unless we have exercised our option to redeem the notes of any series, or a Special Mandatory Redemption Event has occurred prior to such date, each as described above, we will be required to make an offer (a "change of control offer") to each holder of the notes of that series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such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and not withdrawn pursuant to the change of control offer;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deposit with the paying agent an amount equal to the change of control payment in respect of all notes or portions of notes properly tendered; and</w:t>
      </w:r>
    </w:p>
    <w:p>
      <w:pPr>
        <w:spacing w:after="0" w:line="273" w:lineRule="exact"/>
        <w:rPr>
          <w:rFonts w:ascii="Arial" w:cs="Arial" w:eastAsia="Arial" w:hAnsi="Arial"/>
          <w:sz w:val="15"/>
          <w:szCs w:val="15"/>
          <w:color w:val="auto"/>
        </w:rPr>
      </w:pPr>
    </w:p>
    <w:p>
      <w:pPr>
        <w:ind w:left="1080" w:right="4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8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series of notes if there has occurred and is continuing on the change of control payment date an event of default under the Indenture with respect to that series, other than a default in the payment of the change of control payment upon a change of control triggering event.</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225"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(1) the direct or indirect sale, lease, transfer, conveyance or other disposition (other than by way of merger or consolidation), in one or more series of related transactions, of all or substantially all of our assets and the assets of our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our liquidation or dissolution.</w:t>
      </w:r>
    </w:p>
    <w:p>
      <w:pPr>
        <w:spacing w:after="0" w:line="17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70"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event.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Inc. and its successors.</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grade rating</w:t>
      </w:r>
      <w:r>
        <w:rPr>
          <w:rFonts w:ascii="Arial" w:cs="Arial" w:eastAsia="Arial" w:hAnsi="Arial"/>
          <w:sz w:val="16"/>
          <w:szCs w:val="16"/>
          <w:color w:val="auto"/>
        </w:rPr>
        <w:t>" means a rating equal to or higher than BBB–(or the equivalent) by Fitch, Baa3 (or the equivalent) by Moody's and BBB–(or the equivalent) by S&amp;P, and the equivalent investment grade credit rating from any replacement rating agency or rating agencies selected by us.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 (1) each of Fitch, Moody's and S&amp;P and (2) if any of Fitch, Moody's or S&amp;P ceases to rate the notes of the applicable series or fails to make a rating of such series of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197"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means the rating on the notes of the applicable series is lowered by at least two of the three rating agencies and such series of notes are rated below an investment grade rating by at least two of the three rating agencies, in any case on any day during the period (which period will be extended so long as the rating of such series of notes is under publicly announced consideration for a possible downgrade by any of the rating agencies) commencing 60 days prior to the first public notice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of the occurrence of a change of control or our intention to effect a change of control and ending 60 days following consummation of such change of control.</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S&amp;P Global Inc., and its successors.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Certain 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For a description of these covenants, see "Description of the Debt Securities—Provisions Applicable to Each Indenture—Consolidation, Merger and Sale of Assets" and "—Provisions Applicable Solely to Senior Debt Securities—Restrictive Covenants" in the accompanying prospectus.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Further Issuances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may from time to time, without notice or the consent of the holders of any series of the notes, create and issue further notes ranking equally and ratably with the notes of any series in all respects (or in all respects except for the issue date, the initial interest payment date, if applicable, the payment of interest accruing prior to the issue date of such further notes, and, depending on the status of the Merger and the financing related thereto, redemption upon a Special Mandatory Redemption Event), so that such further notes shall be consolidated and form a single series with the notes of that series and shall have the same terms as to status, redemption or otherwise as the notes of that series. We may at any time purchase notes in the open market or otherwise at any price.</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Book-Entry Systems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will issue the notes of each series in the form of one or more fully registered global notes, without coupons, each of which we refer to as a "global note." Each such global note will be registered in the name of a nominee of The Depository Trust Company, or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notes.</w:t>
      </w:r>
    </w:p>
    <w:p>
      <w:pPr>
        <w:spacing w:after="0" w:line="16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194"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DTC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advised us and the underwriters as follows:</w:t>
      </w:r>
    </w:p>
    <w:p>
      <w:pPr>
        <w:spacing w:after="0" w:line="239" w:lineRule="exact"/>
        <w:rPr>
          <w:sz w:val="20"/>
          <w:szCs w:val="20"/>
          <w:color w:val="auto"/>
        </w:rPr>
      </w:pPr>
    </w:p>
    <w:p>
      <w:pPr>
        <w:ind w:left="1080" w:right="6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the Exchange Act.</w:t>
      </w:r>
    </w:p>
    <w:p>
      <w:pPr>
        <w:spacing w:after="0" w:line="221" w:lineRule="exact"/>
        <w:rPr>
          <w:rFonts w:ascii="Arial" w:cs="Arial" w:eastAsia="Arial" w:hAnsi="Arial"/>
          <w:sz w:val="18"/>
          <w:szCs w:val="18"/>
          <w:color w:val="auto"/>
        </w:rPr>
      </w:pPr>
    </w:p>
    <w:p>
      <w:pPr>
        <w:ind w:left="1080" w:right="180" w:hanging="532"/>
        <w:spacing w:after="0" w:line="306"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174" w:lineRule="exact"/>
        <w:rPr>
          <w:rFonts w:ascii="Arial" w:cs="Arial" w:eastAsia="Arial" w:hAnsi="Arial"/>
          <w:sz w:val="16"/>
          <w:szCs w:val="16"/>
          <w:color w:val="auto"/>
        </w:rPr>
      </w:pPr>
    </w:p>
    <w:p>
      <w:pPr>
        <w:ind w:left="1080" w:right="160" w:hanging="532"/>
        <w:spacing w:after="0" w:line="256"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rules applicable to DTC and its direct and indirect participants are on file with the Securities and Exchange Commission.</w:t>
      </w:r>
    </w:p>
    <w:p>
      <w:pPr>
        <w:spacing w:after="0" w:line="225"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7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affect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170"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139"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142"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161"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DTC may discontinue providing its service as securities depositary with respect to the notes of any series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97"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Euroclear</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Euroclear Operator is a Belgian bank, which is regulated and examined by the Belgian Banking Commission and the National Bank of Belgium.</w:t>
      </w:r>
    </w:p>
    <w:p>
      <w:pPr>
        <w:spacing w:after="0" w:line="248" w:lineRule="exact"/>
        <w:rPr>
          <w:sz w:val="20"/>
          <w:szCs w:val="20"/>
          <w:color w:val="auto"/>
        </w:rPr>
      </w:pPr>
    </w:p>
    <w:p>
      <w:pPr>
        <w:jc w:val="both"/>
        <w:ind w:right="640" w:firstLine="348"/>
        <w:spacing w:after="0" w:line="306" w:lineRule="auto"/>
        <w:rPr>
          <w:sz w:val="20"/>
          <w:szCs w:val="20"/>
          <w:color w:val="auto"/>
        </w:rPr>
      </w:pPr>
      <w:r>
        <w:rPr>
          <w:rFonts w:ascii="Arial" w:cs="Arial" w:eastAsia="Arial" w:hAnsi="Arial"/>
          <w:sz w:val="16"/>
          <w:szCs w:val="16"/>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16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86"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70"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197"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5"/>
        <w:spacing w:after="0" w:line="256"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Clearstream</w:t>
      </w:r>
    </w:p>
    <w:p>
      <w:pPr>
        <w:spacing w:after="0" w:line="231"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159"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170"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170"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w:t>
      </w:r>
    </w:p>
    <w:p>
      <w:pPr>
        <w:spacing w:after="0" w:line="197"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186" w:lineRule="exact"/>
        <w:rPr>
          <w:sz w:val="20"/>
          <w:szCs w:val="20"/>
          <w:color w:val="auto"/>
        </w:rPr>
      </w:pPr>
    </w:p>
    <w:p>
      <w:pPr>
        <w:ind w:firstLine="345"/>
        <w:spacing w:after="0" w:line="256"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U.S. FEDERAL TAX CONSIDERATIONS FOR NON-U.S. 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Scope of Discussion</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following discussion summarizes certain U.S. federal income tax considerations relating to the purchase, ownership and disposition of the notes by an individual or entity that is a non-U.S. holder (as defined below). This discussion is based upon the Internal Revenue Code of 1986, as amended (the "Code"), Treasury regulations promulgated under the Code, court decisions, published positions of the Internal Revenue Service (the "IRS") and other applicable authorities, all as in effect on the date of this prospectus supplement and all of which are subject to change or differing interpretations, possibly with retroactive effect. This discussion is limited to non-U.S. holders who purchase the notes at their "issue price" (i.e.,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w:t>
      </w:r>
    </w:p>
    <w:p>
      <w:pPr>
        <w:spacing w:after="0" w:line="172"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discussion does not address all of the U.S. federal income tax consequences that may be relevant to non-U.S. holders in light of their particular circumstances or to non-U.S. holders who may be subject to special treatment under U.S. federal income tax laws, such as certain expatriates or former long-term residents of the United States, banks and other financial institutions, real estate investment trusts and regulated investment companies, employee stock ownership plans, controlled foreign corporations, corporations that accumulate earnings to avoid U.S. federal income tax, insurance companies, tax-exempt entities, dealers in securities, brokers, non-U.S. trusts and estates with U.S. beneficiaries, persons subject to the alternative minimum tax, persons required to accelerate the recognition of any item of gross income with respect to the notes as a result of such income being recognized on an applicable financial statement or persons who hold the notes as a hedge or who hedge the interest rate on the notes. In addition, this discussion does not address any aspect of the Medicare tax on certain investment income, non-income taxation (such as estate and gift taxes) or state, local or foreign taxation. This summary is intended for general information only and does not represent a detailed description of all the U.S. federal income tax considerations that may be relevant to you in light of your particular circumstances. No ruling has been or will be obtained from the IRS regarding the U.S. federal tax consequences relating to the purchase, ownership or disposition of the notes. As a result, no assurance can be given that the IRS will not assert, or that a court will not sustain, a position contrary to the conclusions set forth below.</w:t>
      </w:r>
    </w:p>
    <w:p>
      <w:pPr>
        <w:spacing w:after="0" w:line="178" w:lineRule="exact"/>
        <w:rPr>
          <w:sz w:val="20"/>
          <w:szCs w:val="20"/>
          <w:color w:val="auto"/>
        </w:rPr>
      </w:pPr>
    </w:p>
    <w:p>
      <w:pPr>
        <w:ind w:right="300" w:firstLine="351"/>
        <w:spacing w:after="0" w:line="255" w:lineRule="auto"/>
        <w:rPr>
          <w:sz w:val="20"/>
          <w:szCs w:val="20"/>
          <w:color w:val="auto"/>
        </w:rPr>
      </w:pPr>
      <w:r>
        <w:rPr>
          <w:rFonts w:ascii="Arial" w:cs="Arial" w:eastAsia="Arial" w:hAnsi="Arial"/>
          <w:sz w:val="18"/>
          <w:szCs w:val="18"/>
          <w:color w:val="auto"/>
        </w:rPr>
        <w:t>If an entity or arrangement classified as a partnership for U.S. federal income tax purposes holds the notes, the tax treatment of a partner will generally depend on the status of the partner and the activities of the partnership. If you are a partnership or a partner of a partnership considering an investment in the notes, you should consult your own tax advisors concerning the particular U.S. federal income tax consequences to you of the purchase, ownership and disposition of the notes, as well as the consequences to you arising under other U.S. federal tax laws as well as the laws of any state, local, or non-U.S. taxing jurisdictions.</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THIS SUMMARY IS NOT A SUBSTITUTE FOR AN INDIVIDUAL ANALYSIS OF THE TAX CONSEQUENCES RELATING TO THE PURCHASE, OWNERSHIP OR DISPOSITION OF THE NOTES. WE URGE YOU TO CONSULT A TAX ADVISOR REGARDING THE PARTICULAR FEDERAL, STATE, LOCAL AND FOREIGN TAX CONSEQUENCES RELATING TO THE PURCHASE, OWNERSHIP OR DISPOSITION OF THE NOTES IN LIGHT OF YOUR OWN SITUATION.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45"/>
        <w:spacing w:after="0" w:line="268" w:lineRule="auto"/>
        <w:rPr>
          <w:sz w:val="20"/>
          <w:szCs w:val="20"/>
          <w:color w:val="auto"/>
        </w:rPr>
      </w:pPr>
      <w:r>
        <w:rPr>
          <w:rFonts w:ascii="Arial" w:cs="Arial" w:eastAsia="Arial" w:hAnsi="Arial"/>
          <w:sz w:val="18"/>
          <w:szCs w:val="18"/>
          <w:color w:val="auto"/>
        </w:rPr>
        <w:t>You are a "non-U.S. holder" for purposes of this discussion if you are a beneficial owner of a note (other than a partnership, or other entity or arrangement classified as a partnership for U.S. federal income tax purposes) and you are not:</w:t>
      </w:r>
    </w:p>
    <w:p>
      <w:pPr>
        <w:spacing w:after="0" w:line="199" w:lineRule="exact"/>
        <w:rPr>
          <w:sz w:val="20"/>
          <w:szCs w:val="20"/>
          <w:color w:val="auto"/>
        </w:rPr>
      </w:pPr>
    </w:p>
    <w:p>
      <w:pPr>
        <w:ind w:left="1080" w:right="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individual who is a U.S. citizen or U.S. resident alien, including without limitation an alien individual who is a lawful permanent resident of the United States or who has been present in the United States for 183 days or more during the taxable year;</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38"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trust if either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Payments of Additional Amounts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may be required to make payments of additional amounts to holders of the notes under certain circumstances, including those described under "Description of Notes—Special Mandatory Redemption," "Description of Notes—Optional Redemption" or "Description of Notes—Change of Control Offer" above. The foregoing contingencies may implicate the provisions of the U.S. Treasury regulations relating to "contingent payment debt instruments." Under applicable U.S. Treasury regulations, one or more such contingencies will not cause the notes to be treated as contingent payment debt instruments if, as of the issue date, there is only a remote chance that such an amount will be paid, the amount is incidental or certain other exceptions apply. Although the issue is not free from doubt, we intend to take the position that the possibility of any such payment should not cause the notes to be subject to "contingent payment debt instrument" rules. Our position is binding on you unless you disclose your contrary position in the manner required by applicable Treasury regulations. Our determination is not, however, binding on the IRS, and if the IRS were to successfully challenge this determination you might, among other things, be required to accrue interest income at a higher rate than the stated interest rate and to treat as ordinary interest income any gain realized on a disposition of the notes. The remainder of this discussion assumes that the notes will not be treated as contingent payment debt instruments. You should consult your own tax advisors regarding the possible application of the contingent payment debt instrument rules to the notes.</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Interest on the Notes</w:t>
      </w:r>
    </w:p>
    <w:p>
      <w:pPr>
        <w:spacing w:after="0" w:line="23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Subject to the discussion of backup withholding and FATCA withholding requirements discussed below, payments of interest on the notes generally will be exempt from withholding of U.S. federal income tax under the "portfolio interest" exemption if you properly certify as to your foreign status as described below, and:</w:t>
      </w:r>
    </w:p>
    <w:p>
      <w:pPr>
        <w:spacing w:after="0" w:line="221"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paid on the notes is not effectively connected with your conduct of a trade or business in the United States;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are not a bank whose receipt of interest on the notes is in connection with an extension of credit made pursuant to a loan agreement entered into in the ordinary course of your trade or business;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you do not own, actually or constructively, 10% or more of the total combined voting power of all classes of our stock entitled to vote; and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you are not a "controlled foreign corporation" that is related to us through actual or constructive stock ownership (as provided in the Code).</w:t>
      </w:r>
    </w:p>
    <w:p>
      <w:pPr>
        <w:spacing w:after="0" w:line="24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portfolio interest exemption and several of the special rules for non-U.S. holders described below generally apply only if you appropriately certify as to your foreign status. You can generally meet this certification requirement by (1) providing a properly executed IRS Form W-8BEN, IRS Form W-8BEN-E or applicable substitute or successor form (together with all appropriate attachments) to the applicable withholding agent or (2) if a securities clearing organization, bank or other financial institution that holds customers' securities in the ordinary course of its trade or business and holds your notes on your behalf certifies to the applicable withholding agent under penalties of perjury that it has received from you a signed, written statement that you are not a U.S. person and provides the applicable withholding agent with a copy of this statement. If you cannot satisfy the requirements described above, payments of interest made to you will be subject to U.S. federal income tax withholding at a 30% rate, unless (i) you provide the applicable withholding agent with a properly executed IRS Form W-8BEN or IRS Form W-8BEN-E (or applicable substitute or successor form) claiming an exemption from (or a reduction of) withholding under the benefit of an applicable tax treaty, or (ii) the payments of interest are effectively connected with your conduct of a trade or business (and, if required by an applicable tax treaty, are attributable to a "permanent establishment" maintained by you) in the United States and you meet the certification requirements described below in "— Income or Gain Effectively Connected with a U.S. Trade or Business."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Sale, Redemption, Exchange, Retirement or Other Taxable Disposition of Notes</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Subject to the discussion of backup withholding and FATCA (as defined herein) withholding requirements discussed below, you generally will not be subject to U.S. federal income tax on any gain realized on the sale, redemption, exchange, retirement or other taxable disposition of a note unless:</w:t>
      </w:r>
    </w:p>
    <w:p>
      <w:pPr>
        <w:spacing w:after="0" w:line="166" w:lineRule="exact"/>
        <w:rPr>
          <w:sz w:val="20"/>
          <w:szCs w:val="20"/>
          <w:color w:val="auto"/>
        </w:rPr>
      </w:pPr>
    </w:p>
    <w:p>
      <w:pPr>
        <w:ind w:left="1080" w:right="1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required by an applicable tax treaty, is attributable to your permanent establishment in the United States); or</w:t>
      </w:r>
    </w:p>
    <w:p>
      <w:pPr>
        <w:spacing w:after="0" w:line="199"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are an individual who has been present in the United States for 183 days or more in the taxable year of disposition and certain other requirements are met.</w:t>
      </w:r>
    </w:p>
    <w:p>
      <w:pPr>
        <w:spacing w:after="0" w:line="186"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If you are described in the first bullet point above, you will be subject to the treatment described below in "—Income or Gain Effectively Connected with a U.S. Trade or Business." If you are described in the second bullet point above, you will be subject to a flat 30% tax (or lower tax treaty rate) on the gain derived from the sale, redemption, exchange, retirement or other taxable disposition, and such gain may be offset by U.S. source capital losses, even though you are not considered a resident of the United States.</w:t>
      </w:r>
    </w:p>
    <w:p>
      <w:pPr>
        <w:spacing w:after="0" w:line="197" w:lineRule="exact"/>
        <w:rPr>
          <w:sz w:val="20"/>
          <w:szCs w:val="20"/>
          <w:color w:val="auto"/>
        </w:rPr>
      </w:pPr>
    </w:p>
    <w:p>
      <w:pPr>
        <w:jc w:val="both"/>
        <w:ind w:right="140" w:firstLine="341"/>
        <w:spacing w:after="0" w:line="332" w:lineRule="auto"/>
        <w:rPr>
          <w:sz w:val="20"/>
          <w:szCs w:val="20"/>
          <w:color w:val="auto"/>
        </w:rPr>
      </w:pPr>
      <w:r>
        <w:rPr>
          <w:rFonts w:ascii="Arial" w:cs="Arial" w:eastAsia="Arial" w:hAnsi="Arial"/>
          <w:sz w:val="16"/>
          <w:szCs w:val="16"/>
          <w:color w:val="auto"/>
        </w:rPr>
        <w:t>Any proceeds received on the sale, redemption, exchange, retirement or other taxable disposition of a note which are attributable to accrued interest will be subject to U.S. federal income tax in accordance with the rules for taxation of interest described above under "—Interest on the Notes."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Income or Gain Effectively Connected with a U.S. Trade or Business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preceding discussion of the tax consequences of the purchase, ownership and disposition of notes by you generally assumes that you are not engaged in a U.S. trade or business. If any interest on the notes or gain from the sale, redemption, exchange, retirement or other taxable disposition of the notes is effectively connected with a U.S. trade or business conducted by you (and, if required by an applicable tax treaty, is attributable to your permanent establishment in the United States), then the interest or gain will be subject to U.S. federal income tax on a net income basis at regular graduated income tax rates but will not be subject to withholding tax, provided, in the case of interest, that certain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certification requirements are satisfied. You can generally meet the certification requirements by providing a properly executed IRS Form W-8ECI or applicable substitute or successor form to the applicable withholding agent. If you are a corporation, that portion of your earnings and profits that is effectively connected with your U.S. trade or business (and, if required by an applicable tax treaty, is attributable to your permanent establishment in the United States) also may be subject to a "branch profits tax" at a 30% rate, unless an applicable tax treaty provides for a lower rate.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Generally, we must report to the IRS and to you the amount of interest paid to you and the amount of tax, if any, withheld with respect to those payments. Copies of the information returns reporting such interest payments and any withholding may also be made available to the tax authorities in the country in which you reside under the provisions of an applicable income tax treaty.</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Backup withholding generally will not apply to payments of interest on a note to you if the certification described in "—Interest on the Notes" is duly provided by you or you otherwise establish an exemption, provided that the applicable withholding agent does not have actual knowledge or reason to know that you are a United States person (as defined under the Code) or are otherwise not exempt.</w:t>
      </w:r>
    </w:p>
    <w:p>
      <w:pPr>
        <w:spacing w:after="0" w:line="194"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Payment of the proceeds of a sale, redemption, exchange, retirement or other taxable disposition of a note effected by the U.S. office of a U.S. or foreign broker will be subject to information reporting requirements and backup withholding, unless you properly certify under penalties of perjury as to your foreign status on IRS Form W-8BEN-E (or other applicable substitute or successor IRS Form W-8) and certain other conditions are met or you otherwise establish an exemption. Information reporting requirements and backup withholding generally will not apply to any payment of the proceeds of the sale, redemption, exchange, retirement or other taxable disposition of a note effected outside the United States by a foreign office of a broker. However, unless such a broker has documentary evidence in its records that you are a non-U.S. holder and certain other conditions are met, or you otherwise establish an exemption, information reporting will apply to a payment of the proceeds of the sale, redemption, exchange, retirement or other taxable disposition of a note effected outside the United States by such a broker if it:</w:t>
      </w:r>
    </w:p>
    <w:p>
      <w:pPr>
        <w:spacing w:after="0" w:line="186"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a United States person;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is a foreign person that derives 50% or more of its gross income for certain periods from the conduct of a trade or business in the United States;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a controlled foreign corporation for U.S. federal income tax purposes; or</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a foreign partnership that, at any time during its taxable year, has more than 50% of its income or capital interests owned by United States persons or is engaged in the conduct of a U.S. trade or business.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may be credited against your U.S. federal income tax liability and any excess may be refundable if the proper information is timely provided to the IRS.</w:t>
      </w:r>
    </w:p>
    <w:p>
      <w:pPr>
        <w:spacing w:after="0" w:line="186" w:lineRule="exact"/>
        <w:rPr>
          <w:sz w:val="20"/>
          <w:szCs w:val="20"/>
          <w:color w:val="auto"/>
        </w:rPr>
      </w:pPr>
    </w:p>
    <w:p>
      <w:pPr>
        <w:ind w:right="320" w:firstLine="345"/>
        <w:spacing w:after="0" w:line="332" w:lineRule="auto"/>
        <w:rPr>
          <w:sz w:val="20"/>
          <w:szCs w:val="20"/>
          <w:color w:val="auto"/>
        </w:rPr>
      </w:pPr>
      <w:r>
        <w:rPr>
          <w:rFonts w:ascii="Arial" w:cs="Arial" w:eastAsia="Arial" w:hAnsi="Arial"/>
          <w:sz w:val="16"/>
          <w:szCs w:val="16"/>
          <w:color w:val="auto"/>
        </w:rPr>
        <w:t>You should consult your tax advisor regarding the application of information reporting and backup withholding in your particular circumstances and the availability of and procedure for obtaining an exemption from backup withholding under current U.S. Treasury regulations.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Foreign Accounts Tax Compliance Act</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Withholding taxes under Sections 1471 through 1474 of the Code (commonly referred to as the Foreign Account Tax Compliance Act, or "FATCA") may apply to certain types of payments made to "foreign financial institutions" (as specially defined in the Code) and certain other non-U.S. entities. Specifically, a 30% withholding tax may be imposed on "withholdable payments," which include interest, dividends and other fixed or determinable annual or periodical gains, profits and income from sources within the United States if not treated as effectively connected with a U.S. trade or business, and paid to (i) a foreign financial institution (for which purposes includes foreign broker-dealers, clearing organizations, investment companies, hedge funds and certain other investment entities), unless such foreign financial institution enters into an agreement with the Treasury Department to withhold on certain payments and to collect and provide substantial information regarding U.S. account holders, including certain account holders that are foreign entities with U.S. owners, (ii) a non-financial foreign entity, unless such entity provides the withholding agent with a certification that it does not have any "substantial United States owners" (as defined in the Code) or a certification identifying its direct or indirect substantial United States owners, or (iii) the foreign financial institution or non-financial foreign entity otherwise qualifies for an exemption from these rules. Under certain circumstances, you might be eligible for refunds or credits of such taxes from the IRS. Intergovernmental agreements regarding FATCA between the United States and certain other countries may modify the foregoing requirements. In addition, subject to the immediately following sentence, withholding taxes under FATCA could apply to the gross proceeds from the sale or other disposition of a note. However, recently proposed Treasury Regulations provide that such gross proceeds are not subject to withholding taxes under FATCA. There can be no assurance that final Treasury regulations would provide an exemption from FATCA withholding for gross proceeds. Taxpayers may rely on these proposed Treasury Regulations until they are revoked or final Treasury Regulations are issued. You should consult with your tax advisor regarding these rules.</w:t>
      </w:r>
    </w:p>
    <w:p>
      <w:pPr>
        <w:spacing w:after="0" w:line="174" w:lineRule="exact"/>
        <w:rPr>
          <w:sz w:val="20"/>
          <w:szCs w:val="20"/>
          <w:color w:val="auto"/>
        </w:rPr>
      </w:pPr>
    </w:p>
    <w:p>
      <w:pPr>
        <w:ind w:right="120" w:firstLine="351"/>
        <w:spacing w:after="0" w:line="258" w:lineRule="auto"/>
        <w:rPr>
          <w:sz w:val="20"/>
          <w:szCs w:val="20"/>
          <w:color w:val="auto"/>
        </w:rPr>
      </w:pPr>
      <w:r>
        <w:rPr>
          <w:rFonts w:ascii="Arial" w:cs="Arial" w:eastAsia="Arial" w:hAnsi="Arial"/>
          <w:sz w:val="18"/>
          <w:szCs w:val="18"/>
          <w:b w:val="1"/>
          <w:bCs w:val="1"/>
          <w:color w:val="auto"/>
        </w:rPr>
        <w:t>The preceding discussion of certain U.S. federal tax considerations is for general information only and is not tax advice. We urge each prospective investor to consult its own tax advisor regarding the particular U.S. federal, state, local and foreign tax consequences of purchasing, holding, and disposing of our notes, including the applicability and effect of any state, local or foreign tax laws, and the consequences of any proposed or subsequent change in applicable laws.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Credit Suisse Securities (USA) LLC, Deutsche Bank Securities Inc., Goldman Sachs &amp; Co. LLC, J.P. Morgan Securities LLC and Mizuho Securities USA LLC are acting as joint book-running managers of the offering and as representatives of the underwriters named below.</w:t>
      </w:r>
    </w:p>
    <w:p>
      <w:pPr>
        <w:spacing w:after="0" w:line="139" w:lineRule="exact"/>
        <w:rPr>
          <w:sz w:val="20"/>
          <w:szCs w:val="20"/>
          <w:color w:val="auto"/>
        </w:rPr>
      </w:pPr>
    </w:p>
    <w:p>
      <w:pPr>
        <w:jc w:val="both"/>
        <w:ind w:right="160" w:firstLine="351"/>
        <w:spacing w:after="0" w:line="370" w:lineRule="auto"/>
        <w:rPr>
          <w:sz w:val="20"/>
          <w:szCs w:val="20"/>
          <w:color w:val="auto"/>
        </w:rPr>
      </w:pPr>
      <w:r>
        <w:rPr>
          <w:rFonts w:ascii="Arial" w:cs="Arial" w:eastAsia="Arial" w:hAnsi="Arial"/>
          <w:sz w:val="15"/>
          <w:szCs w:val="15"/>
          <w:color w:val="auto"/>
        </w:rPr>
        <w:t>Subject to the terms and conditions stated in the underwriting agreement dated the date of this prospectus supplement, the underwriters named below have severally agreed to purchase, and we have agreed to sell to the underwriters, the principal amount of notes set forth opposite the respective underwriters' names.</w:t>
      </w:r>
    </w:p>
    <w:p>
      <w:pPr>
        <w:spacing w:after="0" w:line="10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16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of 2024</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Amount of 2026</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of 2029</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of 2039</w:t>
            </w:r>
          </w:p>
        </w:tc>
        <w:tc>
          <w:tcPr>
            <w:tcW w:w="16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Amount of 2049</w:t>
            </w:r>
          </w:p>
        </w:tc>
        <w:tc>
          <w:tcPr>
            <w:tcW w:w="0" w:type="dxa"/>
            <w:vAlign w:val="bottom"/>
          </w:tcPr>
          <w:p>
            <w:pPr>
              <w:spacing w:after="0"/>
              <w:rPr>
                <w:sz w:val="1"/>
                <w:szCs w:val="1"/>
                <w:color w:val="auto"/>
              </w:rPr>
            </w:pPr>
          </w:p>
        </w:tc>
      </w:tr>
      <w:tr>
        <w:trPr>
          <w:trHeight w:val="161"/>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Underwriters</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Notes</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16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Credit Suisse Securities (USA) LLC</w:t>
            </w:r>
          </w:p>
        </w:tc>
        <w:tc>
          <w:tcPr>
            <w:tcW w:w="1240" w:type="dxa"/>
            <w:vAlign w:val="bottom"/>
            <w:gridSpan w:val="2"/>
            <w:shd w:val="clear" w:color="auto" w:fill="CCEEFF"/>
          </w:tcPr>
          <w:p>
            <w:pPr>
              <w:jc w:val="right"/>
              <w:ind w:right="93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93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93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w w:val="95"/>
              </w:rPr>
              <w:t>SMBC Nikko Securities America, Inc.</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1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93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93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93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underwriters propose to offer the notes of each series directly to the public at the public offering price set forth on the cover page of this prospectus</w:t>
      </w: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supplement and may offer the notes of each series to dealers at the public offering price less a concession not to exceed % of the principal amount of the 2024 notes, % of the principal amount of the 2026 notes, % of the principal amount of the 2029 notes, % of the principal amount of the 2039 notes and % of the principal amount of the 2049 notes. The underwriters may allow, and dealers may reallow, a concession not to exceed % of the principal amount of the 2024 notes, % of the principal amount of the 2026 notes, % of the principal amount of the 2029 notes, % of the principal amount of the 2039 notes and % of the principal amount of the 2049 notes on sales to other dealers. After the initial offering of the notes to the public, the</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representatives may change the public offering price and other selling terms applicable to the notes of any series. The offering of the notes by the underwriters is subject to receipt and acceptance and subject to the underwriters' right to reject any order in whole or in part.</w:t>
      </w:r>
    </w:p>
    <w:p>
      <w:pPr>
        <w:spacing w:after="0" w:line="192"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a series of notes in excess of the principal amount of such notes to be purchased by the underwriters in the offering, which creates a syndicate short position. Syndicate covering transactions involve purchases of the notes of a series in the open market after the distribution has been completed in order to cover syndicate short positions. Stabilizing transactions consist of certain bids or purchases of notes made for the purpose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preventing or retarding a decline in the market price of the notes of that series while the offering is in progress.</w:t>
      </w:r>
    </w:p>
    <w:p>
      <w:pPr>
        <w:spacing w:after="0" w:line="225"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39" w:lineRule="exact"/>
        <w:rPr>
          <w:sz w:val="20"/>
          <w:szCs w:val="20"/>
          <w:color w:val="auto"/>
        </w:rPr>
      </w:pPr>
    </w:p>
    <w:p>
      <w:pPr>
        <w:jc w:val="both"/>
        <w:ind w:right="200" w:firstLine="341"/>
        <w:spacing w:after="0" w:line="335" w:lineRule="auto"/>
        <w:rPr>
          <w:sz w:val="20"/>
          <w:szCs w:val="20"/>
          <w:color w:val="auto"/>
        </w:rPr>
      </w:pPr>
      <w:r>
        <w:rPr>
          <w:rFonts w:ascii="Arial" w:cs="Arial" w:eastAsia="Arial" w:hAnsi="Arial"/>
          <w:sz w:val="15"/>
          <w:szCs w:val="15"/>
          <w:color w:val="auto"/>
        </w:rPr>
        <w:t>Any of these activities may have the effect of preventing or retarding a decline in the market price of any series of notes. They may also cause the price of any series of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estimate that our total expenses (not including the underwriting discounts) for this offering will be $5.9 million.</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have agreed that we will not offer to sell any of our debt securities (other than the notes, bank borrowings and commercial paper) until the date and time of delivery and payment for the notes and related guarantees without the prior written consent of the representatives.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86" w:lineRule="exact"/>
        <w:rPr>
          <w:sz w:val="20"/>
          <w:szCs w:val="20"/>
          <w:color w:val="auto"/>
        </w:rPr>
      </w:pPr>
    </w:p>
    <w:p>
      <w:pPr>
        <w:ind w:right="140" w:firstLine="348"/>
        <w:spacing w:after="0" w:line="286" w:lineRule="auto"/>
        <w:rPr>
          <w:sz w:val="20"/>
          <w:szCs w:val="20"/>
          <w:color w:val="auto"/>
        </w:rPr>
      </w:pPr>
      <w:r>
        <w:rPr>
          <w:rFonts w:ascii="Arial" w:cs="Arial" w:eastAsia="Arial" w:hAnsi="Arial"/>
          <w:sz w:val="16"/>
          <w:szCs w:val="16"/>
          <w:color w:val="auto"/>
        </w:rPr>
        <w:t>We expect delivery of the notes will be made against payment therefor on or about , 2019, which is the business day following the date of pricing of the notes (such settlement being referred to as "T+ "). Under Rule 15c6-1 of the Exchange Act, trades in the secondary market generally are</w:t>
      </w:r>
    </w:p>
    <w:p>
      <w:pPr>
        <w:spacing w:after="0"/>
        <w:rPr>
          <w:sz w:val="20"/>
          <w:szCs w:val="20"/>
          <w:color w:val="auto"/>
        </w:rPr>
      </w:pPr>
      <w:r>
        <w:rPr>
          <w:rFonts w:ascii="Arial" w:cs="Arial" w:eastAsia="Arial" w:hAnsi="Arial"/>
          <w:sz w:val="15"/>
          <w:szCs w:val="15"/>
          <w:color w:val="auto"/>
        </w:rPr>
        <w:t>required to settle in two business days unless the parties to any such trade expressly agree otherwise. Accordingly, purchasers who wish to trade the notes on the</w:t>
      </w:r>
    </w:p>
    <w:p>
      <w:pPr>
        <w:spacing w:after="0" w:line="382"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date of pricing of the notes or the next succeeding business days will be required, by virtue of the fact that the notes initially will settle in T+ , to specify an alternate settlement cycle at the time of any such trade to prevent failed settlement and should consult their own advisers.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Relationships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Certain of the underwriters or one of their respective affiliates are lenders to us under our $2.75 billion revolving credit facility, and BofA Securities, Inc., J.P. Morgan Securities LLC, Mizuho Securities USA LLC and Wells Fargo Securities, LLC are dealers under our commercial paper program and as such may receive a portion of the net proceeds of the notes offered hereby as customary dealer fees. Additionally, certain of the underwriters and their respective affiliates have, from time to time, performed, and may in the future perform, various financial advisory, investment banking and commercial services for us, for which they have received or will receive customary fees and expense reimbursements.</w:t>
      </w:r>
    </w:p>
    <w:p>
      <w:pPr>
        <w:spacing w:after="0" w:line="170"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offered hereby. The underwriters and their affiliates may also make investment recommendations and/ or publish or express independent research views in respect of such securities or financial instruments and may hold, or recommend to clients that they acquire, long and/or short positions in such securities and instruments.</w:t>
      </w:r>
    </w:p>
    <w:p>
      <w:pPr>
        <w:spacing w:after="0" w:line="116"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intend to use a portion of the net proceeds of this offering to purchase the Tender Notes pursuant to the Tender Offer. Certain of the underwriters and/or certain of their affiliates may hold a position in the Tender Notes and, as a result, may receive a portion of the net proceeds of the notes offered hereby. Please read "Use of Proceeds." In addition, Deutsche Bank Securities Inc. and J.P. Morgan Securities LLC are acting as the dealer managers for the Tender Offer, for which they will receive customary fees and expenses and reimbursements.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supplement:</w:t>
      </w:r>
    </w:p>
    <w:p>
      <w:pPr>
        <w:spacing w:after="0" w:line="225" w:lineRule="exact"/>
        <w:rPr>
          <w:sz w:val="20"/>
          <w:szCs w:val="20"/>
          <w:color w:val="auto"/>
        </w:rPr>
      </w:pPr>
    </w:p>
    <w:p>
      <w:pPr>
        <w:ind w:left="1240" w:hanging="350"/>
        <w:spacing w:after="0"/>
        <w:tabs>
          <w:tab w:leader="none" w:pos="1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does not constitute a product disclosure document or a prospectus under Chapter 6D.2 of the Corporations Act 2001 (Cth) (the "Corporations</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8" w:lineRule="exact"/>
        <w:rPr>
          <w:rFonts w:ascii="Arial" w:cs="Arial" w:eastAsia="Arial" w:hAnsi="Arial"/>
          <w:sz w:val="16"/>
          <w:szCs w:val="16"/>
          <w:color w:val="auto"/>
        </w:rPr>
      </w:pPr>
    </w:p>
    <w:p>
      <w:pPr>
        <w:ind w:left="540" w:right="300" w:firstLine="359"/>
        <w:spacing w:after="0" w:line="259" w:lineRule="auto"/>
        <w:tabs>
          <w:tab w:leader="none" w:pos="12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194" w:lineRule="exact"/>
        <w:rPr>
          <w:rFonts w:ascii="Arial" w:cs="Arial" w:eastAsia="Arial" w:hAnsi="Arial"/>
          <w:sz w:val="18"/>
          <w:szCs w:val="18"/>
          <w:color w:val="auto"/>
        </w:rPr>
      </w:pPr>
    </w:p>
    <w:p>
      <w:pPr>
        <w:ind w:left="540" w:right="200" w:firstLine="359"/>
        <w:spacing w:after="0" w:line="370" w:lineRule="auto"/>
        <w:tabs>
          <w:tab w:leader="none" w:pos="1228" w:val="left"/>
        </w:tabs>
        <w:numPr>
          <w:ilvl w:val="0"/>
          <w:numId w:val="23"/>
        </w:numPr>
        <w:rPr>
          <w:rFonts w:ascii="Arial" w:cs="Arial" w:eastAsia="Arial" w:hAnsi="Arial"/>
          <w:sz w:val="15"/>
          <w:szCs w:val="15"/>
          <w:color w:val="auto"/>
        </w:rPr>
      </w:pPr>
      <w:r>
        <w:rPr>
          <w:rFonts w:ascii="Arial" w:cs="Arial" w:eastAsia="Arial" w:hAnsi="Arial"/>
          <w:sz w:val="15"/>
          <w:szCs w:val="15"/>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116" w:lineRule="exact"/>
        <w:rPr>
          <w:rFonts w:ascii="Arial" w:cs="Arial" w:eastAsia="Arial" w:hAnsi="Arial"/>
          <w:sz w:val="15"/>
          <w:szCs w:val="15"/>
          <w:color w:val="auto"/>
        </w:rPr>
      </w:pPr>
    </w:p>
    <w:p>
      <w:pPr>
        <w:ind w:left="540" w:right="20" w:firstLine="359"/>
        <w:spacing w:after="0" w:line="268" w:lineRule="auto"/>
        <w:tabs>
          <w:tab w:leader="none" w:pos="1237"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97"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31"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 (10) of Article 4(1) of MiFID II; or (iii) not a qualified investor as defined in Directive 2003/71/EC (as amended, the "Prospectus Directive").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Neither this prospectus supplement nor the accompanying prospectus have been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such notes, whether directly or indirectly, to persons in Singapore other than (i) to an institutional investor under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225" w:lineRule="exact"/>
        <w:rPr>
          <w:sz w:val="20"/>
          <w:szCs w:val="20"/>
          <w:color w:val="auto"/>
        </w:rPr>
      </w:pPr>
    </w:p>
    <w:p>
      <w:pPr>
        <w:ind w:left="540" w:right="200" w:firstLine="350"/>
        <w:spacing w:after="0" w:line="268" w:lineRule="auto"/>
        <w:tabs>
          <w:tab w:leader="none" w:pos="12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85" w:lineRule="exact"/>
        <w:rPr>
          <w:rFonts w:ascii="Arial" w:cs="Arial" w:eastAsia="Arial" w:hAnsi="Arial"/>
          <w:sz w:val="18"/>
          <w:szCs w:val="18"/>
          <w:color w:val="auto"/>
        </w:rPr>
      </w:pPr>
    </w:p>
    <w:p>
      <w:pPr>
        <w:ind w:left="540" w:right="80" w:firstLine="359"/>
        <w:spacing w:after="0" w:line="256" w:lineRule="auto"/>
        <w:tabs>
          <w:tab w:leader="none" w:pos="12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97" w:lineRule="exact"/>
        <w:rPr>
          <w:rFonts w:ascii="Arial" w:cs="Arial" w:eastAsia="Arial" w:hAnsi="Arial"/>
          <w:sz w:val="18"/>
          <w:szCs w:val="18"/>
          <w:color w:val="auto"/>
        </w:rPr>
      </w:pPr>
    </w:p>
    <w:p>
      <w:pPr>
        <w:ind w:left="1080" w:right="420" w:firstLine="447"/>
        <w:spacing w:after="0" w:line="268" w:lineRule="auto"/>
        <w:tabs>
          <w:tab w:leader="none" w:pos="1772" w:val="left"/>
        </w:tabs>
        <w:numPr>
          <w:ilvl w:val="1"/>
          <w:numId w:val="24"/>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or to any person arising from an offer referred to in Section 275(1A), or Section 276(4)(i)(B) of the SFA;</w:t>
      </w:r>
    </w:p>
    <w:p>
      <w:pPr>
        <w:spacing w:after="0" w:line="185" w:lineRule="exact"/>
        <w:rPr>
          <w:rFonts w:ascii="Arial" w:cs="Arial" w:eastAsia="Arial" w:hAnsi="Arial"/>
          <w:sz w:val="18"/>
          <w:szCs w:val="18"/>
          <w:color w:val="auto"/>
        </w:rPr>
      </w:pPr>
    </w:p>
    <w:p>
      <w:pPr>
        <w:ind w:left="1780" w:hanging="297"/>
        <w:spacing w:after="0"/>
        <w:tabs>
          <w:tab w:leader="none" w:pos="17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1800" w:hanging="360"/>
        <w:spacing w:after="0"/>
        <w:tabs>
          <w:tab w:leader="none" w:pos="18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5" w:lineRule="exact"/>
        <w:rPr>
          <w:rFonts w:ascii="Arial" w:cs="Arial" w:eastAsia="Arial" w:hAnsi="Arial"/>
          <w:sz w:val="18"/>
          <w:szCs w:val="18"/>
          <w:color w:val="auto"/>
        </w:rPr>
      </w:pPr>
    </w:p>
    <w:p>
      <w:pPr>
        <w:ind w:left="1080" w:right="620" w:firstLine="403"/>
        <w:spacing w:after="0" w:line="268" w:lineRule="auto"/>
        <w:tabs>
          <w:tab w:leader="none" w:pos="17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Solely for the purposes of its obligations pursuant to sections 309B(1)(a) and 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Korea</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and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For a period of one year from the issue date of the notes, any acquirer of the Notes who was solicited to buy the notes in Korea is prohibited from transferring any of the Notes to another person in any way other than as a whole to one transferee. Furthermore, the purchaser of the Notes shall comply with all applicable regulatory requirements (including but not limited to requirements under the FETL) in connection with the purchase of the notes.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Each agent has represented and agreed that it has not offered, sold or delivered the notes directly or indirectly, or offered or sold the notes to any person for re-offering or resale, directly or indirectly, in Korea or to any resident of Korea and will not offer, sell or deliver the notes directly or indirectly, or offer or sell the notes to any person for re-offering or resale, directly or indirectly, in Korea or to any resident of Korea, except pursuant to an exemption from the registration requirements of, and otherwise in compliance with, the FSCMA, the FETL and other relevant laws and regulations of Korea.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Taiwan</w:t>
      </w:r>
    </w:p>
    <w:p>
      <w:pPr>
        <w:spacing w:after="0" w:line="231"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The notes may be made available for purchase outside Taiwan by investors residing in Taiwan (either directly or through properly licensed Taiwan intermediaries acting on behalf of such investors) but may not be offered or sold in Taiwan.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notes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notes or the offering may be publicly distributed or otherwise made publicly available in Switzerland.</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Neither this prospectus supplement nor any other offering or marketing material relating to the offering, the issuer or the notes have been or will be filed with or approved by any Swiss regulatory authority. In particular, this prospectus supplement will not be filed with, and the offer of notes will not be supervised by, the Swiss Financial Market Supervisory Authority, and the offer of notes has not been and will not be authorized under the Swiss Federal Act on Collective Investment Schemes (the "CISA"). The investor protection afforded to acquirers of interests in collective investment schemes under the CISA does not extend to acquirers of notes.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Certain legal matters in connection with the notes offered hereby will be passed upon for us by Baker Botts L.L.P., Houston, Texas, and for the underwriters by Gibson, Dunn &amp; Crutcher LLP, Houston, Texas.</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00" w:firstLine="348"/>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Waste Management, Inc. appearing in Waste Management, Inc.'s </w:t>
      </w:r>
      <w:hyperlink r:id="rId33">
        <w:r>
          <w:rPr>
            <w:rFonts w:ascii="Arial" w:cs="Arial" w:eastAsia="Arial" w:hAnsi="Arial"/>
            <w:sz w:val="18"/>
            <w:szCs w:val="18"/>
            <w:u w:val="single" w:color="auto"/>
            <w:color w:val="0000EE"/>
          </w:rPr>
          <w:t>Annual Report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and the effectiveness of Waste Management, Inc.'s internal control over financial reporting as of December 31, 2018,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5"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92"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760" w:type="dxa"/>
            <w:vAlign w:val="bottom"/>
            <w:gridSpan w:val="10"/>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Date Filed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Borders>
              <w:bottom w:val="single" w:sz="8" w:color="0000EE"/>
            </w:tcBorders>
            <w:vMerge w:val="continue"/>
          </w:tcPr>
          <w:p>
            <w:pPr>
              <w:spacing w:after="0"/>
              <w:rPr>
                <w:sz w:val="16"/>
                <w:szCs w:val="16"/>
                <w:color w:val="auto"/>
              </w:rPr>
            </w:pPr>
          </w:p>
        </w:tc>
        <w:tc>
          <w:tcPr>
            <w:tcW w:w="4820" w:type="dxa"/>
            <w:vAlign w:val="bottom"/>
            <w:tcBorders>
              <w:bottom w:val="single" w:sz="8" w:color="0000EE"/>
            </w:tcBorders>
            <w:gridSpan w:val="5"/>
            <w:shd w:val="clear" w:color="auto" w:fill="CCEEFF"/>
          </w:tcPr>
          <w:p>
            <w:pPr>
              <w:spacing w:after="0" w:line="170" w:lineRule="exact"/>
              <w:rPr>
                <w:rFonts w:ascii="Arial" w:cs="Arial" w:eastAsia="Arial" w:hAnsi="Arial"/>
                <w:sz w:val="18"/>
                <w:szCs w:val="18"/>
                <w:color w:val="0000EE"/>
                <w:w w:val="88"/>
              </w:rPr>
            </w:pPr>
            <w:hyperlink r:id="rId33">
              <w:r>
                <w:rPr>
                  <w:rFonts w:ascii="Arial" w:cs="Arial" w:eastAsia="Arial" w:hAnsi="Arial"/>
                  <w:sz w:val="18"/>
                  <w:szCs w:val="18"/>
                  <w:color w:val="0000EE"/>
                  <w:w w:val="88"/>
                </w:rPr>
                <w:t>Annual Report on Form 10-K for the year ended December 31, 2018</w:t>
              </w:r>
            </w:hyperlink>
          </w:p>
        </w:tc>
        <w:tc>
          <w:tcPr>
            <w:tcW w:w="2920" w:type="dxa"/>
            <w:vAlign w:val="bottom"/>
            <w:tcBorders>
              <w:bottom w:val="single" w:sz="8" w:color="CCEEFF"/>
            </w:tcBorders>
            <w:gridSpan w:val="4"/>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6"/>
              </w:rPr>
              <w:t>February 14, 2019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40" w:type="dxa"/>
            <w:vAlign w:val="bottom"/>
            <w:gridSpan w:val="9"/>
          </w:tcPr>
          <w:p>
            <w:pPr>
              <w:spacing w:after="0" w:line="176" w:lineRule="exact"/>
              <w:rPr>
                <w:rFonts w:ascii="Arial" w:cs="Arial" w:eastAsia="Arial" w:hAnsi="Arial"/>
                <w:sz w:val="18"/>
                <w:szCs w:val="18"/>
                <w:color w:val="0000EE"/>
              </w:rPr>
            </w:pPr>
            <w:hyperlink r:id="rId72">
              <w:r>
                <w:rPr>
                  <w:rFonts w:ascii="Arial" w:cs="Arial" w:eastAsia="Arial" w:hAnsi="Arial"/>
                  <w:sz w:val="18"/>
                  <w:szCs w:val="18"/>
                  <w:color w:val="0000EE"/>
                </w:rPr>
                <w:t>Current Report on Form 8-K</w:t>
              </w:r>
            </w:hyperlink>
          </w:p>
        </w:tc>
        <w:tc>
          <w:tcPr>
            <w:tcW w:w="1380" w:type="dxa"/>
            <w:vAlign w:val="bottom"/>
          </w:tcPr>
          <w:p>
            <w:pPr>
              <w:jc w:val="center"/>
              <w:spacing w:after="0" w:line="176" w:lineRule="exact"/>
              <w:rPr>
                <w:sz w:val="20"/>
                <w:szCs w:val="20"/>
                <w:color w:val="auto"/>
              </w:rPr>
            </w:pPr>
            <w:r>
              <w:rPr>
                <w:rFonts w:ascii="Arial" w:cs="Arial" w:eastAsia="Arial" w:hAnsi="Arial"/>
                <w:sz w:val="18"/>
                <w:szCs w:val="18"/>
                <w:color w:val="auto"/>
                <w:w w:val="86"/>
              </w:rPr>
              <w:t>February 25, 2019</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740" w:type="dxa"/>
            <w:vAlign w:val="bottom"/>
            <w:gridSpan w:val="9"/>
            <w:shd w:val="clear" w:color="auto" w:fill="CCEEFF"/>
          </w:tcPr>
          <w:p>
            <w:pPr>
              <w:spacing w:after="0" w:line="176" w:lineRule="exact"/>
              <w:rPr>
                <w:rFonts w:ascii="Arial" w:cs="Arial" w:eastAsia="Arial" w:hAnsi="Arial"/>
                <w:sz w:val="18"/>
                <w:szCs w:val="18"/>
                <w:color w:val="0000EE"/>
              </w:rPr>
            </w:pPr>
            <w:hyperlink r:id="rId19">
              <w:r>
                <w:rPr>
                  <w:rFonts w:ascii="Arial" w:cs="Arial" w:eastAsia="Arial" w:hAnsi="Arial"/>
                  <w:sz w:val="18"/>
                  <w:szCs w:val="18"/>
                  <w:color w:val="0000EE"/>
                </w:rPr>
                <w:t>Current Report on Form 8-K</w:t>
              </w:r>
            </w:hyperlink>
          </w:p>
        </w:tc>
        <w:tc>
          <w:tcPr>
            <w:tcW w:w="13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April 15, 2019</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740" w:type="dxa"/>
            <w:vAlign w:val="bottom"/>
            <w:gridSpan w:val="9"/>
          </w:tcPr>
          <w:p>
            <w:pPr>
              <w:spacing w:after="0" w:line="176" w:lineRule="exact"/>
              <w:rPr>
                <w:rFonts w:ascii="Arial" w:cs="Arial" w:eastAsia="Arial" w:hAnsi="Arial"/>
                <w:sz w:val="18"/>
                <w:szCs w:val="18"/>
                <w:color w:val="0000EE"/>
              </w:rPr>
            </w:pPr>
            <w:hyperlink r:id="rId34">
              <w:r>
                <w:rPr>
                  <w:rFonts w:ascii="Arial" w:cs="Arial" w:eastAsia="Arial" w:hAnsi="Arial"/>
                  <w:sz w:val="18"/>
                  <w:szCs w:val="18"/>
                  <w:color w:val="0000EE"/>
                </w:rPr>
                <w:t>Quarterly Report on Form 10-Q for the period ended March 31, 2019</w:t>
              </w:r>
            </w:hyperlink>
          </w:p>
        </w:tc>
        <w:tc>
          <w:tcPr>
            <w:tcW w:w="1380" w:type="dxa"/>
            <w:vAlign w:val="bottom"/>
          </w:tcPr>
          <w:p>
            <w:pPr>
              <w:jc w:val="center"/>
              <w:spacing w:after="0" w:line="176" w:lineRule="exact"/>
              <w:rPr>
                <w:sz w:val="20"/>
                <w:szCs w:val="20"/>
                <w:color w:val="auto"/>
              </w:rPr>
            </w:pPr>
            <w:r>
              <w:rPr>
                <w:rFonts w:ascii="Arial" w:cs="Arial" w:eastAsia="Arial" w:hAnsi="Arial"/>
                <w:sz w:val="18"/>
                <w:szCs w:val="18"/>
                <w:color w:val="auto"/>
                <w:w w:val="93"/>
              </w:rPr>
              <w:t>April 25, 2019</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740" w:type="dxa"/>
            <w:vAlign w:val="bottom"/>
            <w:gridSpan w:val="9"/>
            <w:shd w:val="clear" w:color="auto" w:fill="CCEEFF"/>
          </w:tcPr>
          <w:p>
            <w:pPr>
              <w:spacing w:after="0" w:line="176" w:lineRule="exact"/>
              <w:rPr>
                <w:rFonts w:ascii="Arial" w:cs="Arial" w:eastAsia="Arial" w:hAnsi="Arial"/>
                <w:sz w:val="18"/>
                <w:szCs w:val="18"/>
                <w:color w:val="auto"/>
                <w:w w:val="90"/>
              </w:rPr>
            </w:pPr>
            <w:r>
              <w:rPr>
                <w:rFonts w:ascii="Arial" w:cs="Arial" w:eastAsia="Arial" w:hAnsi="Arial"/>
                <w:sz w:val="18"/>
                <w:szCs w:val="18"/>
                <w:color w:val="auto"/>
                <w:w w:val="90"/>
              </w:rPr>
              <w:t xml:space="preserve">The portions of our </w:t>
            </w:r>
            <w:hyperlink r:id="rId73">
              <w:r>
                <w:rPr>
                  <w:rFonts w:ascii="Arial" w:cs="Arial" w:eastAsia="Arial" w:hAnsi="Arial"/>
                  <w:sz w:val="18"/>
                  <w:szCs w:val="18"/>
                  <w:color w:val="0000EE"/>
                  <w:w w:val="90"/>
                </w:rPr>
                <w:t>proxy statement for our 2019 annual meeting of stockholders</w:t>
              </w:r>
              <w:r>
                <w:rPr>
                  <w:rFonts w:ascii="Arial" w:cs="Arial" w:eastAsia="Arial" w:hAnsi="Arial"/>
                  <w:sz w:val="18"/>
                  <w:szCs w:val="18"/>
                  <w:color w:val="auto"/>
                  <w:w w:val="90"/>
                </w:rPr>
                <w:t xml:space="preserve"> </w:t>
              </w:r>
            </w:hyperlink>
            <w:r>
              <w:rPr>
                <w:rFonts w:ascii="Arial" w:cs="Arial" w:eastAsia="Arial" w:hAnsi="Arial"/>
                <w:sz w:val="18"/>
                <w:szCs w:val="18"/>
                <w:color w:val="auto"/>
                <w:w w:val="90"/>
              </w:rPr>
              <w:t>incorporated by reference</w:t>
            </w: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6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9"/>
            <w:shd w:val="clear" w:color="auto" w:fill="CCEEFF"/>
          </w:tcPr>
          <w:p>
            <w:pPr>
              <w:ind w:left="16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in our </w:t>
            </w:r>
            <w:hyperlink r:id="rId33">
              <w:r>
                <w:rPr>
                  <w:rFonts w:ascii="Arial" w:cs="Arial" w:eastAsia="Arial" w:hAnsi="Arial"/>
                  <w:sz w:val="18"/>
                  <w:szCs w:val="18"/>
                  <w:color w:val="0000EE"/>
                </w:rPr>
                <w:t>Annual Report on Form 10-K for the year ended December 31, 2018</w:t>
              </w:r>
            </w:hyperlink>
          </w:p>
        </w:tc>
        <w:tc>
          <w:tcPr>
            <w:tcW w:w="13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March 27, 2019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197" w:lineRule="exact"/>
        <w:rPr>
          <w:sz w:val="20"/>
          <w:szCs w:val="20"/>
          <w:color w:val="auto"/>
        </w:rPr>
      </w:pPr>
    </w:p>
    <w:p>
      <w:pPr>
        <w:jc w:val="both"/>
        <w:ind w:right="180" w:firstLine="345"/>
        <w:spacing w:after="0" w:line="306" w:lineRule="auto"/>
        <w:rPr>
          <w:sz w:val="20"/>
          <w:szCs w:val="20"/>
          <w:color w:val="auto"/>
        </w:rPr>
      </w:pPr>
      <w:r>
        <w:rPr>
          <w:rFonts w:ascii="Arial" w:cs="Arial" w:eastAsia="Arial" w:hAnsi="Arial"/>
          <w:sz w:val="16"/>
          <w:szCs w:val="16"/>
          <w:color w:val="auto"/>
        </w:rPr>
        <w:t>You may obtain copies of any of these filings through Waste Management as described below, or through the SEC or through the SEC's Internet website as described in the accompanying prospectus. Documents incorporated by reference are available without charge, excluding all exhibits unless an exhibit has been specifically incorporated by reference into this prospectus supplement, by requesting them in writing, by telephone or via the Internet at: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www.wm.com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152400</wp:posOffset>
            </wp:positionV>
            <wp:extent cx="2598420" cy="9607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259842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DEBT SECURITIES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COMMON STOCK</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GUARANTEES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UNITS</w:t>
      </w:r>
    </w:p>
    <w:p>
      <w:pPr>
        <w:spacing w:after="0" w:line="21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206" w:lineRule="exact"/>
        <w:rPr>
          <w:sz w:val="20"/>
          <w:szCs w:val="20"/>
          <w:color w:val="auto"/>
        </w:rPr>
      </w:pPr>
    </w:p>
    <w:p>
      <w:pPr>
        <w:jc w:val="both"/>
        <w:ind w:right="280" w:firstLine="351"/>
        <w:spacing w:after="0" w:line="261" w:lineRule="auto"/>
        <w:rPr>
          <w:sz w:val="20"/>
          <w:szCs w:val="20"/>
          <w:color w:val="auto"/>
        </w:rPr>
      </w:pPr>
      <w:r>
        <w:rPr>
          <w:rFonts w:ascii="Arial" w:cs="Arial" w:eastAsia="Arial" w:hAnsi="Arial"/>
          <w:sz w:val="21"/>
          <w:szCs w:val="21"/>
          <w:b w:val="1"/>
          <w:bCs w:val="1"/>
          <w:color w:val="auto"/>
        </w:rPr>
        <w:t>Investing in our securities involves risks. See "</w:t>
      </w:r>
      <w:r>
        <w:rPr>
          <w:rFonts w:ascii="Arial" w:cs="Arial" w:eastAsia="Arial" w:hAnsi="Arial"/>
          <w:sz w:val="21"/>
          <w:szCs w:val="21"/>
          <w:b w:val="1"/>
          <w:bCs w:val="1"/>
          <w:i w:val="1"/>
          <w:iCs w:val="1"/>
          <w:color w:val="auto"/>
        </w:rPr>
        <w:t>Risk Factors</w:t>
      </w:r>
      <w:r>
        <w:rPr>
          <w:rFonts w:ascii="Arial" w:cs="Arial" w:eastAsia="Arial" w:hAnsi="Arial"/>
          <w:sz w:val="21"/>
          <w:szCs w:val="21"/>
          <w:b w:val="1"/>
          <w:bCs w:val="1"/>
          <w:color w:val="auto"/>
        </w:rPr>
        <w:t>" on page 6 of this prospectus, the risk factors included in our periodic reports that we file with the Securities and Exchange Commission and incorporated by reference herein and the applicable prospectus supplement before you invest in our securities.</w:t>
      </w:r>
    </w:p>
    <w:p>
      <w:pPr>
        <w:spacing w:after="0" w:line="17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prospectus is dated 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both"/>
        <w:ind w:right="160" w:firstLine="351"/>
        <w:spacing w:after="0" w:line="339" w:lineRule="auto"/>
        <w:rPr>
          <w:sz w:val="20"/>
          <w:szCs w:val="20"/>
          <w:color w:val="auto"/>
        </w:rPr>
      </w:pPr>
      <w:r>
        <w:rPr>
          <w:rFonts w:ascii="Arial" w:cs="Arial" w:eastAsia="Arial" w:hAnsi="Arial"/>
          <w:sz w:val="15"/>
          <w:szCs w:val="15"/>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700" w:type="dxa"/>
            <w:vAlign w:val="bottom"/>
            <w:gridSpan w:val="4"/>
          </w:tcPr>
          <w:p>
            <w:pPr>
              <w:ind w:left="40"/>
              <w:spacing w:after="0"/>
              <w:rPr>
                <w:sz w:val="20"/>
                <w:szCs w:val="20"/>
                <w:color w:val="auto"/>
              </w:rPr>
            </w:pPr>
            <w:r>
              <w:rPr>
                <w:rFonts w:ascii="Arial" w:cs="Arial" w:eastAsia="Arial" w:hAnsi="Arial"/>
                <w:sz w:val="18"/>
                <w:szCs w:val="18"/>
                <w:b w:val="1"/>
                <w:bCs w:val="1"/>
                <w:color w:val="auto"/>
              </w:rPr>
              <w:t>TABLE OF CONTENTS</w:t>
            </w:r>
          </w:p>
        </w:tc>
      </w:tr>
      <w:tr>
        <w:trPr>
          <w:trHeight w:val="394"/>
        </w:trPr>
        <w:tc>
          <w:tcPr>
            <w:tcW w:w="1140" w:type="dxa"/>
            <w:vAlign w:val="bottom"/>
          </w:tcPr>
          <w:p>
            <w:pPr>
              <w:spacing w:after="0"/>
              <w:rPr>
                <w:sz w:val="24"/>
                <w:szCs w:val="24"/>
                <w:color w:val="auto"/>
              </w:rPr>
            </w:pPr>
          </w:p>
        </w:tc>
        <w:tc>
          <w:tcPr>
            <w:tcW w:w="2080" w:type="dxa"/>
            <w:vAlign w:val="bottom"/>
            <w:gridSpan w:val="9"/>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Forward-Looking Statements</w:t>
              </w:r>
            </w:hyperlink>
          </w:p>
        </w:tc>
        <w:tc>
          <w:tcPr>
            <w:tcW w:w="1500" w:type="dxa"/>
            <w:vAlign w:val="bottom"/>
            <w:gridSpan w:val="4"/>
          </w:tcPr>
          <w:p>
            <w:pPr>
              <w:spacing w:after="0"/>
              <w:rPr>
                <w:sz w:val="24"/>
                <w:szCs w:val="24"/>
                <w:color w:val="auto"/>
              </w:rPr>
            </w:pPr>
          </w:p>
        </w:tc>
        <w:tc>
          <w:tcPr>
            <w:tcW w:w="6700" w:type="dxa"/>
            <w:vAlign w:val="bottom"/>
            <w:gridSpan w:val="4"/>
          </w:tcPr>
          <w:p>
            <w:pPr>
              <w:jc w:val="right"/>
              <w:ind w:right="1140"/>
              <w:spacing w:after="0"/>
              <w:rPr>
                <w:rFonts w:ascii="Arial" w:cs="Arial" w:eastAsia="Arial" w:hAnsi="Arial"/>
                <w:sz w:val="18"/>
                <w:szCs w:val="18"/>
                <w:color w:val="0000EE"/>
              </w:rPr>
            </w:pPr>
            <w:hyperlink w:anchor="page50">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560" w:type="dxa"/>
            <w:vAlign w:val="bottom"/>
            <w:gridSpan w:val="6"/>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About this Prospectus</w:t>
              </w:r>
            </w:hyperlink>
          </w:p>
        </w:tc>
        <w:tc>
          <w:tcPr>
            <w:tcW w:w="520" w:type="dxa"/>
            <w:vAlign w:val="bottom"/>
            <w:gridSpan w:val="3"/>
          </w:tcPr>
          <w:p>
            <w:pPr>
              <w:spacing w:after="0"/>
              <w:rPr>
                <w:sz w:val="17"/>
                <w:szCs w:val="17"/>
                <w:color w:val="auto"/>
              </w:rPr>
            </w:pPr>
          </w:p>
        </w:tc>
        <w:tc>
          <w:tcPr>
            <w:tcW w:w="1500" w:type="dxa"/>
            <w:vAlign w:val="bottom"/>
            <w:gridSpan w:val="4"/>
          </w:tcPr>
          <w:p>
            <w:pPr>
              <w:spacing w:after="0"/>
              <w:rPr>
                <w:sz w:val="17"/>
                <w:szCs w:val="17"/>
                <w:color w:val="auto"/>
              </w:rPr>
            </w:pPr>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2"/>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Incorporation of Certain Documents by Reference</w:t>
              </w:r>
            </w:hyperlink>
          </w:p>
        </w:tc>
        <w:tc>
          <w:tcPr>
            <w:tcW w:w="40" w:type="dxa"/>
            <w:vAlign w:val="bottom"/>
          </w:tcPr>
          <w:p>
            <w:pPr>
              <w:spacing w:after="0"/>
              <w:rPr>
                <w:sz w:val="17"/>
                <w:szCs w:val="17"/>
                <w:color w:val="auto"/>
              </w:rPr>
            </w:pPr>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2"/>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Where You Can Find More Information</w:t>
              </w:r>
            </w:hyperlink>
          </w:p>
        </w:tc>
        <w:tc>
          <w:tcPr>
            <w:tcW w:w="40" w:type="dxa"/>
            <w:vAlign w:val="bottom"/>
          </w:tcPr>
          <w:p>
            <w:pPr>
              <w:spacing w:after="0"/>
              <w:rPr>
                <w:sz w:val="17"/>
                <w:szCs w:val="17"/>
                <w:color w:val="auto"/>
              </w:rPr>
            </w:pPr>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800" w:type="dxa"/>
            <w:vAlign w:val="bottom"/>
            <w:gridSpan w:val="1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The Company</w:t>
              </w:r>
            </w:hyperlink>
          </w:p>
        </w:tc>
        <w:tc>
          <w:tcPr>
            <w:tcW w:w="780" w:type="dxa"/>
            <w:vAlign w:val="bottom"/>
            <w:gridSpan w:val="2"/>
          </w:tcPr>
          <w:p>
            <w:pPr>
              <w:spacing w:after="0"/>
              <w:rPr>
                <w:sz w:val="17"/>
                <w:szCs w:val="17"/>
                <w:color w:val="auto"/>
              </w:rPr>
            </w:pPr>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Risk Factors</w:t>
              </w:r>
            </w:hyperlink>
          </w:p>
        </w:tc>
        <w:tc>
          <w:tcPr>
            <w:tcW w:w="100" w:type="dxa"/>
            <w:vAlign w:val="bottom"/>
          </w:tcPr>
          <w:p>
            <w:pPr>
              <w:spacing w:after="0"/>
              <w:rPr>
                <w:sz w:val="17"/>
                <w:szCs w:val="17"/>
                <w:color w:val="auto"/>
              </w:rPr>
            </w:pPr>
          </w:p>
        </w:tc>
        <w:tc>
          <w:tcPr>
            <w:tcW w:w="2580" w:type="dxa"/>
            <w:vAlign w:val="bottom"/>
            <w:gridSpan w:val="10"/>
          </w:tcPr>
          <w:p>
            <w:pPr>
              <w:spacing w:after="0"/>
              <w:rPr>
                <w:sz w:val="17"/>
                <w:szCs w:val="17"/>
                <w:color w:val="auto"/>
              </w:rPr>
            </w:pPr>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60" w:type="dxa"/>
            <w:vAlign w:val="bottom"/>
            <w:gridSpan w:val="4"/>
          </w:tcPr>
          <w:p>
            <w:pPr>
              <w:spacing w:after="0" w:line="196" w:lineRule="exact"/>
              <w:rPr>
                <w:rFonts w:ascii="Arial" w:cs="Arial" w:eastAsia="Arial" w:hAnsi="Arial"/>
                <w:sz w:val="18"/>
                <w:szCs w:val="18"/>
                <w:color w:val="0000EE"/>
                <w:w w:val="85"/>
              </w:rPr>
            </w:pPr>
            <w:hyperlink w:anchor="page55">
              <w:r>
                <w:rPr>
                  <w:rFonts w:ascii="Arial" w:cs="Arial" w:eastAsia="Arial" w:hAnsi="Arial"/>
                  <w:sz w:val="18"/>
                  <w:szCs w:val="18"/>
                  <w:color w:val="0000EE"/>
                  <w:w w:val="85"/>
                </w:rPr>
                <w:t>Use of Proceeds</w:t>
              </w:r>
            </w:hyperlink>
          </w:p>
        </w:tc>
        <w:tc>
          <w:tcPr>
            <w:tcW w:w="2420" w:type="dxa"/>
            <w:vAlign w:val="bottom"/>
            <w:gridSpan w:val="9"/>
          </w:tcPr>
          <w:p>
            <w:pPr>
              <w:spacing w:after="0"/>
              <w:rPr>
                <w:sz w:val="17"/>
                <w:szCs w:val="17"/>
                <w:color w:val="auto"/>
              </w:rPr>
            </w:pPr>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80" w:type="dxa"/>
            <w:vAlign w:val="bottom"/>
            <w:gridSpan w:val="1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Description of Debt Securities</w:t>
              </w:r>
            </w:hyperlink>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64">
              <w:r>
                <w:rPr>
                  <w:rFonts w:ascii="Arial" w:cs="Arial" w:eastAsia="Arial" w:hAnsi="Arial"/>
                  <w:sz w:val="18"/>
                  <w:szCs w:val="18"/>
                  <w:color w:val="0000EE"/>
                  <w:w w:val="87"/>
                </w:rPr>
                <w:t>Description of Guarantees</w:t>
              </w:r>
            </w:hyperlink>
          </w:p>
        </w:tc>
        <w:tc>
          <w:tcPr>
            <w:tcW w:w="220" w:type="dxa"/>
            <w:vAlign w:val="bottom"/>
          </w:tcPr>
          <w:p>
            <w:pPr>
              <w:spacing w:after="0"/>
              <w:rPr>
                <w:sz w:val="17"/>
                <w:szCs w:val="17"/>
                <w:color w:val="auto"/>
              </w:rPr>
            </w:pPr>
          </w:p>
        </w:tc>
        <w:tc>
          <w:tcPr>
            <w:tcW w:w="1500" w:type="dxa"/>
            <w:vAlign w:val="bottom"/>
            <w:gridSpan w:val="4"/>
          </w:tcPr>
          <w:p>
            <w:pPr>
              <w:spacing w:after="0"/>
              <w:rPr>
                <w:sz w:val="17"/>
                <w:szCs w:val="17"/>
                <w:color w:val="auto"/>
              </w:rPr>
            </w:pPr>
          </w:p>
        </w:tc>
        <w:tc>
          <w:tcPr>
            <w:tcW w:w="53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15</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0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Description of Capital Stock</w:t>
              </w:r>
            </w:hyperlink>
          </w:p>
        </w:tc>
        <w:tc>
          <w:tcPr>
            <w:tcW w:w="1500" w:type="dxa"/>
            <w:vAlign w:val="bottom"/>
            <w:gridSpan w:val="4"/>
          </w:tcPr>
          <w:p>
            <w:pPr>
              <w:spacing w:after="0"/>
              <w:rPr>
                <w:sz w:val="17"/>
                <w:szCs w:val="17"/>
                <w:color w:val="auto"/>
              </w:rPr>
            </w:pPr>
          </w:p>
        </w:tc>
        <w:tc>
          <w:tcPr>
            <w:tcW w:w="53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17</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Description of Other Securities</w:t>
              </w:r>
            </w:hyperlink>
          </w:p>
        </w:tc>
        <w:tc>
          <w:tcPr>
            <w:tcW w:w="1380" w:type="dxa"/>
            <w:vAlign w:val="bottom"/>
            <w:gridSpan w:val="3"/>
          </w:tcPr>
          <w:p>
            <w:pPr>
              <w:spacing w:after="0"/>
              <w:rPr>
                <w:sz w:val="17"/>
                <w:szCs w:val="17"/>
                <w:color w:val="auto"/>
              </w:rPr>
            </w:pPr>
          </w:p>
        </w:tc>
        <w:tc>
          <w:tcPr>
            <w:tcW w:w="53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18</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580" w:type="dxa"/>
            <w:vAlign w:val="bottom"/>
            <w:gridSpan w:val="1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Plan of Distribution</w:t>
              </w:r>
            </w:hyperlink>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19</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6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Selling Securityholders</w:t>
              </w:r>
            </w:hyperlink>
          </w:p>
        </w:tc>
        <w:tc>
          <w:tcPr>
            <w:tcW w:w="1920" w:type="dxa"/>
            <w:vAlign w:val="bottom"/>
            <w:gridSpan w:val="6"/>
          </w:tcPr>
          <w:p>
            <w:pPr>
              <w:spacing w:after="0"/>
              <w:rPr>
                <w:sz w:val="17"/>
                <w:szCs w:val="17"/>
                <w:color w:val="auto"/>
              </w:rPr>
            </w:pPr>
          </w:p>
        </w:tc>
        <w:tc>
          <w:tcPr>
            <w:tcW w:w="53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20</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580" w:type="dxa"/>
            <w:vAlign w:val="bottom"/>
            <w:gridSpan w:val="1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Legal Matters</w:t>
              </w:r>
            </w:hyperlink>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20</w:t>
              </w:r>
            </w:hyperlink>
          </w:p>
        </w:tc>
      </w:tr>
      <w:tr>
        <w:trPr>
          <w:trHeight w:val="196"/>
        </w:trPr>
        <w:tc>
          <w:tcPr>
            <w:tcW w:w="1140" w:type="dxa"/>
            <w:vAlign w:val="bottom"/>
          </w:tcPr>
          <w:p>
            <w:pPr>
              <w:spacing w:after="0"/>
              <w:rPr>
                <w:sz w:val="17"/>
                <w:szCs w:val="17"/>
                <w:color w:val="auto"/>
              </w:rPr>
            </w:pPr>
          </w:p>
        </w:tc>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Experts</w:t>
              </w:r>
            </w:hyperlink>
          </w:p>
        </w:tc>
        <w:tc>
          <w:tcPr>
            <w:tcW w:w="2580" w:type="dxa"/>
            <w:vAlign w:val="bottom"/>
            <w:gridSpan w:val="10"/>
          </w:tcPr>
          <w:p>
            <w:pPr>
              <w:spacing w:after="0"/>
              <w:rPr>
                <w:sz w:val="17"/>
                <w:szCs w:val="17"/>
                <w:color w:val="auto"/>
              </w:rPr>
            </w:pPr>
          </w:p>
        </w:tc>
        <w:tc>
          <w:tcPr>
            <w:tcW w:w="53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20</w:t>
              </w:r>
            </w:hyperlink>
          </w:p>
        </w:tc>
        <w:tc>
          <w:tcPr>
            <w:tcW w:w="1140" w:type="dxa"/>
            <w:vAlign w:val="bottom"/>
          </w:tcPr>
          <w:p>
            <w:pPr>
              <w:spacing w:after="0"/>
              <w:rPr>
                <w:sz w:val="17"/>
                <w:szCs w:val="17"/>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540" w:type="dxa"/>
            <w:vAlign w:val="bottom"/>
            <w:tcBorders>
              <w:top w:val="single" w:sz="8" w:color="0000EE"/>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538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 Form 10-K for the year ended December 31, 2018 as updated by our subsequent quarterly reports on Form 10-Q and other filings we make with the Securities and Exchange Commission (the "SEC").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186" w:lineRule="exact"/>
        <w:rPr>
          <w:sz w:val="20"/>
          <w:szCs w:val="20"/>
          <w:color w:val="auto"/>
        </w:rPr>
      </w:pPr>
    </w:p>
    <w:p>
      <w:pPr>
        <w:ind w:left="1080" w:right="46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may negatively affect our profitability or cash flows, our pricing strategy may have negative effects on volumes, and inability to execute our pricing strategy while retaining and attracting customers may negatively affect our average yield on our collection and disposal business;</w:t>
      </w:r>
    </w:p>
    <w:p>
      <w:pPr>
        <w:spacing w:after="0" w:line="221" w:lineRule="exact"/>
        <w:rPr>
          <w:rFonts w:ascii="Arial" w:cs="Arial" w:eastAsia="Arial" w:hAnsi="Arial"/>
          <w:sz w:val="18"/>
          <w:szCs w:val="18"/>
          <w:color w:val="auto"/>
        </w:rPr>
      </w:pPr>
    </w:p>
    <w:p>
      <w:pPr>
        <w:ind w:left="1080" w:right="240" w:hanging="532"/>
        <w:spacing w:after="0" w:line="256"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210"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key element of our strategy is yield management through focus on pricing,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207"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identify desirable acquisition targets, negotiate advantageous transactions or realize the benefits expected from such transactions, including our planned acquisition of Advanced Disposal Services, Inc. ("Advanced Disposal"), which could adversely impact our growth strategy, earnings and cash flow;</w:t>
      </w:r>
    </w:p>
    <w:p>
      <w:pPr>
        <w:spacing w:after="0" w:line="221"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integration of acquisitions, including our planned acquisition of Advanced Disposal, and/or new service offerings could increase our exposure to environmental liabilities for past operations and the risk of inadvertent noncompliance with laws and regulations;</w:t>
      </w:r>
    </w:p>
    <w:p>
      <w:pPr>
        <w:spacing w:after="0" w:line="152"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legal, regulatory and other matters may affect the timing of our ability to complete our planned acquisition of Advanced Disposal, if at all, which may negatively affect the trading prices of our stock and our future business and financial results;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6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existing or increased future regulations and/or enforcement of such regulations may restrict or change our operations, increase our operating costs or require us to make additional capital expenditures, and a decrease in regulation may lower barriers to entry for our competitors;</w:t>
      </w:r>
    </w:p>
    <w:p>
      <w:pPr>
        <w:spacing w:after="0" w:line="221"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 and future cash outflows;</w:t>
      </w:r>
    </w:p>
    <w:p>
      <w:pPr>
        <w:spacing w:after="0" w:line="199"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 landfill gas recovery operations; fluctuations in commodity prices may have negative effects on our operating results;</w:t>
      </w:r>
    </w:p>
    <w:p>
      <w:pPr>
        <w:spacing w:after="0" w:line="207"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significant portion of the recycled fiber we market has been shipped to export markets across the globe, particularly China; changes in international or domestic regulations and restrictions or tariffs on American or foreign imports and exports, including actions taken by the Chinese government, could continue to increase operating expense, result in excess supply and drive down prices;</w:t>
      </w:r>
    </w:p>
    <w:p>
      <w:pPr>
        <w:spacing w:after="0" w:line="187"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oil and gas prices and drilling activity, and changes in applicable regulations, could adversely affect our energy and environmental services organization;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to the regulatory framework related to renewable fuel standards could affect our financial performance as a renewable fuel producer;</w:t>
      </w:r>
    </w:p>
    <w:p>
      <w:pPr>
        <w:spacing w:after="0" w:line="261" w:lineRule="exact"/>
        <w:rPr>
          <w:rFonts w:ascii="Arial" w:cs="Arial" w:eastAsia="Arial" w:hAnsi="Arial"/>
          <w:sz w:val="16"/>
          <w:szCs w:val="16"/>
          <w:color w:val="auto"/>
        </w:rPr>
      </w:pPr>
    </w:p>
    <w:p>
      <w:pPr>
        <w:ind w:left="1080" w:right="34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landfill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221"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existing and proposed service offerings to customers may require that we invest in, develop or license, and protect, new technologies; and our inability to obtain or protect new technologies could impact our services to customers and development of new revenue sources;</w:t>
      </w:r>
    </w:p>
    <w:p>
      <w:pPr>
        <w:spacing w:after="0" w:line="152" w:lineRule="exact"/>
        <w:rPr>
          <w:rFonts w:ascii="Arial" w:cs="Arial" w:eastAsia="Arial" w:hAnsi="Arial"/>
          <w:sz w:val="16"/>
          <w:szCs w:val="16"/>
          <w:color w:val="auto"/>
        </w:rPr>
      </w:pPr>
    </w:p>
    <w:p>
      <w:pPr>
        <w:ind w:left="1080" w:right="28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221"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207"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there is risk of incurring significant environmental liabilities in the use, treatment, storage, transfer and disposal of waste materials; any substantial liability for environmental damage could have a material adverse effect on our financial condition, results of operations and cash flows;</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 and demand for post-consumer fiber and metals processed by our recycling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2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some of our customers, including governmental entities, have suffered financial difficulties affecting their credit risk, which could negatively impact our operating results, due to their credit risk and the impact of the municipal debt market on remarketing of our tax-exempt bonds;</w:t>
      </w:r>
    </w:p>
    <w:p>
      <w:pPr>
        <w:spacing w:after="0" w:line="166"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obtain and maintain required permits or to expand existing permitted capacity of our landfills, which could decrease our revenue and increase our costs;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increasingly dependent on the availability of natural gas and fueling infrastructure and vulnerable to natural gas prices; difficulty obtaining natural gas and increases in natural gas prices could increase our operating costs;</w:t>
      </w:r>
    </w:p>
    <w:p>
      <w:pPr>
        <w:spacing w:after="0" w:line="212"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problems with the operation of our current information technology systems or the technology systems of third parties on which we rely as well as the development and deployment of new information technology systems could decrease our efficiencies and increase our costs;</w:t>
      </w:r>
    </w:p>
    <w:p>
      <w:pPr>
        <w:spacing w:after="0" w:line="152" w:lineRule="exact"/>
        <w:rPr>
          <w:rFonts w:ascii="Arial" w:cs="Arial" w:eastAsia="Arial" w:hAnsi="Arial"/>
          <w:sz w:val="16"/>
          <w:szCs w:val="16"/>
          <w:color w:val="auto"/>
        </w:rPr>
      </w:pPr>
    </w:p>
    <w:p>
      <w:pPr>
        <w:ind w:left="1080" w:right="180" w:hanging="532"/>
        <w:spacing w:after="0" w:line="306"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must commit substantial resources to prevent, detect, and address the risk of cybersecurity incidents. Our preventative measures and incident response efforts may not be effective in all cases, and a cybersecurity incident could result in business disruption, direct financial loss, negative publicity, brand damage, violation of privacy laws, loss of customers, potential litigation and liability and competitive disadvantage;</w:t>
      </w:r>
    </w:p>
    <w:p>
      <w:pPr>
        <w:spacing w:after="0" w:line="174" w:lineRule="exact"/>
        <w:rPr>
          <w:rFonts w:ascii="Arial" w:cs="Arial" w:eastAsia="Arial" w:hAnsi="Arial"/>
          <w:sz w:val="16"/>
          <w:szCs w:val="16"/>
          <w:color w:val="auto"/>
        </w:rPr>
      </w:pPr>
    </w:p>
    <w:p>
      <w:pPr>
        <w:ind w:left="1080" w:right="80" w:hanging="532"/>
        <w:spacing w:after="0" w:line="306"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financial condition, results of operations and cash flows;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face significant liabilities for withdrawal from multiemployer pension plans;</w:t>
      </w:r>
    </w:p>
    <w:p>
      <w:pPr>
        <w:spacing w:after="0" w:line="238"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are subject to operational and safety risks; we closely monitor and manage landfills to minimize the risk of waste mass instability, releases of hazardous materials and odors that could be triggered by weather or natural disasters, as well as risks presented by the potential for subsurface heat reactions causing elevated landfill temperatures and increased production of leachate landfill gas and odor. 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183" w:lineRule="exact"/>
        <w:rPr>
          <w:rFonts w:ascii="Arial" w:cs="Arial" w:eastAsia="Arial" w:hAnsi="Arial"/>
          <w:sz w:val="16"/>
          <w:szCs w:val="16"/>
          <w:color w:val="auto"/>
        </w:rPr>
      </w:pPr>
    </w:p>
    <w:p>
      <w:pPr>
        <w:ind w:left="1080" w:right="6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21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reduce or suspend capital expenditures, growth and acquisition activity, implementation of our business strategy, dividend declarations or share repurchases if we suffer a significant reduction in cash flows;</w:t>
      </w:r>
    </w:p>
    <w:p>
      <w:pPr>
        <w:spacing w:after="0" w:line="199"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166" w:lineRule="exact"/>
        <w:rPr>
          <w:rFonts w:ascii="Arial" w:cs="Arial" w:eastAsia="Arial" w:hAnsi="Arial"/>
          <w:sz w:val="16"/>
          <w:szCs w:val="16"/>
          <w:color w:val="auto"/>
        </w:rPr>
      </w:pPr>
    </w:p>
    <w:p>
      <w:pPr>
        <w:ind w:left="5680" w:right="60" w:hanging="5132"/>
        <w:spacing w:after="0" w:line="519" w:lineRule="auto"/>
        <w:tabs>
          <w:tab w:leader="none" w:pos="1098"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8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weather-related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16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businesses, or third parties with whom we have a relationship, were to fail to comply with United States ("U.S.") or foreign laws or regulations;</w:t>
      </w:r>
    </w:p>
    <w:p>
      <w:pPr>
        <w:spacing w:after="0" w:line="199" w:lineRule="exact"/>
        <w:rPr>
          <w:rFonts w:ascii="Arial" w:cs="Arial" w:eastAsia="Arial" w:hAnsi="Arial"/>
          <w:sz w:val="18"/>
          <w:szCs w:val="18"/>
          <w:color w:val="auto"/>
        </w:rPr>
      </w:pPr>
    </w:p>
    <w:p>
      <w:pPr>
        <w:ind w:left="1080" w:right="80" w:hanging="532"/>
        <w:spacing w:after="0" w:line="294"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are subject to various proceedings, lawsuits and disputes; claims asserted against us include personal injury, property damage, commercial, customer and employment-related matters, including purported state and national class action lawsuits related to: alleged environmental contamination, including releases of hazardous materials and odors; sales and marketing practices, customer service agreements, prices and fees; and federal and state wage and hour and other laws. Such lawsuits and proceedings may increase our costs, limit our ability to conduct or expand our operations, limit our ability to execute our business plans and strategies and adversely affect our liquidity; and</w:t>
      </w:r>
    </w:p>
    <w:p>
      <w:pPr>
        <w:spacing w:after="0" w:line="183"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types of securities that we or selling securityholders may offer and sell from time to time pursuant to this prospectus are:</w:t>
      </w:r>
    </w:p>
    <w:p>
      <w:pPr>
        <w:spacing w:after="0" w:line="252"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221"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238" w:lineRule="exact"/>
        <w:rPr>
          <w:rFonts w:ascii="Arial" w:cs="Arial" w:eastAsia="Arial" w:hAnsi="Arial"/>
          <w:sz w:val="18"/>
          <w:szCs w:val="18"/>
          <w:color w:val="auto"/>
        </w:rPr>
      </w:pPr>
    </w:p>
    <w:p>
      <w:pPr>
        <w:ind w:left="5680" w:right="1640" w:hanging="5132"/>
        <w:spacing w:after="0" w:line="519" w:lineRule="auto"/>
        <w:tabs>
          <w:tab w:leader="none" w:pos="10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information about any securities exchanges or automated quotation systems on which the securities will be listed or traded.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w:t>
      </w:r>
    </w:p>
    <w:p>
      <w:pPr>
        <w:spacing w:after="0" w:line="194"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67"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As used herein, the terms "Waste Management," "we," "us," "our," and "the Company" refer to Waste Management, Inc. and its consolidated subsidiaries and consolidated variable interest entities, taken as a whole, unless the context clearly indicates otherwise.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161"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80" w:type="dxa"/>
            <w:vAlign w:val="bottom"/>
            <w:gridSpan w:val="10"/>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Date Filed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820" w:type="dxa"/>
            <w:vAlign w:val="bottom"/>
            <w:gridSpan w:val="5"/>
            <w:shd w:val="clear" w:color="auto" w:fill="CCEEFF"/>
          </w:tcPr>
          <w:p>
            <w:pPr>
              <w:spacing w:after="0" w:line="170" w:lineRule="exact"/>
              <w:rPr>
                <w:rFonts w:ascii="Arial" w:cs="Arial" w:eastAsia="Arial" w:hAnsi="Arial"/>
                <w:sz w:val="18"/>
                <w:szCs w:val="18"/>
                <w:color w:val="0000EE"/>
                <w:w w:val="88"/>
              </w:rPr>
            </w:pPr>
            <w:hyperlink r:id="rId33">
              <w:r>
                <w:rPr>
                  <w:rFonts w:ascii="Arial" w:cs="Arial" w:eastAsia="Arial" w:hAnsi="Arial"/>
                  <w:sz w:val="18"/>
                  <w:szCs w:val="18"/>
                  <w:color w:val="0000EE"/>
                  <w:w w:val="88"/>
                </w:rPr>
                <w:t>Annual Report on Form 10-K for the year ended December 31, 2018</w:t>
              </w:r>
            </w:hyperlink>
          </w:p>
        </w:tc>
        <w:tc>
          <w:tcPr>
            <w:tcW w:w="5240" w:type="dxa"/>
            <w:vAlign w:val="bottom"/>
            <w:tcBorders>
              <w:right w:val="single" w:sz="8" w:color="CCEEFF"/>
            </w:tcBorders>
            <w:gridSpan w:val="4"/>
            <w:shd w:val="clear" w:color="auto" w:fill="CCEEFF"/>
          </w:tcPr>
          <w:p>
            <w:pPr>
              <w:spacing w:after="0"/>
              <w:rPr>
                <w:sz w:val="14"/>
                <w:szCs w:val="14"/>
                <w:color w:val="auto"/>
              </w:rPr>
            </w:pPr>
          </w:p>
        </w:tc>
        <w:tc>
          <w:tcPr>
            <w:tcW w:w="1340" w:type="dxa"/>
            <w:vAlign w:val="bottom"/>
            <w:gridSpan w:val="8"/>
            <w:shd w:val="clear" w:color="auto" w:fill="CCEEFF"/>
          </w:tcPr>
          <w:p>
            <w:pPr>
              <w:jc w:val="center"/>
              <w:ind w:right="40"/>
              <w:spacing w:after="0" w:line="170" w:lineRule="exact"/>
              <w:rPr>
                <w:rFonts w:ascii="Arial" w:cs="Arial" w:eastAsia="Arial" w:hAnsi="Arial"/>
                <w:sz w:val="18"/>
                <w:szCs w:val="18"/>
                <w:color w:val="0000EE"/>
                <w:w w:val="88"/>
              </w:rPr>
            </w:pPr>
            <w:hyperlink r:id="rId33">
              <w:r>
                <w:rPr>
                  <w:rFonts w:ascii="Arial" w:cs="Arial" w:eastAsia="Arial" w:hAnsi="Arial"/>
                  <w:sz w:val="18"/>
                  <w:szCs w:val="18"/>
                  <w:color w:val="0000EE"/>
                  <w:w w:val="88"/>
                </w:rPr>
                <w:t>February 14, 2019</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60" w:type="dxa"/>
            <w:vAlign w:val="bottom"/>
            <w:gridSpan w:val="9"/>
          </w:tcPr>
          <w:p>
            <w:pPr>
              <w:spacing w:after="0" w:line="176" w:lineRule="exact"/>
              <w:rPr>
                <w:rFonts w:ascii="Arial" w:cs="Arial" w:eastAsia="Arial" w:hAnsi="Arial"/>
                <w:sz w:val="18"/>
                <w:szCs w:val="18"/>
                <w:color w:val="0000EE"/>
              </w:rPr>
            </w:pPr>
            <w:hyperlink r:id="rId34">
              <w:r>
                <w:rPr>
                  <w:rFonts w:ascii="Arial" w:cs="Arial" w:eastAsia="Arial" w:hAnsi="Arial"/>
                  <w:sz w:val="18"/>
                  <w:szCs w:val="18"/>
                  <w:color w:val="0000EE"/>
                </w:rPr>
                <w:t>Quarterly Report on Form 10-Q for the quarter ended March 31, 2019</w:t>
              </w:r>
            </w:hyperlink>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6"/>
          </w:tcPr>
          <w:p>
            <w:pPr>
              <w:jc w:val="center"/>
              <w:ind w:right="160"/>
              <w:spacing w:after="0" w:line="176" w:lineRule="exact"/>
              <w:rPr>
                <w:rFonts w:ascii="Arial" w:cs="Arial" w:eastAsia="Arial" w:hAnsi="Arial"/>
                <w:sz w:val="18"/>
                <w:szCs w:val="18"/>
                <w:color w:val="0000EE"/>
                <w:w w:val="91"/>
              </w:rPr>
            </w:pPr>
            <w:hyperlink r:id="rId34">
              <w:r>
                <w:rPr>
                  <w:rFonts w:ascii="Arial" w:cs="Arial" w:eastAsia="Arial" w:hAnsi="Arial"/>
                  <w:sz w:val="18"/>
                  <w:szCs w:val="18"/>
                  <w:color w:val="0000EE"/>
                  <w:w w:val="91"/>
                </w:rPr>
                <w:t>April 25, 2019</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60" w:type="dxa"/>
            <w:vAlign w:val="bottom"/>
            <w:tcBorders>
              <w:right w:val="single" w:sz="8" w:color="CCEEFF"/>
            </w:tcBorders>
            <w:gridSpan w:val="9"/>
            <w:shd w:val="clear" w:color="auto" w:fill="CCEEFF"/>
          </w:tcPr>
          <w:p>
            <w:pPr>
              <w:spacing w:after="0" w:line="176" w:lineRule="exact"/>
              <w:rPr>
                <w:rFonts w:ascii="Arial" w:cs="Arial" w:eastAsia="Arial" w:hAnsi="Arial"/>
                <w:sz w:val="18"/>
                <w:szCs w:val="18"/>
                <w:color w:val="0000EE"/>
              </w:rPr>
            </w:pPr>
            <w:hyperlink r:id="rId72">
              <w:r>
                <w:rPr>
                  <w:rFonts w:ascii="Arial" w:cs="Arial" w:eastAsia="Arial" w:hAnsi="Arial"/>
                  <w:sz w:val="18"/>
                  <w:szCs w:val="18"/>
                  <w:color w:val="0000EE"/>
                </w:rPr>
                <w:t>Current Report on Form 8-K</w:t>
              </w:r>
            </w:hyperlink>
          </w:p>
        </w:tc>
        <w:tc>
          <w:tcPr>
            <w:tcW w:w="1340" w:type="dxa"/>
            <w:vAlign w:val="bottom"/>
            <w:gridSpan w:val="8"/>
            <w:shd w:val="clear" w:color="auto" w:fill="CCEEFF"/>
          </w:tcPr>
          <w:p>
            <w:pPr>
              <w:jc w:val="center"/>
              <w:ind w:right="40"/>
              <w:spacing w:after="0" w:line="176" w:lineRule="exact"/>
              <w:rPr>
                <w:rFonts w:ascii="Arial" w:cs="Arial" w:eastAsia="Arial" w:hAnsi="Arial"/>
                <w:sz w:val="18"/>
                <w:szCs w:val="18"/>
                <w:color w:val="0000EE"/>
                <w:w w:val="88"/>
              </w:rPr>
            </w:pPr>
            <w:hyperlink r:id="rId72">
              <w:r>
                <w:rPr>
                  <w:rFonts w:ascii="Arial" w:cs="Arial" w:eastAsia="Arial" w:hAnsi="Arial"/>
                  <w:sz w:val="18"/>
                  <w:szCs w:val="18"/>
                  <w:color w:val="0000EE"/>
                  <w:w w:val="88"/>
                </w:rPr>
                <w:t>February 25, 2019</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60" w:type="dxa"/>
            <w:vAlign w:val="bottom"/>
            <w:gridSpan w:val="9"/>
          </w:tcPr>
          <w:p>
            <w:pPr>
              <w:spacing w:after="0" w:line="176" w:lineRule="exact"/>
              <w:rPr>
                <w:rFonts w:ascii="Arial" w:cs="Arial" w:eastAsia="Arial" w:hAnsi="Arial"/>
                <w:sz w:val="18"/>
                <w:szCs w:val="18"/>
                <w:color w:val="0000EE"/>
              </w:rPr>
            </w:pPr>
            <w:hyperlink r:id="rId19">
              <w:r>
                <w:rPr>
                  <w:rFonts w:ascii="Arial" w:cs="Arial" w:eastAsia="Arial" w:hAnsi="Arial"/>
                  <w:sz w:val="18"/>
                  <w:szCs w:val="18"/>
                  <w:color w:val="0000EE"/>
                </w:rPr>
                <w:t>Current Report on Form 8-K</w:t>
              </w:r>
            </w:hyperlink>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6"/>
          </w:tcPr>
          <w:p>
            <w:pPr>
              <w:jc w:val="center"/>
              <w:ind w:right="160"/>
              <w:spacing w:after="0" w:line="17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April 15, 2019</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8"/>
              </w:rPr>
            </w:pPr>
            <w:hyperlink r:id="rId73">
              <w:r>
                <w:rPr>
                  <w:rFonts w:ascii="Arial" w:cs="Arial" w:eastAsia="Arial" w:hAnsi="Arial"/>
                  <w:sz w:val="18"/>
                  <w:szCs w:val="18"/>
                  <w:color w:val="0000EE"/>
                  <w:w w:val="88"/>
                </w:rPr>
                <w:t>The portions of our proxy statement for our 2019 annual meeting of stockholders incorporated by reference in our Annual Report on</w:t>
              </w:r>
            </w:hyperlink>
          </w:p>
        </w:tc>
        <w:tc>
          <w:tcPr>
            <w:tcW w:w="76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540" w:type="dxa"/>
            <w:vAlign w:val="bottom"/>
            <w:gridSpan w:val="3"/>
            <w:shd w:val="clear" w:color="auto" w:fill="CCEEFF"/>
          </w:tcPr>
          <w:p>
            <w:pPr>
              <w:spacing w:after="0" w:line="196" w:lineRule="exact"/>
              <w:rPr>
                <w:rFonts w:ascii="Arial" w:cs="Arial" w:eastAsia="Arial" w:hAnsi="Arial"/>
                <w:sz w:val="18"/>
                <w:szCs w:val="18"/>
                <w:color w:val="0000EE"/>
                <w:w w:val="88"/>
              </w:rPr>
            </w:pPr>
            <w:hyperlink r:id="rId73">
              <w:r>
                <w:rPr>
                  <w:rFonts w:ascii="Arial" w:cs="Arial" w:eastAsia="Arial" w:hAnsi="Arial"/>
                  <w:sz w:val="18"/>
                  <w:szCs w:val="18"/>
                  <w:color w:val="0000EE"/>
                  <w:w w:val="88"/>
                </w:rPr>
                <w:t>Form 10-K for the year ended December 31, 2018</w:t>
              </w:r>
            </w:hyperlink>
          </w:p>
        </w:tc>
        <w:tc>
          <w:tcPr>
            <w:tcW w:w="6360" w:type="dxa"/>
            <w:vAlign w:val="bottom"/>
            <w:tcBorders>
              <w:right w:val="single" w:sz="8" w:color="CCEEFF"/>
            </w:tcBorders>
            <w:gridSpan w:val="5"/>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7"/>
            <w:shd w:val="clear" w:color="auto" w:fill="CCEEFF"/>
          </w:tcPr>
          <w:p>
            <w:pPr>
              <w:jc w:val="center"/>
              <w:ind w:right="140"/>
              <w:spacing w:after="0" w:line="196" w:lineRule="exact"/>
              <w:rPr>
                <w:rFonts w:ascii="Arial" w:cs="Arial" w:eastAsia="Arial" w:hAnsi="Arial"/>
                <w:sz w:val="18"/>
                <w:szCs w:val="18"/>
                <w:color w:val="0000EE"/>
                <w:w w:val="89"/>
              </w:rPr>
            </w:pPr>
            <w:hyperlink r:id="rId73">
              <w:r>
                <w:rPr>
                  <w:rFonts w:ascii="Arial" w:cs="Arial" w:eastAsia="Arial" w:hAnsi="Arial"/>
                  <w:sz w:val="18"/>
                  <w:szCs w:val="18"/>
                  <w:color w:val="0000EE"/>
                  <w:w w:val="89"/>
                </w:rPr>
                <w:t>March 27, 2019</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7120" w:type="dxa"/>
            <w:vAlign w:val="bottom"/>
            <w:tcBorders>
              <w:bottom w:val="single" w:sz="8" w:color="0000EE"/>
            </w:tcBorders>
            <w:gridSpan w:val="7"/>
          </w:tcPr>
          <w:p>
            <w:pPr>
              <w:spacing w:after="0" w:line="176" w:lineRule="exact"/>
              <w:rPr>
                <w:rFonts w:ascii="Arial" w:cs="Arial" w:eastAsia="Arial" w:hAnsi="Arial"/>
                <w:sz w:val="18"/>
                <w:szCs w:val="18"/>
                <w:color w:val="0000EE"/>
                <w:w w:val="89"/>
              </w:rPr>
            </w:pPr>
            <w:hyperlink r:id="rId83">
              <w:r>
                <w:rPr>
                  <w:rFonts w:ascii="Arial" w:cs="Arial" w:eastAsia="Arial" w:hAnsi="Arial"/>
                  <w:sz w:val="18"/>
                  <w:szCs w:val="18"/>
                  <w:color w:val="0000EE"/>
                  <w:w w:val="89"/>
                </w:rPr>
                <w:t>Description of our Common Stock on Form 8-B, as we may update that description from time to time</w:t>
              </w:r>
            </w:hyperlink>
          </w:p>
        </w:tc>
        <w:tc>
          <w:tcPr>
            <w:tcW w:w="29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bottom w:val="single" w:sz="8" w:color="0000EE"/>
            </w:tcBorders>
          </w:tcPr>
          <w:p>
            <w:pPr>
              <w:jc w:val="center"/>
              <w:spacing w:after="0" w:line="176" w:lineRule="exact"/>
              <w:rPr>
                <w:rFonts w:ascii="Arial" w:cs="Arial" w:eastAsia="Arial" w:hAnsi="Arial"/>
                <w:sz w:val="18"/>
                <w:szCs w:val="18"/>
                <w:color w:val="0000EE"/>
                <w:w w:val="89"/>
              </w:rPr>
            </w:pPr>
            <w:hyperlink r:id="rId83">
              <w:r>
                <w:rPr>
                  <w:rFonts w:ascii="Arial" w:cs="Arial" w:eastAsia="Arial" w:hAnsi="Arial"/>
                  <w:sz w:val="18"/>
                  <w:szCs w:val="18"/>
                  <w:color w:val="0000EE"/>
                  <w:w w:val="89"/>
                </w:rPr>
                <w:t>July 13, 1995</w:t>
              </w:r>
            </w:hyperlink>
          </w:p>
        </w:tc>
        <w:tc>
          <w:tcPr>
            <w:tcW w:w="2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170" w:lineRule="exact"/>
        <w:rPr>
          <w:sz w:val="20"/>
          <w:szCs w:val="20"/>
          <w:color w:val="auto"/>
        </w:rPr>
      </w:pPr>
    </w:p>
    <w:p>
      <w:pPr>
        <w:ind w:right="20" w:firstLine="345"/>
        <w:spacing w:after="0" w:line="268" w:lineRule="auto"/>
        <w:rPr>
          <w:sz w:val="20"/>
          <w:szCs w:val="20"/>
          <w:color w:val="auto"/>
        </w:rPr>
      </w:pPr>
      <w:r>
        <w:rPr>
          <w:rFonts w:ascii="Arial" w:cs="Arial" w:eastAsia="Arial" w:hAnsi="Arial"/>
          <w:sz w:val="18"/>
          <w:szCs w:val="18"/>
          <w:color w:val="auto"/>
        </w:rPr>
        <w:t>You may obtain copies of any of these filings through Waste Management, the SEC or the SEC's internet site as described below. Documents incorporated by reference are available without charge by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 xml:space="preserve">requesting them in writing or by telephone using the contact information below and may be accessed through the Investor Relations section of </w:t>
      </w:r>
      <w:r>
        <w:rPr>
          <w:rFonts w:ascii="Arial" w:cs="Arial" w:eastAsia="Arial" w:hAnsi="Arial"/>
          <w:sz w:val="15"/>
          <w:szCs w:val="15"/>
          <w:i w:val="1"/>
          <w:iCs w:val="1"/>
          <w:color w:val="auto"/>
        </w:rPr>
        <w:t>www.wm.com.</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713-512-6200</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The SEC maintains an internet site that contains information we have filed electronically with the SEC, which you can access over the internet at </w:t>
      </w:r>
      <w:r>
        <w:rPr>
          <w:rFonts w:ascii="Arial" w:cs="Arial" w:eastAsia="Arial" w:hAnsi="Arial"/>
          <w:sz w:val="18"/>
          <w:szCs w:val="18"/>
          <w:i w:val="1"/>
          <w:iCs w:val="1"/>
          <w:color w:val="auto"/>
        </w:rPr>
        <w:t>www.sec.gov</w:t>
      </w:r>
      <w:r>
        <w:rPr>
          <w:rFonts w:ascii="Arial" w:cs="Arial" w:eastAsia="Arial" w:hAnsi="Arial"/>
          <w:sz w:val="18"/>
          <w:szCs w:val="18"/>
          <w:color w:val="auto"/>
        </w:rPr>
        <w:t>. You can also obtain information about us at the offices of the New York Stock Exchange, 20 Broad Street, New York, New York 10005.</w:t>
      </w:r>
    </w:p>
    <w:p>
      <w:pPr>
        <w:spacing w:after="0" w:line="19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internet site discussed above.</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right="460" w:firstLine="348"/>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Our principal executive offices are located at 1001 Fannin Street, Houston, Texas 77002 and our telephone number is (713) 512-6200. Our internet address is </w:t>
      </w:r>
      <w:r>
        <w:rPr>
          <w:rFonts w:ascii="Arial" w:cs="Arial" w:eastAsia="Arial" w:hAnsi="Arial"/>
          <w:sz w:val="18"/>
          <w:szCs w:val="18"/>
          <w:i w:val="1"/>
          <w:iCs w:val="1"/>
          <w:color w:val="auto"/>
        </w:rPr>
        <w:t>www.wm.com.</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DEBT SECURITIES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debt securities covered by this prospectus will be our general unsecured obligations. We will issue senior debt securities on a senior unsecured basis under an indenture, dated as of September 10, 1997, among Waste Management, as issuer, and The Bank of New York Mellon Trust Company, N.A. (the current successor to Texas Commerce Bank National Association), as trustee. We will issue subordinated debt securities under an indenture dated as of February 3, 1997, among Waste Management, as issuer, and The Bank of New York Mellon Trust Company, N.A., as trustee. The indentures are substantially identical, except for provisions relating to subordination and covenants.</w:t>
      </w:r>
    </w:p>
    <w:p>
      <w:pPr>
        <w:spacing w:after="0" w:line="197"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 amount of other unsecured</w:t>
      </w:r>
      <w:r>
        <w:rPr>
          <w:rFonts w:ascii="Arial" w:cs="Arial" w:eastAsia="Arial" w:hAnsi="Arial"/>
          <w:sz w:val="18"/>
          <w:szCs w:val="18"/>
          <w:i w:val="1"/>
          <w:iCs w:val="1"/>
          <w:color w:val="auto"/>
        </w:rPr>
        <w:t xml:space="preserve"> </w:t>
      </w:r>
      <w:r>
        <w:rPr>
          <w:rFonts w:ascii="Arial" w:cs="Arial" w:eastAsia="Arial" w:hAnsi="Arial"/>
          <w:sz w:val="18"/>
          <w:szCs w:val="18"/>
          <w:color w:val="auto"/>
        </w:rPr>
        <w:t>debt or securities that we may issue. We may issue debt securities under the indentures from time to time in one or more series, each in an amount authorized prior to issuance.</w:t>
      </w:r>
    </w:p>
    <w:p>
      <w:pPr>
        <w:spacing w:after="0" w:line="194"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 offering. These terms</w:t>
      </w:r>
      <w:r>
        <w:rPr>
          <w:rFonts w:ascii="Arial" w:cs="Arial" w:eastAsia="Arial" w:hAnsi="Arial"/>
          <w:sz w:val="18"/>
          <w:szCs w:val="18"/>
          <w:i w:val="1"/>
          <w:iCs w:val="1"/>
          <w:color w:val="auto"/>
        </w:rPr>
        <w:t xml:space="preserve"> </w:t>
      </w:r>
      <w:r>
        <w:rPr>
          <w:rFonts w:ascii="Arial" w:cs="Arial" w:eastAsia="Arial" w:hAnsi="Arial"/>
          <w:sz w:val="18"/>
          <w:szCs w:val="18"/>
          <w:color w:val="auto"/>
        </w:rPr>
        <w:t>will include some or all of the following:</w:t>
      </w:r>
    </w:p>
    <w:p>
      <w:pPr>
        <w:spacing w:after="0" w:line="19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interest rate (or the method of calculating the interest rate, if applicable), the date from which interest will accrue, interest payment dates and record dates for interest payments;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portion of the principal amount of debt securities that will be payable if the maturity is accelerated, if other than the entire principal amount;</w:t>
      </w:r>
    </w:p>
    <w:p>
      <w:pPr>
        <w:spacing w:after="0" w:line="275"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terms for the conversion or exchange of the debt securities for other securities of Waste Management or any other entity;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 respect to the subordinated indenture, any changes to the subordination provisions for the subordinated debt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225"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19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indentures generally prohibit a consolidation or merger of Waste Management into another person, or a</w:t>
      </w:r>
      <w:r>
        <w:rPr>
          <w:rFonts w:ascii="Arial" w:cs="Arial" w:eastAsia="Arial" w:hAnsi="Arial"/>
          <w:sz w:val="18"/>
          <w:szCs w:val="18"/>
          <w:i w:val="1"/>
          <w:iCs w:val="1"/>
          <w:color w:val="auto"/>
        </w:rPr>
        <w:t xml:space="preserve"> </w:t>
      </w:r>
      <w:r>
        <w:rPr>
          <w:rFonts w:ascii="Arial" w:cs="Arial" w:eastAsia="Arial" w:hAnsi="Arial"/>
          <w:sz w:val="18"/>
          <w:szCs w:val="18"/>
          <w:color w:val="auto"/>
        </w:rPr>
        <w:t>conveyance, transfer or lease of our properties and assets substantially as an entirety to another person unless:</w:t>
      </w:r>
    </w:p>
    <w:p>
      <w:pPr>
        <w:spacing w:after="0" w:line="213" w:lineRule="exact"/>
        <w:rPr>
          <w:sz w:val="20"/>
          <w:szCs w:val="20"/>
          <w:color w:val="auto"/>
        </w:rPr>
      </w:pPr>
    </w:p>
    <w:p>
      <w:pPr>
        <w:jc w:val="both"/>
        <w:ind w:left="1080" w:right="2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resulting person formed or into which Waste Management is merged or the person which acquires our properties and assets substantially as an entirety assumes the performance of the covenants and obligations under the indentures and the due and punctual payments on the debt securities; and</w:t>
      </w:r>
    </w:p>
    <w:p>
      <w:pPr>
        <w:spacing w:after="0" w:line="207"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186"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13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 with respect to a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w:t>
      </w:r>
    </w:p>
    <w:p>
      <w:pPr>
        <w:spacing w:after="0" w:line="19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238"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amount of the outstanding debt securities issued under that indenture that are affected by that failure;</w:t>
      </w:r>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221"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indentures require us to file each year with the trustee a written statement as to our compliance with the covenants contained in the applicable indenture.</w:t>
      </w:r>
    </w:p>
    <w:p>
      <w:pPr>
        <w:spacing w:after="0" w:line="26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Modification and Waiver. </w:t>
      </w:r>
      <w:r>
        <w:rPr>
          <w:rFonts w:ascii="Arial" w:cs="Arial" w:eastAsia="Arial" w:hAnsi="Arial"/>
          <w:sz w:val="16"/>
          <w:szCs w:val="16"/>
          <w:color w:val="auto"/>
        </w:rPr>
        <w:t>Each indenture may be amended or supplemented if the majority in principal amount of the outstanding debt securities of all</w:t>
      </w:r>
      <w:r>
        <w:rPr>
          <w:rFonts w:ascii="Arial" w:cs="Arial" w:eastAsia="Arial" w:hAnsi="Arial"/>
          <w:sz w:val="16"/>
          <w:szCs w:val="16"/>
          <w:i w:val="1"/>
          <w:iCs w:val="1"/>
          <w:color w:val="auto"/>
        </w:rPr>
        <w:t xml:space="preserve"> </w:t>
      </w:r>
      <w:r>
        <w:rPr>
          <w:rFonts w:ascii="Arial" w:cs="Arial" w:eastAsia="Arial" w:hAnsi="Arial"/>
          <w:sz w:val="16"/>
          <w:szCs w:val="16"/>
          <w:color w:val="auto"/>
        </w:rPr>
        <w:t>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180"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reduce any premium payable on the redemption of the debt security or change the time at which the debt security may or must be redeemed;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221"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 xml:space="preserve">Defeasance. </w:t>
      </w:r>
      <w:r>
        <w:rPr>
          <w:rFonts w:ascii="Arial" w:cs="Arial" w:eastAsia="Arial" w:hAnsi="Arial"/>
          <w:sz w:val="16"/>
          <w:szCs w:val="16"/>
          <w:color w:val="auto"/>
        </w:rPr>
        <w:t>When we use the term defeasance, we mean discharge from some or all of our obligations under the indentures. If any combination of funds</w:t>
      </w:r>
      <w:r>
        <w:rPr>
          <w:rFonts w:ascii="Arial" w:cs="Arial" w:eastAsia="Arial" w:hAnsi="Arial"/>
          <w:sz w:val="16"/>
          <w:szCs w:val="16"/>
          <w:i w:val="1"/>
          <w:iCs w:val="1"/>
          <w:color w:val="auto"/>
        </w:rPr>
        <w:t xml:space="preserve"> </w:t>
      </w:r>
      <w:r>
        <w:rPr>
          <w:rFonts w:ascii="Arial" w:cs="Arial" w:eastAsia="Arial" w:hAnsi="Arial"/>
          <w:sz w:val="16"/>
          <w:szCs w:val="16"/>
          <w:color w:val="auto"/>
        </w:rPr>
        <w:t>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174" w:lineRule="exact"/>
        <w:rPr>
          <w:sz w:val="20"/>
          <w:szCs w:val="20"/>
          <w:color w:val="auto"/>
        </w:rPr>
      </w:pPr>
    </w:p>
    <w:p>
      <w:pPr>
        <w:ind w:left="1080" w:right="50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212" w:lineRule="exact"/>
        <w:rPr>
          <w:rFonts w:ascii="Arial" w:cs="Arial" w:eastAsia="Arial" w:hAnsi="Arial"/>
          <w:sz w:val="18"/>
          <w:szCs w:val="18"/>
          <w:color w:val="auto"/>
        </w:rPr>
      </w:pPr>
    </w:p>
    <w:p>
      <w:pPr>
        <w:ind w:left="1080" w:right="580" w:hanging="532"/>
        <w:spacing w:after="0" w:line="33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39"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52"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161" w:lineRule="exact"/>
        <w:rPr>
          <w:sz w:val="20"/>
          <w:szCs w:val="20"/>
          <w:color w:val="auto"/>
        </w:rPr>
      </w:pPr>
    </w:p>
    <w:p>
      <w:pPr>
        <w:ind w:left="360"/>
        <w:spacing w:after="0"/>
        <w:tabs>
          <w:tab w:leader="none" w:pos="1640" w:val="left"/>
        </w:tabs>
        <w:rPr>
          <w:sz w:val="20"/>
          <w:szCs w:val="20"/>
          <w:color w:val="auto"/>
        </w:rPr>
      </w:pPr>
      <w:r>
        <w:rPr>
          <w:rFonts w:ascii="Arial" w:cs="Arial" w:eastAsia="Arial" w:hAnsi="Arial"/>
          <w:sz w:val="18"/>
          <w:szCs w:val="18"/>
          <w:i w:val="1"/>
          <w:iCs w:val="1"/>
          <w:color w:val="auto"/>
        </w:rPr>
        <w:t>Governing Law.</w:t>
      </w:r>
      <w:r>
        <w:rPr>
          <w:sz w:val="20"/>
          <w:szCs w:val="20"/>
          <w:color w:val="auto"/>
        </w:rPr>
        <w:tab/>
      </w:r>
      <w:r>
        <w:rPr>
          <w:rFonts w:ascii="Arial" w:cs="Arial" w:eastAsia="Arial" w:hAnsi="Arial"/>
          <w:sz w:val="16"/>
          <w:szCs w:val="16"/>
          <w:color w:val="auto"/>
        </w:rPr>
        <w:t>New York law will govern the indentures and the debt securities.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The Bank of New York Mellon Trust Company, N.A. is the trustee under the senior indenture and the subordinated indenture. The Bank of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Mellon Trust Company, N.A. serves as trustee or custodian relating to a number of series of debt obligations of Waste Management. Certain of The Bank of New York Mellon Trust Company, N.A.'s affiliates perform certain commercial banking services and/or pension plan related services for us for which they receive customary fees and act as a lender under our current credit facility.</w:t>
      </w:r>
    </w:p>
    <w:p>
      <w:pPr>
        <w:spacing w:after="0" w:line="197"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161"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9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color w:val="auto"/>
        </w:rPr>
        <w:t xml:space="preserve">Form, Exchange, Registration and Transfer. </w:t>
      </w:r>
      <w:r>
        <w:rPr>
          <w:rFonts w:ascii="Arial" w:cs="Arial" w:eastAsia="Arial" w:hAnsi="Arial"/>
          <w:sz w:val="16"/>
          <w:szCs w:val="16"/>
          <w:color w:val="auto"/>
        </w:rPr>
        <w:t>The debt securities may be issued in registered form, without interest coupons, or in bearer form, with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197"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239" w:lineRule="exact"/>
        <w:rPr>
          <w:sz w:val="20"/>
          <w:szCs w:val="20"/>
          <w:color w:val="auto"/>
        </w:rPr>
      </w:pPr>
    </w:p>
    <w:p>
      <w:pPr>
        <w:ind w:left="1080" w:right="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Payment and Paying Agents. </w:t>
      </w:r>
      <w:r>
        <w:rPr>
          <w:rFonts w:ascii="Arial" w:cs="Arial" w:eastAsia="Arial" w:hAnsi="Arial"/>
          <w:sz w:val="16"/>
          <w:szCs w:val="16"/>
          <w:color w:val="auto"/>
        </w:rPr>
        <w:t>Unless we inform you otherwise in a prospectus supplement, payments on the debt securities will be made in U.S. dollars at</w:t>
      </w:r>
      <w:r>
        <w:rPr>
          <w:rFonts w:ascii="Arial" w:cs="Arial" w:eastAsia="Arial" w:hAnsi="Arial"/>
          <w:sz w:val="16"/>
          <w:szCs w:val="16"/>
          <w:i w:val="1"/>
          <w:iCs w:val="1"/>
          <w:color w:val="auto"/>
        </w:rPr>
        <w:t xml:space="preserve"> </w:t>
      </w:r>
      <w:r>
        <w:rPr>
          <w:rFonts w:ascii="Arial" w:cs="Arial" w:eastAsia="Arial" w:hAnsi="Arial"/>
          <w:sz w:val="16"/>
          <w:szCs w:val="16"/>
          <w:color w:val="auto"/>
        </w:rPr>
        <w:t>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6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indenture. We may at any time designate additional paying agents or rescind the designation of any paying agent or approve a change in the office through which any paying agent acts.</w:t>
      </w:r>
    </w:p>
    <w:p>
      <w:pPr>
        <w:spacing w:after="0" w:line="186"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61"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i w:val="1"/>
          <w:iCs w:val="1"/>
          <w:color w:val="auto"/>
        </w:rPr>
        <w:t xml:space="preserve">Book-Entry Debt Securities. </w:t>
      </w:r>
      <w:r>
        <w:rPr>
          <w:rFonts w:ascii="Arial" w:cs="Arial" w:eastAsia="Arial" w:hAnsi="Arial"/>
          <w:sz w:val="15"/>
          <w:szCs w:val="15"/>
          <w:color w:val="auto"/>
        </w:rPr>
        <w:t>The debt securities of a series may be issued in the form of one or more global debt securities that would be deposited with a</w:t>
      </w:r>
      <w:r>
        <w:rPr>
          <w:rFonts w:ascii="Arial" w:cs="Arial" w:eastAsia="Arial" w:hAnsi="Arial"/>
          <w:sz w:val="15"/>
          <w:szCs w:val="15"/>
          <w:i w:val="1"/>
          <w:iCs w:val="1"/>
          <w:color w:val="auto"/>
        </w:rPr>
        <w:t xml:space="preserve"> </w:t>
      </w:r>
      <w:r>
        <w:rPr>
          <w:rFonts w:ascii="Arial" w:cs="Arial" w:eastAsia="Arial" w:hAnsi="Arial"/>
          <w:sz w:val="15"/>
          <w:szCs w:val="15"/>
          <w:color w:val="auto"/>
        </w:rPr>
        <w:t>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Ranking and Guarantee. </w:t>
      </w:r>
      <w:r>
        <w:rPr>
          <w:rFonts w:ascii="Arial" w:cs="Arial" w:eastAsia="Arial" w:hAnsi="Arial"/>
          <w:sz w:val="16"/>
          <w:szCs w:val="16"/>
          <w:color w:val="auto"/>
        </w:rPr>
        <w:t>The senior debt securities will constitute senior debt of Waste Management and will rank equally with all of the other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174"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We have agreed to two principal restrictions on our activities for the benefit of holders of the senior debt securities. The restrictive</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194" w:lineRule="exact"/>
        <w:rPr>
          <w:sz w:val="20"/>
          <w:szCs w:val="20"/>
          <w:color w:val="auto"/>
        </w:rPr>
      </w:pPr>
    </w:p>
    <w:p>
      <w:pPr>
        <w:ind w:left="1220" w:hanging="321"/>
        <w:spacing w:after="0"/>
        <w:tabs>
          <w:tab w:leader="none" w:pos="12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liens on the property or assets existing at the time of acquisition which secure obligations assumed by us or our Restricted Subsidiaries;</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firstLine="359"/>
        <w:spacing w:after="0" w:line="268" w:lineRule="auto"/>
        <w:tabs>
          <w:tab w:leader="none" w:pos="1218"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185" w:lineRule="exact"/>
        <w:rPr>
          <w:rFonts w:ascii="Arial" w:cs="Arial" w:eastAsia="Arial" w:hAnsi="Arial"/>
          <w:sz w:val="18"/>
          <w:szCs w:val="18"/>
          <w:color w:val="auto"/>
        </w:rPr>
      </w:pPr>
    </w:p>
    <w:p>
      <w:pPr>
        <w:ind w:left="540" w:right="320" w:firstLine="359"/>
        <w:spacing w:after="0" w:line="268" w:lineRule="auto"/>
        <w:tabs>
          <w:tab w:leader="none" w:pos="12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on the property, assets or stock of any successor entity that becomes the Company in accordance with "</w:t>
      </w:r>
      <w:r>
        <w:rPr>
          <w:rFonts w:ascii="Arial" w:cs="Arial" w:eastAsia="Arial" w:hAnsi="Arial"/>
          <w:sz w:val="18"/>
          <w:szCs w:val="18"/>
          <w:i w:val="1"/>
          <w:iCs w:val="1"/>
          <w:color w:val="auto"/>
        </w:rPr>
        <w:t>Provisions Applicable to Each</w:t>
      </w:r>
      <w:r>
        <w:rPr>
          <w:rFonts w:ascii="Arial" w:cs="Arial" w:eastAsia="Arial" w:hAnsi="Arial"/>
          <w:sz w:val="18"/>
          <w:szCs w:val="18"/>
          <w:color w:val="auto"/>
        </w:rPr>
        <w:t xml:space="preserve"> </w:t>
      </w:r>
      <w:r>
        <w:rPr>
          <w:rFonts w:ascii="Arial" w:cs="Arial" w:eastAsia="Arial" w:hAnsi="Arial"/>
          <w:sz w:val="18"/>
          <w:szCs w:val="18"/>
          <w:i w:val="1"/>
          <w:iCs w:val="1"/>
          <w:color w:val="auto"/>
        </w:rPr>
        <w:t>Indenture—Consolidation, Merger and Sale of Assets</w:t>
      </w:r>
      <w:r>
        <w:rPr>
          <w:rFonts w:ascii="Arial" w:cs="Arial" w:eastAsia="Arial" w:hAnsi="Arial"/>
          <w:sz w:val="18"/>
          <w:szCs w:val="18"/>
          <w:color w:val="auto"/>
        </w:rPr>
        <w:t>," above;</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252" w:lineRule="exact"/>
        <w:rPr>
          <w:rFonts w:ascii="Arial" w:cs="Arial" w:eastAsia="Arial" w:hAnsi="Arial"/>
          <w:sz w:val="18"/>
          <w:szCs w:val="18"/>
          <w:color w:val="auto"/>
        </w:rPr>
      </w:pPr>
    </w:p>
    <w:p>
      <w:pPr>
        <w:ind w:left="1620" w:right="60" w:hanging="532"/>
        <w:spacing w:after="0" w:line="306" w:lineRule="auto"/>
        <w:tabs>
          <w:tab w:leader="none" w:pos="16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160" w:lineRule="exact"/>
        <w:rPr>
          <w:rFonts w:ascii="Arial" w:cs="Arial" w:eastAsia="Arial" w:hAnsi="Arial"/>
          <w:sz w:val="16"/>
          <w:szCs w:val="16"/>
          <w:color w:val="auto"/>
        </w:rPr>
      </w:pPr>
    </w:p>
    <w:p>
      <w:pPr>
        <w:ind w:left="1260" w:hanging="361"/>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arising by deposits or security given to governmental agencies required in order to do business with the government;</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liens in connection with legal proceedings so long as the proceeding is being contested in good faith or execution thereon is stayed;</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landlord's liens on fixtures located on property leased by us or Restricted Subsidiaries in the ordinary course of business;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liens in favor of any governmental authority in connection with the financing of the cost of construction or acquisition of property;</w:t>
      </w:r>
    </w:p>
    <w:p>
      <w:pPr>
        <w:spacing w:after="0" w:line="248" w:lineRule="exact"/>
        <w:rPr>
          <w:rFonts w:ascii="Arial" w:cs="Arial" w:eastAsia="Arial" w:hAnsi="Arial"/>
          <w:sz w:val="16"/>
          <w:szCs w:val="16"/>
          <w:color w:val="auto"/>
        </w:rPr>
      </w:pPr>
    </w:p>
    <w:p>
      <w:pPr>
        <w:ind w:left="540" w:right="160" w:firstLine="359"/>
        <w:spacing w:after="0" w:line="268" w:lineRule="auto"/>
        <w:tabs>
          <w:tab w:leader="none" w:pos="12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incurred in connection with pollution control, sewage or solid waste disposal industrial revenue or similar financings;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225" w:lineRule="exact"/>
        <w:rPr>
          <w:rFonts w:ascii="Arial" w:cs="Arial" w:eastAsia="Arial" w:hAnsi="Arial"/>
          <w:sz w:val="18"/>
          <w:szCs w:val="18"/>
          <w:color w:val="auto"/>
        </w:rPr>
      </w:pPr>
    </w:p>
    <w:p>
      <w:pPr>
        <w:ind w:left="540" w:right="280" w:firstLine="359"/>
        <w:spacing w:after="0" w:line="268" w:lineRule="auto"/>
        <w:tabs>
          <w:tab w:leader="none" w:pos="12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186"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186" w:lineRule="exact"/>
        <w:rPr>
          <w:sz w:val="20"/>
          <w:szCs w:val="20"/>
          <w:color w:val="auto"/>
        </w:rPr>
      </w:pPr>
    </w:p>
    <w:p>
      <w:pPr>
        <w:ind w:left="540" w:right="20" w:firstLine="359"/>
        <w:spacing w:after="0" w:line="259" w:lineRule="auto"/>
        <w:tabs>
          <w:tab w:leader="none" w:pos="1218"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specified provisions of the "Limitation on Liens" covenant, could secure that debt by a lien on the property to be leased without equally and ratably securing the senior debt securities;</w:t>
      </w:r>
    </w:p>
    <w:p>
      <w:pPr>
        <w:spacing w:after="0" w:line="194" w:lineRule="exact"/>
        <w:rPr>
          <w:rFonts w:ascii="Arial" w:cs="Arial" w:eastAsia="Arial" w:hAnsi="Arial"/>
          <w:sz w:val="18"/>
          <w:szCs w:val="18"/>
          <w:color w:val="auto"/>
        </w:rPr>
      </w:pPr>
    </w:p>
    <w:p>
      <w:pPr>
        <w:jc w:val="both"/>
        <w:ind w:left="540" w:right="240" w:firstLine="359"/>
        <w:spacing w:after="0" w:line="256" w:lineRule="auto"/>
        <w:tabs>
          <w:tab w:leader="none" w:pos="12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debt securities listed under the senior indenture or debt incurred by a Restricted Subsidiary; or</w:t>
      </w:r>
    </w:p>
    <w:p>
      <w:pPr>
        <w:spacing w:after="0" w:line="197" w:lineRule="exact"/>
        <w:rPr>
          <w:rFonts w:ascii="Arial" w:cs="Arial" w:eastAsia="Arial" w:hAnsi="Arial"/>
          <w:sz w:val="18"/>
          <w:szCs w:val="18"/>
          <w:color w:val="auto"/>
        </w:rPr>
      </w:pPr>
    </w:p>
    <w:p>
      <w:pPr>
        <w:ind w:left="540" w:right="140" w:firstLine="359"/>
        <w:spacing w:after="0" w:line="332" w:lineRule="auto"/>
        <w:tabs>
          <w:tab w:leader="none" w:pos="1218" w:val="left"/>
        </w:tabs>
        <w:numPr>
          <w:ilvl w:val="0"/>
          <w:numId w:val="45"/>
        </w:numPr>
        <w:rPr>
          <w:rFonts w:ascii="Arial" w:cs="Arial" w:eastAsia="Arial" w:hAnsi="Arial"/>
          <w:sz w:val="16"/>
          <w:szCs w:val="16"/>
          <w:color w:val="auto"/>
        </w:rPr>
      </w:pPr>
      <w:r>
        <w:rPr>
          <w:rFonts w:ascii="Arial" w:cs="Arial" w:eastAsia="Arial" w:hAnsi="Arial"/>
          <w:sz w:val="16"/>
          <w:szCs w:val="16"/>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139" w:lineRule="exact"/>
        <w:rPr>
          <w:sz w:val="20"/>
          <w:szCs w:val="20"/>
          <w:color w:val="auto"/>
        </w:rPr>
      </w:pPr>
    </w:p>
    <w:p>
      <w:pPr>
        <w:jc w:val="both"/>
        <w:ind w:left="540" w:right="340"/>
        <w:spacing w:after="0" w:line="306" w:lineRule="auto"/>
        <w:rPr>
          <w:sz w:val="20"/>
          <w:szCs w:val="20"/>
          <w:color w:val="auto"/>
        </w:rPr>
      </w:pPr>
      <w:r>
        <w:rPr>
          <w:rFonts w:ascii="Arial" w:cs="Arial" w:eastAsia="Arial" w:hAnsi="Arial"/>
          <w:sz w:val="16"/>
          <w:szCs w:val="16"/>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Glossary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"Attributable Debt" </w:t>
      </w:r>
      <w:r>
        <w:rPr>
          <w:rFonts w:ascii="Arial" w:cs="Arial" w:eastAsia="Arial" w:hAnsi="Arial"/>
          <w:sz w:val="16"/>
          <w:szCs w:val="16"/>
          <w:color w:val="auto"/>
        </w:rPr>
        <w:t>means the present value of the rental payments during the remaining term of the lease included in the Sale/Leaseback Transaction.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"Consolidated Net Tangible Assets" </w:t>
      </w:r>
      <w:r>
        <w:rPr>
          <w:rFonts w:ascii="Arial" w:cs="Arial" w:eastAsia="Arial" w:hAnsi="Arial"/>
          <w:sz w:val="18"/>
          <w:szCs w:val="18"/>
          <w:color w:val="auto"/>
        </w:rPr>
        <w:t>means the total amount of assets of Waste Management, Inc. and its consolidated subsidiaries less:</w:t>
      </w:r>
    </w:p>
    <w:p>
      <w:pPr>
        <w:spacing w:after="0" w:line="239" w:lineRule="exact"/>
        <w:rPr>
          <w:sz w:val="20"/>
          <w:szCs w:val="20"/>
          <w:color w:val="auto"/>
        </w:rPr>
      </w:pPr>
    </w:p>
    <w:p>
      <w:pPr>
        <w:ind w:left="108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225"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i w:val="1"/>
          <w:iCs w:val="1"/>
          <w:color w:val="auto"/>
        </w:rPr>
        <w:t xml:space="preserve">"Indebtedness" </w:t>
      </w:r>
      <w:r>
        <w:rPr>
          <w:rFonts w:ascii="Arial" w:cs="Arial" w:eastAsia="Arial" w:hAnsi="Arial"/>
          <w:sz w:val="16"/>
          <w:szCs w:val="16"/>
          <w:color w:val="auto"/>
        </w:rPr>
        <w:t>means (a) all obligations for borrowed money or on which interest charges are customarily paid, all as shown on the balance sheet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 party, (b) all items that would be included as liabilities on a balance sheet in accordance with generally accepted accounting practices as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of the date at which Indebtedness is to be determined, and (c) all indebtedness secured by a security interest in property owned or being purchased by the indebted party and all guarantees of Indebtedness.</w:t>
      </w:r>
    </w:p>
    <w:p>
      <w:pPr>
        <w:spacing w:after="0" w:line="186"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 facility located within the United States or Canada</w:t>
      </w:r>
      <w:r>
        <w:rPr>
          <w:rFonts w:ascii="Arial" w:cs="Arial" w:eastAsia="Arial" w:hAnsi="Arial"/>
          <w:sz w:val="18"/>
          <w:szCs w:val="18"/>
          <w:i w:val="1"/>
          <w:iCs w:val="1"/>
          <w:color w:val="auto"/>
        </w:rPr>
        <w:t xml:space="preserve"> </w:t>
      </w:r>
      <w:r>
        <w:rPr>
          <w:rFonts w:ascii="Arial" w:cs="Arial" w:eastAsia="Arial" w:hAnsi="Arial"/>
          <w:sz w:val="18"/>
          <w:szCs w:val="18"/>
          <w:color w:val="auto"/>
        </w:rPr>
        <w:t>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"Restricted Subsidiary" </w:t>
      </w:r>
      <w:r>
        <w:rPr>
          <w:rFonts w:ascii="Arial" w:cs="Arial" w:eastAsia="Arial" w:hAnsi="Arial"/>
          <w:sz w:val="16"/>
          <w:szCs w:val="16"/>
          <w:color w:val="auto"/>
        </w:rPr>
        <w:t>means any Subsidiary (other than any Subsidiary of which the Company owns less than all of the outstanding voting stock)</w:t>
      </w:r>
    </w:p>
    <w:p>
      <w:pPr>
        <w:spacing w:after="0" w:line="38" w:lineRule="exact"/>
        <w:rPr>
          <w:sz w:val="20"/>
          <w:szCs w:val="20"/>
          <w:color w:val="auto"/>
        </w:rPr>
      </w:pPr>
    </w:p>
    <w:p>
      <w:pPr>
        <w:ind w:right="100" w:firstLine="8"/>
        <w:spacing w:after="0" w:line="255" w:lineRule="auto"/>
        <w:tabs>
          <w:tab w:leader="none" w:pos="2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198"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 Subsidiaries lease any Principal Property that we or</w:t>
      </w:r>
      <w:r>
        <w:rPr>
          <w:rFonts w:ascii="Arial" w:cs="Arial" w:eastAsia="Arial" w:hAnsi="Arial"/>
          <w:sz w:val="18"/>
          <w:szCs w:val="18"/>
          <w:i w:val="1"/>
          <w:iCs w:val="1"/>
          <w:color w:val="auto"/>
        </w:rPr>
        <w:t xml:space="preserve"> </w:t>
      </w:r>
      <w:r>
        <w:rPr>
          <w:rFonts w:ascii="Arial" w:cs="Arial" w:eastAsia="Arial" w:hAnsi="Arial"/>
          <w:sz w:val="18"/>
          <w:szCs w:val="18"/>
          <w:color w:val="auto"/>
        </w:rPr>
        <w:t>such Restricted Subsidiary has sold or transferred or will sell or transfer to that person. This term excludes the following:</w:t>
      </w:r>
    </w:p>
    <w:p>
      <w:pPr>
        <w:spacing w:after="0" w:line="19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 directly or indirectly, by us or by one or more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or by us and one or more other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 subordinated debt that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outstanding from time to time.</w:t>
      </w:r>
    </w:p>
    <w:p>
      <w:pPr>
        <w:spacing w:after="0" w:line="18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 debt securities will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97"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GUARANTEES</w:t>
      </w:r>
    </w:p>
    <w:p>
      <w:pPr>
        <w:spacing w:after="0" w:line="231" w:lineRule="exact"/>
        <w:rPr>
          <w:sz w:val="20"/>
          <w:szCs w:val="20"/>
          <w:color w:val="auto"/>
        </w:rPr>
      </w:pPr>
    </w:p>
    <w:p>
      <w:pPr>
        <w:ind w:right="480" w:firstLine="348"/>
        <w:spacing w:after="0" w:line="306" w:lineRule="auto"/>
        <w:rPr>
          <w:sz w:val="20"/>
          <w:szCs w:val="20"/>
          <w:color w:val="auto"/>
        </w:rPr>
      </w:pPr>
      <w:r>
        <w:rPr>
          <w:rFonts w:ascii="Arial" w:cs="Arial" w:eastAsia="Arial" w:hAnsi="Arial"/>
          <w:sz w:val="16"/>
          <w:szCs w:val="16"/>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6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94"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We are authorized to issue 1,500,000,000 shares of common stock, of which 424,759,439 shares were outstanding at April 22, 2019 (excluding treasury shares of 205,523,022). We are also authorized to issue 10,000,000 shares of preferred stock, none of which were outstanding on that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declared by our Board of Directors. In certain cases, common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receive dividends until we satisfy our obligations to any preferred stockholders.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Each share of common stock is entitled to one vote in the election of directors and in each other matter we may ask stockholders to vote on.</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stockholders do not have cumulative voting rights. To be elected, a director must receive a majority of the votes cast with respect to that director at the meeting. This means that the number of shares voted "for" a director must exceed 50% of the votes cast with respect to that director. Our By-laws provide that if the number of shares voted "for" any director nominee does not exceed 50% of the votes cast with respect to that director, he or she will tender his resignation to the Board of Directors. The Nominating and Governance Committee of our Board of Directors will then make a recommendation to the Board of Directors on whether to accept or reject the resignation, or whether other action should be taken.</w:t>
      </w:r>
    </w:p>
    <w:p>
      <w:pPr>
        <w:spacing w:after="0" w:line="17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 hereby will also be,</w:t>
      </w:r>
      <w:r>
        <w:rPr>
          <w:rFonts w:ascii="Arial" w:cs="Arial" w:eastAsia="Arial" w:hAnsi="Arial"/>
          <w:sz w:val="18"/>
          <w:szCs w:val="18"/>
          <w:i w:val="1"/>
          <w:iCs w:val="1"/>
          <w:color w:val="auto"/>
        </w:rPr>
        <w:t xml:space="preserve"> </w:t>
      </w:r>
      <w:r>
        <w:rPr>
          <w:rFonts w:ascii="Arial" w:cs="Arial" w:eastAsia="Arial" w:hAnsi="Arial"/>
          <w:sz w:val="18"/>
          <w:szCs w:val="18"/>
          <w:color w:val="auto"/>
        </w:rPr>
        <w:t>upon issuance and sale, validly issued, fully paid and non-assessable.</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 share ratably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remaining after we pay our creditors and any preferred stockholders.</w:t>
      </w:r>
    </w:p>
    <w:p>
      <w:pPr>
        <w:spacing w:after="0" w:line="186"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8"/>
          <w:szCs w:val="18"/>
          <w:i w:val="1"/>
          <w:iCs w:val="1"/>
          <w:color w:val="auto"/>
        </w:rPr>
        <w:t>Listing.</w:t>
      </w:r>
      <w:r>
        <w:rPr>
          <w:sz w:val="20"/>
          <w:szCs w:val="20"/>
          <w:color w:val="auto"/>
        </w:rPr>
        <w:tab/>
      </w:r>
      <w:r>
        <w:rPr>
          <w:rFonts w:ascii="Arial" w:cs="Arial" w:eastAsia="Arial" w:hAnsi="Arial"/>
          <w:sz w:val="16"/>
          <w:szCs w:val="16"/>
          <w:color w:val="auto"/>
        </w:rPr>
        <w:t>Our common stock is listed on the New York Stock Exchange under the trading symbol "WM."</w:t>
      </w:r>
    </w:p>
    <w:p>
      <w:pPr>
        <w:spacing w:after="0" w:line="225"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our common stock is Computershare in Jersey City, New Jersey.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31"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231" w:lineRule="exact"/>
        <w:rPr>
          <w:sz w:val="20"/>
          <w:szCs w:val="20"/>
          <w:color w:val="auto"/>
        </w:rPr>
      </w:pPr>
    </w:p>
    <w:p>
      <w:pPr>
        <w:ind w:right="200" w:firstLine="351"/>
        <w:spacing w:after="0" w:line="290" w:lineRule="auto"/>
        <w:rPr>
          <w:sz w:val="20"/>
          <w:szCs w:val="20"/>
          <w:color w:val="auto"/>
        </w:rPr>
      </w:pPr>
      <w:r>
        <w:rPr>
          <w:rFonts w:ascii="Arial" w:cs="Arial" w:eastAsia="Arial" w:hAnsi="Arial"/>
          <w:sz w:val="16"/>
          <w:szCs w:val="16"/>
          <w:color w:val="auto"/>
        </w:rPr>
        <w:t>Our By-laws provide that, unless we consent to the selection of an alternative forum in writing, Delaware will be the sole and exclusive forum for (i) any derivative action or proceeding brought on behalf of the Company; (ii) any action asserting a claim of breach of a fiduciary duty owed by any director, officer, stockholder, employee or agent of the Company to the Company or its stockholders; (iii) any action asserting a claim pursuant to any provision of the Delaware General Corporation Law ("DGCL") or the Company's certificate of incorporation or By-laws or as to which the DGCL confers jurisdiction upon the Court of Chancery of the State of Delaware; or (iv) any action asserting a claim governed by the internal affairs doctrine. Our By-laws provide that any person or entity purchasing, otherwise acquiring or retaining any interest in shares of capital stock of the Company are deemed to have notice of and to have consented to the exclusive forum By-law provision.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 Change of Control</w:t>
      </w:r>
    </w:p>
    <w:p>
      <w:pPr>
        <w:spacing w:after="0" w:line="231"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are a Delaware corporation and are governed by the DGCL. Section 203 of the DGCL, subject to specific exceptions, prohibits a publicly held Delaware corporation from engaging in a "business combination" with an "interested stockholder" for a period of three years after the time the person became an interested stockholder, unless:</w:t>
      </w:r>
    </w:p>
    <w:p>
      <w:pPr>
        <w:spacing w:after="0" w:line="208" w:lineRule="exact"/>
        <w:rPr>
          <w:sz w:val="20"/>
          <w:szCs w:val="20"/>
          <w:color w:val="auto"/>
        </w:rPr>
      </w:pPr>
    </w:p>
    <w:p>
      <w:pPr>
        <w:ind w:left="1080" w:right="2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212"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210"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194"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OTHER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set forth in the applicable prospectus supplement a description of any warrants or units that may be offered pursuant to this prospectus.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23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225"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59"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97"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172"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9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39"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6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70"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60" w:firstLine="348"/>
        <w:spacing w:after="0" w:line="253" w:lineRule="auto"/>
        <w:rPr>
          <w:rFonts w:ascii="Arial" w:cs="Arial" w:eastAsia="Arial" w:hAnsi="Arial"/>
          <w:sz w:val="18"/>
          <w:szCs w:val="18"/>
          <w:color w:val="0000EE"/>
        </w:rPr>
      </w:pPr>
      <w:hyperlink r:id="rId33">
        <w:r>
          <w:rPr>
            <w:rFonts w:ascii="Arial" w:cs="Arial" w:eastAsia="Arial" w:hAnsi="Arial"/>
            <w:sz w:val="18"/>
            <w:szCs w:val="18"/>
            <w:color w:val="auto"/>
          </w:rPr>
          <w:t xml:space="preserve">The consolidated financial statements of Waste Management, Inc. appearing in Waste Management, Inc.'s </w:t>
        </w:r>
        <w:r>
          <w:rPr>
            <w:rFonts w:ascii="Arial" w:cs="Arial" w:eastAsia="Arial" w:hAnsi="Arial"/>
            <w:sz w:val="18"/>
            <w:szCs w:val="18"/>
            <w:u w:val="single" w:color="auto"/>
            <w:color w:val="0000EE"/>
          </w:rPr>
          <w:t>Annual Report (Form 10-K) for the year ended</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December 31, 2018</w:t>
        </w:r>
        <w:r>
          <w:rPr>
            <w:rFonts w:ascii="Arial" w:cs="Arial" w:eastAsia="Arial" w:hAnsi="Arial"/>
            <w:sz w:val="18"/>
            <w:szCs w:val="18"/>
            <w:color w:val="000000"/>
          </w:rPr>
          <w:t xml:space="preserve">, and the effectiveness of Waste Management, Inc.'s internal control over financial reporting as of December 31, 2018, have been audited </w:t>
        </w:r>
      </w:hyperlink>
      <w:r>
        <w:rPr>
          <w:rFonts w:ascii="Arial" w:cs="Arial" w:eastAsia="Arial" w:hAnsi="Arial"/>
          <w:sz w:val="18"/>
          <w:szCs w:val="18"/>
          <w:color w:val="0000EE"/>
        </w:rPr>
        <w:t xml:space="preserve">by </w:t>
      </w:r>
      <w:r>
        <w:rPr>
          <w:rFonts w:ascii="Arial" w:cs="Arial" w:eastAsia="Arial" w:hAnsi="Arial"/>
          <w:sz w:val="18"/>
          <w:szCs w:val="18"/>
          <w:color w:val="000000"/>
        </w:rPr>
        <w:t>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160020</wp:posOffset>
            </wp:positionV>
            <wp:extent cx="2915920" cy="10807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2915920"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980"/>
        <w:spacing w:after="0"/>
        <w:tabs>
          <w:tab w:leader="none" w:pos="4820" w:val="left"/>
        </w:tabs>
        <w:rPr>
          <w:sz w:val="20"/>
          <w:szCs w:val="20"/>
          <w:color w:val="auto"/>
        </w:rPr>
      </w:pPr>
      <w:r>
        <w:rPr>
          <w:rFonts w:ascii="Arial" w:cs="Arial" w:eastAsia="Arial" w:hAnsi="Arial"/>
          <w:sz w:val="23"/>
          <w:szCs w:val="23"/>
          <w:b w:val="1"/>
          <w:bCs w:val="1"/>
          <w:color w:val="auto"/>
        </w:rPr>
        <w:t>$</w:t>
      </w:r>
      <w:r>
        <w:rPr>
          <w:sz w:val="20"/>
          <w:szCs w:val="20"/>
          <w:color w:val="auto"/>
        </w:rPr>
        <w:tab/>
      </w:r>
      <w:r>
        <w:rPr>
          <w:rFonts w:ascii="Arial" w:cs="Arial" w:eastAsia="Arial" w:hAnsi="Arial"/>
          <w:sz w:val="23"/>
          <w:szCs w:val="23"/>
          <w:b w:val="1"/>
          <w:bCs w:val="1"/>
          <w:color w:val="auto"/>
        </w:rPr>
        <w:t>% Senior Notes due 2024</w:t>
      </w:r>
    </w:p>
    <w:p>
      <w:pPr>
        <w:spacing w:after="0" w:line="235" w:lineRule="exact"/>
        <w:rPr>
          <w:sz w:val="20"/>
          <w:szCs w:val="20"/>
          <w:color w:val="auto"/>
        </w:rPr>
      </w:pPr>
    </w:p>
    <w:p>
      <w:pPr>
        <w:ind w:left="3980"/>
        <w:spacing w:after="0"/>
        <w:tabs>
          <w:tab w:leader="none" w:pos="4820" w:val="left"/>
        </w:tabs>
        <w:rPr>
          <w:sz w:val="20"/>
          <w:szCs w:val="20"/>
          <w:color w:val="auto"/>
        </w:rPr>
      </w:pPr>
      <w:r>
        <w:rPr>
          <w:rFonts w:ascii="Arial" w:cs="Arial" w:eastAsia="Arial" w:hAnsi="Arial"/>
          <w:sz w:val="23"/>
          <w:szCs w:val="23"/>
          <w:b w:val="1"/>
          <w:bCs w:val="1"/>
          <w:color w:val="auto"/>
        </w:rPr>
        <w:t>$</w:t>
      </w:r>
      <w:r>
        <w:rPr>
          <w:sz w:val="20"/>
          <w:szCs w:val="20"/>
          <w:color w:val="auto"/>
        </w:rPr>
        <w:tab/>
      </w:r>
      <w:r>
        <w:rPr>
          <w:rFonts w:ascii="Arial" w:cs="Arial" w:eastAsia="Arial" w:hAnsi="Arial"/>
          <w:sz w:val="23"/>
          <w:szCs w:val="23"/>
          <w:b w:val="1"/>
          <w:bCs w:val="1"/>
          <w:color w:val="auto"/>
        </w:rPr>
        <w:t>% Senior Notes due 2026</w:t>
      </w:r>
    </w:p>
    <w:p>
      <w:pPr>
        <w:spacing w:after="0" w:line="235" w:lineRule="exact"/>
        <w:rPr>
          <w:sz w:val="20"/>
          <w:szCs w:val="20"/>
          <w:color w:val="auto"/>
        </w:rPr>
      </w:pPr>
    </w:p>
    <w:p>
      <w:pPr>
        <w:ind w:left="3980"/>
        <w:spacing w:after="0"/>
        <w:tabs>
          <w:tab w:leader="none" w:pos="4820" w:val="left"/>
        </w:tabs>
        <w:rPr>
          <w:sz w:val="20"/>
          <w:szCs w:val="20"/>
          <w:color w:val="auto"/>
        </w:rPr>
      </w:pPr>
      <w:r>
        <w:rPr>
          <w:rFonts w:ascii="Arial" w:cs="Arial" w:eastAsia="Arial" w:hAnsi="Arial"/>
          <w:sz w:val="23"/>
          <w:szCs w:val="23"/>
          <w:b w:val="1"/>
          <w:bCs w:val="1"/>
          <w:color w:val="auto"/>
        </w:rPr>
        <w:t>$</w:t>
      </w:r>
      <w:r>
        <w:rPr>
          <w:sz w:val="20"/>
          <w:szCs w:val="20"/>
          <w:color w:val="auto"/>
        </w:rPr>
        <w:tab/>
      </w:r>
      <w:r>
        <w:rPr>
          <w:rFonts w:ascii="Arial" w:cs="Arial" w:eastAsia="Arial" w:hAnsi="Arial"/>
          <w:sz w:val="23"/>
          <w:szCs w:val="23"/>
          <w:b w:val="1"/>
          <w:bCs w:val="1"/>
          <w:color w:val="auto"/>
        </w:rPr>
        <w:t>% Senior Notes due 2029</w:t>
      </w:r>
    </w:p>
    <w:p>
      <w:pPr>
        <w:spacing w:after="0" w:line="235" w:lineRule="exact"/>
        <w:rPr>
          <w:sz w:val="20"/>
          <w:szCs w:val="20"/>
          <w:color w:val="auto"/>
        </w:rPr>
      </w:pPr>
    </w:p>
    <w:p>
      <w:pPr>
        <w:ind w:left="3980"/>
        <w:spacing w:after="0"/>
        <w:tabs>
          <w:tab w:leader="none" w:pos="4820" w:val="left"/>
        </w:tabs>
        <w:rPr>
          <w:sz w:val="20"/>
          <w:szCs w:val="20"/>
          <w:color w:val="auto"/>
        </w:rPr>
      </w:pPr>
      <w:r>
        <w:rPr>
          <w:rFonts w:ascii="Arial" w:cs="Arial" w:eastAsia="Arial" w:hAnsi="Arial"/>
          <w:sz w:val="23"/>
          <w:szCs w:val="23"/>
          <w:b w:val="1"/>
          <w:bCs w:val="1"/>
          <w:color w:val="auto"/>
        </w:rPr>
        <w:t>$</w:t>
      </w:r>
      <w:r>
        <w:rPr>
          <w:sz w:val="20"/>
          <w:szCs w:val="20"/>
          <w:color w:val="auto"/>
        </w:rPr>
        <w:tab/>
      </w:r>
      <w:r>
        <w:rPr>
          <w:rFonts w:ascii="Arial" w:cs="Arial" w:eastAsia="Arial" w:hAnsi="Arial"/>
          <w:sz w:val="23"/>
          <w:szCs w:val="23"/>
          <w:b w:val="1"/>
          <w:bCs w:val="1"/>
          <w:color w:val="auto"/>
        </w:rPr>
        <w:t>% Senior Notes due 2039</w:t>
      </w:r>
    </w:p>
    <w:p>
      <w:pPr>
        <w:spacing w:after="0" w:line="235" w:lineRule="exact"/>
        <w:rPr>
          <w:sz w:val="20"/>
          <w:szCs w:val="20"/>
          <w:color w:val="auto"/>
        </w:rPr>
      </w:pPr>
    </w:p>
    <w:p>
      <w:pPr>
        <w:ind w:left="3980"/>
        <w:spacing w:after="0"/>
        <w:tabs>
          <w:tab w:leader="none" w:pos="4820" w:val="left"/>
        </w:tabs>
        <w:rPr>
          <w:sz w:val="20"/>
          <w:szCs w:val="20"/>
          <w:color w:val="auto"/>
        </w:rPr>
      </w:pPr>
      <w:r>
        <w:rPr>
          <w:rFonts w:ascii="Arial" w:cs="Arial" w:eastAsia="Arial" w:hAnsi="Arial"/>
          <w:sz w:val="23"/>
          <w:szCs w:val="23"/>
          <w:b w:val="1"/>
          <w:bCs w:val="1"/>
          <w:color w:val="auto"/>
        </w:rPr>
        <w:t>$</w:t>
      </w:r>
      <w:r>
        <w:rPr>
          <w:sz w:val="20"/>
          <w:szCs w:val="20"/>
          <w:color w:val="auto"/>
        </w:rPr>
        <w:tab/>
      </w:r>
      <w:r>
        <w:rPr>
          <w:rFonts w:ascii="Arial" w:cs="Arial" w:eastAsia="Arial" w:hAnsi="Arial"/>
          <w:sz w:val="23"/>
          <w:szCs w:val="23"/>
          <w:b w:val="1"/>
          <w:bCs w:val="1"/>
          <w:color w:val="auto"/>
        </w:rPr>
        <w:t>% Senior Notes due 2049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167640</wp:posOffset>
            </wp:positionV>
            <wp:extent cx="18954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Joint Book-Running Managers</w:t>
      </w:r>
    </w:p>
    <w:p>
      <w:pPr>
        <w:spacing w:after="0" w:line="192"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Credit Suisse</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31"/>
          <w:szCs w:val="31"/>
          <w:b w:val="1"/>
          <w:bCs w:val="1"/>
          <w:color w:val="auto"/>
        </w:rPr>
        <w:t>Deutsche Bank Securities</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30"/>
          <w:szCs w:val="30"/>
          <w:b w:val="1"/>
          <w:bCs w:val="1"/>
          <w:color w:val="auto"/>
        </w:rPr>
        <w:t>Goldman Sachs &amp; Co. LLC</w:t>
      </w:r>
    </w:p>
    <w:p>
      <w:pPr>
        <w:spacing w:after="0" w:line="236"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J.P. Morgan</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Mizuho Securities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Barclays</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BNP PARIBAS</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BofA Merrill Lynch</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Citigroup</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SMBC Nikko</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US Bancorp</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Wells Fargo Securities</w:t>
      </w:r>
    </w:p>
    <w:p>
      <w:pPr>
        <w:sectPr>
          <w:pgSz w:w="11900" w:h="16838" w:orient="portrait"/>
          <w:cols w:equalWidth="0" w:num="1">
            <w:col w:w="10219"/>
          </w:cols>
          <w:pgMar w:left="240" w:top="131" w:right="1440" w:bottom="1440" w:gutter="0" w:footer="0" w:header="0"/>
        </w:sectPr>
      </w:pPr>
    </w:p>
    <w:p>
      <w:pPr>
        <w:spacing w:after="0" w:line="244" w:lineRule="exact"/>
        <w:rPr>
          <w:sz w:val="20"/>
          <w:szCs w:val="20"/>
          <w:color w:val="auto"/>
        </w:rPr>
      </w:pPr>
    </w:p>
    <w:p>
      <w:pPr>
        <w:ind w:left="5220"/>
        <w:spacing w:after="0"/>
        <w:tabs>
          <w:tab w:leader="none" w:pos="5740" w:val="left"/>
        </w:tabs>
        <w:rPr>
          <w:sz w:val="20"/>
          <w:szCs w:val="20"/>
          <w:color w:val="auto"/>
        </w:rPr>
      </w:pPr>
      <w:r>
        <w:rPr>
          <w:rFonts w:ascii="Arial" w:cs="Arial" w:eastAsia="Arial" w:hAnsi="Arial"/>
          <w:sz w:val="15"/>
          <w:szCs w:val="15"/>
          <w:color w:val="auto"/>
        </w:rPr>
        <w:t>May</w:t>
        <w:tab/>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356870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lowerLetter"/>
      <w:start w:val="25"/>
    </w:lvl>
  </w:abstractNum>
  <w:abstractNum w:abstractNumId="2">
    <w:nsid w:val="189A769B"/>
    <w:multiLevelType w:val="hybridMultilevel"/>
    <w:lvl w:ilvl="0">
      <w:lvlJc w:val="left"/>
      <w:lvlText w:val="(%1)"/>
      <w:numFmt w:val="lowerRoman"/>
      <w:start w:val="2"/>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lowerLetter"/>
      <w:start w:val="1"/>
    </w:lvl>
  </w:abstractNum>
  <w:abstractNum w:abstractNumId="7">
    <w:nsid w:val="2901D82"/>
    <w:multiLevelType w:val="hybridMultilevel"/>
    <w:lvl w:ilvl="0">
      <w:lvlJc w:val="left"/>
      <w:lvlText w:val="(%1)"/>
      <w:numFmt w:val="lowerLetter"/>
      <w:start w:val="2"/>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1"/>
    </w:lvl>
    <w:lvl w:ilvl="1">
      <w:lvlJc w:val="left"/>
      <w:lvlText w:val="(%2)"/>
      <w:numFmt w:val="lowerLetter"/>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upperLetter"/>
      <w:start w:val="1"/>
    </w:lvl>
  </w:abstractNum>
  <w:abstractNum w:abstractNumId="23">
    <w:nsid w:val="77465F01"/>
    <w:multiLevelType w:val="hybridMultilevel"/>
    <w:lvl w:ilvl="0">
      <w:lvlJc w:val="left"/>
      <w:lvlText w:val="%1."/>
      <w:numFmt w:val="upperLetter"/>
      <w:start w:val="1"/>
    </w:lvl>
    <w:lvl w:ilvl="1">
      <w:lvlJc w:val="left"/>
      <w:lvlText w:val="(%2)"/>
      <w:numFmt w:val="lowerRoman"/>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3"/>
    </w:lvl>
    <w:lvl w:ilvl="1">
      <w:lvlJc w:val="left"/>
      <w:lvlText w:val="•"/>
      <w:numFmt w:val="bullet"/>
      <w:start w:val="1"/>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lowerLetter"/>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jpe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jpe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9" Type="http://schemas.openxmlformats.org/officeDocument/2006/relationships/hyperlink" Target="http://www.sec.gov/Archives/edgar/data/823768/000110465919021340/0001104659-19-021340-index.htm" TargetMode="External"/><Relationship Id="rId33" Type="http://schemas.openxmlformats.org/officeDocument/2006/relationships/hyperlink" Target="http://www.sec.gov/Archives/edgar/data/823768/000155837019000662/0001558370-19-000662-index.htm" TargetMode="External"/><Relationship Id="rId34" Type="http://schemas.openxmlformats.org/officeDocument/2006/relationships/hyperlink" Target="http://www.sec.gov/Archives/edgar/data/823768/000155837019003279/0001558370-19-003279-index.htm" TargetMode="External"/><Relationship Id="rId72" Type="http://schemas.openxmlformats.org/officeDocument/2006/relationships/hyperlink" Target="http://www.sec.gov/Archives/edgar/data/823768/000110465919010295/0001104659-19-010295-index.htm" TargetMode="External"/><Relationship Id="rId73" Type="http://schemas.openxmlformats.org/officeDocument/2006/relationships/hyperlink" Target="http://www.sec.gov/Archives/edgar/data/823768/000104746919001663/0001047469-19-001663-index.htm" TargetMode="External"/><Relationship Id="rId83" Type="http://schemas.openxmlformats.org/officeDocument/2006/relationships/hyperlink" Target="http://www.sec.gov/Archives/edgar/data/823768/0000950134-95-001585-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2019-12-02T19:24:52Z</dcterms:created>
  <dcterms:modified xsi:type="dcterms:W3CDTF">2019-12-02T19:24:52Z</dcterms:modified>
</cp:coreProperties>
</file>