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2,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third quarter of 2020, a copy of which is attached hereto as Exhibit 99.1. The Company is holding a conference call to discuss these results beginning at 9:00 a.m. Central Time this morning. The call will be webcast live and may be heard by accessing the Investors section of the Company’s website at www.wm.com. The call may also be heard by dialing (877) 710-6139 and entering access code 9177824. A replay of the call will be available on the Company’s website and by telephone until November 16, 2020. To access a replay telephonically, please dial (855) 859-2056 and use the replay conference ID number 9177824.</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91"/>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4"/>
              </w:rPr>
              <w:t>Exhibit Index</w:t>
            </w:r>
          </w:p>
        </w:tc>
      </w:tr>
      <w:tr>
        <w:trPr>
          <w:trHeight w:val="4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7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425"/>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tcPr>
          <w:p>
            <w:pPr>
              <w:spacing w:after="0"/>
              <w:rPr>
                <w:sz w:val="24"/>
                <w:szCs w:val="24"/>
                <w:color w:val="auto"/>
              </w:rPr>
            </w:pPr>
          </w:p>
        </w:tc>
        <w:tc>
          <w:tcPr>
            <w:tcW w:w="9880" w:type="dxa"/>
            <w:vAlign w:val="bottom"/>
            <w:tcBorders>
              <w:top w:val="single" w:sz="8" w:color="auto"/>
            </w:tcBorders>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November 2, 2020</w:t>
              </w:r>
            </w:hyperlink>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675"/>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22"/>
                <w:szCs w:val="22"/>
                <w:color w:val="auto"/>
              </w:rPr>
              <w:t>2</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November 2, 2020</w:t>
            </w:r>
          </w:p>
        </w:tc>
        <w:tc>
          <w:tcPr>
            <w:tcW w:w="7640" w:type="dxa"/>
            <w:vAlign w:val="bottom"/>
            <w:gridSpan w:val="2"/>
          </w:tcPr>
          <w:p>
            <w:pPr>
              <w:ind w:left="18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6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5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Executive Vice President, Corporate Development and Chief Legal</w:t>
            </w:r>
          </w:p>
        </w:tc>
      </w:tr>
      <w:tr>
        <w:trPr>
          <w:trHeight w:val="230"/>
        </w:trPr>
        <w:tc>
          <w:tcPr>
            <w:tcW w:w="3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Officer</w:t>
            </w:r>
          </w:p>
        </w:tc>
      </w:tr>
      <w:tr>
        <w:trPr>
          <w:trHeight w:val="432"/>
        </w:trPr>
        <w:tc>
          <w:tcPr>
            <w:tcW w:w="36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00693C"/>
        </w:rPr>
        <w:t>FOR IMMEDIATE RELEASE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6"/>
          <w:szCs w:val="36"/>
          <w:color w:val="7AB800"/>
        </w:rPr>
        <w:t>Waste Management Announces</w:t>
      </w:r>
    </w:p>
    <w:p>
      <w:pPr>
        <w:spacing w:after="0" w:line="5" w:lineRule="exact"/>
        <w:rPr>
          <w:sz w:val="20"/>
          <w:szCs w:val="20"/>
          <w:color w:val="auto"/>
        </w:rPr>
      </w:pPr>
    </w:p>
    <w:p>
      <w:pPr>
        <w:jc w:val="center"/>
        <w:ind w:left="20"/>
        <w:spacing w:after="0"/>
        <w:rPr>
          <w:sz w:val="20"/>
          <w:szCs w:val="20"/>
          <w:color w:val="auto"/>
        </w:rPr>
      </w:pPr>
      <w:r>
        <w:rPr>
          <w:rFonts w:ascii="Arial" w:cs="Arial" w:eastAsia="Arial" w:hAnsi="Arial"/>
          <w:sz w:val="36"/>
          <w:szCs w:val="36"/>
          <w:color w:val="7AB800"/>
        </w:rPr>
        <w:t>Third Quarter Earnings</w:t>
      </w:r>
    </w:p>
    <w:p>
      <w:pPr>
        <w:spacing w:after="0" w:line="200" w:lineRule="exact"/>
        <w:rPr>
          <w:sz w:val="20"/>
          <w:szCs w:val="20"/>
          <w:color w:val="auto"/>
        </w:rPr>
      </w:pPr>
    </w:p>
    <w:p>
      <w:pPr>
        <w:spacing w:after="0" w:line="205" w:lineRule="exact"/>
        <w:rPr>
          <w:sz w:val="20"/>
          <w:szCs w:val="20"/>
          <w:color w:val="auto"/>
        </w:rPr>
      </w:pPr>
    </w:p>
    <w:p>
      <w:pPr>
        <w:ind w:left="900" w:right="700" w:hanging="240"/>
        <w:spacing w:after="0" w:line="259" w:lineRule="auto"/>
        <w:rPr>
          <w:sz w:val="20"/>
          <w:szCs w:val="20"/>
          <w:color w:val="auto"/>
        </w:rPr>
      </w:pPr>
      <w:r>
        <w:rPr>
          <w:rFonts w:ascii="Arial" w:cs="Arial" w:eastAsia="Arial" w:hAnsi="Arial"/>
          <w:sz w:val="21"/>
          <w:szCs w:val="21"/>
          <w:color w:val="auto"/>
        </w:rPr>
        <w:t>Continued Strong Operating Performance Generates More Than $1 Billion of Net Cash Provided by Operating Activities and Strong Operating EBITDA Margin</w:t>
      </w:r>
    </w:p>
    <w:p>
      <w:pPr>
        <w:spacing w:after="0" w:line="3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HOUSTON — Nov. 2, 2020 </w:t>
      </w:r>
      <w:r>
        <w:rPr>
          <w:rFonts w:ascii="Arial" w:cs="Arial" w:eastAsia="Arial" w:hAnsi="Arial"/>
          <w:sz w:val="18"/>
          <w:szCs w:val="18"/>
          <w:color w:val="auto"/>
        </w:rPr>
        <w:t>— Waste Management, Inc. (NYSE: WM) today announced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40" w:type="dxa"/>
            <w:vAlign w:val="bottom"/>
            <w:gridSpan w:val="5"/>
          </w:tcPr>
          <w:p>
            <w:pPr>
              <w:jc w:val="center"/>
              <w:ind w:right="480"/>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2460" w:type="dxa"/>
            <w:vAlign w:val="bottom"/>
            <w:gridSpan w:val="4"/>
          </w:tcPr>
          <w:p>
            <w:pPr>
              <w:jc w:val="center"/>
              <w:spacing w:after="0"/>
              <w:rPr>
                <w:sz w:val="20"/>
                <w:szCs w:val="20"/>
                <w:color w:val="auto"/>
              </w:rPr>
            </w:pPr>
            <w:r>
              <w:rPr>
                <w:rFonts w:ascii="Arial" w:cs="Arial" w:eastAsia="Arial" w:hAnsi="Arial"/>
                <w:sz w:val="14"/>
                <w:szCs w:val="14"/>
                <w:color w:val="auto"/>
              </w:rPr>
              <w:t>Three Months Ended</w:t>
            </w:r>
          </w:p>
        </w:tc>
      </w:tr>
      <w:tr>
        <w:trPr>
          <w:trHeight w:val="188"/>
        </w:trPr>
        <w:tc>
          <w:tcPr>
            <w:tcW w:w="2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rPr>
              <w:t>September 30, 2020</w:t>
            </w:r>
          </w:p>
        </w:tc>
        <w:tc>
          <w:tcPr>
            <w:tcW w:w="106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80" w:type="dxa"/>
            <w:vAlign w:val="bottom"/>
            <w:gridSpan w:val="3"/>
          </w:tcPr>
          <w:p>
            <w:pPr>
              <w:jc w:val="center"/>
              <w:ind w:right="580"/>
              <w:spacing w:after="0"/>
              <w:rPr>
                <w:sz w:val="20"/>
                <w:szCs w:val="20"/>
                <w:color w:val="auto"/>
              </w:rPr>
            </w:pPr>
            <w:r>
              <w:rPr>
                <w:rFonts w:ascii="Arial" w:cs="Arial" w:eastAsia="Arial" w:hAnsi="Arial"/>
                <w:sz w:val="14"/>
                <w:szCs w:val="14"/>
                <w:color w:val="auto"/>
              </w:rPr>
              <w:t>September 30, 2019</w:t>
            </w:r>
          </w:p>
        </w:tc>
      </w:tr>
      <w:tr>
        <w:trPr>
          <w:trHeight w:val="20"/>
        </w:trPr>
        <w:tc>
          <w:tcPr>
            <w:tcW w:w="2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9"/>
        </w:trPr>
        <w:tc>
          <w:tcPr>
            <w:tcW w:w="2300" w:type="dxa"/>
            <w:vAlign w:val="bottom"/>
          </w:tcPr>
          <w:p>
            <w:pPr>
              <w:spacing w:after="0"/>
              <w:rPr>
                <w:sz w:val="14"/>
                <w:szCs w:val="14"/>
                <w:color w:val="auto"/>
              </w:rPr>
            </w:pPr>
          </w:p>
        </w:tc>
        <w:tc>
          <w:tcPr>
            <w:tcW w:w="3700" w:type="dxa"/>
            <w:vAlign w:val="bottom"/>
            <w:gridSpan w:val="6"/>
          </w:tcPr>
          <w:p>
            <w:pPr>
              <w:jc w:val="center"/>
              <w:ind w:left="208"/>
              <w:spacing w:after="0"/>
              <w:rPr>
                <w:sz w:val="20"/>
                <w:szCs w:val="20"/>
                <w:color w:val="auto"/>
              </w:rPr>
            </w:pPr>
            <w:r>
              <w:rPr>
                <w:rFonts w:ascii="Arial" w:cs="Arial" w:eastAsia="Arial" w:hAnsi="Arial"/>
                <w:sz w:val="14"/>
                <w:szCs w:val="14"/>
                <w:color w:val="auto"/>
              </w:rPr>
              <w:t>(in millions, except per share amounts)</w:t>
            </w:r>
          </w:p>
        </w:tc>
        <w:tc>
          <w:tcPr>
            <w:tcW w:w="2940" w:type="dxa"/>
            <w:vAlign w:val="bottom"/>
            <w:gridSpan w:val="5"/>
          </w:tcPr>
          <w:p>
            <w:pPr>
              <w:jc w:val="center"/>
              <w:ind w:left="408"/>
              <w:spacing w:after="0"/>
              <w:rPr>
                <w:sz w:val="20"/>
                <w:szCs w:val="20"/>
                <w:color w:val="auto"/>
              </w:rPr>
            </w:pPr>
            <w:r>
              <w:rPr>
                <w:rFonts w:ascii="Arial" w:cs="Arial" w:eastAsia="Arial" w:hAnsi="Arial"/>
                <w:sz w:val="14"/>
                <w:szCs w:val="14"/>
                <w:color w:val="auto"/>
              </w:rPr>
              <w:t>(in millions, except per share amounts)</w:t>
            </w:r>
          </w:p>
        </w:tc>
      </w:tr>
      <w:tr>
        <w:trPr>
          <w:trHeight w:val="20"/>
        </w:trPr>
        <w:tc>
          <w:tcPr>
            <w:tcW w:w="2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462"/>
        </w:trPr>
        <w:tc>
          <w:tcPr>
            <w:tcW w:w="2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740" w:type="dxa"/>
            <w:vAlign w:val="bottom"/>
            <w:gridSpan w:val="3"/>
          </w:tcPr>
          <w:p>
            <w:pPr>
              <w:ind w:left="360"/>
              <w:spacing w:after="0"/>
              <w:rPr>
                <w:sz w:val="20"/>
                <w:szCs w:val="20"/>
                <w:color w:val="auto"/>
              </w:rPr>
            </w:pPr>
            <w:r>
              <w:rPr>
                <w:rFonts w:ascii="Arial" w:cs="Arial" w:eastAsia="Arial" w:hAnsi="Arial"/>
                <w:sz w:val="14"/>
                <w:szCs w:val="14"/>
                <w:color w:val="auto"/>
              </w:rPr>
              <w:t>As Adjusted</w:t>
            </w:r>
            <w:r>
              <w:rPr>
                <w:rFonts w:ascii="Arial" w:cs="Arial" w:eastAsia="Arial" w:hAnsi="Arial"/>
                <w:sz w:val="23"/>
                <w:szCs w:val="23"/>
                <w:color w:val="auto"/>
                <w:vertAlign w:val="superscript"/>
              </w:rPr>
              <w:t>(a)</w:t>
            </w:r>
          </w:p>
        </w:tc>
        <w:tc>
          <w:tcPr>
            <w:tcW w:w="4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340" w:type="dxa"/>
            <w:vAlign w:val="bottom"/>
            <w:gridSpan w:val="2"/>
          </w:tcPr>
          <w:p>
            <w:pPr>
              <w:ind w:left="260"/>
              <w:spacing w:after="0"/>
              <w:rPr>
                <w:sz w:val="20"/>
                <w:szCs w:val="20"/>
                <w:color w:val="auto"/>
              </w:rPr>
            </w:pPr>
            <w:r>
              <w:rPr>
                <w:rFonts w:ascii="Arial" w:cs="Arial" w:eastAsia="Arial" w:hAnsi="Arial"/>
                <w:sz w:val="14"/>
                <w:szCs w:val="14"/>
                <w:color w:val="auto"/>
              </w:rPr>
              <w:t>As Adjusted</w:t>
            </w:r>
            <w:r>
              <w:rPr>
                <w:rFonts w:ascii="Arial" w:cs="Arial" w:eastAsia="Arial" w:hAnsi="Arial"/>
                <w:sz w:val="23"/>
                <w:szCs w:val="23"/>
                <w:color w:val="auto"/>
                <w:vertAlign w:val="superscript"/>
              </w:rPr>
              <w:t>(a)</w:t>
            </w:r>
          </w:p>
        </w:tc>
      </w:tr>
      <w:tr>
        <w:trPr>
          <w:trHeight w:val="221"/>
        </w:trPr>
        <w:tc>
          <w:tcPr>
            <w:tcW w:w="2300" w:type="dxa"/>
            <w:vAlign w:val="bottom"/>
          </w:tcPr>
          <w:p>
            <w:pPr>
              <w:spacing w:after="0"/>
              <w:rPr>
                <w:sz w:val="20"/>
                <w:szCs w:val="20"/>
                <w:color w:val="auto"/>
              </w:rPr>
            </w:pPr>
            <w:r>
              <w:rPr>
                <w:rFonts w:ascii="Arial" w:cs="Arial" w:eastAsia="Arial" w:hAnsi="Arial"/>
                <w:sz w:val="14"/>
                <w:szCs w:val="14"/>
                <w:color w:val="auto"/>
              </w:rPr>
              <w:t>Revenue</w:t>
            </w:r>
          </w:p>
        </w:tc>
        <w:tc>
          <w:tcPr>
            <w:tcW w:w="1960" w:type="dxa"/>
            <w:vAlign w:val="bottom"/>
            <w:gridSpan w:val="3"/>
          </w:tcPr>
          <w:p>
            <w:pPr>
              <w:jc w:val="center"/>
              <w:ind w:left="368"/>
              <w:spacing w:after="0"/>
              <w:rPr>
                <w:sz w:val="20"/>
                <w:szCs w:val="20"/>
                <w:color w:val="auto"/>
              </w:rPr>
            </w:pPr>
            <w:r>
              <w:rPr>
                <w:rFonts w:ascii="Arial" w:cs="Arial" w:eastAsia="Arial" w:hAnsi="Arial"/>
                <w:sz w:val="14"/>
                <w:szCs w:val="14"/>
                <w:color w:val="auto"/>
              </w:rPr>
              <w:t>$3,861</w:t>
            </w:r>
          </w:p>
        </w:tc>
        <w:tc>
          <w:tcPr>
            <w:tcW w:w="1260" w:type="dxa"/>
            <w:vAlign w:val="bottom"/>
            <w:gridSpan w:val="2"/>
          </w:tcPr>
          <w:p>
            <w:pPr>
              <w:jc w:val="center"/>
              <w:ind w:left="308"/>
              <w:spacing w:after="0"/>
              <w:rPr>
                <w:sz w:val="20"/>
                <w:szCs w:val="20"/>
                <w:color w:val="auto"/>
              </w:rPr>
            </w:pPr>
            <w:r>
              <w:rPr>
                <w:rFonts w:ascii="Arial" w:cs="Arial" w:eastAsia="Arial" w:hAnsi="Arial"/>
                <w:sz w:val="14"/>
                <w:szCs w:val="14"/>
                <w:color w:val="auto"/>
              </w:rPr>
              <w:t>$3,861</w:t>
            </w:r>
          </w:p>
        </w:tc>
        <w:tc>
          <w:tcPr>
            <w:tcW w:w="480" w:type="dxa"/>
            <w:vAlign w:val="bottom"/>
          </w:tcPr>
          <w:p>
            <w:pPr>
              <w:spacing w:after="0"/>
              <w:rPr>
                <w:sz w:val="19"/>
                <w:szCs w:val="19"/>
                <w:color w:val="auto"/>
              </w:rPr>
            </w:pPr>
          </w:p>
        </w:tc>
        <w:tc>
          <w:tcPr>
            <w:tcW w:w="1600" w:type="dxa"/>
            <w:vAlign w:val="bottom"/>
            <w:gridSpan w:val="3"/>
          </w:tcPr>
          <w:p>
            <w:pPr>
              <w:jc w:val="center"/>
              <w:ind w:left="168"/>
              <w:spacing w:after="0"/>
              <w:rPr>
                <w:sz w:val="20"/>
                <w:szCs w:val="20"/>
                <w:color w:val="auto"/>
              </w:rPr>
            </w:pPr>
            <w:r>
              <w:rPr>
                <w:rFonts w:ascii="Arial" w:cs="Arial" w:eastAsia="Arial" w:hAnsi="Arial"/>
                <w:sz w:val="14"/>
                <w:szCs w:val="14"/>
                <w:color w:val="auto"/>
              </w:rPr>
              <w:t>$3,967</w:t>
            </w:r>
          </w:p>
        </w:tc>
        <w:tc>
          <w:tcPr>
            <w:tcW w:w="1340" w:type="dxa"/>
            <w:vAlign w:val="bottom"/>
            <w:gridSpan w:val="2"/>
          </w:tcPr>
          <w:p>
            <w:pPr>
              <w:jc w:val="center"/>
              <w:ind w:left="28"/>
              <w:spacing w:after="0"/>
              <w:rPr>
                <w:sz w:val="20"/>
                <w:szCs w:val="20"/>
                <w:color w:val="auto"/>
              </w:rPr>
            </w:pPr>
            <w:r>
              <w:rPr>
                <w:rFonts w:ascii="Arial" w:cs="Arial" w:eastAsia="Arial" w:hAnsi="Arial"/>
                <w:sz w:val="14"/>
                <w:szCs w:val="14"/>
                <w:color w:val="auto"/>
              </w:rPr>
              <w:t>$3,967</w:t>
            </w:r>
          </w:p>
        </w:tc>
      </w:tr>
      <w:tr>
        <w:trPr>
          <w:trHeight w:val="324"/>
        </w:trPr>
        <w:tc>
          <w:tcPr>
            <w:tcW w:w="230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960" w:type="dxa"/>
            <w:vAlign w:val="bottom"/>
            <w:gridSpan w:val="3"/>
          </w:tcPr>
          <w:p>
            <w:pPr>
              <w:jc w:val="center"/>
              <w:ind w:left="368"/>
              <w:spacing w:after="0"/>
              <w:rPr>
                <w:sz w:val="20"/>
                <w:szCs w:val="20"/>
                <w:color w:val="auto"/>
              </w:rPr>
            </w:pPr>
            <w:r>
              <w:rPr>
                <w:rFonts w:ascii="Arial" w:cs="Arial" w:eastAsia="Arial" w:hAnsi="Arial"/>
                <w:sz w:val="14"/>
                <w:szCs w:val="14"/>
                <w:color w:val="auto"/>
              </w:rPr>
              <w:t>$680</w:t>
            </w:r>
          </w:p>
        </w:tc>
        <w:tc>
          <w:tcPr>
            <w:tcW w:w="1260" w:type="dxa"/>
            <w:vAlign w:val="bottom"/>
            <w:gridSpan w:val="2"/>
          </w:tcPr>
          <w:p>
            <w:pPr>
              <w:jc w:val="center"/>
              <w:ind w:left="308"/>
              <w:spacing w:after="0"/>
              <w:rPr>
                <w:sz w:val="20"/>
                <w:szCs w:val="20"/>
                <w:color w:val="auto"/>
              </w:rPr>
            </w:pPr>
            <w:r>
              <w:rPr>
                <w:rFonts w:ascii="Arial" w:cs="Arial" w:eastAsia="Arial" w:hAnsi="Arial"/>
                <w:sz w:val="14"/>
                <w:szCs w:val="14"/>
                <w:color w:val="auto"/>
              </w:rPr>
              <w:t>$721</w:t>
            </w:r>
          </w:p>
        </w:tc>
        <w:tc>
          <w:tcPr>
            <w:tcW w:w="480" w:type="dxa"/>
            <w:vAlign w:val="bottom"/>
          </w:tcPr>
          <w:p>
            <w:pPr>
              <w:spacing w:after="0"/>
              <w:rPr>
                <w:sz w:val="24"/>
                <w:szCs w:val="24"/>
                <w:color w:val="auto"/>
              </w:rPr>
            </w:pPr>
          </w:p>
        </w:tc>
        <w:tc>
          <w:tcPr>
            <w:tcW w:w="1600" w:type="dxa"/>
            <w:vAlign w:val="bottom"/>
            <w:gridSpan w:val="3"/>
          </w:tcPr>
          <w:p>
            <w:pPr>
              <w:jc w:val="center"/>
              <w:ind w:left="168"/>
              <w:spacing w:after="0"/>
              <w:rPr>
                <w:sz w:val="20"/>
                <w:szCs w:val="20"/>
                <w:color w:val="auto"/>
              </w:rPr>
            </w:pPr>
            <w:r>
              <w:rPr>
                <w:rFonts w:ascii="Arial" w:cs="Arial" w:eastAsia="Arial" w:hAnsi="Arial"/>
                <w:sz w:val="14"/>
                <w:szCs w:val="14"/>
                <w:color w:val="auto"/>
              </w:rPr>
              <w:t>$734</w:t>
            </w:r>
          </w:p>
        </w:tc>
        <w:tc>
          <w:tcPr>
            <w:tcW w:w="1340" w:type="dxa"/>
            <w:vAlign w:val="bottom"/>
            <w:gridSpan w:val="2"/>
          </w:tcPr>
          <w:p>
            <w:pPr>
              <w:jc w:val="center"/>
              <w:ind w:left="28"/>
              <w:spacing w:after="0"/>
              <w:rPr>
                <w:sz w:val="20"/>
                <w:szCs w:val="20"/>
                <w:color w:val="auto"/>
              </w:rPr>
            </w:pPr>
            <w:r>
              <w:rPr>
                <w:rFonts w:ascii="Arial" w:cs="Arial" w:eastAsia="Arial" w:hAnsi="Arial"/>
                <w:sz w:val="14"/>
                <w:szCs w:val="14"/>
                <w:color w:val="auto"/>
              </w:rPr>
              <w:t>$737</w:t>
            </w:r>
          </w:p>
        </w:tc>
      </w:tr>
      <w:tr>
        <w:trPr>
          <w:trHeight w:val="454"/>
        </w:trPr>
        <w:tc>
          <w:tcPr>
            <w:tcW w:w="2300" w:type="dxa"/>
            <w:vAlign w:val="bottom"/>
          </w:tcPr>
          <w:p>
            <w:pPr>
              <w:spacing w:after="0"/>
              <w:rPr>
                <w:sz w:val="20"/>
                <w:szCs w:val="20"/>
                <w:color w:val="auto"/>
              </w:rPr>
            </w:pPr>
            <w:r>
              <w:rPr>
                <w:rFonts w:ascii="Arial" w:cs="Arial" w:eastAsia="Arial" w:hAnsi="Arial"/>
                <w:sz w:val="14"/>
                <w:szCs w:val="14"/>
                <w:color w:val="auto"/>
              </w:rPr>
              <w:t>Operating EBITDA</w:t>
            </w:r>
            <w:r>
              <w:rPr>
                <w:rFonts w:ascii="Arial" w:cs="Arial" w:eastAsia="Arial" w:hAnsi="Arial"/>
                <w:sz w:val="23"/>
                <w:szCs w:val="23"/>
                <w:color w:val="auto"/>
                <w:vertAlign w:val="superscript"/>
              </w:rPr>
              <w:t>(b)</w:t>
            </w:r>
          </w:p>
        </w:tc>
        <w:tc>
          <w:tcPr>
            <w:tcW w:w="1960" w:type="dxa"/>
            <w:vAlign w:val="bottom"/>
            <w:gridSpan w:val="3"/>
          </w:tcPr>
          <w:p>
            <w:pPr>
              <w:jc w:val="center"/>
              <w:ind w:left="368"/>
              <w:spacing w:after="0"/>
              <w:rPr>
                <w:sz w:val="20"/>
                <w:szCs w:val="20"/>
                <w:color w:val="auto"/>
              </w:rPr>
            </w:pPr>
            <w:r>
              <w:rPr>
                <w:rFonts w:ascii="Arial" w:cs="Arial" w:eastAsia="Arial" w:hAnsi="Arial"/>
                <w:sz w:val="14"/>
                <w:szCs w:val="14"/>
                <w:color w:val="auto"/>
              </w:rPr>
              <w:t>$1,099</w:t>
            </w:r>
          </w:p>
        </w:tc>
        <w:tc>
          <w:tcPr>
            <w:tcW w:w="1260" w:type="dxa"/>
            <w:vAlign w:val="bottom"/>
            <w:gridSpan w:val="2"/>
          </w:tcPr>
          <w:p>
            <w:pPr>
              <w:jc w:val="center"/>
              <w:ind w:left="308"/>
              <w:spacing w:after="0"/>
              <w:rPr>
                <w:sz w:val="20"/>
                <w:szCs w:val="20"/>
                <w:color w:val="auto"/>
              </w:rPr>
            </w:pPr>
            <w:r>
              <w:rPr>
                <w:rFonts w:ascii="Arial" w:cs="Arial" w:eastAsia="Arial" w:hAnsi="Arial"/>
                <w:sz w:val="14"/>
                <w:szCs w:val="14"/>
                <w:color w:val="auto"/>
              </w:rPr>
              <w:t>$1,140</w:t>
            </w:r>
          </w:p>
        </w:tc>
        <w:tc>
          <w:tcPr>
            <w:tcW w:w="480" w:type="dxa"/>
            <w:vAlign w:val="bottom"/>
          </w:tcPr>
          <w:p>
            <w:pPr>
              <w:spacing w:after="0"/>
              <w:rPr>
                <w:sz w:val="24"/>
                <w:szCs w:val="24"/>
                <w:color w:val="auto"/>
              </w:rPr>
            </w:pPr>
          </w:p>
        </w:tc>
        <w:tc>
          <w:tcPr>
            <w:tcW w:w="1600" w:type="dxa"/>
            <w:vAlign w:val="bottom"/>
            <w:gridSpan w:val="3"/>
          </w:tcPr>
          <w:p>
            <w:pPr>
              <w:jc w:val="center"/>
              <w:ind w:left="168"/>
              <w:spacing w:after="0"/>
              <w:rPr>
                <w:sz w:val="20"/>
                <w:szCs w:val="20"/>
                <w:color w:val="auto"/>
              </w:rPr>
            </w:pPr>
            <w:r>
              <w:rPr>
                <w:rFonts w:ascii="Arial" w:cs="Arial" w:eastAsia="Arial" w:hAnsi="Arial"/>
                <w:sz w:val="14"/>
                <w:szCs w:val="14"/>
                <w:color w:val="auto"/>
              </w:rPr>
              <w:t>$1,138</w:t>
            </w:r>
          </w:p>
        </w:tc>
        <w:tc>
          <w:tcPr>
            <w:tcW w:w="1340" w:type="dxa"/>
            <w:vAlign w:val="bottom"/>
            <w:gridSpan w:val="2"/>
          </w:tcPr>
          <w:p>
            <w:pPr>
              <w:jc w:val="center"/>
              <w:ind w:left="28"/>
              <w:spacing w:after="0"/>
              <w:rPr>
                <w:sz w:val="20"/>
                <w:szCs w:val="20"/>
                <w:color w:val="auto"/>
              </w:rPr>
            </w:pPr>
            <w:r>
              <w:rPr>
                <w:rFonts w:ascii="Arial" w:cs="Arial" w:eastAsia="Arial" w:hAnsi="Arial"/>
                <w:sz w:val="14"/>
                <w:szCs w:val="14"/>
                <w:color w:val="auto"/>
              </w:rPr>
              <w:t>$1,141</w:t>
            </w:r>
          </w:p>
        </w:tc>
      </w:tr>
      <w:tr>
        <w:trPr>
          <w:trHeight w:val="351"/>
        </w:trPr>
        <w:tc>
          <w:tcPr>
            <w:tcW w:w="2300" w:type="dxa"/>
            <w:vAlign w:val="bottom"/>
          </w:tcPr>
          <w:p>
            <w:pPr>
              <w:spacing w:after="0"/>
              <w:rPr>
                <w:sz w:val="20"/>
                <w:szCs w:val="20"/>
                <w:color w:val="auto"/>
              </w:rPr>
            </w:pPr>
            <w:r>
              <w:rPr>
                <w:rFonts w:ascii="Arial" w:cs="Arial" w:eastAsia="Arial" w:hAnsi="Arial"/>
                <w:sz w:val="14"/>
                <w:szCs w:val="14"/>
                <w:color w:val="auto"/>
              </w:rPr>
              <w:t>Net Income</w:t>
            </w:r>
            <w:r>
              <w:rPr>
                <w:rFonts w:ascii="Arial" w:cs="Arial" w:eastAsia="Arial" w:hAnsi="Arial"/>
                <w:sz w:val="23"/>
                <w:szCs w:val="23"/>
                <w:color w:val="auto"/>
                <w:vertAlign w:val="superscript"/>
              </w:rPr>
              <w:t>(c)</w:t>
            </w:r>
          </w:p>
        </w:tc>
        <w:tc>
          <w:tcPr>
            <w:tcW w:w="1960" w:type="dxa"/>
            <w:vAlign w:val="bottom"/>
            <w:gridSpan w:val="3"/>
          </w:tcPr>
          <w:p>
            <w:pPr>
              <w:jc w:val="center"/>
              <w:ind w:left="368"/>
              <w:spacing w:after="0"/>
              <w:rPr>
                <w:sz w:val="20"/>
                <w:szCs w:val="20"/>
                <w:color w:val="auto"/>
              </w:rPr>
            </w:pPr>
            <w:r>
              <w:rPr>
                <w:rFonts w:ascii="Arial" w:cs="Arial" w:eastAsia="Arial" w:hAnsi="Arial"/>
                <w:sz w:val="14"/>
                <w:szCs w:val="14"/>
                <w:color w:val="auto"/>
              </w:rPr>
              <w:t>$390</w:t>
            </w:r>
          </w:p>
        </w:tc>
        <w:tc>
          <w:tcPr>
            <w:tcW w:w="1260" w:type="dxa"/>
            <w:vAlign w:val="bottom"/>
            <w:gridSpan w:val="2"/>
          </w:tcPr>
          <w:p>
            <w:pPr>
              <w:jc w:val="center"/>
              <w:ind w:left="308"/>
              <w:spacing w:after="0"/>
              <w:rPr>
                <w:sz w:val="20"/>
                <w:szCs w:val="20"/>
                <w:color w:val="auto"/>
              </w:rPr>
            </w:pPr>
            <w:r>
              <w:rPr>
                <w:rFonts w:ascii="Arial" w:cs="Arial" w:eastAsia="Arial" w:hAnsi="Arial"/>
                <w:sz w:val="14"/>
                <w:szCs w:val="14"/>
                <w:color w:val="auto"/>
              </w:rPr>
              <w:t>$465</w:t>
            </w:r>
          </w:p>
        </w:tc>
        <w:tc>
          <w:tcPr>
            <w:tcW w:w="480" w:type="dxa"/>
            <w:vAlign w:val="bottom"/>
          </w:tcPr>
          <w:p>
            <w:pPr>
              <w:spacing w:after="0"/>
              <w:rPr>
                <w:sz w:val="24"/>
                <w:szCs w:val="24"/>
                <w:color w:val="auto"/>
              </w:rPr>
            </w:pPr>
          </w:p>
        </w:tc>
        <w:tc>
          <w:tcPr>
            <w:tcW w:w="1600" w:type="dxa"/>
            <w:vAlign w:val="bottom"/>
            <w:gridSpan w:val="3"/>
          </w:tcPr>
          <w:p>
            <w:pPr>
              <w:jc w:val="center"/>
              <w:ind w:left="168"/>
              <w:spacing w:after="0"/>
              <w:rPr>
                <w:sz w:val="20"/>
                <w:szCs w:val="20"/>
                <w:color w:val="auto"/>
              </w:rPr>
            </w:pPr>
            <w:r>
              <w:rPr>
                <w:rFonts w:ascii="Arial" w:cs="Arial" w:eastAsia="Arial" w:hAnsi="Arial"/>
                <w:sz w:val="14"/>
                <w:szCs w:val="14"/>
                <w:color w:val="auto"/>
              </w:rPr>
              <w:t>$495</w:t>
            </w:r>
          </w:p>
        </w:tc>
        <w:tc>
          <w:tcPr>
            <w:tcW w:w="1340" w:type="dxa"/>
            <w:vAlign w:val="bottom"/>
            <w:gridSpan w:val="2"/>
          </w:tcPr>
          <w:p>
            <w:pPr>
              <w:jc w:val="center"/>
              <w:ind w:left="28"/>
              <w:spacing w:after="0"/>
              <w:rPr>
                <w:sz w:val="20"/>
                <w:szCs w:val="20"/>
                <w:color w:val="auto"/>
              </w:rPr>
            </w:pPr>
            <w:r>
              <w:rPr>
                <w:rFonts w:ascii="Arial" w:cs="Arial" w:eastAsia="Arial" w:hAnsi="Arial"/>
                <w:sz w:val="14"/>
                <w:szCs w:val="14"/>
                <w:color w:val="auto"/>
              </w:rPr>
              <w:t>$502</w:t>
            </w:r>
          </w:p>
        </w:tc>
      </w:tr>
      <w:tr>
        <w:trPr>
          <w:trHeight w:val="221"/>
        </w:trPr>
        <w:tc>
          <w:tcPr>
            <w:tcW w:w="2300" w:type="dxa"/>
            <w:vAlign w:val="bottom"/>
          </w:tcPr>
          <w:p>
            <w:pPr>
              <w:spacing w:after="0"/>
              <w:rPr>
                <w:sz w:val="20"/>
                <w:szCs w:val="20"/>
                <w:color w:val="auto"/>
              </w:rPr>
            </w:pPr>
            <w:r>
              <w:rPr>
                <w:rFonts w:ascii="Arial" w:cs="Arial" w:eastAsia="Arial" w:hAnsi="Arial"/>
                <w:sz w:val="14"/>
                <w:szCs w:val="14"/>
                <w:color w:val="auto"/>
              </w:rPr>
              <w:t>Diluted EPS</w:t>
            </w:r>
          </w:p>
        </w:tc>
        <w:tc>
          <w:tcPr>
            <w:tcW w:w="1960" w:type="dxa"/>
            <w:vAlign w:val="bottom"/>
            <w:gridSpan w:val="3"/>
          </w:tcPr>
          <w:p>
            <w:pPr>
              <w:jc w:val="center"/>
              <w:ind w:left="368"/>
              <w:spacing w:after="0"/>
              <w:rPr>
                <w:sz w:val="20"/>
                <w:szCs w:val="20"/>
                <w:color w:val="auto"/>
              </w:rPr>
            </w:pPr>
            <w:r>
              <w:rPr>
                <w:rFonts w:ascii="Arial" w:cs="Arial" w:eastAsia="Arial" w:hAnsi="Arial"/>
                <w:sz w:val="14"/>
                <w:szCs w:val="14"/>
                <w:color w:val="auto"/>
              </w:rPr>
              <w:t>$0.92</w:t>
            </w:r>
          </w:p>
        </w:tc>
        <w:tc>
          <w:tcPr>
            <w:tcW w:w="1260" w:type="dxa"/>
            <w:vAlign w:val="bottom"/>
            <w:gridSpan w:val="2"/>
          </w:tcPr>
          <w:p>
            <w:pPr>
              <w:jc w:val="center"/>
              <w:ind w:left="308"/>
              <w:spacing w:after="0"/>
              <w:rPr>
                <w:sz w:val="20"/>
                <w:szCs w:val="20"/>
                <w:color w:val="auto"/>
              </w:rPr>
            </w:pPr>
            <w:r>
              <w:rPr>
                <w:rFonts w:ascii="Arial" w:cs="Arial" w:eastAsia="Arial" w:hAnsi="Arial"/>
                <w:sz w:val="14"/>
                <w:szCs w:val="14"/>
                <w:color w:val="auto"/>
              </w:rPr>
              <w:t>$1.09</w:t>
            </w:r>
          </w:p>
        </w:tc>
        <w:tc>
          <w:tcPr>
            <w:tcW w:w="480" w:type="dxa"/>
            <w:vAlign w:val="bottom"/>
          </w:tcPr>
          <w:p>
            <w:pPr>
              <w:spacing w:after="0"/>
              <w:rPr>
                <w:sz w:val="19"/>
                <w:szCs w:val="19"/>
                <w:color w:val="auto"/>
              </w:rPr>
            </w:pPr>
          </w:p>
        </w:tc>
        <w:tc>
          <w:tcPr>
            <w:tcW w:w="1600" w:type="dxa"/>
            <w:vAlign w:val="bottom"/>
            <w:gridSpan w:val="3"/>
          </w:tcPr>
          <w:p>
            <w:pPr>
              <w:jc w:val="center"/>
              <w:ind w:left="168"/>
              <w:spacing w:after="0"/>
              <w:rPr>
                <w:sz w:val="20"/>
                <w:szCs w:val="20"/>
                <w:color w:val="auto"/>
              </w:rPr>
            </w:pPr>
            <w:r>
              <w:rPr>
                <w:rFonts w:ascii="Arial" w:cs="Arial" w:eastAsia="Arial" w:hAnsi="Arial"/>
                <w:sz w:val="14"/>
                <w:szCs w:val="14"/>
                <w:color w:val="auto"/>
              </w:rPr>
              <w:t>$1.16</w:t>
            </w:r>
          </w:p>
        </w:tc>
        <w:tc>
          <w:tcPr>
            <w:tcW w:w="1340" w:type="dxa"/>
            <w:vAlign w:val="bottom"/>
            <w:gridSpan w:val="2"/>
          </w:tcPr>
          <w:p>
            <w:pPr>
              <w:jc w:val="center"/>
              <w:ind w:left="28"/>
              <w:spacing w:after="0"/>
              <w:rPr>
                <w:sz w:val="20"/>
                <w:szCs w:val="20"/>
                <w:color w:val="auto"/>
              </w:rPr>
            </w:pPr>
            <w:r>
              <w:rPr>
                <w:rFonts w:ascii="Arial" w:cs="Arial" w:eastAsia="Arial" w:hAnsi="Arial"/>
                <w:sz w:val="14"/>
                <w:szCs w:val="14"/>
                <w:color w:val="auto"/>
              </w:rPr>
              <w:t>$1.19</w:t>
            </w:r>
          </w:p>
        </w:tc>
      </w:tr>
    </w:tbl>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“We’ve consistently pointed to operating EBITDA as the best measure of the health of our business, and despite the challenging backdrop, we delivered third quarter adjusted operating EBITDA results in line with last year’s record performance and expanded adjusted operating EBITDA margin by 70 basis points,” said Jim Fish, Waste Management’s President and Chief Executive Officer.(a) “This is a testament both to our team’s ability to optimize our business in the new environment as well as the progress of economic recovery in North America.</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our strong quarterly results, we are also proud to have published our 2020 Sustainability Report last month. Titled ‘Building Value Together,’ the report describes how we are addressing challenges and opportunities related to the environment, social issues and governance, and doing so in close partnership with our customers, suppliers and communities. Amidst the crises of 2020, we remained steadfast to our commitments of putting people first, advocating for inclusion and diversity, protecting the environment, and contributing to a circular economy.”</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Given the strength of the Company’s third quarter, which demonstrated the resilience of the business model and strong execution on reducing the cost to serve, the Company expects to exceed its 2020 adjusted operating EBITDA margin guidance of 28.0% to 28.5% and generate free cash flow in excess of $2 billion.</w:t>
      </w:r>
      <w:r>
        <w:rPr>
          <w:rFonts w:ascii="Arial" w:cs="Arial" w:eastAsia="Arial" w:hAnsi="Arial"/>
          <w:sz w:val="29"/>
          <w:szCs w:val="29"/>
          <w:color w:val="auto"/>
          <w:vertAlign w:val="superscript"/>
        </w:rPr>
        <w: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40"/>
        <w:spacing w:after="0" w:line="285" w:lineRule="auto"/>
        <w:rPr>
          <w:sz w:val="20"/>
          <w:szCs w:val="20"/>
          <w:color w:val="auto"/>
        </w:rPr>
      </w:pPr>
      <w:r>
        <w:rPr>
          <w:rFonts w:ascii="Arial" w:cs="Arial" w:eastAsia="Arial" w:hAnsi="Arial"/>
          <w:sz w:val="14"/>
          <w:szCs w:val="14"/>
          <w:b w:val="1"/>
          <w:bCs w:val="1"/>
          <w:color w:val="00693C"/>
        </w:rPr>
        <w:t>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Waste Management</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 site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www.wm.com</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Analysts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57584F"/>
        </w:rPr>
        <w:t>Ed Eql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57584F"/>
        </w:rPr>
        <w:t>713.265.1656</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eegl@wm.com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57584F"/>
        </w:rPr>
        <w:t>Janette Micell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57584F"/>
        </w:rPr>
        <w:t>602.579.6152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jmicelli@wm.com</w:t>
      </w:r>
    </w:p>
    <w:p>
      <w:pPr>
        <w:sectPr>
          <w:pgSz w:w="11900" w:h="16838" w:orient="portrait"/>
          <w:cols w:equalWidth="0" w:num="2">
            <w:col w:w="9100" w:space="660"/>
            <w:col w:w="1340"/>
          </w:cols>
          <w:pgMar w:left="320" w:top="382"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 HIGHLIGHTS FOR THE THIRD QUARTER OF 2020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Revenue</w:t>
      </w:r>
    </w:p>
    <w:p>
      <w:pPr>
        <w:spacing w:after="0" w:line="220" w:lineRule="exact"/>
        <w:rPr>
          <w:sz w:val="20"/>
          <w:szCs w:val="20"/>
          <w:color w:val="auto"/>
        </w:rPr>
      </w:pPr>
    </w:p>
    <w:p>
      <w:pPr>
        <w:jc w:val="both"/>
        <w:ind w:left="660" w:right="1059"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third quarter of 2020, revenue declined $99 million in the Company’s collection and disposal business compared to the third quarter of 2019, driven by $192 million in volume declines partially offset by $93 million of growth from yield.</w:t>
      </w:r>
    </w:p>
    <w:p>
      <w:pPr>
        <w:spacing w:after="0" w:line="2" w:lineRule="exact"/>
        <w:rPr>
          <w:rFonts w:ascii="Arial" w:cs="Arial" w:eastAsia="Arial" w:hAnsi="Arial"/>
          <w:sz w:val="18"/>
          <w:szCs w:val="18"/>
          <w:color w:val="auto"/>
        </w:rPr>
      </w:pPr>
    </w:p>
    <w:p>
      <w:pPr>
        <w:ind w:left="660" w:right="1059" w:hanging="328"/>
        <w:spacing w:after="0" w:line="19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Core price for the third quarter of 2020 was 3.2% compared to 4.0% in the third quarter of 2019 and 1.3% in the second quarter of 2020.</w:t>
      </w:r>
      <w:r>
        <w:rPr>
          <w:rFonts w:ascii="Arial" w:cs="Arial" w:eastAsia="Arial" w:hAnsi="Arial"/>
          <w:sz w:val="29"/>
          <w:szCs w:val="29"/>
          <w:color w:val="auto"/>
          <w:vertAlign w:val="superscript"/>
        </w:rPr>
        <w:t>(e)</w:t>
      </w:r>
    </w:p>
    <w:p>
      <w:pPr>
        <w:spacing w:after="0" w:line="1" w:lineRule="exact"/>
        <w:rPr>
          <w:rFonts w:ascii="Arial" w:cs="Arial" w:eastAsia="Arial" w:hAnsi="Arial"/>
          <w:sz w:val="18"/>
          <w:szCs w:val="18"/>
          <w:color w:val="auto"/>
        </w:rPr>
      </w:pPr>
    </w:p>
    <w:p>
      <w:pPr>
        <w:ind w:left="660" w:right="1059"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Collection and disposal yield was 2.6% in both the third quarter of 2020 and the third quarter of 2019 compared to 1.6% in the second quarter 2020.</w:t>
      </w:r>
    </w:p>
    <w:p>
      <w:pPr>
        <w:spacing w:after="0" w:line="1" w:lineRule="exact"/>
        <w:rPr>
          <w:rFonts w:ascii="Arial" w:cs="Arial" w:eastAsia="Arial" w:hAnsi="Arial"/>
          <w:sz w:val="18"/>
          <w:szCs w:val="18"/>
          <w:color w:val="auto"/>
        </w:rPr>
      </w:pPr>
    </w:p>
    <w:p>
      <w:pPr>
        <w:jc w:val="both"/>
        <w:ind w:left="660" w:right="1059"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Company volumes declined 5.0% in the third quarter of 2020, or 5.1% on a workday adjusted basis, compared to growth of 1.9% on a workday adjusted basis in the third quarter of 2019 and a decline of 10.3% in the second quarter of 2020.</w:t>
      </w:r>
    </w:p>
    <w:p>
      <w:pPr>
        <w:spacing w:after="0" w:line="16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Cost Management</w:t>
      </w:r>
    </w:p>
    <w:p>
      <w:pPr>
        <w:spacing w:after="0" w:line="220" w:lineRule="exact"/>
        <w:rPr>
          <w:rFonts w:ascii="Arial" w:cs="Arial" w:eastAsia="Arial" w:hAnsi="Arial"/>
          <w:sz w:val="18"/>
          <w:szCs w:val="18"/>
          <w:color w:val="auto"/>
        </w:rPr>
      </w:pPr>
    </w:p>
    <w:p>
      <w:pPr>
        <w:jc w:val="both"/>
        <w:ind w:left="660" w:right="1039"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as a percentage of revenue improved 110 basis points to 60.4% when compared to the third quarter of 2019. The improvement was primarily driven by the Company’s proactive management of costs, which reduced overtime hours and maintenance expenses. In addition, the Company’s continued strategic focus on increasing the compressed natural gas composition of its fleet, combined with lower market prices for diesel fuel, resulted in lower operating costs and improved margins.</w:t>
      </w:r>
    </w:p>
    <w:p>
      <w:pPr>
        <w:spacing w:after="0" w:line="3" w:lineRule="exact"/>
        <w:rPr>
          <w:rFonts w:ascii="Arial" w:cs="Arial" w:eastAsia="Arial" w:hAnsi="Arial"/>
          <w:sz w:val="18"/>
          <w:szCs w:val="18"/>
          <w:color w:val="auto"/>
        </w:rPr>
      </w:pPr>
    </w:p>
    <w:p>
      <w:pPr>
        <w:jc w:val="both"/>
        <w:ind w:left="660" w:right="1059" w:hanging="328"/>
        <w:spacing w:after="0" w:line="22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SG&amp;A expenses were 10.8% of revenue in the third quarter of 2020 compared to 9.7% in the third quarter of 2019. On an adjusted basis, SG&amp;A expenses were 10.1% of revenue in the third quarter of 2020 compared to 9.7% in the third quarter of 2019.</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The increase in SG&amp;A expenses as a percent of revenue is primarily related to the decline in revenue as well as additional incentive compensation costs and the Company’s intentional accelerated spending on technology.</w:t>
      </w:r>
    </w:p>
    <w:p>
      <w:pPr>
        <w:spacing w:after="0" w:line="16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Profitability</w:t>
      </w:r>
    </w:p>
    <w:p>
      <w:pPr>
        <w:spacing w:after="0" w:line="220" w:lineRule="exact"/>
        <w:rPr>
          <w:rFonts w:ascii="Arial" w:cs="Arial" w:eastAsia="Arial" w:hAnsi="Arial"/>
          <w:sz w:val="18"/>
          <w:szCs w:val="18"/>
          <w:color w:val="auto"/>
        </w:rPr>
      </w:pPr>
    </w:p>
    <w:p>
      <w:pPr>
        <w:jc w:val="both"/>
        <w:ind w:left="660" w:right="1039" w:hanging="328"/>
        <w:spacing w:after="0" w:line="21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Company operating EBITDA was $1.10 billion, or 28.5% of revenue, for the third quarter of 2020. On an adjusted basis, total Company operating EBITDA was $1.14 billion, or 29.5% of revenue, for the third quarter of 2020 compared to adjusted operating EBITDA of $1.14 billion and 28.8% of revenue for the same period in 2019.</w:t>
      </w:r>
      <w:r>
        <w:rPr>
          <w:rFonts w:ascii="Arial" w:cs="Arial" w:eastAsia="Arial" w:hAnsi="Arial"/>
          <w:sz w:val="29"/>
          <w:szCs w:val="29"/>
          <w:color w:val="auto"/>
          <w:vertAlign w:val="superscript"/>
        </w:rPr>
        <w:t>(a)</w:t>
      </w:r>
    </w:p>
    <w:p>
      <w:pPr>
        <w:spacing w:after="0" w:line="3" w:lineRule="exact"/>
        <w:rPr>
          <w:rFonts w:ascii="Arial" w:cs="Arial" w:eastAsia="Arial" w:hAnsi="Arial"/>
          <w:sz w:val="18"/>
          <w:szCs w:val="18"/>
          <w:color w:val="auto"/>
        </w:rPr>
      </w:pPr>
    </w:p>
    <w:p>
      <w:pPr>
        <w:jc w:val="both"/>
        <w:ind w:left="660" w:right="1059"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EBITDA in the Company’s collection and disposal business, adjusted on the same basis as total Company operating EBITDA, was $1.27 billion, or 31.2% of revenue, for the third quarter of 2020, compared to $1.30 billion, or 30.9% of revenue, for the third quarter of 2019.</w:t>
      </w:r>
    </w:p>
    <w:p>
      <w:pPr>
        <w:spacing w:after="0" w:line="16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Free Cash Flow &amp; Capital Allocation</w:t>
      </w:r>
    </w:p>
    <w:p>
      <w:pPr>
        <w:spacing w:after="0" w:line="220" w:lineRule="exact"/>
        <w:rPr>
          <w:rFonts w:ascii="Arial" w:cs="Arial" w:eastAsia="Arial" w:hAnsi="Arial"/>
          <w:sz w:val="18"/>
          <w:szCs w:val="18"/>
          <w:color w:val="auto"/>
        </w:rPr>
      </w:pPr>
    </w:p>
    <w:p>
      <w:pPr>
        <w:ind w:left="660" w:right="1039"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third quarter of 2020, net cash provided by operating activities was $1.03 billion compared to $952 million in the third quarter of 2019, an increase of $77 million, or 8.1%.</w:t>
      </w:r>
    </w:p>
    <w:p>
      <w:pPr>
        <w:spacing w:after="0" w:line="1" w:lineRule="exact"/>
        <w:rPr>
          <w:rFonts w:ascii="Arial" w:cs="Arial" w:eastAsia="Arial" w:hAnsi="Arial"/>
          <w:sz w:val="18"/>
          <w:szCs w:val="18"/>
          <w:color w:val="auto"/>
        </w:rPr>
      </w:pPr>
    </w:p>
    <w:p>
      <w:pPr>
        <w:ind w:left="660" w:right="1039"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third quarter of 2020, capital expenditures were $343 million compared to $483 million in the third quarter of 2019.</w:t>
      </w:r>
    </w:p>
    <w:p>
      <w:pPr>
        <w:spacing w:after="0" w:line="1" w:lineRule="exact"/>
        <w:rPr>
          <w:rFonts w:ascii="Arial" w:cs="Arial" w:eastAsia="Arial" w:hAnsi="Arial"/>
          <w:sz w:val="18"/>
          <w:szCs w:val="18"/>
          <w:color w:val="auto"/>
        </w:rPr>
      </w:pPr>
    </w:p>
    <w:p>
      <w:pPr>
        <w:ind w:left="660" w:right="1059" w:hanging="328"/>
        <w:spacing w:after="0" w:line="19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third quarter of 2020, free cash flow was $691 million compared to $478 million in the third quarter of 2019.</w:t>
      </w:r>
      <w:r>
        <w:rPr>
          <w:rFonts w:ascii="Arial" w:cs="Arial" w:eastAsia="Arial" w:hAnsi="Arial"/>
          <w:sz w:val="29"/>
          <w:szCs w:val="29"/>
          <w:color w:val="auto"/>
          <w:vertAlign w:val="superscript"/>
        </w:rPr>
        <w:t>(a)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paid $230 million of dividends to shareholders.</w:t>
      </w:r>
    </w:p>
    <w:p>
      <w:pPr>
        <w:spacing w:after="0" w:line="212" w:lineRule="exact"/>
        <w:rPr>
          <w:sz w:val="20"/>
          <w:szCs w:val="20"/>
          <w:color w:val="auto"/>
        </w:rPr>
      </w:pPr>
    </w:p>
    <w:p>
      <w:pPr>
        <w:jc w:val="both"/>
        <w:ind w:right="1039"/>
        <w:spacing w:after="0" w:line="238" w:lineRule="auto"/>
        <w:rPr>
          <w:sz w:val="20"/>
          <w:szCs w:val="20"/>
          <w:color w:val="auto"/>
        </w:rPr>
      </w:pPr>
      <w:r>
        <w:rPr>
          <w:rFonts w:ascii="Arial" w:cs="Arial" w:eastAsia="Arial" w:hAnsi="Arial"/>
          <w:sz w:val="18"/>
          <w:szCs w:val="18"/>
          <w:color w:val="auto"/>
        </w:rPr>
        <w:t>Fish concluded, “We have taken to heart lessons learned during this pandemic such that we will emerge a stronger, more differentiated company. We’ve learned that we can operate our business with a lower cost structure, and we are holding on to operating efficiencies and cost savings as our volumes recover. Our customer service digitalization investments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5" w:name="page6"/>
    <w:bookmarkEnd w:id="5"/>
    <w:p>
      <w:pPr>
        <w:jc w:val="both"/>
        <w:ind w:right="1039"/>
        <w:spacing w:after="0" w:line="238" w:lineRule="auto"/>
        <w:rPr>
          <w:sz w:val="20"/>
          <w:szCs w:val="20"/>
          <w:color w:val="auto"/>
        </w:rPr>
      </w:pPr>
      <w:r>
        <w:rPr>
          <w:rFonts w:ascii="Arial" w:cs="Arial" w:eastAsia="Arial" w:hAnsi="Arial"/>
          <w:sz w:val="18"/>
          <w:szCs w:val="18"/>
          <w:color w:val="auto"/>
        </w:rPr>
        <w:t>unquestionably the right approach, and we have accelerated these efforts to reap the benefits sooner. With further contributions from the acquisition of Advanced Disposal that closed last week and our progress in transforming the recycling business, we are well positioned for a strong finish to the year with positive momentum heading into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both"/>
        <w:ind w:left="660" w:right="1039" w:hanging="328"/>
        <w:spacing w:after="0" w:line="225"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information labeled "As Adjusted" in the table above, as well as adjusted operating EBITDA margin, adjusted SG&amp;A expenses, and free cash flow are non-GAAP measures. Please see "Non-GAAP Financial Measures" below and the reconciliations in the accompanying schedules for more information.</w:t>
      </w:r>
    </w:p>
    <w:p>
      <w:pPr>
        <w:spacing w:after="0" w:line="187" w:lineRule="exact"/>
        <w:rPr>
          <w:rFonts w:ascii="Arial" w:cs="Arial" w:eastAsia="Arial" w:hAnsi="Arial"/>
          <w:sz w:val="13"/>
          <w:szCs w:val="13"/>
          <w:color w:val="auto"/>
        </w:rPr>
      </w:pPr>
    </w:p>
    <w:p>
      <w:pPr>
        <w:ind w:left="660" w:right="1059" w:hanging="328"/>
        <w:spacing w:after="0" w:line="230"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Management defines operating EBITDA as GAAP income from operations before depreciation and amortization; this measure may not be comparable to similarly-titled measures reported by other companies.</w:t>
      </w:r>
    </w:p>
    <w:p>
      <w:pPr>
        <w:spacing w:after="0" w:line="185" w:lineRule="exact"/>
        <w:rPr>
          <w:rFonts w:ascii="Arial" w:cs="Arial" w:eastAsia="Arial" w:hAnsi="Arial"/>
          <w:sz w:val="13"/>
          <w:szCs w:val="13"/>
          <w:color w:val="auto"/>
        </w:rPr>
      </w:pPr>
    </w:p>
    <w:p>
      <w:pPr>
        <w:ind w:left="660" w:right="1059" w:hanging="328"/>
        <w:spacing w:after="0" w:line="230"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purposes of this press release, all references to "Net income" refer to the financial statement line item "Net income attributable to Waste Management, Inc."</w:t>
      </w:r>
    </w:p>
    <w:p>
      <w:pPr>
        <w:spacing w:after="0" w:line="185" w:lineRule="exact"/>
        <w:rPr>
          <w:rFonts w:ascii="Arial" w:cs="Arial" w:eastAsia="Arial" w:hAnsi="Arial"/>
          <w:sz w:val="13"/>
          <w:szCs w:val="13"/>
          <w:color w:val="auto"/>
        </w:rPr>
      </w:pPr>
    </w:p>
    <w:p>
      <w:pPr>
        <w:ind w:left="660" w:right="1059" w:hanging="328"/>
        <w:spacing w:after="0" w:line="259" w:lineRule="auto"/>
        <w:tabs>
          <w:tab w:leader="none" w:pos="6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2020 guidance excludes (i) transaction and advisory costs incurred in connection with the acquisition of Advanced Disposal Services, Inc. and (ii) post-closing financial contributions related to the acquisition of Advanced Disposal Services, Inc, including divestiture proceeds.</w:t>
      </w:r>
    </w:p>
    <w:p>
      <w:pPr>
        <w:spacing w:after="0" w:line="174" w:lineRule="exact"/>
        <w:rPr>
          <w:rFonts w:ascii="Arial" w:cs="Arial" w:eastAsia="Arial" w:hAnsi="Arial"/>
          <w:sz w:val="12"/>
          <w:szCs w:val="12"/>
          <w:color w:val="auto"/>
        </w:rPr>
      </w:pPr>
    </w:p>
    <w:p>
      <w:pPr>
        <w:jc w:val="both"/>
        <w:ind w:left="660" w:right="1059" w:hanging="328"/>
        <w:spacing w:after="0" w:line="239" w:lineRule="auto"/>
        <w:tabs>
          <w:tab w:leader="none" w:pos="66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 Beginning with the fourth quarter 2019, the Company has updated its core price calculation. With advancements in technology, the Company began collecting additional transactional customer level data, which provides improved clarity of the impact of the Company’s pricing activities. While this does not change the year-over-year core price performance result, the new measure reflects a more precise calculation in the evaluation of revenue changes.</w:t>
      </w:r>
    </w:p>
    <w:p>
      <w:pPr>
        <w:spacing w:after="0" w:line="193" w:lineRule="exact"/>
        <w:rPr>
          <w:sz w:val="20"/>
          <w:szCs w:val="20"/>
          <w:color w:val="auto"/>
        </w:rPr>
      </w:pPr>
    </w:p>
    <w:p>
      <w:pPr>
        <w:jc w:val="both"/>
        <w:ind w:right="1039"/>
        <w:spacing w:after="0"/>
        <w:rPr>
          <w:sz w:val="20"/>
          <w:szCs w:val="20"/>
          <w:color w:val="auto"/>
        </w:rPr>
      </w:pPr>
      <w:r>
        <w:rPr>
          <w:rFonts w:ascii="Arial" w:cs="Arial" w:eastAsia="Arial" w:hAnsi="Arial"/>
          <w:sz w:val="18"/>
          <w:szCs w:val="18"/>
          <w:color w:val="auto"/>
        </w:rPr>
        <w:t>The Company will host a conference call at 10 a.m. (Eastern) today to discuss the third quarter results. Information contained within this press release will be referenced and should be considered in conjunction with the call.</w:t>
      </w:r>
    </w:p>
    <w:p>
      <w:pPr>
        <w:spacing w:after="0" w:line="189" w:lineRule="exact"/>
        <w:rPr>
          <w:sz w:val="20"/>
          <w:szCs w:val="20"/>
          <w:color w:val="auto"/>
        </w:rPr>
      </w:pPr>
    </w:p>
    <w:p>
      <w:pPr>
        <w:jc w:val="both"/>
        <w:ind w:right="1039"/>
        <w:spacing w:after="0" w:line="238" w:lineRule="auto"/>
        <w:rPr>
          <w:sz w:val="20"/>
          <w:szCs w:val="20"/>
          <w:color w:val="auto"/>
        </w:rPr>
      </w:pPr>
      <w:r>
        <w:rPr>
          <w:rFonts w:ascii="Arial" w:cs="Arial" w:eastAsia="Arial" w:hAnsi="Arial"/>
          <w:sz w:val="18"/>
          <w:szCs w:val="18"/>
          <w:color w:val="auto"/>
        </w:rPr>
        <w:t xml:space="preserve">The conference call will be webcast live from the Investors section of Waste Management’s website </w:t>
      </w:r>
      <w:r>
        <w:rPr>
          <w:rFonts w:ascii="Arial" w:cs="Arial" w:eastAsia="Arial" w:hAnsi="Arial"/>
          <w:sz w:val="18"/>
          <w:szCs w:val="18"/>
          <w:u w:val="single" w:color="auto"/>
          <w:color w:val="auto"/>
        </w:rPr>
        <w:t>www.wm.com</w:t>
      </w:r>
      <w:r>
        <w:rPr>
          <w:rFonts w:ascii="Arial" w:cs="Arial" w:eastAsia="Arial" w:hAnsi="Arial"/>
          <w:sz w:val="18"/>
          <w:szCs w:val="18"/>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9177824 when prompted by the conference call operator.</w:t>
      </w:r>
    </w:p>
    <w:p>
      <w:pPr>
        <w:spacing w:after="0" w:line="191" w:lineRule="exact"/>
        <w:rPr>
          <w:sz w:val="20"/>
          <w:szCs w:val="20"/>
          <w:color w:val="auto"/>
        </w:rPr>
      </w:pPr>
    </w:p>
    <w:p>
      <w:pPr>
        <w:jc w:val="both"/>
        <w:ind w:right="1039"/>
        <w:spacing w:after="0" w:line="238"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today through 5:00 PM (Eastern) on Monday, November 16, 2020. To access the replay telephonically, please dial (855) 859-2056, or from outside of the United States or Canada dial (404) 537-3406 and use the replay conference ID number 9177824.</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8" w:lineRule="exact"/>
        <w:rPr>
          <w:sz w:val="20"/>
          <w:szCs w:val="20"/>
          <w:color w:val="auto"/>
        </w:rPr>
      </w:pPr>
    </w:p>
    <w:p>
      <w:pPr>
        <w:jc w:val="both"/>
        <w:ind w:right="1039"/>
        <w:spacing w:after="0" w:line="237"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jc w:val="both"/>
        <w:ind w:right="1039"/>
        <w:spacing w:after="0" w:line="238" w:lineRule="auto"/>
        <w:rPr>
          <w:sz w:val="20"/>
          <w:szCs w:val="20"/>
          <w:color w:val="auto"/>
        </w:rPr>
      </w:pPr>
      <w:r>
        <w:rPr>
          <w:rFonts w:ascii="Arial" w:cs="Arial" w:eastAsia="Arial" w:hAnsi="Arial"/>
          <w:sz w:val="18"/>
          <w:szCs w:val="18"/>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regarding 2020 free cash flow and operating EBITDA margin guidance; future performance or financial results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49" w:right="1440" w:bottom="1440" w:gutter="0" w:footer="0" w:header="0"/>
        </w:sectPr>
      </w:pPr>
    </w:p>
    <w:bookmarkStart w:id="6" w:name="page7"/>
    <w:bookmarkEnd w:id="6"/>
    <w:p>
      <w:pPr>
        <w:jc w:val="both"/>
        <w:ind w:right="1039"/>
        <w:spacing w:after="0" w:line="235" w:lineRule="auto"/>
        <w:rPr>
          <w:sz w:val="20"/>
          <w:szCs w:val="20"/>
          <w:color w:val="auto"/>
        </w:rPr>
      </w:pPr>
      <w:r>
        <w:rPr>
          <w:rFonts w:ascii="Arial" w:cs="Arial" w:eastAsia="Arial" w:hAnsi="Arial"/>
          <w:sz w:val="18"/>
          <w:szCs w:val="18"/>
          <w:color w:val="auto"/>
        </w:rPr>
        <w:t>responses and impacts of COVID-19; investments, cost structure, efficiencies and volumes; benefits from the acquisition of Advanced Disposal Services, Inc. (“Advanced Disposal”) and results from our recycling business.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acquisitions; failure to obtain the results anticipated from acquisitions; failure to successfully integrate the acquisition of Advanced Disposal, realize anticipated synergies or obtain the results anticipated from such acquisition; environmental and other regulations, including developments related to emerging contaminants and renewable fuel; commodity price fluctuations; international trade restrictions; weakness in general economic conditions and capital markets; public health risk and other impacts of COVID-19 or similar pandemic conditions, including increased costs, social and commercial disruption, service reductions and other adverse effects on our business, financial condition, results of operations and cash flows; failure to obtain and maintain necessary permits; disposal alternatives and waste diversion; declining waste volumes; failure to develop and protect new technology; failure of technology to perform as expected, including implementation of a new enterprise resource planning system; failure to prevent, detect and address cybersecurity incidents or comply with privacy regulations; significant environmental or other incidents resulting in liabilities and brand damage; significant storms and destructive events influenced by climate change; labor disruptions; impairment charges; and negative outcomes of litigation or governmental proceedings. Please also see the Company’s filings with the SEC, including Part I, Item 1A of the Company’s most recently filed Annual Report on Form 10-K as updated by our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ind w:right="1039"/>
        <w:spacing w:after="0" w:line="236" w:lineRule="auto"/>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earnings per diluted share, adjusted net income, adjusted income from operations, adjusted SG&amp;A expenses, adjusted operating EBITDA, adjusted operating EBITDA margin, and free cash flow, as well as projections of adjusted operating EBITDA margin and free cash flow for 2020. These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192" w:lineRule="exact"/>
        <w:rPr>
          <w:sz w:val="20"/>
          <w:szCs w:val="20"/>
          <w:color w:val="auto"/>
        </w:rPr>
      </w:pPr>
    </w:p>
    <w:p>
      <w:pPr>
        <w:jc w:val="both"/>
        <w:ind w:right="1039"/>
        <w:spacing w:after="0" w:line="237" w:lineRule="auto"/>
        <w:rPr>
          <w:sz w:val="20"/>
          <w:szCs w:val="20"/>
          <w:color w:val="auto"/>
        </w:rPr>
      </w:pPr>
      <w:r>
        <w:rPr>
          <w:rFonts w:ascii="Arial" w:cs="Arial" w:eastAsia="Arial" w:hAnsi="Arial"/>
          <w:sz w:val="18"/>
          <w:szCs w:val="18"/>
          <w:color w:val="auto"/>
        </w:rPr>
        <w:t>The Company’s non-GAAP results and projections exclude the impact of our acquisition of Advanced Disposal. In addition, the Company’s projected full year 2020 adjusted operating EBITDA margin is anticipated to exclude the effects of other events or circumstances in 2020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89" w:lineRule="exact"/>
        <w:rPr>
          <w:sz w:val="20"/>
          <w:szCs w:val="20"/>
          <w:color w:val="auto"/>
        </w:rPr>
      </w:pPr>
    </w:p>
    <w:p>
      <w:pPr>
        <w:jc w:val="both"/>
        <w:ind w:right="1039"/>
        <w:spacing w:after="0"/>
        <w:rPr>
          <w:sz w:val="20"/>
          <w:szCs w:val="20"/>
          <w:color w:val="auto"/>
        </w:rPr>
      </w:pPr>
      <w:r>
        <w:rPr>
          <w:rFonts w:ascii="Arial" w:cs="Arial" w:eastAsia="Arial" w:hAnsi="Arial"/>
          <w:sz w:val="18"/>
          <w:szCs w:val="18"/>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49" w:right="1440" w:bottom="1440" w:gutter="0" w:footer="0" w:header="0"/>
        </w:sectPr>
      </w:pPr>
    </w:p>
    <w:bookmarkStart w:id="7" w:name="page8"/>
    <w:bookmarkEnd w:id="7"/>
    <w:p>
      <w:pPr>
        <w:jc w:val="both"/>
        <w:ind w:right="1039"/>
        <w:spacing w:after="0" w:line="236" w:lineRule="auto"/>
        <w:rPr>
          <w:sz w:val="20"/>
          <w:szCs w:val="20"/>
          <w:color w:val="auto"/>
        </w:rPr>
      </w:pPr>
      <w:r>
        <w:rPr>
          <w:rFonts w:ascii="Arial" w:cs="Arial" w:eastAsia="Arial" w:hAnsi="Arial"/>
          <w:sz w:val="18"/>
          <w:szCs w:val="18"/>
          <w:color w:val="auto"/>
        </w:rPr>
        <w:t>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94" w:lineRule="exact"/>
        <w:rPr>
          <w:sz w:val="20"/>
          <w:szCs w:val="20"/>
          <w:color w:val="auto"/>
        </w:rPr>
      </w:pPr>
    </w:p>
    <w:p>
      <w:pPr>
        <w:jc w:val="both"/>
        <w:ind w:right="1039"/>
        <w:spacing w:after="0"/>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with the exception of projected adjusted operating EBITDA margin. Non-GAAP measures should not be considered a substitute for financial measures presented in accordance with GAAP.</w:t>
      </w:r>
    </w:p>
    <w:p>
      <w:pPr>
        <w:spacing w:after="0" w:line="18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49"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5"/>
          </w:tcPr>
          <w:p>
            <w:pPr>
              <w:jc w:val="right"/>
              <w:ind w:right="47"/>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4"/>
          </w:tcPr>
          <w:p>
            <w:pPr>
              <w:jc w:val="right"/>
              <w:ind w:right="307"/>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3,861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3,967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2,332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8"/>
              </w:rPr>
              <w:t>2,441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(Gain) loss from divestitures, asset impairments and unusual items, net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3,181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3,233</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Loss on early extinguishment of debt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net losses of unconsolidated entities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14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0.92</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basic common shares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422.7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424.5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424.6</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427.4</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425.0</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Cash and cash equivalents Receivables, net Other</w:t>
      </w:r>
    </w:p>
    <w:p>
      <w:pPr>
        <w:spacing w:after="0" w:line="1" w:lineRule="exact"/>
        <w:rPr>
          <w:sz w:val="20"/>
          <w:szCs w:val="20"/>
          <w:color w:val="auto"/>
        </w:rPr>
      </w:pPr>
    </w:p>
    <w:p>
      <w:pPr>
        <w:ind w:right="260" w:firstLine="216"/>
        <w:spacing w:after="0" w:line="255" w:lineRule="auto"/>
        <w:rPr>
          <w:sz w:val="20"/>
          <w:szCs w:val="20"/>
          <w:color w:val="auto"/>
        </w:rPr>
      </w:pPr>
      <w:r>
        <w:rPr>
          <w:rFonts w:ascii="Arial" w:cs="Arial" w:eastAsia="Arial" w:hAnsi="Arial"/>
          <w:sz w:val="18"/>
          <w:szCs w:val="18"/>
          <w:color w:val="auto"/>
        </w:rPr>
        <w:t>Total current assets Property and equipment, net Goodwill</w:t>
      </w:r>
    </w:p>
    <w:p>
      <w:pPr>
        <w:spacing w:after="0" w:line="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Other intangible assets, net Other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234"/>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rPr>
              <w:t>WASTE MANAGEMENT, INC.</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5"/>
              </w:rPr>
              <w:t>(In Millions)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960" w:type="dxa"/>
            <w:vAlign w:val="bottom"/>
          </w:tcPr>
          <w:p>
            <w:pPr>
              <w:spacing w:after="0"/>
              <w:rPr>
                <w:sz w:val="24"/>
                <w:szCs w:val="24"/>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4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2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12,846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-1560195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-1276985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-1002665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-711200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-436880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-154305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-127635</wp:posOffset>
            </wp:positionV>
            <wp:extent cx="170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2300" w:space="720"/>
            <w:col w:w="822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Accounts payable, accrued liabilities and deferred revenues</w:t>
            </w:r>
          </w:p>
        </w:tc>
        <w:tc>
          <w:tcPr>
            <w:tcW w:w="24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2,639</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2,926</w:t>
            </w:r>
          </w:p>
        </w:tc>
        <w:tc>
          <w:tcPr>
            <w:tcW w:w="80" w:type="dxa"/>
            <w:vAlign w:val="bottom"/>
          </w:tcPr>
          <w:p>
            <w:pPr>
              <w:spacing w:after="0"/>
              <w:rPr>
                <w:sz w:val="18"/>
                <w:szCs w:val="18"/>
                <w:color w:val="auto"/>
              </w:rPr>
            </w:pPr>
          </w:p>
        </w:tc>
      </w:tr>
      <w:tr>
        <w:trPr>
          <w:trHeight w:val="229"/>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9"/>
                <w:szCs w:val="19"/>
                <w:color w:val="auto"/>
              </w:rPr>
            </w:pPr>
          </w:p>
        </w:tc>
      </w:tr>
      <w:tr>
        <w:trPr>
          <w:trHeight w:val="210"/>
        </w:trPr>
        <w:tc>
          <w:tcPr>
            <w:tcW w:w="64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0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13,280</w:t>
            </w:r>
          </w:p>
        </w:tc>
        <w:tc>
          <w:tcPr>
            <w:tcW w:w="80" w:type="dxa"/>
            <w:vAlign w:val="bottom"/>
            <w:shd w:val="clear" w:color="auto" w:fill="CCEEFF"/>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4,249</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8"/>
                <w:szCs w:val="18"/>
                <w:color w:val="auto"/>
              </w:rPr>
              <w:t>Equity:</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Waste Management, Inc. stockholders’ equity</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7,068</w:t>
            </w:r>
          </w:p>
        </w:tc>
        <w:tc>
          <w:tcPr>
            <w:tcW w:w="80" w:type="dxa"/>
            <w:vAlign w:val="bottom"/>
            <w:shd w:val="clear" w:color="auto" w:fill="CCEEFF"/>
          </w:tcPr>
          <w:p>
            <w:pPr>
              <w:spacing w:after="0"/>
              <w:rPr>
                <w:sz w:val="18"/>
                <w:szCs w:val="18"/>
                <w:color w:val="auto"/>
              </w:rPr>
            </w:pPr>
          </w:p>
        </w:tc>
      </w:tr>
      <w:tr>
        <w:trPr>
          <w:trHeight w:val="229"/>
        </w:trPr>
        <w:tc>
          <w:tcPr>
            <w:tcW w:w="642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2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20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6"/>
          </w:tcPr>
          <w:p>
            <w:pPr>
              <w:jc w:val="right"/>
              <w:ind w:right="60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1,058</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1,224</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1,235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1,179</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early extinguishment of debt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289</w:t>
            </w:r>
          </w:p>
        </w:tc>
      </w:tr>
      <w:tr>
        <w:trPr>
          <w:trHeight w:val="230"/>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w:t>
            </w:r>
          </w:p>
        </w:tc>
      </w:tr>
      <w:tr>
        <w:trPr>
          <w:trHeight w:val="209"/>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tcPr>
          <w:p>
            <w:pPr>
              <w:spacing w:after="0"/>
              <w:rPr>
                <w:sz w:val="18"/>
                <w:szCs w:val="18"/>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29</w:t>
            </w:r>
          </w:p>
        </w:tc>
      </w:tr>
      <w:tr>
        <w:trPr>
          <w:trHeight w:val="229"/>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New borrowings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4,558</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repayments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(3,942)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Premiums paid on early extinguishment of debt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commercial paper borrowings (repayments)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Common stock repurchase program</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dividends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Exercise of common stock options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60</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7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Effect of exchange rate changes on cash, cash equivalents and restricted cash and cash equivalents</w:t>
            </w: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00" w:type="dxa"/>
            <w:vAlign w:val="bottom"/>
            <w:shd w:val="clear" w:color="auto" w:fill="CCEEFF"/>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3,647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183</w:t>
            </w:r>
          </w:p>
        </w:tc>
      </w:tr>
      <w:tr>
        <w:trPr>
          <w:trHeight w:val="223"/>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4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rPr>
              <w:t>WASTE MANAGEMENT, INC.</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9"/>
              </w:rPr>
              <w:t>SUMMARY DATA SHEET</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5"/>
              </w:rPr>
              <w:t>(In Millions)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20" w:type="dxa"/>
            <w:vAlign w:val="bottom"/>
            <w:gridSpan w:val="4"/>
          </w:tcPr>
          <w:p>
            <w:pPr>
              <w:spacing w:after="0"/>
              <w:rPr>
                <w:sz w:val="20"/>
                <w:szCs w:val="20"/>
                <w:color w:val="auto"/>
              </w:rPr>
            </w:pPr>
            <w:r>
              <w:rPr>
                <w:rFonts w:ascii="Arial" w:cs="Arial" w:eastAsia="Arial" w:hAnsi="Arial"/>
                <w:sz w:val="18"/>
                <w:szCs w:val="18"/>
                <w:b w:val="1"/>
                <w:bCs w:val="1"/>
                <w:color w:val="auto"/>
                <w:w w:val="94"/>
              </w:rPr>
              <w:t>Operating Revenues by Line of Business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7"/>
          </w:tcPr>
          <w:p>
            <w:pPr>
              <w:jc w:val="center"/>
              <w:ind w:left="198"/>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0" w:type="dxa"/>
            <w:vAlign w:val="bottom"/>
            <w:gridSpan w:val="10"/>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7"/>
          </w:tcPr>
          <w:p>
            <w:pPr>
              <w:jc w:val="center"/>
              <w:ind w:left="218"/>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gridSpan w:val="4"/>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8"/>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1,069</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661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1,969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Other collection</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9"/>
        </w:trPr>
        <w:tc>
          <w:tcPr>
            <w:tcW w:w="2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collection</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2,626</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Landfill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993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2,707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245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Intercompany (a)</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(837)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88"/>
              <w:spacing w:after="0"/>
              <w:rPr>
                <w:sz w:val="20"/>
                <w:szCs w:val="20"/>
                <w:color w:val="auto"/>
              </w:rPr>
            </w:pPr>
            <w:r>
              <w:rPr>
                <w:rFonts w:ascii="Arial" w:cs="Arial" w:eastAsia="Arial" w:hAnsi="Arial"/>
                <w:sz w:val="18"/>
                <w:szCs w:val="18"/>
                <w:color w:val="auto"/>
                <w:w w:val="98"/>
              </w:rPr>
              <w:t>(2,393)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3,967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11,151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4"/>
          </w:tcPr>
          <w:p>
            <w:pPr>
              <w:jc w:val="right"/>
              <w:ind w:right="1080"/>
              <w:spacing w:after="0"/>
              <w:rPr>
                <w:sz w:val="20"/>
                <w:szCs w:val="20"/>
                <w:color w:val="auto"/>
              </w:rPr>
            </w:pPr>
            <w:r>
              <w:rPr>
                <w:rFonts w:ascii="Arial" w:cs="Arial" w:eastAsia="Arial" w:hAnsi="Arial"/>
                <w:sz w:val="14"/>
                <w:szCs w:val="14"/>
                <w:b w:val="1"/>
                <w:bCs w:val="1"/>
                <w:color w:val="auto"/>
              </w:rPr>
              <w:t>Period-to-Period Change for the Three Months</w:t>
            </w:r>
          </w:p>
        </w:tc>
        <w:tc>
          <w:tcPr>
            <w:tcW w:w="60" w:type="dxa"/>
            <w:vAlign w:val="bottom"/>
          </w:tcPr>
          <w:p>
            <w:pPr>
              <w:spacing w:after="0"/>
              <w:rPr>
                <w:sz w:val="24"/>
                <w:szCs w:val="24"/>
                <w:color w:val="auto"/>
              </w:rPr>
            </w:pPr>
          </w:p>
        </w:tc>
        <w:tc>
          <w:tcPr>
            <w:tcW w:w="4220" w:type="dxa"/>
            <w:vAlign w:val="bottom"/>
            <w:gridSpan w:val="16"/>
          </w:tcPr>
          <w:p>
            <w:pPr>
              <w:ind w:left="520"/>
              <w:spacing w:after="0"/>
              <w:rPr>
                <w:sz w:val="20"/>
                <w:szCs w:val="20"/>
                <w:color w:val="auto"/>
              </w:rPr>
            </w:pPr>
            <w:r>
              <w:rPr>
                <w:rFonts w:ascii="Arial" w:cs="Arial" w:eastAsia="Arial" w:hAnsi="Arial"/>
                <w:sz w:val="14"/>
                <w:szCs w:val="14"/>
                <w:b w:val="1"/>
                <w:bCs w:val="1"/>
                <w:color w:val="auto"/>
              </w:rPr>
              <w:t>Period-to-Period Change for the Nine Months</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w w:val="92"/>
              </w:rPr>
              <w:t>Ended September 30, 2020 vs. 2019</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4"/>
                <w:szCs w:val="14"/>
                <w:b w:val="1"/>
                <w:bCs w:val="1"/>
                <w:color w:val="auto"/>
                <w:w w:val="93"/>
              </w:rPr>
              <w:t>Ended September 30, 2020 vs. 2019</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90"/>
              <w:spacing w:after="0" w:line="119" w:lineRule="exact"/>
              <w:rPr>
                <w:sz w:val="20"/>
                <w:szCs w:val="20"/>
                <w:color w:val="auto"/>
              </w:rPr>
            </w:pPr>
            <w:r>
              <w:rPr>
                <w:rFonts w:ascii="Arial" w:cs="Arial" w:eastAsia="Arial" w:hAnsi="Arial"/>
                <w:sz w:val="13"/>
                <w:szCs w:val="13"/>
                <w:b w:val="1"/>
                <w:bCs w:val="1"/>
                <w:color w:val="auto"/>
              </w:rPr>
              <w:t>As a % of</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5"/>
          </w:tcPr>
          <w:p>
            <w:pPr>
              <w:jc w:val="center"/>
              <w:ind w:right="248"/>
              <w:spacing w:after="0" w:line="119" w:lineRule="exact"/>
              <w:rPr>
                <w:sz w:val="20"/>
                <w:szCs w:val="20"/>
                <w:color w:val="auto"/>
              </w:rPr>
            </w:pPr>
            <w:r>
              <w:rPr>
                <w:rFonts w:ascii="Arial" w:cs="Arial" w:eastAsia="Arial" w:hAnsi="Arial"/>
                <w:sz w:val="13"/>
                <w:szCs w:val="13"/>
                <w:b w:val="1"/>
                <w:bCs w:val="1"/>
                <w:color w:val="auto"/>
              </w:rPr>
              <w:t>As a % of</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4"/>
              </w:rPr>
              <w:t>Related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248"/>
              <w:spacing w:after="0"/>
              <w:rPr>
                <w:sz w:val="20"/>
                <w:szCs w:val="20"/>
                <w:color w:val="auto"/>
              </w:rPr>
            </w:pPr>
            <w:r>
              <w:rPr>
                <w:rFonts w:ascii="Arial" w:cs="Arial" w:eastAsia="Arial" w:hAnsi="Arial"/>
                <w:sz w:val="14"/>
                <w:szCs w:val="14"/>
                <w:b w:val="1"/>
                <w:bCs w:val="1"/>
                <w:color w:val="auto"/>
                <w:w w:val="90"/>
              </w:rPr>
              <w:t>Related</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Business(b)</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gridSpan w:val="2"/>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Company(c)</w:t>
            </w:r>
          </w:p>
        </w:tc>
        <w:tc>
          <w:tcPr>
            <w:tcW w:w="28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Business(b)</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Company(c)</w:t>
            </w:r>
          </w:p>
        </w:tc>
        <w:tc>
          <w:tcPr>
            <w:tcW w:w="18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Collection and disposal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center"/>
              <w:ind w:left="1058"/>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Recycling commodities (d)</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c>
          <w:tcPr>
            <w:tcW w:w="1180" w:type="dxa"/>
            <w:vAlign w:val="bottom"/>
            <w:gridSpan w:val="3"/>
          </w:tcPr>
          <w:p>
            <w:pPr>
              <w:jc w:val="right"/>
              <w:ind w:right="90"/>
              <w:spacing w:after="0"/>
              <w:rPr>
                <w:sz w:val="20"/>
                <w:szCs w:val="20"/>
                <w:color w:val="auto"/>
              </w:rPr>
            </w:pPr>
            <w:r>
              <w:rPr>
                <w:rFonts w:ascii="Arial" w:cs="Arial" w:eastAsia="Arial" w:hAnsi="Arial"/>
                <w:sz w:val="14"/>
                <w:szCs w:val="14"/>
                <w:color w:val="auto"/>
              </w:rPr>
              <w:t>16.6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Fuel surcharges and mandated fees</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118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(27.3)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Pr>
          <w:p>
            <w:pPr>
              <w:ind w:left="180"/>
              <w:spacing w:after="0" w:line="142" w:lineRule="exact"/>
              <w:rPr>
                <w:sz w:val="20"/>
                <w:szCs w:val="20"/>
                <w:color w:val="auto"/>
              </w:rPr>
            </w:pPr>
            <w:r>
              <w:rPr>
                <w:rFonts w:ascii="Arial" w:cs="Arial" w:eastAsia="Arial" w:hAnsi="Arial"/>
                <w:sz w:val="14"/>
                <w:szCs w:val="14"/>
                <w:color w:val="auto"/>
              </w:rPr>
              <w:t>Total average yield (e)</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gridSpan w:val="2"/>
          </w:tcPr>
          <w:p>
            <w:pPr>
              <w:jc w:val="right"/>
              <w:ind w:right="9"/>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90</w:t>
            </w:r>
          </w:p>
        </w:tc>
        <w:tc>
          <w:tcPr>
            <w:tcW w:w="140" w:type="dxa"/>
            <w:vAlign w:val="bottom"/>
          </w:tcPr>
          <w:p>
            <w:pPr>
              <w:spacing w:after="0"/>
              <w:rPr>
                <w:sz w:val="12"/>
                <w:szCs w:val="12"/>
                <w:color w:val="auto"/>
              </w:rPr>
            </w:pPr>
          </w:p>
        </w:tc>
        <w:tc>
          <w:tcPr>
            <w:tcW w:w="11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2.3%</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106</w:t>
            </w:r>
          </w:p>
        </w:tc>
        <w:tc>
          <w:tcPr>
            <w:tcW w:w="106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Volume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(197)</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5"/>
              </w:rPr>
              <w:t>(593)</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ind w:left="180"/>
              <w:spacing w:after="0"/>
              <w:rPr>
                <w:sz w:val="20"/>
                <w:szCs w:val="20"/>
                <w:color w:val="auto"/>
              </w:rPr>
            </w:pPr>
            <w:r>
              <w:rPr>
                <w:rFonts w:ascii="Arial" w:cs="Arial" w:eastAsia="Arial" w:hAnsi="Arial"/>
                <w:sz w:val="14"/>
                <w:szCs w:val="14"/>
                <w:color w:val="auto"/>
              </w:rPr>
              <w:t>Internal revenue growth</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(107)</w:t>
            </w: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73"/>
              </w:rPr>
              <w:t>(487)</w:t>
            </w:r>
          </w:p>
        </w:tc>
        <w:tc>
          <w:tcPr>
            <w:tcW w:w="220" w:type="dxa"/>
            <w:vAlign w:val="bottom"/>
            <w:vMerge w:val="continue"/>
          </w:tcPr>
          <w:p>
            <w:pPr>
              <w:spacing w:after="0"/>
              <w:rPr>
                <w:sz w:val="12"/>
                <w:szCs w:val="12"/>
                <w:color w:val="auto"/>
              </w:rPr>
            </w:pPr>
          </w:p>
        </w:tc>
        <w:tc>
          <w:tcPr>
            <w:tcW w:w="9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Acquisitions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180"/>
              <w:spacing w:after="0" w:line="149" w:lineRule="exact"/>
              <w:rPr>
                <w:sz w:val="20"/>
                <w:szCs w:val="20"/>
                <w:color w:val="auto"/>
              </w:rPr>
            </w:pPr>
            <w:r>
              <w:rPr>
                <w:rFonts w:ascii="Arial" w:cs="Arial" w:eastAsia="Arial" w:hAnsi="Arial"/>
                <w:sz w:val="14"/>
                <w:szCs w:val="14"/>
                <w:color w:val="auto"/>
              </w:rPr>
              <w:t>Divestitures</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300" w:type="dxa"/>
            <w:vAlign w:val="bottom"/>
            <w:gridSpan w:val="4"/>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Foreign currency translation</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ind w:left="3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4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(106)</w:t>
            </w: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73"/>
              </w:rPr>
              <w:t>(458)</w:t>
            </w:r>
          </w:p>
        </w:tc>
        <w:tc>
          <w:tcPr>
            <w:tcW w:w="220" w:type="dxa"/>
            <w:vAlign w:val="bottom"/>
            <w:vMerge w:val="continue"/>
          </w:tcPr>
          <w:p>
            <w:pPr>
              <w:spacing w:after="0"/>
              <w:rPr>
                <w:sz w:val="12"/>
                <w:szCs w:val="12"/>
                <w:color w:val="auto"/>
              </w:rPr>
            </w:pPr>
          </w:p>
        </w:tc>
        <w:tc>
          <w:tcPr>
            <w:tcW w:w="10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064" w:gutter="0" w:footer="0" w:header="0"/>
        </w:sectPr>
      </w:pPr>
    </w:p>
    <w:p>
      <w:pPr>
        <w:jc w:val="center"/>
        <w:ind w:left="5420"/>
        <w:spacing w:after="0"/>
        <w:rPr>
          <w:sz w:val="20"/>
          <w:szCs w:val="20"/>
          <w:color w:val="auto"/>
        </w:rPr>
      </w:pPr>
      <w:r>
        <w:rPr>
          <w:rFonts w:ascii="Arial" w:cs="Arial" w:eastAsia="Arial" w:hAnsi="Arial"/>
          <w:sz w:val="16"/>
          <w:szCs w:val="16"/>
          <w:b w:val="1"/>
          <w:bCs w:val="1"/>
          <w:color w:val="auto"/>
        </w:rPr>
        <w:t>Period-to-Period Change for the</w:t>
      </w:r>
    </w:p>
    <w:p>
      <w:pPr>
        <w:spacing w:after="0" w:line="50" w:lineRule="exact"/>
        <w:rPr>
          <w:sz w:val="20"/>
          <w:szCs w:val="20"/>
          <w:color w:val="auto"/>
        </w:rPr>
      </w:pPr>
    </w:p>
    <w:p>
      <w:pPr>
        <w:jc w:val="center"/>
        <w:ind w:left="5420"/>
        <w:spacing w:after="0"/>
        <w:rPr>
          <w:sz w:val="20"/>
          <w:szCs w:val="20"/>
          <w:color w:val="auto"/>
        </w:rPr>
      </w:pPr>
      <w:r>
        <w:rPr>
          <w:rFonts w:ascii="Arial" w:cs="Arial" w:eastAsia="Arial" w:hAnsi="Arial"/>
          <w:sz w:val="18"/>
          <w:szCs w:val="18"/>
          <w:b w:val="1"/>
          <w:bCs w:val="1"/>
          <w:color w:val="auto"/>
        </w:rPr>
        <w:t>Three Months</w:t>
      </w:r>
    </w:p>
    <w:p>
      <w:pPr>
        <w:spacing w:after="0" w:line="9" w:lineRule="exact"/>
        <w:rPr>
          <w:sz w:val="20"/>
          <w:szCs w:val="20"/>
          <w:color w:val="auto"/>
        </w:rPr>
      </w:pPr>
    </w:p>
    <w:p>
      <w:pPr>
        <w:jc w:val="center"/>
        <w:ind w:left="5420"/>
        <w:spacing w:after="0"/>
        <w:rPr>
          <w:sz w:val="20"/>
          <w:szCs w:val="20"/>
          <w:color w:val="auto"/>
        </w:rPr>
      </w:pPr>
      <w:r>
        <w:rPr>
          <w:rFonts w:ascii="Arial" w:cs="Arial" w:eastAsia="Arial" w:hAnsi="Arial"/>
          <w:sz w:val="17"/>
          <w:szCs w:val="17"/>
          <w:b w:val="1"/>
          <w:bCs w:val="1"/>
          <w:color w:val="auto"/>
        </w:rPr>
        <w:t>Ended September 30, 2020 vs.</w:t>
      </w:r>
    </w:p>
    <w:p>
      <w:pPr>
        <w:spacing w:after="0" w:line="21" w:lineRule="exact"/>
        <w:rPr>
          <w:sz w:val="20"/>
          <w:szCs w:val="20"/>
          <w:color w:val="auto"/>
        </w:rPr>
      </w:pPr>
    </w:p>
    <w:p>
      <w:pPr>
        <w:jc w:val="center"/>
        <w:ind w:left="542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5715</wp:posOffset>
            </wp:positionV>
            <wp:extent cx="17056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6"/>
          <w:szCs w:val="16"/>
          <w:b w:val="1"/>
          <w:bCs w:val="1"/>
          <w:color w:val="auto"/>
        </w:rPr>
        <w:t>As a % of Related Business(b)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29210</wp:posOffset>
            </wp:positionV>
            <wp:extent cx="170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34" w:lineRule="exact"/>
        <w:rPr>
          <w:sz w:val="20"/>
          <w:szCs w:val="20"/>
          <w:color w:val="auto"/>
        </w:rPr>
      </w:pPr>
    </w:p>
    <w:p>
      <w:pPr>
        <w:ind w:left="5720"/>
        <w:spacing w:after="0"/>
        <w:tabs>
          <w:tab w:leader="none" w:pos="7000" w:val="left"/>
        </w:tabs>
        <w:rPr>
          <w:sz w:val="20"/>
          <w:szCs w:val="20"/>
          <w:color w:val="auto"/>
        </w:rPr>
      </w:pPr>
      <w:r>
        <w:rPr>
          <w:rFonts w:ascii="Arial" w:cs="Arial" w:eastAsia="Arial" w:hAnsi="Arial"/>
          <w:sz w:val="18"/>
          <w:szCs w:val="18"/>
          <w:b w:val="1"/>
          <w:bCs w:val="1"/>
          <w:color w:val="auto"/>
        </w:rPr>
        <w:t>Yield</w:t>
      </w:r>
      <w:r>
        <w:rPr>
          <w:sz w:val="20"/>
          <w:szCs w:val="20"/>
          <w:color w:val="auto"/>
        </w:rPr>
        <w:tab/>
      </w:r>
      <w:r>
        <w:rPr>
          <w:rFonts w:ascii="Arial" w:cs="Arial" w:eastAsia="Arial" w:hAnsi="Arial"/>
          <w:sz w:val="18"/>
          <w:szCs w:val="18"/>
          <w:b w:val="1"/>
          <w:bCs w:val="1"/>
          <w:color w:val="auto"/>
        </w:rPr>
        <w:t>Volume(f)</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6"/>
          <w:szCs w:val="16"/>
          <w:b w:val="1"/>
          <w:bCs w:val="1"/>
          <w:color w:val="auto"/>
        </w:rPr>
        <w:t>Period-to-Period Change for the</w:t>
      </w:r>
    </w:p>
    <w:p>
      <w:pPr>
        <w:spacing w:after="0" w:line="50"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Nine Months</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Ended September 30, 2020 vs.</w:t>
      </w:r>
    </w:p>
    <w:p>
      <w:pPr>
        <w:spacing w:after="0" w:line="2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17062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b w:val="1"/>
          <w:bCs w:val="1"/>
          <w:color w:val="auto"/>
        </w:rPr>
        <w:t>As a % of Related Business(b)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29210</wp:posOffset>
            </wp:positionV>
            <wp:extent cx="17062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spacing w:after="0" w:line="34" w:lineRule="exact"/>
        <w:rPr>
          <w:sz w:val="20"/>
          <w:szCs w:val="20"/>
          <w:color w:val="auto"/>
        </w:rPr>
      </w:pPr>
    </w:p>
    <w:p>
      <w:pPr>
        <w:ind w:left="300"/>
        <w:spacing w:after="0"/>
        <w:tabs>
          <w:tab w:leader="none" w:pos="1580" w:val="left"/>
        </w:tabs>
        <w:rPr>
          <w:sz w:val="20"/>
          <w:szCs w:val="20"/>
          <w:color w:val="auto"/>
        </w:rPr>
      </w:pPr>
      <w:r>
        <w:rPr>
          <w:rFonts w:ascii="Arial" w:cs="Arial" w:eastAsia="Arial" w:hAnsi="Arial"/>
          <w:sz w:val="18"/>
          <w:szCs w:val="18"/>
          <w:b w:val="1"/>
          <w:bCs w:val="1"/>
          <w:color w:val="auto"/>
        </w:rPr>
        <w:t>Yield</w:t>
      </w:r>
      <w:r>
        <w:rPr>
          <w:sz w:val="20"/>
          <w:szCs w:val="20"/>
          <w:color w:val="auto"/>
        </w:rPr>
        <w:tab/>
      </w:r>
      <w:r>
        <w:rPr>
          <w:rFonts w:ascii="Arial" w:cs="Arial" w:eastAsia="Arial" w:hAnsi="Arial"/>
          <w:sz w:val="18"/>
          <w:szCs w:val="18"/>
          <w:b w:val="1"/>
          <w:bCs w:val="1"/>
          <w:color w:val="auto"/>
        </w:rPr>
        <w:t>Volume(f)</w:t>
      </w:r>
    </w:p>
    <w:p>
      <w:pPr>
        <w:spacing w:after="0" w:line="47" w:lineRule="exact"/>
        <w:rPr>
          <w:sz w:val="20"/>
          <w:szCs w:val="20"/>
          <w:color w:val="auto"/>
        </w:rPr>
      </w:pPr>
    </w:p>
    <w:p>
      <w:pPr>
        <w:sectPr>
          <w:pgSz w:w="11900" w:h="16838" w:orient="portrait"/>
          <w:cols w:equalWidth="0" w:num="2">
            <w:col w:w="7920" w:space="520"/>
            <w:col w:w="2800"/>
          </w:cols>
          <w:pgMar w:left="320" w:top="904" w:right="339" w:bottom="1064"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3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0"/>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Commercial</w:t>
            </w:r>
          </w:p>
        </w:tc>
        <w:tc>
          <w:tcPr>
            <w:tcW w:w="1480" w:type="dxa"/>
            <w:vAlign w:val="bottom"/>
            <w:gridSpan w:val="2"/>
            <w:shd w:val="clear" w:color="auto" w:fill="CCEEFF"/>
          </w:tcPr>
          <w:p>
            <w:pPr>
              <w:ind w:left="980"/>
              <w:spacing w:after="0" w:line="189" w:lineRule="exact"/>
              <w:rPr>
                <w:sz w:val="20"/>
                <w:szCs w:val="20"/>
                <w:color w:val="auto"/>
              </w:rPr>
            </w:pPr>
            <w:r>
              <w:rPr>
                <w:rFonts w:ascii="Arial" w:cs="Arial" w:eastAsia="Arial" w:hAnsi="Arial"/>
                <w:sz w:val="18"/>
                <w:szCs w:val="18"/>
                <w:color w:val="auto"/>
              </w:rPr>
              <w:t>3.4%</w:t>
            </w:r>
          </w:p>
        </w:tc>
        <w:tc>
          <w:tcPr>
            <w:tcW w:w="15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(5.7)%</w:t>
            </w:r>
          </w:p>
        </w:tc>
        <w:tc>
          <w:tcPr>
            <w:tcW w:w="1460" w:type="dxa"/>
            <w:vAlign w:val="bottom"/>
            <w:gridSpan w:val="2"/>
            <w:shd w:val="clear" w:color="auto" w:fill="CCEEFF"/>
          </w:tcPr>
          <w:p>
            <w:pPr>
              <w:ind w:left="980"/>
              <w:spacing w:after="0" w:line="189" w:lineRule="exact"/>
              <w:rPr>
                <w:sz w:val="20"/>
                <w:szCs w:val="20"/>
                <w:color w:val="auto"/>
              </w:rPr>
            </w:pPr>
            <w:r>
              <w:rPr>
                <w:rFonts w:ascii="Arial" w:cs="Arial" w:eastAsia="Arial" w:hAnsi="Arial"/>
                <w:sz w:val="18"/>
                <w:szCs w:val="18"/>
                <w:color w:val="auto"/>
              </w:rPr>
              <w:t>2.5%</w:t>
            </w:r>
          </w:p>
        </w:tc>
        <w:tc>
          <w:tcPr>
            <w:tcW w:w="1440" w:type="dxa"/>
            <w:vAlign w:val="bottom"/>
            <w:gridSpan w:val="2"/>
            <w:shd w:val="clear" w:color="auto" w:fill="CCEEFF"/>
          </w:tcPr>
          <w:p>
            <w:pPr>
              <w:ind w:left="940"/>
              <w:spacing w:after="0" w:line="189" w:lineRule="exact"/>
              <w:rPr>
                <w:sz w:val="20"/>
                <w:szCs w:val="20"/>
                <w:color w:val="auto"/>
              </w:rPr>
            </w:pPr>
            <w:r>
              <w:rPr>
                <w:rFonts w:ascii="Arial" w:cs="Arial" w:eastAsia="Arial" w:hAnsi="Arial"/>
                <w:sz w:val="18"/>
                <w:szCs w:val="18"/>
                <w:color w:val="auto"/>
                <w:w w:val="90"/>
              </w:rPr>
              <w:t>(4.9)%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Industrial</w:t>
            </w:r>
          </w:p>
        </w:tc>
        <w:tc>
          <w:tcPr>
            <w:tcW w:w="1480" w:type="dxa"/>
            <w:vAlign w:val="bottom"/>
            <w:gridSpan w:val="2"/>
          </w:tcPr>
          <w:p>
            <w:pPr>
              <w:ind w:left="980"/>
              <w:spacing w:after="0"/>
              <w:rPr>
                <w:sz w:val="20"/>
                <w:szCs w:val="20"/>
                <w:color w:val="auto"/>
              </w:rPr>
            </w:pPr>
            <w:r>
              <w:rPr>
                <w:rFonts w:ascii="Arial" w:cs="Arial" w:eastAsia="Arial" w:hAnsi="Arial"/>
                <w:sz w:val="18"/>
                <w:szCs w:val="18"/>
                <w:color w:val="auto"/>
              </w:rPr>
              <w:t>3.0</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2.5</w:t>
            </w: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(9.3)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4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3.5</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2.6</w:t>
            </w: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Total collection</w:t>
            </w:r>
          </w:p>
        </w:tc>
        <w:tc>
          <w:tcPr>
            <w:tcW w:w="1480" w:type="dxa"/>
            <w:vAlign w:val="bottom"/>
            <w:gridSpan w:val="2"/>
          </w:tcPr>
          <w:p>
            <w:pPr>
              <w:ind w:left="980"/>
              <w:spacing w:after="0"/>
              <w:rPr>
                <w:sz w:val="20"/>
                <w:szCs w:val="20"/>
                <w:color w:val="auto"/>
              </w:rPr>
            </w:pPr>
            <w:r>
              <w:rPr>
                <w:rFonts w:ascii="Arial" w:cs="Arial" w:eastAsia="Arial" w:hAnsi="Arial"/>
                <w:sz w:val="18"/>
                <w:szCs w:val="18"/>
                <w:color w:val="auto"/>
              </w:rPr>
              <w:t>3.2</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2.5</w:t>
            </w: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(5.2)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MSW</w:t>
            </w:r>
          </w:p>
        </w:tc>
        <w:tc>
          <w:tcPr>
            <w:tcW w:w="14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1.9</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2.3</w:t>
            </w: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Transfer</w:t>
            </w:r>
          </w:p>
        </w:tc>
        <w:tc>
          <w:tcPr>
            <w:tcW w:w="1480" w:type="dxa"/>
            <w:vAlign w:val="bottom"/>
            <w:gridSpan w:val="2"/>
          </w:tcPr>
          <w:p>
            <w:pPr>
              <w:ind w:left="980"/>
              <w:spacing w:after="0"/>
              <w:rPr>
                <w:sz w:val="20"/>
                <w:szCs w:val="20"/>
                <w:color w:val="auto"/>
              </w:rPr>
            </w:pPr>
            <w:r>
              <w:rPr>
                <w:rFonts w:ascii="Arial" w:cs="Arial" w:eastAsia="Arial" w:hAnsi="Arial"/>
                <w:sz w:val="18"/>
                <w:szCs w:val="18"/>
                <w:color w:val="auto"/>
              </w:rPr>
              <w:t>3.6</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3.0</w:t>
            </w: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(1.0)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collection and disposal</w:t>
            </w:r>
          </w:p>
        </w:tc>
        <w:tc>
          <w:tcPr>
            <w:tcW w:w="14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2.6%</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2.1%</w:t>
            </w: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0"/>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4" w:lineRule="exact"/>
        <w:rPr>
          <w:sz w:val="20"/>
          <w:szCs w:val="20"/>
          <w:color w:val="auto"/>
        </w:rPr>
      </w:pPr>
    </w:p>
    <w:p>
      <w:pPr>
        <w:ind w:left="380" w:hanging="31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225" w:lineRule="exact"/>
        <w:rPr>
          <w:rFonts w:ascii="Arial" w:cs="Arial" w:eastAsia="Arial" w:hAnsi="Arial"/>
          <w:sz w:val="18"/>
          <w:szCs w:val="18"/>
          <w:color w:val="auto"/>
        </w:rPr>
      </w:pPr>
    </w:p>
    <w:p>
      <w:pPr>
        <w:ind w:left="380" w:hanging="31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170" w:lineRule="exact"/>
        <w:rPr>
          <w:rFonts w:ascii="Arial" w:cs="Arial" w:eastAsia="Arial" w:hAnsi="Arial"/>
          <w:sz w:val="18"/>
          <w:szCs w:val="18"/>
          <w:color w:val="auto"/>
        </w:rPr>
      </w:pPr>
    </w:p>
    <w:p>
      <w:pPr>
        <w:ind w:left="380" w:hanging="31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170" w:lineRule="exact"/>
        <w:rPr>
          <w:rFonts w:ascii="Arial" w:cs="Arial" w:eastAsia="Arial" w:hAnsi="Arial"/>
          <w:sz w:val="18"/>
          <w:szCs w:val="18"/>
          <w:color w:val="auto"/>
        </w:rPr>
      </w:pPr>
    </w:p>
    <w:p>
      <w:pPr>
        <w:ind w:left="380" w:hanging="31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and changes in fees.</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064"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Free Cash Flow (a)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9"/>
            <w:vMerge w:val="restart"/>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0"/>
                <w:szCs w:val="20"/>
                <w:color w:val="auto"/>
              </w:rPr>
            </w:pPr>
          </w:p>
        </w:tc>
        <w:tc>
          <w:tcPr>
            <w:tcW w:w="2560" w:type="dxa"/>
            <w:vAlign w:val="bottom"/>
            <w:gridSpan w:val="10"/>
            <w:vMerge w:val="restart"/>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11"/>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9"/>
            <w:vMerge w:val="continue"/>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1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56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4"/>
              </w:rPr>
              <w:t>2,650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ind w:left="540"/>
              <w:spacing w:after="0"/>
              <w:rPr>
                <w:sz w:val="20"/>
                <w:szCs w:val="20"/>
                <w:color w:val="auto"/>
              </w:rPr>
            </w:pPr>
            <w:r>
              <w:rPr>
                <w:rFonts w:ascii="Arial" w:cs="Arial" w:eastAsia="Arial" w:hAnsi="Arial"/>
                <w:sz w:val="18"/>
                <w:szCs w:val="18"/>
                <w:color w:val="auto"/>
              </w:rPr>
              <w:t>(1,238)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Proceeds from divestitures of businesses and other assets (net of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divested)</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Free cash flow</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8"/>
                <w:szCs w:val="18"/>
                <w:color w:val="auto"/>
                <w:w w:val="84"/>
              </w:rPr>
              <w:t>1,432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9"/>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560" w:type="dxa"/>
            <w:vAlign w:val="bottom"/>
            <w:gridSpan w:val="10"/>
          </w:tcPr>
          <w:p>
            <w:pPr>
              <w:ind w:left="2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w w:val="87"/>
              </w:rPr>
              <w:t>September 30,</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68.4%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amortizable tons (in millions)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annualized revenue acquired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net of cash acquired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Cash paid for acquisitions consummated during the period, net of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Cash paid for acquisitions including contingent consideration and other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from prior periods, net of cash 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400" w:type="dxa"/>
            <w:vAlign w:val="bottom"/>
          </w:tcPr>
          <w:p>
            <w:pPr>
              <w:spacing w:after="0"/>
              <w:rPr>
                <w:sz w:val="20"/>
                <w:szCs w:val="20"/>
                <w:color w:val="auto"/>
              </w:rPr>
            </w:pPr>
            <w:r>
              <w:rPr>
                <w:rFonts w:ascii="Arial" w:cs="Arial" w:eastAsia="Arial" w:hAnsi="Arial"/>
                <w:sz w:val="18"/>
                <w:szCs w:val="18"/>
                <w:b w:val="1"/>
                <w:bCs w:val="1"/>
                <w:color w:val="auto"/>
              </w:rPr>
              <w:t>Amortization, Accretion and Other Expenses for Landfills: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56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Cost basis of landfill assets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120</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ind w:left="740"/>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18"/>
                <w:szCs w:val="18"/>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340"/>
              <w:spacing w:after="0"/>
              <w:rPr>
                <w:sz w:val="20"/>
                <w:szCs w:val="20"/>
                <w:color w:val="auto"/>
              </w:rPr>
            </w:pPr>
            <w:r>
              <w:rPr>
                <w:rFonts w:ascii="Arial" w:cs="Arial" w:eastAsia="Arial" w:hAnsi="Arial"/>
                <w:sz w:val="18"/>
                <w:szCs w:val="18"/>
                <w:color w:val="auto"/>
              </w:rPr>
              <w:t>Total landfill amortization expense</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ind w:left="740"/>
              <w:spacing w:after="0"/>
              <w:rPr>
                <w:sz w:val="20"/>
                <w:szCs w:val="20"/>
                <w:color w:val="auto"/>
              </w:rPr>
            </w:pPr>
            <w:r>
              <w:rPr>
                <w:rFonts w:ascii="Arial" w:cs="Arial" w:eastAsia="Arial" w:hAnsi="Arial"/>
                <w:sz w:val="18"/>
                <w:szCs w:val="18"/>
                <w:color w:val="auto"/>
                <w:w w:val="79"/>
              </w:rPr>
              <w:t>434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8"/>
                <w:szCs w:val="18"/>
                <w:color w:val="auto"/>
                <w:w w:val="79"/>
              </w:rPr>
              <w:t>510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80" w:hanging="572"/>
        <w:spacing w:after="0" w:line="263"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83" w:lineRule="exact"/>
        <w:rPr>
          <w:rFonts w:ascii="Arial" w:cs="Arial" w:eastAsia="Arial" w:hAnsi="Arial"/>
          <w:sz w:val="18"/>
          <w:szCs w:val="18"/>
          <w:b w:val="1"/>
          <w:bCs w:val="1"/>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88"/>
              </w:rPr>
              <w:t>September 30, 2020</w:t>
            </w: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440" w:type="dxa"/>
            <w:vAlign w:val="bottom"/>
            <w:gridSpan w:val="5"/>
          </w:tcPr>
          <w:p>
            <w:pPr>
              <w:jc w:val="center"/>
              <w:ind w:right="200"/>
              <w:spacing w:after="0" w:line="191" w:lineRule="exact"/>
              <w:rPr>
                <w:sz w:val="20"/>
                <w:szCs w:val="20"/>
                <w:color w:val="auto"/>
              </w:rPr>
            </w:pPr>
            <w:r>
              <w:rPr>
                <w:rFonts w:ascii="Arial" w:cs="Arial" w:eastAsia="Arial" w:hAnsi="Arial"/>
                <w:sz w:val="18"/>
                <w:szCs w:val="18"/>
                <w:b w:val="1"/>
                <w:bCs w:val="1"/>
                <w:color w:val="auto"/>
                <w:w w:val="92"/>
              </w:rPr>
              <w:t>Income from</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380"/>
              <w:spacing w:after="0" w:line="191" w:lineRule="exact"/>
              <w:rPr>
                <w:sz w:val="20"/>
                <w:szCs w:val="20"/>
                <w:color w:val="auto"/>
              </w:rPr>
            </w:pPr>
            <w:r>
              <w:rPr>
                <w:rFonts w:ascii="Arial" w:cs="Arial" w:eastAsia="Arial" w:hAnsi="Arial"/>
                <w:sz w:val="18"/>
                <w:szCs w:val="18"/>
                <w:b w:val="1"/>
                <w:bCs w:val="1"/>
                <w:color w:val="auto"/>
                <w:w w:val="94"/>
              </w:rPr>
              <w:t>Pre-tax</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10"/>
              <w:spacing w:after="0" w:line="191" w:lineRule="exact"/>
              <w:rPr>
                <w:sz w:val="20"/>
                <w:szCs w:val="20"/>
                <w:color w:val="auto"/>
              </w:rPr>
            </w:pPr>
            <w:r>
              <w:rPr>
                <w:rFonts w:ascii="Arial" w:cs="Arial" w:eastAsia="Arial" w:hAnsi="Arial"/>
                <w:sz w:val="18"/>
                <w:szCs w:val="18"/>
                <w:b w:val="1"/>
                <w:bCs w:val="1"/>
                <w:color w:val="auto"/>
              </w:rPr>
              <w:t>Tax</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jc w:val="right"/>
              <w:ind w:right="720"/>
              <w:spacing w:after="0" w:line="191" w:lineRule="exact"/>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6"/>
                <w:szCs w:val="16"/>
                <w:color w:val="auto"/>
              </w:rPr>
            </w:pPr>
          </w:p>
        </w:tc>
        <w:tc>
          <w:tcPr>
            <w:tcW w:w="1120" w:type="dxa"/>
            <w:vAlign w:val="bottom"/>
            <w:gridSpan w:val="3"/>
          </w:tcPr>
          <w:p>
            <w:pPr>
              <w:jc w:val="right"/>
              <w:ind w:right="90"/>
              <w:spacing w:after="0" w:line="191" w:lineRule="exact"/>
              <w:rPr>
                <w:sz w:val="20"/>
                <w:szCs w:val="20"/>
                <w:color w:val="auto"/>
              </w:rPr>
            </w:pPr>
            <w:r>
              <w:rPr>
                <w:rFonts w:ascii="Arial" w:cs="Arial" w:eastAsia="Arial" w:hAnsi="Arial"/>
                <w:sz w:val="18"/>
                <w:szCs w:val="18"/>
                <w:b w:val="1"/>
                <w:bCs w:val="1"/>
                <w:color w:val="auto"/>
                <w:w w:val="96"/>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Income (a)</w:t>
            </w:r>
          </w:p>
        </w:tc>
        <w:tc>
          <w:tcPr>
            <w:tcW w:w="1340" w:type="dxa"/>
            <w:vAlign w:val="bottom"/>
            <w:gridSpan w:val="5"/>
          </w:tcPr>
          <w:p>
            <w:pPr>
              <w:ind w:left="60"/>
              <w:spacing w:after="0"/>
              <w:rPr>
                <w:sz w:val="20"/>
                <w:szCs w:val="20"/>
                <w:color w:val="auto"/>
              </w:rPr>
            </w:pPr>
            <w:r>
              <w:rPr>
                <w:rFonts w:ascii="Arial" w:cs="Arial" w:eastAsia="Arial" w:hAnsi="Arial"/>
                <w:sz w:val="18"/>
                <w:szCs w:val="18"/>
                <w:b w:val="1"/>
                <w:bCs w:val="1"/>
                <w:color w:val="auto"/>
              </w:rPr>
              <w:t>Share Amount</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4"/>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126</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w w:val="94"/>
              </w:rPr>
              <w:t>Advanced Disposal transaction and advisory costs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ind w:right="25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impairments of assets and other</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w w:val="95"/>
              </w:rPr>
              <w:t>Enterprise resource planning system related costs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3"/>
          </w:tcPr>
          <w:p>
            <w:pPr>
              <w:jc w:val="right"/>
              <w:ind w:right="25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 adjusted amounts</w:t>
            </w:r>
          </w:p>
        </w:tc>
        <w:tc>
          <w:tcPr>
            <w:tcW w:w="500" w:type="dxa"/>
            <w:vAlign w:val="bottom"/>
            <w:tcBorders>
              <w:bottom w:val="single" w:sz="8" w:color="CCEEFF"/>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b w:val="1"/>
                <w:bCs w:val="1"/>
                <w:color w:val="auto"/>
              </w:rPr>
              <w:t>721</w:t>
            </w: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609</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534"/>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144</w:t>
            </w:r>
          </w:p>
        </w:tc>
        <w:tc>
          <w:tcPr>
            <w:tcW w:w="3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86"/>
              </w:rPr>
              <w:t>(b)</w:t>
            </w:r>
          </w:p>
        </w:tc>
        <w:tc>
          <w:tcPr>
            <w:tcW w:w="380" w:type="dxa"/>
            <w:vAlign w:val="bottom"/>
            <w:tcBorders>
              <w:bottom w:val="single" w:sz="8" w:color="auto"/>
            </w:tcBorders>
          </w:tcPr>
          <w:p>
            <w:pPr>
              <w:jc w:val="right"/>
              <w:ind w:right="215"/>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465</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419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7"/>
            <w:vMerge w:val="restart"/>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7"/>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8"/>
                <w:szCs w:val="18"/>
                <w:b w:val="1"/>
                <w:bCs w:val="1"/>
                <w:color w:val="auto"/>
                <w:w w:val="90"/>
              </w:rPr>
              <w:t>September 30, 2019</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left="3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2"/>
              </w:rPr>
              <w:t>Common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Diluted Per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4"/>
              </w:rPr>
              <w:t>Pre-tax</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Tax</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Net</w:t>
            </w:r>
          </w:p>
        </w:tc>
        <w:tc>
          <w:tcPr>
            <w:tcW w:w="180" w:type="dxa"/>
            <w:vAlign w:val="bottom"/>
          </w:tcPr>
          <w:p>
            <w:pPr>
              <w:spacing w:after="0"/>
              <w:rPr>
                <w:sz w:val="18"/>
                <w:szCs w:val="18"/>
                <w:color w:val="auto"/>
              </w:rPr>
            </w:pPr>
          </w:p>
        </w:tc>
        <w:tc>
          <w:tcPr>
            <w:tcW w:w="8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Operations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20"/>
                <w:szCs w:val="20"/>
                <w:color w:val="auto"/>
              </w:rPr>
            </w:pPr>
          </w:p>
        </w:tc>
        <w:tc>
          <w:tcPr>
            <w:tcW w:w="10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86"/>
              </w:rPr>
              <w:t>Expense</w:t>
            </w:r>
          </w:p>
        </w:tc>
        <w:tc>
          <w:tcPr>
            <w:tcW w:w="100" w:type="dxa"/>
            <w:vAlign w:val="bottom"/>
          </w:tcPr>
          <w:p>
            <w:pPr>
              <w:spacing w:after="0"/>
              <w:rPr>
                <w:sz w:val="20"/>
                <w:szCs w:val="20"/>
                <w:color w:val="auto"/>
              </w:rPr>
            </w:pPr>
          </w:p>
        </w:tc>
        <w:tc>
          <w:tcPr>
            <w:tcW w:w="9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1"/>
              </w:rPr>
              <w:t>Income (a)</w:t>
            </w:r>
          </w:p>
        </w:tc>
        <w:tc>
          <w:tcPr>
            <w:tcW w:w="180" w:type="dxa"/>
            <w:vAlign w:val="bottom"/>
          </w:tcPr>
          <w:p>
            <w:pPr>
              <w:spacing w:after="0"/>
              <w:rPr>
                <w:sz w:val="20"/>
                <w:szCs w:val="20"/>
                <w:color w:val="auto"/>
              </w:rPr>
            </w:pPr>
          </w:p>
        </w:tc>
        <w:tc>
          <w:tcPr>
            <w:tcW w:w="11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427.4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8"/>
              </w:rPr>
              <w:t>Adjustments in connection with pending acquisition of</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Advanced Disposal:</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and advisory costs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2"/>
        </w:trPr>
        <w:tc>
          <w:tcPr>
            <w:tcW w:w="4000" w:type="dxa"/>
            <w:vAlign w:val="bottom"/>
          </w:tcPr>
          <w:p>
            <w:pPr>
              <w:ind w:left="180"/>
              <w:spacing w:after="0" w:line="201" w:lineRule="exact"/>
              <w:rPr>
                <w:sz w:val="20"/>
                <w:szCs w:val="20"/>
                <w:color w:val="auto"/>
              </w:rPr>
            </w:pPr>
            <w:r>
              <w:rPr>
                <w:rFonts w:ascii="Arial" w:cs="Arial" w:eastAsia="Arial" w:hAnsi="Arial"/>
                <w:sz w:val="18"/>
                <w:szCs w:val="18"/>
                <w:color w:val="auto"/>
                <w:w w:val="92"/>
              </w:rPr>
              <w:t>Impact of reduced common stock repurchases from</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00" w:type="dxa"/>
            <w:vAlign w:val="bottom"/>
          </w:tcPr>
          <w:p>
            <w:pPr>
              <w:ind w:left="180"/>
              <w:spacing w:after="0"/>
              <w:rPr>
                <w:sz w:val="20"/>
                <w:szCs w:val="20"/>
                <w:color w:val="auto"/>
              </w:rPr>
            </w:pPr>
            <w:r>
              <w:rPr>
                <w:rFonts w:ascii="Arial" w:cs="Arial" w:eastAsia="Arial" w:hAnsi="Arial"/>
                <w:sz w:val="18"/>
                <w:szCs w:val="18"/>
                <w:color w:val="auto"/>
              </w:rPr>
              <w:t>planned levels</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7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(b)</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1,141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line="277" w:lineRule="auto"/>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70" w:lineRule="exact"/>
        <w:rPr>
          <w:rFonts w:ascii="Arial" w:cs="Arial" w:eastAsia="Arial" w:hAnsi="Arial"/>
          <w:sz w:val="18"/>
          <w:szCs w:val="18"/>
          <w:b w:val="1"/>
          <w:bCs w:val="1"/>
          <w:color w:val="auto"/>
        </w:rPr>
      </w:pPr>
    </w:p>
    <w:p>
      <w:pPr>
        <w:jc w:val="both"/>
        <w:ind w:left="580" w:hanging="572"/>
        <w:spacing w:after="0" w:line="263" w:lineRule="auto"/>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While the Company calculates its effective tax rate based on actual dollars, an approximate effective tax rate can be calculated by dividing the Tax Expense amount in the table above by the Pre-tax Income amount. The adjusted effective tax rate was 23.7% and 19.4% for the quarter ended September 30,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10"/>
          </w:tcPr>
          <w:p>
            <w:pPr>
              <w:jc w:val="right"/>
              <w:ind w:right="880"/>
              <w:spacing w:after="0"/>
              <w:rPr>
                <w:sz w:val="20"/>
                <w:szCs w:val="20"/>
                <w:color w:val="auto"/>
              </w:rPr>
            </w:pPr>
            <w:r>
              <w:rPr>
                <w:rFonts w:ascii="Arial" w:cs="Arial" w:eastAsia="Arial" w:hAnsi="Arial"/>
                <w:sz w:val="18"/>
                <w:szCs w:val="18"/>
                <w:b w:val="1"/>
                <w:bCs w:val="1"/>
                <w:color w:val="auto"/>
              </w:rPr>
              <w:t>September 30, 2020</w:t>
            </w:r>
          </w:p>
        </w:tc>
        <w:tc>
          <w:tcPr>
            <w:tcW w:w="200" w:type="dxa"/>
            <w:vAlign w:val="bottom"/>
          </w:tcPr>
          <w:p>
            <w:pPr>
              <w:spacing w:after="0"/>
              <w:rPr>
                <w:sz w:val="19"/>
                <w:szCs w:val="19"/>
                <w:color w:val="auto"/>
              </w:rPr>
            </w:pPr>
          </w:p>
        </w:tc>
        <w:tc>
          <w:tcPr>
            <w:tcW w:w="24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September 30, 2019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 of</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w w:val="97"/>
              </w:rPr>
              <w:t>Adjusted SG&amp;A Expenses and Adjusted SG&amp;A Expenses Margin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86"/>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transaction and advisory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80"/>
              <w:spacing w:after="0"/>
              <w:rPr>
                <w:sz w:val="20"/>
                <w:szCs w:val="20"/>
                <w:color w:val="auto"/>
              </w:rPr>
            </w:pPr>
            <w:r>
              <w:rPr>
                <w:rFonts w:ascii="Arial" w:cs="Arial" w:eastAsia="Arial" w:hAnsi="Arial"/>
                <w:sz w:val="18"/>
                <w:szCs w:val="18"/>
                <w:color w:val="auto"/>
              </w:rPr>
              <w:t>Enterprise resource planning system related costs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SG&amp;A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30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2020 Projected Free Cash Flow Reconciliation (a)</w:t>
            </w: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w w:val="96"/>
              </w:rPr>
              <w:t>Scenario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4"/>
            <w:vMerge w:val="restart"/>
          </w:tcPr>
          <w:p>
            <w:pPr>
              <w:jc w:val="right"/>
              <w:ind w:right="380"/>
              <w:spacing w:after="0"/>
              <w:rPr>
                <w:sz w:val="20"/>
                <w:szCs w:val="20"/>
                <w:color w:val="auto"/>
              </w:rPr>
            </w:pPr>
            <w:r>
              <w:rPr>
                <w:rFonts w:ascii="Arial" w:cs="Arial" w:eastAsia="Arial" w:hAnsi="Arial"/>
                <w:sz w:val="18"/>
                <w:szCs w:val="18"/>
                <w:b w:val="1"/>
                <w:bCs w:val="1"/>
                <w:color w:val="auto"/>
                <w:w w:val="98"/>
              </w:rPr>
              <w:t>Scenario 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 (b)</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(1,650)</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Proceeds from divestitures of businesses and other assets (net of cash</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divested) (b)</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b w:val="1"/>
                <w:bCs w:val="1"/>
                <w:color w:val="auto"/>
              </w:rPr>
              <w:t>Free cash flow (b)</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1,925</w:t>
            </w:r>
          </w:p>
        </w:tc>
        <w:tc>
          <w:tcPr>
            <w:tcW w:w="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transaction and advisory costs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400" w:type="dxa"/>
            <w:vAlign w:val="bottom"/>
          </w:tcPr>
          <w:p>
            <w:pPr>
              <w:spacing w:after="0" w:line="177" w:lineRule="exact"/>
              <w:rPr>
                <w:sz w:val="20"/>
                <w:szCs w:val="20"/>
                <w:color w:val="auto"/>
              </w:rPr>
            </w:pPr>
            <w:r>
              <w:rPr>
                <w:rFonts w:ascii="Arial" w:cs="Arial" w:eastAsia="Arial" w:hAnsi="Arial"/>
                <w:sz w:val="18"/>
                <w:szCs w:val="18"/>
                <w:b w:val="1"/>
                <w:bCs w:val="1"/>
                <w:color w:val="auto"/>
                <w:w w:val="95"/>
              </w:rPr>
              <w:t>Free cash flow (excl. Advanced Disposal transaction and advisory</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400" w:type="dxa"/>
            <w:vAlign w:val="bottom"/>
          </w:tcPr>
          <w:p>
            <w:pPr>
              <w:spacing w:after="0"/>
              <w:rPr>
                <w:sz w:val="20"/>
                <w:szCs w:val="20"/>
                <w:color w:val="auto"/>
              </w:rPr>
            </w:pPr>
            <w:r>
              <w:rPr>
                <w:rFonts w:ascii="Arial" w:cs="Arial" w:eastAsia="Arial" w:hAnsi="Arial"/>
                <w:sz w:val="18"/>
                <w:szCs w:val="18"/>
                <w:b w:val="1"/>
                <w:bCs w:val="1"/>
                <w:color w:val="auto"/>
              </w:rPr>
              <w:t>costs)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2,025</w:t>
            </w:r>
          </w:p>
        </w:tc>
        <w:tc>
          <w:tcPr>
            <w:tcW w:w="2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2,100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-1456690</wp:posOffset>
            </wp:positionV>
            <wp:extent cx="1851660"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51660" cy="42862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-890905</wp:posOffset>
            </wp:positionV>
            <wp:extent cx="1851660"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51660" cy="28321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-462280</wp:posOffset>
            </wp:positionV>
            <wp:extent cx="185166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51660" cy="146050"/>
                    </a:xfrm>
                    <a:prstGeom prst="rect">
                      <a:avLst/>
                    </a:prstGeom>
                    <a:noFill/>
                  </pic:spPr>
                </pic:pic>
              </a:graphicData>
            </a:graphic>
          </wp:anchor>
        </w:drawing>
      </w:r>
    </w:p>
    <w:p>
      <w:pPr>
        <w:spacing w:after="0" w:line="209" w:lineRule="exact"/>
        <w:rPr>
          <w:sz w:val="20"/>
          <w:szCs w:val="20"/>
          <w:color w:val="auto"/>
        </w:rPr>
      </w:pPr>
    </w:p>
    <w:p>
      <w:pPr>
        <w:jc w:val="both"/>
        <w:ind w:left="580" w:hanging="572"/>
        <w:spacing w:after="0" w:line="279" w:lineRule="auto"/>
        <w:tabs>
          <w:tab w:leader="none" w:pos="58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2020. The amounts used in the reconciliation are subject to many variables, some of which are not under our control and, therefore, may not be indicative of actual results. The Company's 2020 guidance excludes (i) post-closing financial contributions from the acquisition of Advanced Disposal and (ii) the after-tax proceeds from the divestiture of Advanced Disposal and Waste Management assets required by the U.S. Department of Justice.</w:t>
      </w:r>
    </w:p>
    <w:p>
      <w:pPr>
        <w:spacing w:after="0" w:line="171" w:lineRule="exact"/>
        <w:rPr>
          <w:rFonts w:ascii="Arial" w:cs="Arial" w:eastAsia="Arial" w:hAnsi="Arial"/>
          <w:sz w:val="17"/>
          <w:szCs w:val="17"/>
          <w:b w:val="1"/>
          <w:bCs w:val="1"/>
          <w:color w:val="auto"/>
        </w:rPr>
      </w:pPr>
    </w:p>
    <w:p>
      <w:pPr>
        <w:jc w:val="both"/>
        <w:ind w:left="580" w:hanging="572"/>
        <w:spacing w:after="0" w:line="273" w:lineRule="auto"/>
        <w:tabs>
          <w:tab w:leader="none" w:pos="58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We and Advanced Disposal entered into a Divestiture Agreement that provided for GFL Environmental Inc. to acquire a combination of assets from us and Advanced Disposal to address divestitures required by the U.S. Department of Justice in connection with the Advanced Disposal acquisition. On October 30, 2020, the transactions contemplated by the Divestiture Agreement were consummated and the Company received cash proceeds from the sale of $856.4 million, subject to certain post-closing adjustments. As noted above, these divestiture proceeds are excluded from this reconciliation. The taxes to be paid on the gain on divestiture are subject to further assessment; accordingly, we have also excluded the estimated tax payments, which will reduce net cash provided by operating activities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2020-11-02T07:00:20Z</dcterms:created>
  <dcterms:modified xsi:type="dcterms:W3CDTF">2020-11-02T07:00:20Z</dcterms:modified>
</cp:coreProperties>
</file>