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Issuer Free Writing Prospectus dated May 14, 2019 relating to the</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Preliminary Prospectus Supplement dated May 14, 2019</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to Prospectus dated April 25, 2019</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Statement No. 333-231027</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8120" w:type="dxa"/>
            <w:vAlign w:val="bottom"/>
            <w:gridSpan w:val="2"/>
          </w:tcPr>
          <w:p>
            <w:pPr>
              <w:jc w:val="center"/>
              <w:ind w:right="3270"/>
              <w:spacing w:after="0"/>
              <w:rPr>
                <w:sz w:val="20"/>
                <w:szCs w:val="20"/>
                <w:color w:val="auto"/>
              </w:rPr>
            </w:pPr>
            <w:r>
              <w:rPr>
                <w:rFonts w:ascii="Arial" w:cs="Arial" w:eastAsia="Arial" w:hAnsi="Arial"/>
                <w:sz w:val="18"/>
                <w:szCs w:val="18"/>
                <w:b w:val="1"/>
                <w:bCs w:val="1"/>
                <w:color w:val="auto"/>
                <w:w w:val="90"/>
              </w:rPr>
              <w:t>Pricing Term Sheet</w:t>
            </w:r>
          </w:p>
        </w:tc>
      </w:tr>
      <w:tr>
        <w:trPr>
          <w:trHeight w:val="414"/>
        </w:trPr>
        <w:tc>
          <w:tcPr>
            <w:tcW w:w="3340" w:type="dxa"/>
            <w:vAlign w:val="bottom"/>
          </w:tcPr>
          <w:p>
            <w:pPr>
              <w:spacing w:after="0"/>
              <w:rPr>
                <w:sz w:val="24"/>
                <w:szCs w:val="24"/>
                <w:color w:val="auto"/>
              </w:rPr>
            </w:pPr>
          </w:p>
        </w:tc>
        <w:tc>
          <w:tcPr>
            <w:tcW w:w="8120" w:type="dxa"/>
            <w:vAlign w:val="bottom"/>
            <w:gridSpan w:val="2"/>
          </w:tcPr>
          <w:p>
            <w:pPr>
              <w:jc w:val="center"/>
              <w:ind w:right="3290"/>
              <w:spacing w:after="0"/>
              <w:rPr>
                <w:sz w:val="20"/>
                <w:szCs w:val="20"/>
                <w:color w:val="auto"/>
              </w:rPr>
            </w:pPr>
            <w:r>
              <w:rPr>
                <w:rFonts w:ascii="Arial" w:cs="Arial" w:eastAsia="Arial" w:hAnsi="Arial"/>
                <w:sz w:val="18"/>
                <w:szCs w:val="18"/>
                <w:b w:val="1"/>
                <w:bCs w:val="1"/>
                <w:color w:val="auto"/>
                <w:w w:val="90"/>
              </w:rPr>
              <w:t>$750,000,000 2.950% Senior Notes due 2024</w:t>
            </w:r>
          </w:p>
        </w:tc>
      </w:tr>
      <w:tr>
        <w:trPr>
          <w:trHeight w:val="216"/>
        </w:trPr>
        <w:tc>
          <w:tcPr>
            <w:tcW w:w="3340" w:type="dxa"/>
            <w:vAlign w:val="bottom"/>
          </w:tcPr>
          <w:p>
            <w:pPr>
              <w:spacing w:after="0"/>
              <w:rPr>
                <w:sz w:val="18"/>
                <w:szCs w:val="18"/>
                <w:color w:val="auto"/>
              </w:rPr>
            </w:pPr>
          </w:p>
        </w:tc>
        <w:tc>
          <w:tcPr>
            <w:tcW w:w="8120" w:type="dxa"/>
            <w:vAlign w:val="bottom"/>
            <w:gridSpan w:val="2"/>
          </w:tcPr>
          <w:p>
            <w:pPr>
              <w:jc w:val="center"/>
              <w:ind w:right="3290"/>
              <w:spacing w:after="0"/>
              <w:rPr>
                <w:sz w:val="20"/>
                <w:szCs w:val="20"/>
                <w:color w:val="auto"/>
              </w:rPr>
            </w:pPr>
            <w:r>
              <w:rPr>
                <w:rFonts w:ascii="Arial" w:cs="Arial" w:eastAsia="Arial" w:hAnsi="Arial"/>
                <w:sz w:val="18"/>
                <w:szCs w:val="18"/>
                <w:b w:val="1"/>
                <w:bCs w:val="1"/>
                <w:color w:val="auto"/>
                <w:w w:val="90"/>
              </w:rPr>
              <w:t>$750,000,000 3.200% Senior Notes due 2026</w:t>
            </w:r>
          </w:p>
        </w:tc>
      </w:tr>
      <w:tr>
        <w:trPr>
          <w:trHeight w:val="216"/>
        </w:trPr>
        <w:tc>
          <w:tcPr>
            <w:tcW w:w="3340" w:type="dxa"/>
            <w:vAlign w:val="bottom"/>
          </w:tcPr>
          <w:p>
            <w:pPr>
              <w:spacing w:after="0"/>
              <w:rPr>
                <w:sz w:val="18"/>
                <w:szCs w:val="18"/>
                <w:color w:val="auto"/>
              </w:rPr>
            </w:pPr>
          </w:p>
        </w:tc>
        <w:tc>
          <w:tcPr>
            <w:tcW w:w="8120" w:type="dxa"/>
            <w:vAlign w:val="bottom"/>
            <w:gridSpan w:val="2"/>
          </w:tcPr>
          <w:p>
            <w:pPr>
              <w:jc w:val="center"/>
              <w:ind w:right="3290"/>
              <w:spacing w:after="0"/>
              <w:rPr>
                <w:sz w:val="20"/>
                <w:szCs w:val="20"/>
                <w:color w:val="auto"/>
              </w:rPr>
            </w:pPr>
            <w:r>
              <w:rPr>
                <w:rFonts w:ascii="Arial" w:cs="Arial" w:eastAsia="Arial" w:hAnsi="Arial"/>
                <w:sz w:val="18"/>
                <w:szCs w:val="18"/>
                <w:b w:val="1"/>
                <w:bCs w:val="1"/>
                <w:color w:val="auto"/>
                <w:w w:val="89"/>
              </w:rPr>
              <w:t>$1,000,000,000 3.450% Senior Notes due 2029</w:t>
            </w:r>
          </w:p>
        </w:tc>
      </w:tr>
      <w:tr>
        <w:trPr>
          <w:trHeight w:val="216"/>
        </w:trPr>
        <w:tc>
          <w:tcPr>
            <w:tcW w:w="3340" w:type="dxa"/>
            <w:vAlign w:val="bottom"/>
          </w:tcPr>
          <w:p>
            <w:pPr>
              <w:spacing w:after="0"/>
              <w:rPr>
                <w:sz w:val="18"/>
                <w:szCs w:val="18"/>
                <w:color w:val="auto"/>
              </w:rPr>
            </w:pPr>
          </w:p>
        </w:tc>
        <w:tc>
          <w:tcPr>
            <w:tcW w:w="8120" w:type="dxa"/>
            <w:vAlign w:val="bottom"/>
            <w:gridSpan w:val="2"/>
          </w:tcPr>
          <w:p>
            <w:pPr>
              <w:jc w:val="center"/>
              <w:ind w:right="3290"/>
              <w:spacing w:after="0"/>
              <w:rPr>
                <w:sz w:val="20"/>
                <w:szCs w:val="20"/>
                <w:color w:val="auto"/>
              </w:rPr>
            </w:pPr>
            <w:r>
              <w:rPr>
                <w:rFonts w:ascii="Arial" w:cs="Arial" w:eastAsia="Arial" w:hAnsi="Arial"/>
                <w:sz w:val="18"/>
                <w:szCs w:val="18"/>
                <w:b w:val="1"/>
                <w:bCs w:val="1"/>
                <w:color w:val="auto"/>
                <w:w w:val="90"/>
              </w:rPr>
              <w:t>$500,000,000 4.000% Senior Notes due 2039</w:t>
            </w:r>
          </w:p>
        </w:tc>
      </w:tr>
      <w:tr>
        <w:trPr>
          <w:trHeight w:val="234"/>
        </w:trPr>
        <w:tc>
          <w:tcPr>
            <w:tcW w:w="3340" w:type="dxa"/>
            <w:vAlign w:val="bottom"/>
          </w:tcPr>
          <w:p>
            <w:pPr>
              <w:spacing w:after="0"/>
              <w:rPr>
                <w:sz w:val="20"/>
                <w:szCs w:val="20"/>
                <w:color w:val="auto"/>
              </w:rPr>
            </w:pPr>
          </w:p>
        </w:tc>
        <w:tc>
          <w:tcPr>
            <w:tcW w:w="8120" w:type="dxa"/>
            <w:vAlign w:val="bottom"/>
            <w:gridSpan w:val="2"/>
          </w:tcPr>
          <w:p>
            <w:pPr>
              <w:jc w:val="center"/>
              <w:ind w:right="3290"/>
              <w:spacing w:after="0"/>
              <w:rPr>
                <w:sz w:val="20"/>
                <w:szCs w:val="20"/>
                <w:color w:val="auto"/>
              </w:rPr>
            </w:pPr>
            <w:r>
              <w:rPr>
                <w:rFonts w:ascii="Arial" w:cs="Arial" w:eastAsia="Arial" w:hAnsi="Arial"/>
                <w:sz w:val="18"/>
                <w:szCs w:val="18"/>
                <w:b w:val="1"/>
                <w:bCs w:val="1"/>
                <w:color w:val="auto"/>
                <w:w w:val="89"/>
              </w:rPr>
              <w:t>$1,000,000,000 4.150% Senior Notes due 2049</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Issuer:</w:t>
            </w: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Guarantor:</w:t>
            </w: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Waste Management Holdings, Inc.</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Ratings:*</w:t>
            </w: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Moody’s: Baa1 (stable)</w:t>
            </w:r>
          </w:p>
        </w:tc>
      </w:tr>
      <w:tr>
        <w:trPr>
          <w:trHeight w:val="216"/>
        </w:trPr>
        <w:tc>
          <w:tcPr>
            <w:tcW w:w="3340" w:type="dxa"/>
            <w:vAlign w:val="bottom"/>
          </w:tcPr>
          <w:p>
            <w:pPr>
              <w:spacing w:after="0"/>
              <w:rPr>
                <w:sz w:val="18"/>
                <w:szCs w:val="18"/>
                <w:color w:val="auto"/>
              </w:rPr>
            </w:pP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S&amp;P: A- (stable)</w:t>
            </w:r>
          </w:p>
        </w:tc>
      </w:tr>
      <w:tr>
        <w:trPr>
          <w:trHeight w:val="230"/>
        </w:trPr>
        <w:tc>
          <w:tcPr>
            <w:tcW w:w="3340" w:type="dxa"/>
            <w:vAlign w:val="bottom"/>
          </w:tcPr>
          <w:p>
            <w:pPr>
              <w:spacing w:after="0"/>
              <w:rPr>
                <w:sz w:val="20"/>
                <w:szCs w:val="20"/>
                <w:color w:val="auto"/>
              </w:rPr>
            </w:pP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Fitch: BBB+ (stable)</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Trade Date:</w:t>
            </w: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May 14, 2019</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Settlement Date:</w:t>
            </w: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T+6; May 22, 2019</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Principal Amount:</w:t>
            </w: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2024 Notes: $750,000,000</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2026</w:t>
            </w:r>
          </w:p>
        </w:tc>
        <w:tc>
          <w:tcPr>
            <w:tcW w:w="5740" w:type="dxa"/>
            <w:vAlign w:val="bottom"/>
          </w:tcPr>
          <w:p>
            <w:pPr>
              <w:ind w:left="20"/>
              <w:spacing w:after="0"/>
              <w:rPr>
                <w:sz w:val="20"/>
                <w:szCs w:val="20"/>
                <w:color w:val="auto"/>
              </w:rPr>
            </w:pPr>
            <w:r>
              <w:rPr>
                <w:rFonts w:ascii="Arial" w:cs="Arial" w:eastAsia="Arial" w:hAnsi="Arial"/>
                <w:sz w:val="18"/>
                <w:szCs w:val="18"/>
                <w:color w:val="auto"/>
              </w:rPr>
              <w:t>Notes: $750,000,000</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2029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$1,000,000,000</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2039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$500,000,000</w:t>
            </w:r>
          </w:p>
        </w:tc>
      </w:tr>
      <w:tr>
        <w:trPr>
          <w:trHeight w:val="230"/>
        </w:trPr>
        <w:tc>
          <w:tcPr>
            <w:tcW w:w="3340" w:type="dxa"/>
            <w:vAlign w:val="bottom"/>
          </w:tcPr>
          <w:p>
            <w:pPr>
              <w:spacing w:after="0"/>
              <w:rPr>
                <w:sz w:val="20"/>
                <w:szCs w:val="20"/>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2049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$1,000,000,000</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Maturity Date:</w:t>
            </w: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2024 Notes: June 15, 2024</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2026</w:t>
            </w:r>
          </w:p>
        </w:tc>
        <w:tc>
          <w:tcPr>
            <w:tcW w:w="5740" w:type="dxa"/>
            <w:vAlign w:val="bottom"/>
          </w:tcPr>
          <w:p>
            <w:pPr>
              <w:ind w:left="20"/>
              <w:spacing w:after="0"/>
              <w:rPr>
                <w:sz w:val="20"/>
                <w:szCs w:val="20"/>
                <w:color w:val="auto"/>
              </w:rPr>
            </w:pPr>
            <w:r>
              <w:rPr>
                <w:rFonts w:ascii="Arial" w:cs="Arial" w:eastAsia="Arial" w:hAnsi="Arial"/>
                <w:sz w:val="18"/>
                <w:szCs w:val="18"/>
                <w:color w:val="auto"/>
              </w:rPr>
              <w:t>Notes: June 15, 2026</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2029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June 15, 2029</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2039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July 15, 2039</w:t>
            </w:r>
          </w:p>
        </w:tc>
      </w:tr>
      <w:tr>
        <w:trPr>
          <w:trHeight w:val="230"/>
        </w:trPr>
        <w:tc>
          <w:tcPr>
            <w:tcW w:w="3340" w:type="dxa"/>
            <w:vAlign w:val="bottom"/>
          </w:tcPr>
          <w:p>
            <w:pPr>
              <w:spacing w:after="0"/>
              <w:rPr>
                <w:sz w:val="20"/>
                <w:szCs w:val="20"/>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2049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July 15, 2049</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Coupon:</w:t>
            </w: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2024 Notes: 2.950%</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2026</w:t>
            </w:r>
          </w:p>
        </w:tc>
        <w:tc>
          <w:tcPr>
            <w:tcW w:w="5740" w:type="dxa"/>
            <w:vAlign w:val="bottom"/>
          </w:tcPr>
          <w:p>
            <w:pPr>
              <w:ind w:left="20"/>
              <w:spacing w:after="0"/>
              <w:rPr>
                <w:sz w:val="20"/>
                <w:szCs w:val="20"/>
                <w:color w:val="auto"/>
              </w:rPr>
            </w:pPr>
            <w:r>
              <w:rPr>
                <w:rFonts w:ascii="Arial" w:cs="Arial" w:eastAsia="Arial" w:hAnsi="Arial"/>
                <w:sz w:val="18"/>
                <w:szCs w:val="18"/>
                <w:color w:val="auto"/>
              </w:rPr>
              <w:t>Notes: 3.200%</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2029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3.450%</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2039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4.000%</w:t>
            </w:r>
          </w:p>
        </w:tc>
      </w:tr>
      <w:tr>
        <w:trPr>
          <w:trHeight w:val="230"/>
        </w:trPr>
        <w:tc>
          <w:tcPr>
            <w:tcW w:w="3340" w:type="dxa"/>
            <w:vAlign w:val="bottom"/>
          </w:tcPr>
          <w:p>
            <w:pPr>
              <w:spacing w:after="0"/>
              <w:rPr>
                <w:sz w:val="20"/>
                <w:szCs w:val="20"/>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2049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4.150%</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Benchmark Treasury:</w:t>
            </w: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2024 Notes: 2.25% due April 30, 2024</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2026</w:t>
            </w:r>
          </w:p>
        </w:tc>
        <w:tc>
          <w:tcPr>
            <w:tcW w:w="5740" w:type="dxa"/>
            <w:vAlign w:val="bottom"/>
          </w:tcPr>
          <w:p>
            <w:pPr>
              <w:ind w:left="20"/>
              <w:spacing w:after="0"/>
              <w:rPr>
                <w:sz w:val="20"/>
                <w:szCs w:val="20"/>
                <w:color w:val="auto"/>
              </w:rPr>
            </w:pPr>
            <w:r>
              <w:rPr>
                <w:rFonts w:ascii="Arial" w:cs="Arial" w:eastAsia="Arial" w:hAnsi="Arial"/>
                <w:sz w:val="18"/>
                <w:szCs w:val="18"/>
                <w:color w:val="auto"/>
              </w:rPr>
              <w:t>Notes: 2.375% due April 30, 2026</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2029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2.375% due May 15, 2029</w:t>
            </w:r>
          </w:p>
        </w:tc>
      </w:tr>
      <w:tr>
        <w:trPr>
          <w:trHeight w:val="216"/>
        </w:trPr>
        <w:tc>
          <w:tcPr>
            <w:tcW w:w="3340" w:type="dxa"/>
            <w:vAlign w:val="bottom"/>
          </w:tcPr>
          <w:p>
            <w:pPr>
              <w:spacing w:after="0"/>
              <w:rPr>
                <w:sz w:val="18"/>
                <w:szCs w:val="18"/>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2039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3.000% due February 15, 2049</w:t>
            </w:r>
          </w:p>
        </w:tc>
      </w:tr>
      <w:tr>
        <w:trPr>
          <w:trHeight w:val="230"/>
        </w:trPr>
        <w:tc>
          <w:tcPr>
            <w:tcW w:w="3340" w:type="dxa"/>
            <w:vAlign w:val="bottom"/>
          </w:tcPr>
          <w:p>
            <w:pPr>
              <w:spacing w:after="0"/>
              <w:rPr>
                <w:sz w:val="20"/>
                <w:szCs w:val="20"/>
                <w:color w:val="auto"/>
              </w:rPr>
            </w:pPr>
          </w:p>
        </w:tc>
        <w:tc>
          <w:tcPr>
            <w:tcW w:w="2380" w:type="dxa"/>
            <w:vAlign w:val="bottom"/>
          </w:tcPr>
          <w:p>
            <w:pPr>
              <w:ind w:left="2000"/>
              <w:spacing w:after="0"/>
              <w:rPr>
                <w:sz w:val="20"/>
                <w:szCs w:val="20"/>
                <w:color w:val="auto"/>
              </w:rPr>
            </w:pPr>
            <w:r>
              <w:rPr>
                <w:rFonts w:ascii="Arial" w:cs="Arial" w:eastAsia="Arial" w:hAnsi="Arial"/>
                <w:sz w:val="18"/>
                <w:szCs w:val="18"/>
                <w:color w:val="auto"/>
                <w:w w:val="89"/>
              </w:rPr>
              <w:t>2049</w:t>
            </w:r>
          </w:p>
        </w:tc>
        <w:tc>
          <w:tcPr>
            <w:tcW w:w="5740" w:type="dxa"/>
            <w:vAlign w:val="bottom"/>
          </w:tcPr>
          <w:p>
            <w:pPr>
              <w:ind w:left="20"/>
              <w:spacing w:after="0"/>
              <w:rPr>
                <w:sz w:val="20"/>
                <w:szCs w:val="20"/>
                <w:color w:val="auto"/>
              </w:rPr>
            </w:pPr>
            <w:r>
              <w:rPr>
                <w:rFonts w:ascii="Arial" w:cs="Arial" w:eastAsia="Arial" w:hAnsi="Arial"/>
                <w:sz w:val="18"/>
                <w:szCs w:val="18"/>
                <w:color w:val="auto"/>
              </w:rPr>
              <w:t>Notes: 3.000% due February 15, 2049</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8120" w:type="dxa"/>
            <w:vAlign w:val="bottom"/>
            <w:gridSpan w:val="2"/>
          </w:tcPr>
          <w:p>
            <w:pPr>
              <w:ind w:left="2000"/>
              <w:spacing w:after="0"/>
              <w:rPr>
                <w:sz w:val="20"/>
                <w:szCs w:val="20"/>
                <w:color w:val="auto"/>
              </w:rPr>
            </w:pPr>
            <w:r>
              <w:rPr>
                <w:rFonts w:ascii="Arial" w:cs="Arial" w:eastAsia="Arial" w:hAnsi="Arial"/>
                <w:sz w:val="18"/>
                <w:szCs w:val="18"/>
                <w:color w:val="auto"/>
              </w:rPr>
              <w:t>2024 Notes: 100-07 1/4 / 2.201%</w:t>
            </w:r>
          </w:p>
        </w:tc>
      </w:tr>
      <w:tr>
        <w:trPr>
          <w:trHeight w:val="348"/>
        </w:trPr>
        <w:tc>
          <w:tcPr>
            <w:tcW w:w="334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9"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2026</w:t>
            </w:r>
          </w:p>
        </w:tc>
        <w:tc>
          <w:tcPr>
            <w:tcW w:w="5660" w:type="dxa"/>
            <w:vAlign w:val="bottom"/>
          </w:tcPr>
          <w:p>
            <w:pPr>
              <w:ind w:left="20"/>
              <w:spacing w:after="0"/>
              <w:rPr>
                <w:sz w:val="20"/>
                <w:szCs w:val="20"/>
                <w:color w:val="auto"/>
              </w:rPr>
            </w:pPr>
            <w:r>
              <w:rPr>
                <w:rFonts w:ascii="Arial" w:cs="Arial" w:eastAsia="Arial" w:hAnsi="Arial"/>
                <w:sz w:val="18"/>
                <w:szCs w:val="18"/>
                <w:color w:val="auto"/>
              </w:rPr>
              <w:t>Notes: 100-14+ / 2.304%</w:t>
            </w:r>
          </w:p>
        </w:tc>
      </w:t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99-18+ / 2.423%</w:t>
            </w:r>
          </w:p>
        </w:tc>
      </w:t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102-27+ / 2.857%</w:t>
            </w:r>
          </w:p>
        </w:tc>
      </w:tr>
      <w:tr>
        <w:trPr>
          <w:trHeight w:val="230"/>
        </w:trPr>
        <w:tc>
          <w:tcPr>
            <w:tcW w:w="5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102-27+ / 2.857%</w:t>
            </w:r>
          </w:p>
        </w:tc>
      </w:tr>
      <w:tr>
        <w:trPr>
          <w:trHeight w:val="418"/>
        </w:trPr>
        <w:tc>
          <w:tcPr>
            <w:tcW w:w="51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2024 Notes: +75 basis points</w:t>
            </w:r>
          </w:p>
        </w:tc>
      </w:t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2026</w:t>
            </w:r>
          </w:p>
        </w:tc>
        <w:tc>
          <w:tcPr>
            <w:tcW w:w="5660" w:type="dxa"/>
            <w:vAlign w:val="bottom"/>
          </w:tcPr>
          <w:p>
            <w:pPr>
              <w:ind w:left="20"/>
              <w:spacing w:after="0"/>
              <w:rPr>
                <w:sz w:val="20"/>
                <w:szCs w:val="20"/>
                <w:color w:val="auto"/>
              </w:rPr>
            </w:pPr>
            <w:r>
              <w:rPr>
                <w:rFonts w:ascii="Arial" w:cs="Arial" w:eastAsia="Arial" w:hAnsi="Arial"/>
                <w:sz w:val="18"/>
                <w:szCs w:val="18"/>
                <w:color w:val="auto"/>
              </w:rPr>
              <w:t>Notes: +90 basis points</w:t>
            </w:r>
          </w:p>
        </w:tc>
      </w:t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+105 basis points</w:t>
            </w:r>
          </w:p>
        </w:tc>
      </w:t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+115 basis points</w:t>
            </w:r>
          </w:p>
        </w:tc>
      </w:tr>
      <w:tr>
        <w:trPr>
          <w:trHeight w:val="230"/>
        </w:trPr>
        <w:tc>
          <w:tcPr>
            <w:tcW w:w="5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+130 basis points</w:t>
            </w:r>
          </w:p>
        </w:tc>
      </w:tr>
      <w:tr>
        <w:trPr>
          <w:trHeight w:val="418"/>
        </w:trPr>
        <w:tc>
          <w:tcPr>
            <w:tcW w:w="5140" w:type="dxa"/>
            <w:vAlign w:val="bottom"/>
          </w:tcPr>
          <w:p>
            <w:pPr>
              <w:spacing w:after="0"/>
              <w:rPr>
                <w:sz w:val="20"/>
                <w:szCs w:val="20"/>
                <w:color w:val="auto"/>
              </w:rPr>
            </w:pPr>
            <w:r>
              <w:rPr>
                <w:rFonts w:ascii="Arial" w:cs="Arial" w:eastAsia="Arial" w:hAnsi="Arial"/>
                <w:sz w:val="18"/>
                <w:szCs w:val="18"/>
                <w:color w:val="auto"/>
              </w:rPr>
              <w:t>Yield to Maturity:</w:t>
            </w: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2024 Notes: 2.951%</w:t>
            </w:r>
          </w:p>
        </w:tc>
      </w:t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2026</w:t>
            </w:r>
          </w:p>
        </w:tc>
        <w:tc>
          <w:tcPr>
            <w:tcW w:w="5660" w:type="dxa"/>
            <w:vAlign w:val="bottom"/>
          </w:tcPr>
          <w:p>
            <w:pPr>
              <w:ind w:left="20"/>
              <w:spacing w:after="0"/>
              <w:rPr>
                <w:sz w:val="20"/>
                <w:szCs w:val="20"/>
                <w:color w:val="auto"/>
              </w:rPr>
            </w:pPr>
            <w:r>
              <w:rPr>
                <w:rFonts w:ascii="Arial" w:cs="Arial" w:eastAsia="Arial" w:hAnsi="Arial"/>
                <w:sz w:val="18"/>
                <w:szCs w:val="18"/>
                <w:color w:val="auto"/>
              </w:rPr>
              <w:t>Notes: 3.204%</w:t>
            </w:r>
          </w:p>
        </w:tc>
      </w:t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3.473%</w:t>
            </w:r>
          </w:p>
        </w:tc>
      </w:t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4.007%</w:t>
            </w:r>
          </w:p>
        </w:tc>
      </w:tr>
      <w:tr>
        <w:trPr>
          <w:trHeight w:val="230"/>
        </w:trPr>
        <w:tc>
          <w:tcPr>
            <w:tcW w:w="5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4.157%</w:t>
            </w:r>
          </w:p>
        </w:tc>
      </w:tr>
      <w:tr>
        <w:trPr>
          <w:trHeight w:val="418"/>
        </w:trPr>
        <w:tc>
          <w:tcPr>
            <w:tcW w:w="5140" w:type="dxa"/>
            <w:vAlign w:val="bottom"/>
          </w:tcPr>
          <w:p>
            <w:pPr>
              <w:spacing w:after="0"/>
              <w:rPr>
                <w:sz w:val="20"/>
                <w:szCs w:val="20"/>
                <w:color w:val="auto"/>
              </w:rPr>
            </w:pPr>
            <w:r>
              <w:rPr>
                <w:rFonts w:ascii="Arial" w:cs="Arial" w:eastAsia="Arial" w:hAnsi="Arial"/>
                <w:sz w:val="18"/>
                <w:szCs w:val="18"/>
                <w:color w:val="auto"/>
              </w:rPr>
              <w:t>Price to Public:</w:t>
            </w: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2024 Notes: 99.994% of face amount</w:t>
            </w:r>
          </w:p>
        </w:tc>
      </w:t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2026</w:t>
            </w:r>
          </w:p>
        </w:tc>
        <w:tc>
          <w:tcPr>
            <w:tcW w:w="5660" w:type="dxa"/>
            <w:vAlign w:val="bottom"/>
          </w:tcPr>
          <w:p>
            <w:pPr>
              <w:ind w:left="20"/>
              <w:spacing w:after="0"/>
              <w:rPr>
                <w:sz w:val="20"/>
                <w:szCs w:val="20"/>
                <w:color w:val="auto"/>
              </w:rPr>
            </w:pPr>
            <w:r>
              <w:rPr>
                <w:rFonts w:ascii="Arial" w:cs="Arial" w:eastAsia="Arial" w:hAnsi="Arial"/>
                <w:sz w:val="18"/>
                <w:szCs w:val="18"/>
                <w:color w:val="auto"/>
              </w:rPr>
              <w:t>Notes: 99.973% of face amount</w:t>
            </w:r>
          </w:p>
        </w:tc>
      </w:t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2029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99.804% of face amount</w:t>
            </w:r>
          </w:p>
        </w:tc>
      </w:tr>
      <w:tr>
        <w:trPr>
          <w:trHeight w:val="216"/>
        </w:trPr>
        <w:tc>
          <w:tcPr>
            <w:tcW w:w="51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99.896% of face amount</w:t>
            </w:r>
          </w:p>
        </w:tc>
      </w:tr>
      <w:tr>
        <w:trPr>
          <w:trHeight w:val="230"/>
        </w:trPr>
        <w:tc>
          <w:tcPr>
            <w:tcW w:w="51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2049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99.872% of face amount</w:t>
            </w:r>
          </w:p>
        </w:tc>
      </w:tr>
      <w:tr>
        <w:trPr>
          <w:trHeight w:val="432"/>
        </w:trPr>
        <w:tc>
          <w:tcPr>
            <w:tcW w:w="5140" w:type="dxa"/>
            <w:vAlign w:val="bottom"/>
          </w:tcPr>
          <w:p>
            <w:pPr>
              <w:spacing w:after="0"/>
              <w:rPr>
                <w:sz w:val="20"/>
                <w:szCs w:val="20"/>
                <w:color w:val="auto"/>
              </w:rPr>
            </w:pPr>
            <w:r>
              <w:rPr>
                <w:rFonts w:ascii="Arial" w:cs="Arial" w:eastAsia="Arial" w:hAnsi="Arial"/>
                <w:sz w:val="18"/>
                <w:szCs w:val="18"/>
                <w:color w:val="auto"/>
                <w:w w:val="92"/>
              </w:rPr>
              <w:t>Net Proceeds (after underwriting discounts and estimated expenses):</w:t>
            </w: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$3.963 billion</w:t>
            </w:r>
          </w:p>
        </w:tc>
      </w:tr>
      <w:tr>
        <w:trPr>
          <w:trHeight w:val="418"/>
        </w:trPr>
        <w:tc>
          <w:tcPr>
            <w:tcW w:w="51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2024 Notes, 2026 Notes and 2029 Notes: Semi-annually on June 15 and</w:t>
            </w:r>
          </w:p>
        </w:tc>
      </w:tr>
      <w:tr>
        <w:trPr>
          <w:trHeight w:val="230"/>
        </w:trPr>
        <w:tc>
          <w:tcPr>
            <w:tcW w:w="5140" w:type="dxa"/>
            <w:vAlign w:val="bottom"/>
          </w:tcPr>
          <w:p>
            <w:pPr>
              <w:spacing w:after="0"/>
              <w:rPr>
                <w:sz w:val="20"/>
                <w:szCs w:val="20"/>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December 15, commencing on December 15, 2019</w:t>
            </w:r>
          </w:p>
        </w:tc>
      </w:tr>
      <w:tr>
        <w:trPr>
          <w:trHeight w:val="418"/>
        </w:trPr>
        <w:tc>
          <w:tcPr>
            <w:tcW w:w="51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9"/>
              </w:rPr>
              <w:t>2039</w:t>
            </w:r>
          </w:p>
        </w:tc>
        <w:tc>
          <w:tcPr>
            <w:tcW w:w="5660" w:type="dxa"/>
            <w:vAlign w:val="bottom"/>
          </w:tcPr>
          <w:p>
            <w:pPr>
              <w:ind w:left="20"/>
              <w:spacing w:after="0"/>
              <w:rPr>
                <w:sz w:val="20"/>
                <w:szCs w:val="20"/>
                <w:color w:val="auto"/>
              </w:rPr>
            </w:pPr>
            <w:r>
              <w:rPr>
                <w:rFonts w:ascii="Arial" w:cs="Arial" w:eastAsia="Arial" w:hAnsi="Arial"/>
                <w:sz w:val="18"/>
                <w:szCs w:val="18"/>
                <w:color w:val="auto"/>
              </w:rPr>
              <w:t>Notes and 2049 Notes: Semi-annually on January 15 and July 15,</w:t>
            </w:r>
          </w:p>
        </w:tc>
      </w:tr>
      <w:tr>
        <w:trPr>
          <w:trHeight w:val="230"/>
        </w:trPr>
        <w:tc>
          <w:tcPr>
            <w:tcW w:w="5140" w:type="dxa"/>
            <w:vAlign w:val="bottom"/>
          </w:tcPr>
          <w:p>
            <w:pPr>
              <w:spacing w:after="0"/>
              <w:rPr>
                <w:sz w:val="20"/>
                <w:szCs w:val="20"/>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commencing on January 15, 2020</w:t>
            </w:r>
          </w:p>
        </w:tc>
      </w:tr>
      <w:tr>
        <w:trPr>
          <w:trHeight w:val="418"/>
        </w:trPr>
        <w:tc>
          <w:tcPr>
            <w:tcW w:w="5140" w:type="dxa"/>
            <w:vAlign w:val="bottom"/>
          </w:tcPr>
          <w:p>
            <w:pPr>
              <w:spacing w:after="0"/>
              <w:rPr>
                <w:sz w:val="20"/>
                <w:szCs w:val="20"/>
                <w:color w:val="auto"/>
              </w:rPr>
            </w:pPr>
            <w:r>
              <w:rPr>
                <w:rFonts w:ascii="Arial" w:cs="Arial" w:eastAsia="Arial" w:hAnsi="Arial"/>
                <w:sz w:val="18"/>
                <w:szCs w:val="18"/>
                <w:color w:val="auto"/>
              </w:rPr>
              <w:t>Optional Redemption:</w:t>
            </w: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w w:val="90"/>
              </w:rPr>
              <w:t>The 2024 Notes are redeemable at any time prior to May 15, 2024 (one month prior</w:t>
            </w:r>
          </w:p>
        </w:tc>
      </w:tr>
      <w:tr>
        <w:trPr>
          <w:trHeight w:val="216"/>
        </w:trPr>
        <w:tc>
          <w:tcPr>
            <w:tcW w:w="5140" w:type="dxa"/>
            <w:vAlign w:val="bottom"/>
          </w:tcPr>
          <w:p>
            <w:pPr>
              <w:spacing w:after="0"/>
              <w:rPr>
                <w:sz w:val="18"/>
                <w:szCs w:val="18"/>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w w:val="98"/>
              </w:rPr>
              <w:t>to the maturity date), in whole or from time to time in part, at the option of the</w:t>
            </w:r>
          </w:p>
        </w:tc>
      </w:tr>
      <w:tr>
        <w:trPr>
          <w:trHeight w:val="216"/>
        </w:trPr>
        <w:tc>
          <w:tcPr>
            <w:tcW w:w="5140" w:type="dxa"/>
            <w:vAlign w:val="bottom"/>
          </w:tcPr>
          <w:p>
            <w:pPr>
              <w:spacing w:after="0"/>
              <w:rPr>
                <w:sz w:val="18"/>
                <w:szCs w:val="18"/>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w w:val="89"/>
              </w:rPr>
              <w:t>Company, at a make whole redemption price using the applicable Treasury rate plus</w:t>
            </w:r>
          </w:p>
        </w:tc>
      </w:tr>
      <w:tr>
        <w:trPr>
          <w:trHeight w:val="216"/>
        </w:trPr>
        <w:tc>
          <w:tcPr>
            <w:tcW w:w="5140" w:type="dxa"/>
            <w:vAlign w:val="bottom"/>
          </w:tcPr>
          <w:p>
            <w:pPr>
              <w:spacing w:after="0"/>
              <w:rPr>
                <w:sz w:val="18"/>
                <w:szCs w:val="18"/>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w w:val="97"/>
              </w:rPr>
              <w:t>12.5 basis points (as defined and described in further detail in the Preliminary</w:t>
            </w:r>
          </w:p>
        </w:tc>
      </w:tr>
      <w:tr>
        <w:trPr>
          <w:trHeight w:val="216"/>
        </w:trPr>
        <w:tc>
          <w:tcPr>
            <w:tcW w:w="5140" w:type="dxa"/>
            <w:vAlign w:val="bottom"/>
          </w:tcPr>
          <w:p>
            <w:pPr>
              <w:spacing w:after="0"/>
              <w:rPr>
                <w:sz w:val="18"/>
                <w:szCs w:val="18"/>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w w:val="90"/>
              </w:rPr>
              <w:t>Prospectus Supplement). The 2024 Notes are redeemable on or after May 15, 2024</w:t>
            </w:r>
          </w:p>
        </w:tc>
      </w:tr>
      <w:tr>
        <w:trPr>
          <w:trHeight w:val="216"/>
        </w:trPr>
        <w:tc>
          <w:tcPr>
            <w:tcW w:w="5140" w:type="dxa"/>
            <w:vAlign w:val="bottom"/>
          </w:tcPr>
          <w:p>
            <w:pPr>
              <w:spacing w:after="0"/>
              <w:rPr>
                <w:sz w:val="18"/>
                <w:szCs w:val="18"/>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w w:val="93"/>
              </w:rPr>
              <w:t>(one month prior to the maturity date), in whole or from time to time in part, at the</w:t>
            </w:r>
          </w:p>
        </w:tc>
      </w:tr>
      <w:tr>
        <w:trPr>
          <w:trHeight w:val="230"/>
        </w:trPr>
        <w:tc>
          <w:tcPr>
            <w:tcW w:w="5140" w:type="dxa"/>
            <w:vAlign w:val="bottom"/>
          </w:tcPr>
          <w:p>
            <w:pPr>
              <w:spacing w:after="0"/>
              <w:rPr>
                <w:sz w:val="20"/>
                <w:szCs w:val="20"/>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option of the Company, at par.</w:t>
            </w:r>
          </w:p>
        </w:tc>
      </w:tr>
    </w:tbl>
    <w:p>
      <w:pPr>
        <w:spacing w:after="0" w:line="202" w:lineRule="exact"/>
        <w:rPr>
          <w:sz w:val="20"/>
          <w:szCs w:val="20"/>
          <w:color w:val="auto"/>
        </w:rPr>
      </w:pPr>
    </w:p>
    <w:p>
      <w:pPr>
        <w:ind w:left="5340"/>
        <w:spacing w:after="0" w:line="297" w:lineRule="auto"/>
        <w:rPr>
          <w:sz w:val="20"/>
          <w:szCs w:val="20"/>
          <w:color w:val="auto"/>
        </w:rPr>
      </w:pPr>
      <w:r>
        <w:rPr>
          <w:rFonts w:ascii="Arial" w:cs="Arial" w:eastAsia="Arial" w:hAnsi="Arial"/>
          <w:sz w:val="16"/>
          <w:szCs w:val="16"/>
          <w:color w:val="auto"/>
        </w:rPr>
        <w:t>The 2026 Notes are redeemable at any time prior to April 15, 2026 (two months prior to the maturity date), in whole or from time to time in part, at the option of the Company, at a make whole redemption price using the applicable Treasury rate plus 15 basis points (as defined and described in further detail in the Preliminary Prospectus Supplement). The 2026 Notes are redeemable on or after April 15, 2026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3"/>
              </w:rPr>
              <w:t>(two months prior to the maturity date), in whole or from time to time in part, at the</w:t>
            </w:r>
          </w:p>
        </w:tc>
      </w:tr>
      <w:tr>
        <w:trPr>
          <w:trHeight w:val="230"/>
        </w:trPr>
        <w:tc>
          <w:tcPr>
            <w:tcW w:w="3840" w:type="dxa"/>
            <w:vAlign w:val="bottom"/>
          </w:tcPr>
          <w:p>
            <w:pPr>
              <w:spacing w:after="0"/>
              <w:rPr>
                <w:sz w:val="20"/>
                <w:szCs w:val="20"/>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option of the Company, at par.</w:t>
            </w:r>
          </w:p>
        </w:tc>
      </w:tr>
      <w:tr>
        <w:trPr>
          <w:trHeight w:val="418"/>
        </w:trPr>
        <w:tc>
          <w:tcPr>
            <w:tcW w:w="3840" w:type="dxa"/>
            <w:vAlign w:val="bottom"/>
          </w:tcPr>
          <w:p>
            <w:pPr>
              <w:spacing w:after="0"/>
              <w:rPr>
                <w:sz w:val="24"/>
                <w:szCs w:val="24"/>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2"/>
              </w:rPr>
              <w:t>The 2029 Notes are redeemable at any time prior to March 15, 2029 (three months</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3"/>
              </w:rPr>
              <w:t>prior to the maturity date), in whole or from time to time in part, at the option of the</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0"/>
              </w:rPr>
              <w:t>Company, at a make whole redemption price using the applicable Treasury rate plus</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20 basis points (as defined and described in further detail in the Preliminary</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5"/>
              </w:rPr>
              <w:t>Prospectus Supplement). The 2029 Notes are redeemable on or after March 15,</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8"/>
              </w:rPr>
              <w:t>2029 (three months prior to the maturity date), in whole or from time to time in</w:t>
            </w:r>
          </w:p>
        </w:tc>
      </w:tr>
      <w:tr>
        <w:trPr>
          <w:trHeight w:val="230"/>
        </w:trPr>
        <w:tc>
          <w:tcPr>
            <w:tcW w:w="3840" w:type="dxa"/>
            <w:vAlign w:val="bottom"/>
          </w:tcPr>
          <w:p>
            <w:pPr>
              <w:spacing w:after="0"/>
              <w:rPr>
                <w:sz w:val="20"/>
                <w:szCs w:val="20"/>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part, at the option of the Company, at par.</w:t>
            </w:r>
          </w:p>
        </w:tc>
      </w:tr>
      <w:tr>
        <w:trPr>
          <w:trHeight w:val="418"/>
        </w:trPr>
        <w:tc>
          <w:tcPr>
            <w:tcW w:w="3840" w:type="dxa"/>
            <w:vAlign w:val="bottom"/>
          </w:tcPr>
          <w:p>
            <w:pPr>
              <w:spacing w:after="0"/>
              <w:rPr>
                <w:sz w:val="24"/>
                <w:szCs w:val="24"/>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3"/>
              </w:rPr>
              <w:t>The 2039 Notes are redeemable at any time prior to January 15, 2039 (six months</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3"/>
              </w:rPr>
              <w:t>prior to the maturity date), in whole or from time to time in part, at the option of the</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0"/>
              </w:rPr>
              <w:t>Company, at a make whole redemption price using the applicable Treasury rate plus</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20 basis points (as defined and described in further detail in the Preliminary</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3"/>
              </w:rPr>
              <w:t>Prospectus Supplement). The 2039 Notes are redeemable on or after January 15,</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5"/>
              </w:rPr>
              <w:t>2039 (six months prior to the maturity date), in whole or from time to time in part,</w:t>
            </w:r>
          </w:p>
        </w:tc>
      </w:tr>
      <w:tr>
        <w:trPr>
          <w:trHeight w:val="230"/>
        </w:trPr>
        <w:tc>
          <w:tcPr>
            <w:tcW w:w="3840" w:type="dxa"/>
            <w:vAlign w:val="bottom"/>
          </w:tcPr>
          <w:p>
            <w:pPr>
              <w:spacing w:after="0"/>
              <w:rPr>
                <w:sz w:val="20"/>
                <w:szCs w:val="20"/>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at the option of the Company, at par.</w:t>
            </w:r>
          </w:p>
        </w:tc>
      </w:tr>
      <w:tr>
        <w:trPr>
          <w:trHeight w:val="418"/>
        </w:trPr>
        <w:tc>
          <w:tcPr>
            <w:tcW w:w="3840" w:type="dxa"/>
            <w:vAlign w:val="bottom"/>
          </w:tcPr>
          <w:p>
            <w:pPr>
              <w:spacing w:after="0"/>
              <w:rPr>
                <w:sz w:val="24"/>
                <w:szCs w:val="24"/>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3"/>
              </w:rPr>
              <w:t>The 2049 Notes are redeemable at any time prior to January 15, 2049 (six months</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3"/>
              </w:rPr>
              <w:t>prior to the maturity date), in whole or from time to time in part, at the option of the</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0"/>
              </w:rPr>
              <w:t>Company, at a make whole redemption price using the applicable Treasury rate plus</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20 basis points (as defined and described in further detail in the Preliminary</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3"/>
              </w:rPr>
              <w:t>Prospectus Supplement). The 2049 Notes are redeemable on or after January 15,</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5"/>
              </w:rPr>
              <w:t>2049 (six months prior to the maturity date), in whole or from time to time in part,</w:t>
            </w:r>
          </w:p>
        </w:tc>
      </w:tr>
      <w:tr>
        <w:trPr>
          <w:trHeight w:val="230"/>
        </w:trPr>
        <w:tc>
          <w:tcPr>
            <w:tcW w:w="3840" w:type="dxa"/>
            <w:vAlign w:val="bottom"/>
          </w:tcPr>
          <w:p>
            <w:pPr>
              <w:spacing w:after="0"/>
              <w:rPr>
                <w:sz w:val="20"/>
                <w:szCs w:val="20"/>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at the option of the Company, at par.</w:t>
            </w: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Special Mandatory Redemption:</w:t>
            </w:r>
          </w:p>
        </w:tc>
        <w:tc>
          <w:tcPr>
            <w:tcW w:w="7620" w:type="dxa"/>
            <w:vAlign w:val="bottom"/>
          </w:tcPr>
          <w:p>
            <w:pPr>
              <w:ind w:left="1500"/>
              <w:spacing w:after="0"/>
              <w:rPr>
                <w:sz w:val="20"/>
                <w:szCs w:val="20"/>
                <w:color w:val="auto"/>
              </w:rPr>
            </w:pPr>
            <w:r>
              <w:rPr>
                <w:rFonts w:ascii="Arial" w:cs="Arial" w:eastAsia="Arial" w:hAnsi="Arial"/>
                <w:sz w:val="18"/>
                <w:szCs w:val="18"/>
                <w:color w:val="auto"/>
                <w:w w:val="94"/>
              </w:rPr>
              <w:t>If the Company does not consummate the Merger (as defined under “Summary—</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5"/>
              </w:rPr>
              <w:t>Recent Developments” in the Preliminary Prospectus Supplement) on or prior to</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3"/>
              </w:rPr>
              <w:t>July 14, 2020, or, if prior to such date, the Merger Agreement is terminated for any</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8"/>
              </w:rPr>
              <w:t>reason, then, in either case, the Company will be required to redeem all of the</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4"/>
              </w:rPr>
              <w:t>outstanding 2024 notes, 2026 notes, 2029 notes and 2039 notes at a redemption</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w w:val="95"/>
              </w:rPr>
              <w:t>price equal to 101% of the aggregate principal amount thereof, plus accrued and</w:t>
            </w:r>
          </w:p>
        </w:tc>
      </w:tr>
      <w:tr>
        <w:trPr>
          <w:trHeight w:val="230"/>
        </w:trPr>
        <w:tc>
          <w:tcPr>
            <w:tcW w:w="3840" w:type="dxa"/>
            <w:vAlign w:val="bottom"/>
          </w:tcPr>
          <w:p>
            <w:pPr>
              <w:spacing w:after="0"/>
              <w:rPr>
                <w:sz w:val="20"/>
                <w:szCs w:val="20"/>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unpaid interest to, but excluding, the redemption date.</w:t>
            </w:r>
          </w:p>
        </w:tc>
      </w:tr>
      <w:tr>
        <w:trPr>
          <w:trHeight w:val="634"/>
        </w:trPr>
        <w:tc>
          <w:tcPr>
            <w:tcW w:w="3840" w:type="dxa"/>
            <w:vAlign w:val="bottom"/>
          </w:tcPr>
          <w:p>
            <w:pPr>
              <w:spacing w:after="0"/>
              <w:rPr>
                <w:sz w:val="20"/>
                <w:szCs w:val="20"/>
                <w:color w:val="auto"/>
              </w:rPr>
            </w:pPr>
            <w:r>
              <w:rPr>
                <w:rFonts w:ascii="Arial" w:cs="Arial" w:eastAsia="Arial" w:hAnsi="Arial"/>
                <w:sz w:val="18"/>
                <w:szCs w:val="18"/>
                <w:color w:val="auto"/>
              </w:rPr>
              <w:t>CUSIP/ISIN:</w:t>
            </w:r>
          </w:p>
        </w:tc>
        <w:tc>
          <w:tcPr>
            <w:tcW w:w="7620" w:type="dxa"/>
            <w:vAlign w:val="bottom"/>
          </w:tcPr>
          <w:p>
            <w:pPr>
              <w:ind w:left="1500"/>
              <w:spacing w:after="0"/>
              <w:rPr>
                <w:sz w:val="20"/>
                <w:szCs w:val="20"/>
                <w:color w:val="auto"/>
              </w:rPr>
            </w:pPr>
            <w:r>
              <w:rPr>
                <w:rFonts w:ascii="Arial" w:cs="Arial" w:eastAsia="Arial" w:hAnsi="Arial"/>
                <w:sz w:val="18"/>
                <w:szCs w:val="18"/>
                <w:color w:val="auto"/>
              </w:rPr>
              <w:t>2024 Notes: 94106L BF5 / US94106LBF58</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2026 Notes: 94106L BH1 / US94106LBH15</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2029 Notes: 94106L BG3 / US94106LBG32</w:t>
            </w:r>
          </w:p>
        </w:tc>
      </w:tr>
      <w:tr>
        <w:trPr>
          <w:trHeight w:val="216"/>
        </w:trPr>
        <w:tc>
          <w:tcPr>
            <w:tcW w:w="3840" w:type="dxa"/>
            <w:vAlign w:val="bottom"/>
          </w:tcPr>
          <w:p>
            <w:pPr>
              <w:spacing w:after="0"/>
              <w:rPr>
                <w:sz w:val="18"/>
                <w:szCs w:val="18"/>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2039 Notes: 94106L BJ7 / US94106LBJ70</w:t>
            </w:r>
          </w:p>
        </w:tc>
      </w:tr>
      <w:tr>
        <w:trPr>
          <w:trHeight w:val="230"/>
        </w:trPr>
        <w:tc>
          <w:tcPr>
            <w:tcW w:w="3840" w:type="dxa"/>
            <w:vAlign w:val="bottom"/>
          </w:tcPr>
          <w:p>
            <w:pPr>
              <w:spacing w:after="0"/>
              <w:rPr>
                <w:sz w:val="20"/>
                <w:szCs w:val="20"/>
                <w:color w:val="auto"/>
              </w:rPr>
            </w:pPr>
          </w:p>
        </w:tc>
        <w:tc>
          <w:tcPr>
            <w:tcW w:w="7620" w:type="dxa"/>
            <w:vAlign w:val="bottom"/>
          </w:tcPr>
          <w:p>
            <w:pPr>
              <w:ind w:left="1500"/>
              <w:spacing w:after="0"/>
              <w:rPr>
                <w:sz w:val="20"/>
                <w:szCs w:val="20"/>
                <w:color w:val="auto"/>
              </w:rPr>
            </w:pPr>
            <w:r>
              <w:rPr>
                <w:rFonts w:ascii="Arial" w:cs="Arial" w:eastAsia="Arial" w:hAnsi="Arial"/>
                <w:sz w:val="18"/>
                <w:szCs w:val="18"/>
                <w:color w:val="auto"/>
              </w:rPr>
              <w:t>2049 Notes: 94106L BK4 / US94106LBK44</w:t>
            </w:r>
          </w:p>
        </w:tc>
      </w:tr>
      <w:tr>
        <w:trPr>
          <w:trHeight w:val="432"/>
        </w:trPr>
        <w:tc>
          <w:tcPr>
            <w:tcW w:w="3840" w:type="dxa"/>
            <w:vAlign w:val="bottom"/>
          </w:tcPr>
          <w:p>
            <w:pPr>
              <w:spacing w:after="0"/>
              <w:rPr>
                <w:sz w:val="24"/>
                <w:szCs w:val="24"/>
                <w:color w:val="auto"/>
              </w:rPr>
            </w:pPr>
          </w:p>
        </w:tc>
        <w:tc>
          <w:tcPr>
            <w:tcW w:w="7620" w:type="dxa"/>
            <w:vAlign w:val="bottom"/>
          </w:tcPr>
          <w:p>
            <w:pPr>
              <w:ind w:left="1820"/>
              <w:spacing w:after="0"/>
              <w:rPr>
                <w:sz w:val="20"/>
                <w:szCs w:val="20"/>
                <w:color w:val="auto"/>
              </w:rPr>
            </w:pPr>
            <w:r>
              <w:rPr>
                <w:rFonts w:ascii="Arial" w:cs="Arial" w:eastAsia="Arial" w:hAnsi="Arial"/>
                <w:sz w:val="18"/>
                <w:szCs w:val="18"/>
                <w:color w:val="auto"/>
              </w:rPr>
              <w:t>3</w:t>
            </w:r>
          </w:p>
        </w:tc>
      </w:tr>
      <w:tr>
        <w:trPr>
          <w:trHeight w:val="132"/>
        </w:trPr>
        <w:tc>
          <w:tcPr>
            <w:tcW w:w="3840" w:type="dxa"/>
            <w:vAlign w:val="bottom"/>
            <w:tcBorders>
              <w:bottom w:val="single" w:sz="8" w:color="808080"/>
            </w:tcBorders>
          </w:tcPr>
          <w:p>
            <w:pPr>
              <w:spacing w:after="0"/>
              <w:rPr>
                <w:sz w:val="11"/>
                <w:szCs w:val="11"/>
                <w:color w:val="auto"/>
              </w:rPr>
            </w:pPr>
          </w:p>
        </w:tc>
        <w:tc>
          <w:tcPr>
            <w:tcW w:w="7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Credit Suisse Securities (USA)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ectPr>
          <w:pgSz w:w="11900" w:h="16838" w:orient="portrait"/>
          <w:cols w:equalWidth="0" w:num="2">
            <w:col w:w="4620" w:space="720"/>
            <w:col w:w="6060"/>
          </w:cols>
          <w:pgMar w:left="240" w:top="341" w:right="25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1195705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MUFG Securities Americas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BNY Mellon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Siebert Cisneros Shank &amp; Co., L.L.C.</w:t>
      </w:r>
    </w:p>
    <w:p>
      <w:pPr>
        <w:spacing w:after="0" w:line="200" w:lineRule="exact"/>
        <w:rPr>
          <w:sz w:val="20"/>
          <w:szCs w:val="20"/>
          <w:color w:val="auto"/>
        </w:rPr>
      </w:pPr>
    </w:p>
    <w:p>
      <w:pPr>
        <w:sectPr>
          <w:pgSz w:w="11900" w:h="16838" w:orient="portrait"/>
          <w:cols w:equalWidth="0" w:num="2">
            <w:col w:w="4620" w:space="720"/>
            <w:col w:w="6060"/>
          </w:cols>
          <w:pgMar w:left="240" w:top="341" w:right="25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review or withdrawal at any time.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MiFID II professionals/ECPs-only/No PRIIPs KID — in the European Economic Area (EEA), the manufacturer target market (MiFID II product governance) is eligible counterparties and professional clients only (all distribution channels). No PRIIPs key information document (KID) has been prepared as not available to retail in the EEA.</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information in this term sheet supplements the information provided in the preliminary prospectus supplement dated May 14, 2019. To the extent information in this term sheet conflicts with information in the preliminary prospectus supplement, this term sheet controls.</w:t>
      </w:r>
    </w:p>
    <w:p>
      <w:pPr>
        <w:spacing w:after="0" w:line="17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Credit Suisse Prospectus Department toll-free at 1-800-221-1037; (2) Deutsche Bank Securities Inc. toll-free at 1-800-503-4611;</w:t>
      </w:r>
    </w:p>
    <w:p>
      <w:pPr>
        <w:spacing w:after="0" w:line="2" w:lineRule="exact"/>
        <w:rPr>
          <w:sz w:val="20"/>
          <w:szCs w:val="20"/>
          <w:color w:val="auto"/>
        </w:rPr>
      </w:pPr>
    </w:p>
    <w:p>
      <w:pPr>
        <w:ind w:right="20" w:firstLine="8"/>
        <w:spacing w:after="0" w:line="261"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Goldman Sachs &amp; Co. LLC collect at 1-212-902-1171 (Prospectus Department); (4) J.P. Morgan Securities LLC collect at 1-212-834-4533; or (5) Mizuho Securities USA LLC toll-free at 1-866-271-7403.</w:t>
      </w:r>
    </w:p>
    <w:p>
      <w:pPr>
        <w:spacing w:after="0" w:line="1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1"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2019-12-02T18:56:57Z</dcterms:created>
  <dcterms:modified xsi:type="dcterms:W3CDTF">2019-12-02T18:56:57Z</dcterms:modified>
</cp:coreProperties>
</file>