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175895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212725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31,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197485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Waste Management, Inc. (the “Company”) issued a press release this morning, July 31, 2007, announcing its earnings for the quarter ended June 30,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w:t>
      </w:r>
    </w:p>
    <w:p>
      <w:pPr>
        <w:spacing w:after="0" w:line="103"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The call may also be listened to live by calling (877) 710-6139 and asking for the “Waste Management Conference Call — Call ID 4344708.” A replay of the conference call will be available through 5:00 p.m. Central time on August 14, 2007. The replay of the call may be heard over the Internet, by accessing the Company’s website at www.wm.com, or by telephone by dialing 800-642-1687 and entering conference code 4344708.</w:t>
      </w:r>
    </w:p>
    <w:p>
      <w:pPr>
        <w:spacing w:after="0" w:line="6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On the conference call, management of the Company is expected to discuss its results of operations using certain non-GAAP financial measures, including: free cash flow; adjusted earnings per diluted share; and adjusted income from operations as a percentage of revenue. Management is also expected to discuss certain non-GAAP projections of its future performance, including adjusted earnings per diluted share and free cash flow. The Company has provided an explanation of its use of these non-GAAP measures and has reconciled them to the most comparable GAAP measures in the press release, which is attached to this Form 8-K as exhibit 99.1, and the schedules thereto.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July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31, 2007</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20"/>
                <w:szCs w:val="20"/>
                <w:color w:val="auto"/>
              </w:rPr>
            </w:pPr>
            <w:r>
              <w:rPr>
                <w:rFonts w:ascii="Arial" w:cs="Arial" w:eastAsia="Arial" w:hAnsi="Arial"/>
                <w:sz w:val="14"/>
                <w:szCs w:val="14"/>
                <w:b w:val="1"/>
                <w:bCs w:val="1"/>
                <w:color w:val="auto"/>
                <w:w w:val="96"/>
              </w:rPr>
              <w:t>Exhibit Number</w:t>
            </w:r>
          </w:p>
        </w:tc>
        <w:tc>
          <w:tcPr>
            <w:tcW w:w="10400" w:type="dxa"/>
            <w:vAlign w:val="bottom"/>
            <w:gridSpan w:val="2"/>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19"/>
                <w:szCs w:val="19"/>
                <w:color w:val="auto"/>
              </w:rPr>
            </w:pPr>
          </w:p>
        </w:tc>
        <w:tc>
          <w:tcPr>
            <w:tcW w:w="9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July 31, 2007</w:t>
            </w: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2978785</wp:posOffset>
            </wp:positionH>
            <wp:positionV relativeFrom="page">
              <wp:posOffset>620395</wp:posOffset>
            </wp:positionV>
            <wp:extent cx="1612265"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5575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#07-11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Second Quarter 2007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from Operations as a Percent of Revenue Expands by over 200 Basis Points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Raises Full-Year 2007 Earnings Guidance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HOUSTON — July 31, 2007 — </w:t>
      </w:r>
      <w:r>
        <w:rPr>
          <w:rFonts w:ascii="Arial" w:cs="Arial" w:eastAsia="Arial" w:hAnsi="Arial"/>
          <w:sz w:val="16"/>
          <w:szCs w:val="16"/>
          <w:color w:val="auto"/>
        </w:rPr>
        <w:t>Waste Management, Inc. (NYSE: WMI) today announced financial results for its second quarter ended June 30, 2007. Net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income for the quarter was $338 million, or $0.64 per diluted share, compared with $417 million, or $0.76 per diluted share in the prior year period.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noted several items that impacted the results in the current and prior years’ second quarters. Excluding these items, net income would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$0.56 per diluted share in the second quarter of 2007 compared with $0.45 per diluted share in the prior year quarter, or a 24% increase in earnings per diluted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share.</w:t>
      </w:r>
      <w:r>
        <w:rPr>
          <w:rFonts w:ascii="Arial" w:cs="Arial" w:eastAsia="Arial" w:hAnsi="Arial"/>
          <w:sz w:val="15"/>
          <w:szCs w:val="15"/>
          <w:color w:val="auto"/>
        </w:rPr>
        <w: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the following items that impacted the results for the quarter:</w:t>
      </w:r>
    </w:p>
    <w:p>
      <w:pPr>
        <w:spacing w:after="0" w:line="117" w:lineRule="exact"/>
        <w:rPr>
          <w:sz w:val="20"/>
          <w:szCs w:val="20"/>
          <w:color w:val="auto"/>
        </w:rPr>
      </w:pPr>
    </w:p>
    <w:p>
      <w:pPr>
        <w:ind w:left="660" w:right="1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$24 million benefit in net income primarily resulting from income tax audit settlements and adjustments to deferred taxes arising from legislative changes.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 after-tax benefit of $18 million due to gains on the divestitures of operations.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Combined, these items improved second quarter 2007 after-tax earnings by $42 million. Without the impact of these items, net income for the quarter would have been $296 million, or $0.56 per diluted share.</w:t>
      </w:r>
      <w:r>
        <w:rPr>
          <w:rFonts w:ascii="Arial" w:cs="Arial" w:eastAsia="Arial" w:hAnsi="Arial"/>
          <w:sz w:val="15"/>
          <w:szCs w:val="15"/>
          <w:color w:val="auto"/>
        </w:rPr>
        <w:t>(a)</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prior year’s second quarter earnings included a net after-tax benefit of $168 million primarily due to tax audit settlements. Without such benefit, net income in last year’s second quarter would have been $249 million, or $0.45 per diluted share.</w:t>
      </w:r>
      <w:r>
        <w:rPr>
          <w:rFonts w:ascii="Arial" w:cs="Arial" w:eastAsia="Arial" w:hAnsi="Arial"/>
          <w:sz w:val="15"/>
          <w:szCs w:val="15"/>
          <w:color w:val="auto"/>
        </w:rPr>
        <w:t>(a)</w:t>
      </w:r>
    </w:p>
    <w:p>
      <w:pPr>
        <w:spacing w:after="0" w:line="6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Income from operations as a percent of revenue improved 230 basis points to 18.9% in the second quarter of 2007 as compared with the second quarter of 2006. Income from operations as a percent of revenue, as adjusted for the items noted above, increased 210 basis points to 17.9% in the second quarter of 2007 as compared with the second quarter of 2006.</w:t>
      </w:r>
      <w:r>
        <w:rPr>
          <w:rFonts w:ascii="Arial" w:cs="Arial" w:eastAsia="Arial" w:hAnsi="Arial"/>
          <w:sz w:val="15"/>
          <w:szCs w:val="15"/>
          <w:color w:val="auto"/>
        </w:rPr>
        <w:t>(a)</w:t>
      </w:r>
    </w:p>
    <w:p>
      <w:pPr>
        <w:spacing w:after="0" w:line="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pleased with our second quarter 2007 financial performance, as we again accomplished our primary goals of adjusted earnings growth, operating margin expansion and strong free cash flow,” said David P. Steiner, Chief Executive Officer of Waste Management. “Our strong financial performance continues to be driven by the success of our pricing and operational excellence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right="40"/>
        <w:spacing w:after="0" w:line="286" w:lineRule="auto"/>
        <w:rPr>
          <w:sz w:val="20"/>
          <w:szCs w:val="20"/>
          <w:color w:val="auto"/>
        </w:rPr>
      </w:pPr>
      <w:r>
        <w:rPr>
          <w:rFonts w:ascii="Arial" w:cs="Arial" w:eastAsia="Arial" w:hAnsi="Arial"/>
          <w:sz w:val="17"/>
          <w:szCs w:val="17"/>
          <w:color w:val="auto"/>
        </w:rPr>
        <w:t xml:space="preserve">Revenues for the quarter were $3.36 billion as compared with $3.41 billion in the year ago period, a decline of $52 million, as the Company continued to execute its strategy to divest underperforming operations and accounts. Excluding the divestiture of underperforming operations representing $104 million of second quarter 2006 revenues, second quarter 2007 revenues would have been up $52 million on a year-over-year basis. </w:t>
      </w:r>
      <w:r>
        <w:rPr>
          <w:rFonts w:ascii="Arial" w:cs="Arial" w:eastAsia="Arial" w:hAnsi="Arial"/>
          <w:sz w:val="14"/>
          <w:szCs w:val="14"/>
          <w:color w:val="auto"/>
        </w:rPr>
        <w:t>(a)</w:t>
      </w:r>
    </w:p>
    <w:p>
      <w:pPr>
        <w:spacing w:after="0" w:line="5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Steiner continued, “Our internal revenue growth due to yield on base business was 3.4%. If we include the 2.2% benefit from higher recycling commodity prices, internal revenue growth from yield was 5.6%. The internal revenue growth from yield in our combined commercial, industrial and residential lines of business was 4.6%. Our strategy to price work in order to achieve acceptable margins and returns again worked very well in the second quarter, as the volume loss in our collection line of business was about 4.8%, but the income from operations in our collection business grew 20%.</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internal revenue growth from yield at our landfills and transfer stations improved in the second quarter of 2007, and we expect that to continue as we further implement our disposal pricing excellence program throughout the Company.”</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for the Company’s operational excellence programs, Steiner noted, “Our operating expense results continued to improve during the second quarter of 2007. We lowered our operating costs by $107 million during this year’s quarter, which is a 4.9% improvement in absolute dollars when compared with the prior year’s quarter. Operating expenses as a percent of revenue in the second quarter of 2007 stood at 62.3%, a 220 basis point improvement when compared with the second quarter of 2006. This marks the eighth consecutive quarter in which our year-over-year operating costs as a percent of revenue have improved.</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operating activities and free cash flow were both strong for the quarter. We returned $321 million to shareholders in the form of our $0.24 per share quarterly dividend and our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Second Quarter of 2007</w:t>
      </w:r>
    </w:p>
    <w:p>
      <w:pPr>
        <w:spacing w:after="0" w:line="121" w:lineRule="exact"/>
        <w:rPr>
          <w:sz w:val="20"/>
          <w:szCs w:val="20"/>
          <w:color w:val="auto"/>
        </w:rPr>
      </w:pPr>
    </w:p>
    <w:p>
      <w:pPr>
        <w:ind w:left="660" w:right="3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Income from operations as adjusted was $600 million, or 17.9% of revenue, an increase of 210 basis points compared with the prior year second quarter as adjusted.</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on base business of 3.4%. Including the positive impact of higher recycling commodity prices, internal revenue growth from yield was 5.6%.</w:t>
      </w:r>
    </w:p>
    <w:p>
      <w:pPr>
        <w:spacing w:after="0" w:line="75"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Higher recycling commodity prices contributed approximately $0.02 per diluted share to the year-over-year improvement in earnings per diluted share.</w:t>
      </w:r>
    </w:p>
    <w:p>
      <w:pPr>
        <w:spacing w:after="0" w:line="75"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4.4%. The volume component included a 4.8% reduction in collection volumes and a 4.4% reduction in landfill volumes.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Divestitures caused a 3.1% decline in revenues in the quarter, while acquisitions contributed 0.2% to higher revenues.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Operating expenses were 62.3% of revenue, down from 64.5% of revenue in the same period in 2006.</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of $209 million, compared with $296 million in the second quarter of 2006.</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Free cash flow of $475 million, compared with $398 million in the second quarter of 2006.</w:t>
      </w:r>
      <w:r>
        <w:rPr>
          <w:rFonts w:ascii="Arial" w:cs="Arial" w:eastAsia="Arial" w:hAnsi="Arial"/>
          <w:sz w:val="15"/>
          <w:szCs w:val="15"/>
          <w:color w:val="auto"/>
        </w:rPr>
        <w:t>(a)</w:t>
      </w:r>
    </w:p>
    <w:p>
      <w:pPr>
        <w:spacing w:after="0" w:line="130"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total of $321 million in cash returned to shareholders in the form of $196 million in common stock repurchases and $125 million in dividend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ind w:left="660" w:right="60" w:hanging="436"/>
        <w:spacing w:after="0" w:line="286"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effective tax rate in the quarter, after adjusting for the income tax items noted above, was 34%, which reflects an estimated phase-out of 29% of our Section 45K tax credits due to the level of actual and projected crude oil prices.</w:t>
      </w:r>
      <w:r>
        <w:rPr>
          <w:rFonts w:ascii="Arial" w:cs="Arial" w:eastAsia="Arial" w:hAnsi="Arial"/>
          <w:sz w:val="14"/>
          <w:szCs w:val="14"/>
          <w:color w:val="auto"/>
        </w:rPr>
        <w:t>(a)</w:t>
      </w:r>
      <w:r>
        <w:rPr>
          <w:rFonts w:ascii="Arial" w:cs="Arial" w:eastAsia="Arial" w:hAnsi="Arial"/>
          <w:sz w:val="17"/>
          <w:szCs w:val="17"/>
          <w:color w:val="auto"/>
        </w:rPr>
        <w:t xml:space="preserve"> Section 45K tax credits generated an additional $0.02 per diluted share benefit to net income in the second quarter of 2007 compared with the second quarter of 2006.</w:t>
      </w:r>
    </w:p>
    <w:p>
      <w:pPr>
        <w:spacing w:after="0" w:line="5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Steiner concluded, “Our overall performance during the first and second quarters of this year was very strong. The continued success of our pricing and operational excellence strategies is clearly reflected in our results. Our first and second quarter results give us confidence that we will achieve our earnings expectations for the remaining two quarters of 2007. As a result, we now project our full-year 2007 earnings to be within the range of $2.07 to $2.11 per diluted share, without considering the financial impact associated with the recently ended labor disruption in the Oakland, California area and certain other items.</w:t>
      </w:r>
      <w:r>
        <w:rPr>
          <w:rFonts w:ascii="Arial" w:cs="Arial" w:eastAsia="Arial" w:hAnsi="Arial"/>
          <w:sz w:val="14"/>
          <w:szCs w:val="14"/>
          <w:color w:val="auto"/>
        </w:rPr>
        <w:t>(a)</w:t>
      </w:r>
      <w:r>
        <w:rPr>
          <w:rFonts w:ascii="Arial" w:cs="Arial" w:eastAsia="Arial" w:hAnsi="Arial"/>
          <w:sz w:val="17"/>
          <w:szCs w:val="17"/>
          <w:color w:val="auto"/>
        </w:rPr>
        <w:t xml:space="preserve"> This is an increase from our previous projection of $2.03 to $2.07 per diluted share. On the same basis, we now project that we will meet or exceed our previously projected free cash flow range of $1.30 to $1.40 billion for the full-year 2007.”</w:t>
      </w:r>
    </w:p>
    <w:p>
      <w:pPr>
        <w:spacing w:after="0" w:line="70" w:lineRule="exact"/>
        <w:rPr>
          <w:sz w:val="20"/>
          <w:szCs w:val="20"/>
          <w:color w:val="auto"/>
        </w:rPr>
      </w:pPr>
    </w:p>
    <w:p>
      <w:pPr>
        <w:ind w:left="660" w:hanging="436"/>
        <w:spacing w:after="0" w:line="29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660" w:right="4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Earnings per diluted share;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percentage of revenue;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Comparative changes in revenue;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Effective tax rate;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Projected earnings per diluted share.</w:t>
      </w:r>
    </w:p>
    <w:p>
      <w:pPr>
        <w:spacing w:after="0" w:line="117" w:lineRule="exact"/>
        <w:rPr>
          <w:sz w:val="20"/>
          <w:szCs w:val="20"/>
          <w:color w:val="auto"/>
        </w:rPr>
      </w:pPr>
    </w:p>
    <w:p>
      <w:pPr>
        <w:ind w:left="220" w:right="140"/>
        <w:spacing w:after="0" w:line="286" w:lineRule="auto"/>
        <w:rPr>
          <w:sz w:val="20"/>
          <w:szCs w:val="20"/>
          <w:color w:val="auto"/>
        </w:rPr>
      </w:pPr>
      <w:r>
        <w:rPr>
          <w:rFonts w:ascii="Arial" w:cs="Arial" w:eastAsia="Arial" w:hAnsi="Arial"/>
          <w:sz w:val="17"/>
          <w:szCs w:val="17"/>
          <w:color w:val="auto"/>
        </w:rPr>
        <w:t>The Company also discusses free cash flow and projected free cash flow, which are non-GAAP measures, because it believes that investors are interested in the cash produced by the Company from non-financing activities that is available for uses such as the Company’s acquisitions, its share repurchase program, its scheduled debt reduction and the payment of dividends. The Company defines free cash flow as:</w:t>
      </w:r>
    </w:p>
    <w:p>
      <w:pPr>
        <w:spacing w:after="0" w:line="5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62"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Except for projected earnings per diluted share, discussed below, and the comparative change in adjusted revenue, which is reconciled in the text of this release, the 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39"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The full year adjusted earnings of $2.07 to $2.11 per diluted share projected by the Company excludes (i) the first quarter 2007 impact of restructuring charges of $6 million after tax; (ii) the 2007 year-to-date impact of $40 million associated with income tax benefits; and (iii) the second quarter net</w:t>
      </w:r>
    </w:p>
    <w:p>
      <w:pPr>
        <w:ind w:right="160"/>
        <w:spacing w:after="0" w:line="255" w:lineRule="auto"/>
        <w:rPr>
          <w:sz w:val="20"/>
          <w:szCs w:val="20"/>
          <w:color w:val="auto"/>
        </w:rPr>
      </w:pPr>
      <w:r>
        <w:rPr>
          <w:rFonts w:ascii="Arial" w:cs="Arial" w:eastAsia="Arial" w:hAnsi="Arial"/>
          <w:sz w:val="18"/>
          <w:szCs w:val="18"/>
          <w:color w:val="auto"/>
        </w:rPr>
        <w:t>$18 million in after-tax gains from the divestiture of certain operations. GAAP net earnings per diluted share for the remaining two quarters of the year may include restructuring charges, asset impairment and unusual items charges, gains or losses from divestitures, the resolution of income tax items, and other items that are not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jc w:val="both"/>
        <w:ind w:right="20"/>
        <w:spacing w:after="0" w:line="257" w:lineRule="auto"/>
        <w:rPr>
          <w:sz w:val="20"/>
          <w:szCs w:val="20"/>
          <w:color w:val="auto"/>
        </w:rPr>
      </w:pPr>
      <w:r>
        <w:rPr>
          <w:rFonts w:ascii="Arial" w:cs="Arial" w:eastAsia="Arial" w:hAnsi="Arial"/>
          <w:sz w:val="18"/>
          <w:szCs w:val="18"/>
          <w:color w:val="auto"/>
        </w:rPr>
        <w:t>determinable, but may be significant, such as the financial impact of the labor action in the Oakland, California area. The full year 2007 adjusted earnings of $2.07 to $2.11 per diluted share projected today excludes the impact of any such items that may occur. GAAP net earnings per diluted share projected for the full year would require inclusion of the projected impact of any expected items. Due to the uncertainty of the amount and timing of any such items, we do not believe we have the information available to provide projected full year GAAP net earnings per diluted share and the quantitative reconciliation to our current adjusted earning per diluted share projection.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scheduled an investor and analyst conference call for later this morning to discuss the results of today’s earnings announcement.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information in this press release should be read in conjunction with the information on the conference call. The call will begin at 10:00 a.m. Eastern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 a.m. Central time, and is open to the public. To listen to the conference call, which will be broadcast live over the Internet, go to the Waste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Website at http://www.wm.com, and select “2Q2007 Earnings Report Webcast.” You may also listen to the analyst conference call by telephone by contacting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conference call operator 5 to 10 minutes prior to the scheduled start time and asking for the “Waste Management Conference Call — Call ID 4344708.”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US/Canada Dial-In Number: (877) 710-6139. Int’l/Local Dial-In Number: (706) 643-7398. For those unable to listen to the live call, a replay will be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hours a day beginning at approximately noon. Central time on July 31 through 5:00 p.m. Central time on August 14. To hear a replay of the call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Internet, access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To hear a telephonic replay of the call, dial (800) 642-1687 or (706) 645-9291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enter reservation code 4344708.</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2007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0" w:lineRule="exact"/>
        <w:rPr>
          <w:sz w:val="20"/>
          <w:szCs w:val="20"/>
          <w:color w:val="auto"/>
        </w:rPr>
      </w:pPr>
    </w:p>
    <w:p>
      <w:pPr>
        <w:ind w:left="660" w:right="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w:t>
      </w:r>
    </w:p>
    <w:p>
      <w:pPr>
        <w:spacing w:after="0" w:line="130" w:lineRule="exact"/>
        <w:rPr>
          <w:rFonts w:ascii="Arial" w:cs="Arial" w:eastAsia="Arial" w:hAnsi="Arial"/>
          <w:sz w:val="18"/>
          <w:szCs w:val="18"/>
          <w:b w:val="1"/>
          <w:bCs w:val="1"/>
          <w:color w:val="auto"/>
        </w:rPr>
      </w:pPr>
    </w:p>
    <w:p>
      <w:pPr>
        <w:jc w:val="both"/>
        <w:ind w:left="660" w:right="620" w:hanging="436"/>
        <w:spacing w:after="0" w:line="31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2" w:lineRule="exact"/>
        <w:rPr>
          <w:rFonts w:ascii="Arial" w:cs="Arial" w:eastAsia="Arial" w:hAnsi="Arial"/>
          <w:sz w:val="16"/>
          <w:szCs w:val="16"/>
          <w:b w:val="1"/>
          <w:bCs w:val="1"/>
          <w:color w:val="auto"/>
        </w:rPr>
      </w:pPr>
    </w:p>
    <w:p>
      <w:pPr>
        <w:ind w:left="660" w:right="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extremely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inflation and resulting higher interest rates as well as other general and local economic conditions may negatively affect the volumes of waste generated, our financing costs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660" w:right="1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revenues;</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including our tax expense if Section 45K credits are phased out due to continued high crude oil prices, or restrict our ability to operate;</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revenues and expenses;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wastes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right="24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may decrease our efficiencies and increase our costs to operate;</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660" w:right="400" w:hanging="436"/>
        <w:spacing w:after="0" w:line="342"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2006.</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8"/>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519.0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338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0.65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in net earnings (losses) of unconsolidated entities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524.2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00"/>
              <w:spacing w:after="0"/>
              <w:rPr>
                <w:sz w:val="20"/>
                <w:szCs w:val="20"/>
                <w:color w:val="auto"/>
              </w:rPr>
            </w:pPr>
            <w:r>
              <w:rPr>
                <w:rFonts w:ascii="Arial" w:cs="Arial" w:eastAsia="Arial" w:hAnsi="Arial"/>
                <w:sz w:val="18"/>
                <w:szCs w:val="18"/>
                <w:color w:val="auto"/>
              </w:rPr>
              <w:t>Cash dividends declared per common share (1</w:t>
            </w:r>
            <w:r>
              <w:rPr>
                <w:rFonts w:ascii="Arial" w:cs="Arial" w:eastAsia="Arial" w:hAnsi="Arial"/>
                <w:sz w:val="15"/>
                <w:szCs w:val="15"/>
                <w:color w:val="auto"/>
              </w:rPr>
              <w:t>st</w:t>
            </w:r>
            <w:r>
              <w:rPr>
                <w:rFonts w:ascii="Arial" w:cs="Arial" w:eastAsia="Arial" w:hAnsi="Arial"/>
                <w:sz w:val="18"/>
                <w:szCs w:val="18"/>
                <w:color w:val="auto"/>
              </w:rPr>
              <w:t xml:space="preserve"> quarter 2006 dividend of $0.22 per share declared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December 2005, paid in March 2006)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48</w:t>
            </w:r>
          </w:p>
        </w:tc>
        <w:tc>
          <w:tcPr>
            <w:tcW w:w="34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right="140" w:hanging="519"/>
        <w:spacing w:after="0" w:line="308" w:lineRule="auto"/>
        <w:tabs>
          <w:tab w:leader="none" w:pos="500" w:val="left"/>
        </w:tabs>
        <w:rPr>
          <w:sz w:val="20"/>
          <w:szCs w:val="20"/>
          <w:color w:val="auto"/>
        </w:rPr>
      </w:pPr>
      <w:r>
        <w:rPr>
          <w:rFonts w:ascii="Arial" w:cs="Arial" w:eastAsia="Arial" w:hAnsi="Arial"/>
          <w:sz w:val="17"/>
          <w:szCs w:val="17"/>
          <w:color w:val="auto"/>
        </w:rPr>
        <w:t>Note:</w:t>
        <w:tab/>
        <w:t xml:space="preserve">Provision for income taxes and net income for the quarter ended March 31, 2007 have been adjusted for the effects of our retrospective application of Financial Accounting Standard Board Staff Position (“FSP”) No. FIN 48-1, </w:t>
      </w:r>
      <w:r>
        <w:rPr>
          <w:rFonts w:ascii="Arial" w:cs="Arial" w:eastAsia="Arial" w:hAnsi="Arial"/>
          <w:sz w:val="17"/>
          <w:szCs w:val="17"/>
          <w:i w:val="1"/>
          <w:iCs w:val="1"/>
          <w:color w:val="auto"/>
        </w:rPr>
        <w:t>Definition of Settlement in FASB Interpretation No. 48</w:t>
      </w:r>
      <w:r>
        <w:rPr>
          <w:rFonts w:ascii="Arial" w:cs="Arial" w:eastAsia="Arial" w:hAnsi="Arial"/>
          <w:sz w:val="17"/>
          <w:szCs w:val="17"/>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576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1,823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11,096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5,359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2,165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13,830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6,070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576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2007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5"/>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120" w:type="dxa"/>
            <w:vAlign w:val="bottom"/>
            <w:gridSpan w:val="5"/>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jc w:val="center"/>
              <w:ind w:left="254"/>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2,121</w:t>
            </w:r>
          </w:p>
        </w:tc>
        <w:tc>
          <w:tcPr>
            <w:tcW w:w="340" w:type="dxa"/>
            <w:vAlign w:val="bottom"/>
          </w:tcPr>
          <w:p>
            <w:pPr>
              <w:spacing w:after="0"/>
              <w:rPr>
                <w:sz w:val="18"/>
                <w:szCs w:val="18"/>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Transfer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Recycling and other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600"/>
              <w:spacing w:after="0"/>
              <w:rPr>
                <w:sz w:val="20"/>
                <w:szCs w:val="20"/>
                <w:color w:val="auto"/>
              </w:rPr>
            </w:pPr>
            <w:r>
              <w:rPr>
                <w:rFonts w:ascii="Arial" w:cs="Arial" w:eastAsia="Arial" w:hAnsi="Arial"/>
                <w:sz w:val="18"/>
                <w:szCs w:val="18"/>
                <w:color w:val="auto"/>
              </w:rPr>
              <w:t>Operating revenues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3,358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Internal growth</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Less: Yield changes due to recycling commodities, electricity (IPP), fuel surcharge and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mandated fees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600"/>
              <w:spacing w:after="0"/>
              <w:rPr>
                <w:sz w:val="20"/>
                <w:szCs w:val="20"/>
                <w:color w:val="auto"/>
              </w:rPr>
            </w:pPr>
            <w:r>
              <w:rPr>
                <w:rFonts w:ascii="Arial" w:cs="Arial" w:eastAsia="Arial" w:hAnsi="Arial"/>
                <w:sz w:val="18"/>
                <w:szCs w:val="18"/>
                <w:color w:val="auto"/>
              </w:rPr>
              <w:t>Adjusted internal growth</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WMRA Segment Supplemental Data (c)</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9"/>
              </w:rPr>
              <w:t>Quarters Ended June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537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557</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1,075</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year information has been reclassified to conform to 2007 presentation.</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11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8,249</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8,223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 (b)</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14,319</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14,108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14,832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right="2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quarters ended June 30, 2007, March 31, 2007, and June 30, 2006 include short-term investments available for use of $124 million, $46 million, and $513 million, respectively.</w:t>
      </w:r>
    </w:p>
    <w:p>
      <w:pPr>
        <w:spacing w:after="0" w:line="21"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Equity for the quarter ended March 31, 2007 has been adjusted for the effects of our retrospective application of Financial Accounting Standard Board Staff Position (“FSP”) No. FIN 48-1, </w:t>
      </w:r>
      <w:r>
        <w:rPr>
          <w:rFonts w:ascii="Arial" w:cs="Arial" w:eastAsia="Arial" w:hAnsi="Arial"/>
          <w:sz w:val="18"/>
          <w:szCs w:val="18"/>
          <w:i w:val="1"/>
          <w:iCs w:val="1"/>
          <w:color w:val="auto"/>
        </w:rPr>
        <w:t>Definition of Settlement in FASB Interpretation No. 48.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Quarter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June 30, 2007</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June 30, 2006</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After-tax</w:t>
            </w:r>
          </w:p>
        </w:tc>
        <w:tc>
          <w:tcPr>
            <w:tcW w:w="80" w:type="dxa"/>
            <w:vAlign w:val="bottom"/>
          </w:tcPr>
          <w:p>
            <w:pPr>
              <w:spacing w:after="0"/>
              <w:rPr>
                <w:sz w:val="10"/>
                <w:szCs w:val="10"/>
                <w:color w:val="auto"/>
              </w:rPr>
            </w:pPr>
          </w:p>
        </w:tc>
        <w:tc>
          <w:tcPr>
            <w:tcW w:w="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Per Share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jc w:val="right"/>
              <w:ind w:right="600"/>
              <w:spacing w:after="0" w:line="119" w:lineRule="exact"/>
              <w:rPr>
                <w:sz w:val="20"/>
                <w:szCs w:val="20"/>
                <w:color w:val="auto"/>
              </w:rPr>
            </w:pPr>
            <w:r>
              <w:rPr>
                <w:rFonts w:ascii="Arial" w:cs="Arial" w:eastAsia="Arial" w:hAnsi="Arial"/>
                <w:sz w:val="13"/>
                <w:szCs w:val="13"/>
                <w:b w:val="1"/>
                <w:bCs w:val="1"/>
                <w:color w:val="auto"/>
                <w:w w:val="93"/>
              </w:rPr>
              <w:t>After-tax</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338</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0.64</w:t>
            </w:r>
          </w:p>
        </w:tc>
        <w:tc>
          <w:tcPr>
            <w:tcW w:w="480" w:type="dxa"/>
            <w:vAlign w:val="bottom"/>
            <w:tcBorders>
              <w:right w:val="single" w:sz="8" w:color="CCEEFF"/>
            </w:tcBorders>
            <w:gridSpan w:val="5"/>
            <w:shd w:val="clear" w:color="auto" w:fill="CCEEFF"/>
          </w:tcPr>
          <w:p>
            <w:pPr>
              <w:ind w:left="380"/>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417</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0.76</w:t>
            </w: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tax audit settlements, including related interest income,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deferred taxes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296</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0.56</w:t>
            </w:r>
          </w:p>
        </w:tc>
        <w:tc>
          <w:tcPr>
            <w:tcW w:w="480" w:type="dxa"/>
            <w:vAlign w:val="bottom"/>
            <w:tcBorders>
              <w:right w:val="single" w:sz="8" w:color="CCEEFF"/>
            </w:tcBorders>
            <w:gridSpan w:val="5"/>
            <w:shd w:val="clear" w:color="auto" w:fill="CCEEFF"/>
          </w:tcPr>
          <w:p>
            <w:pPr>
              <w:ind w:left="380"/>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249</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8"/>
          </w:tcPr>
          <w:p>
            <w:pPr>
              <w:jc w:val="right"/>
              <w:spacing w:after="0"/>
              <w:rPr>
                <w:sz w:val="20"/>
                <w:szCs w:val="20"/>
                <w:color w:val="auto"/>
              </w:rPr>
            </w:pPr>
            <w:r>
              <w:rPr>
                <w:rFonts w:ascii="Arial" w:cs="Arial" w:eastAsia="Arial" w:hAnsi="Arial"/>
                <w:sz w:val="14"/>
                <w:szCs w:val="14"/>
                <w:b w:val="1"/>
                <w:bCs w:val="1"/>
                <w:color w:val="auto"/>
              </w:rPr>
              <w:t>Quarters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Income from Operations as 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June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percent of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gridSpan w:val="5"/>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w w:val="88"/>
              </w:rPr>
              <w:t>3,358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 percent of Revenue (a)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18.9%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w w:val="88"/>
              </w:rPr>
              <w:t>3,358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Operations as a percent of Revenue (b)</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17.9%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8"/>
          </w:tcPr>
          <w:p>
            <w:pPr>
              <w:jc w:val="center"/>
              <w:ind w:left="134"/>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8"/>
          </w:tcPr>
          <w:p>
            <w:pPr>
              <w:jc w:val="center"/>
              <w:ind w:left="114"/>
              <w:spacing w:after="0"/>
              <w:rPr>
                <w:sz w:val="20"/>
                <w:szCs w:val="20"/>
                <w:color w:val="auto"/>
              </w:rPr>
            </w:pPr>
            <w:r>
              <w:rPr>
                <w:rFonts w:ascii="Arial" w:cs="Arial" w:eastAsia="Arial" w:hAnsi="Arial"/>
                <w:sz w:val="14"/>
                <w:szCs w:val="14"/>
                <w:b w:val="1"/>
                <w:bCs w:val="1"/>
                <w:color w:val="auto"/>
                <w:w w:val="92"/>
              </w:rPr>
              <w:t>June 30, 2007</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Pre-tax</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Tax</w:t>
            </w:r>
          </w:p>
        </w:tc>
        <w:tc>
          <w:tcPr>
            <w:tcW w:w="10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effective tax 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3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Expense</w:t>
            </w:r>
          </w:p>
        </w:tc>
        <w:tc>
          <w:tcPr>
            <w:tcW w:w="6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Tax Rate</w:t>
            </w: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480</w:t>
            </w:r>
          </w:p>
        </w:tc>
        <w:tc>
          <w:tcPr>
            <w:tcW w:w="2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Adjustments to Pre-tax income and Tax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200"/>
              <w:spacing w:after="0"/>
              <w:rPr>
                <w:sz w:val="20"/>
                <w:szCs w:val="20"/>
                <w:color w:val="auto"/>
              </w:rPr>
            </w:pPr>
            <w:r>
              <w:rPr>
                <w:rFonts w:ascii="Arial" w:cs="Arial" w:eastAsia="Arial" w:hAnsi="Arial"/>
                <w:sz w:val="18"/>
                <w:szCs w:val="18"/>
                <w:color w:val="auto"/>
                <w:w w:val="97"/>
              </w:rPr>
              <w:t>Income tax audit settlements, including related interest income, and adjustments to deferred taxes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447</w:t>
            </w:r>
          </w:p>
        </w:tc>
        <w:tc>
          <w:tcPr>
            <w:tcW w:w="2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151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Full Year 2007 Free Cash Flow Reconciliation Scenarios (c)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79"/>
              </w:rPr>
              <w:t>Scenario 1</w:t>
            </w:r>
          </w:p>
        </w:tc>
        <w:tc>
          <w:tcPr>
            <w:tcW w:w="5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Scenario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5"/>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5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reported, of 230 basis points.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adjusted, of 210 basis points.</w:t>
      </w:r>
    </w:p>
    <w:p>
      <w:pPr>
        <w:spacing w:after="0" w:line="76" w:lineRule="exact"/>
        <w:rPr>
          <w:rFonts w:ascii="Arial" w:cs="Arial" w:eastAsia="Arial" w:hAnsi="Arial"/>
          <w:sz w:val="18"/>
          <w:szCs w:val="18"/>
          <w:color w:val="auto"/>
        </w:rPr>
      </w:pPr>
    </w:p>
    <w:p>
      <w:pPr>
        <w:ind w:left="460" w:right="144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table above illustrates two scenarios that would result in Free cash flow meeting the ends of our projected Free cash flow range. The amounts used in the reconciliation are not necessarily indicative of our expectations for those amounts.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2019-12-20T04:48:33Z</dcterms:created>
  <dcterms:modified xsi:type="dcterms:W3CDTF">2019-12-20T04:48:33Z</dcterms:modified>
</cp:coreProperties>
</file>