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16510</wp:posOffset>
            </wp:positionV>
            <wp:extent cx="63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5"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OF THE SECURITIES AND EXCHANGE ACT OF 1934</w:t>
      </w:r>
    </w:p>
    <w:p>
      <w:pPr>
        <w:ind w:left="1420"/>
        <w:spacing w:after="0"/>
        <w:rPr>
          <w:sz w:val="20"/>
          <w:szCs w:val="20"/>
          <w:color w:val="auto"/>
        </w:rPr>
      </w:pPr>
      <w:r>
        <w:rPr>
          <w:rFonts w:ascii="Arial" w:cs="Arial" w:eastAsia="Arial" w:hAnsi="Arial"/>
          <w:sz w:val="13"/>
          <w:szCs w:val="13"/>
          <w:b w:val="1"/>
          <w:bCs w:val="1"/>
          <w:color w:val="auto"/>
        </w:rPr>
        <w:t>For the fiscal year ended December 31, 2006</w:t>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or</w:t>
      </w:r>
    </w:p>
    <w:p>
      <w:pPr>
        <w:spacing w:after="0" w:line="20"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26"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196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to</w:t>
            </w:r>
          </w:p>
        </w:tc>
        <w:tc>
          <w:tcPr>
            <w:tcW w:w="4880" w:type="dxa"/>
            <w:vAlign w:val="bottom"/>
          </w:tcPr>
          <w:p>
            <w:pPr>
              <w:spacing w:after="0"/>
              <w:rPr>
                <w:sz w:val="14"/>
                <w:szCs w:val="14"/>
                <w:color w:val="auto"/>
              </w:rPr>
            </w:pPr>
          </w:p>
        </w:tc>
      </w:tr>
      <w:tr>
        <w:trPr>
          <w:trHeight w:val="222"/>
        </w:trPr>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80" w:type="dxa"/>
            <w:vAlign w:val="bottom"/>
          </w:tcPr>
          <w:p>
            <w:pPr>
              <w:jc w:val="center"/>
              <w:ind w:right="1290"/>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80" w:type="dxa"/>
            <w:vAlign w:val="bottom"/>
          </w:tcPr>
          <w:p>
            <w:pPr>
              <w:jc w:val="center"/>
              <w:ind w:right="1310"/>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80" w:type="dxa"/>
            <w:vAlign w:val="bottom"/>
          </w:tcPr>
          <w:p>
            <w:pPr>
              <w:jc w:val="center"/>
              <w:ind w:right="1310"/>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93"/>
        </w:trPr>
        <w:tc>
          <w:tcPr>
            <w:tcW w:w="1960" w:type="dxa"/>
            <w:vAlign w:val="bottom"/>
          </w:tcPr>
          <w:p>
            <w:pPr>
              <w:jc w:val="center"/>
              <w:ind w:left="1240"/>
              <w:spacing w:after="0"/>
              <w:rPr>
                <w:sz w:val="20"/>
                <w:szCs w:val="20"/>
                <w:color w:val="auto"/>
              </w:rPr>
            </w:pPr>
            <w:r>
              <w:rPr>
                <w:rFonts w:ascii="Arial" w:cs="Arial" w:eastAsia="Arial" w:hAnsi="Arial"/>
                <w:sz w:val="13"/>
                <w:szCs w:val="13"/>
                <w:b w:val="1"/>
                <w:bCs w:val="1"/>
                <w:color w:val="auto"/>
                <w:w w:val="94"/>
              </w:rPr>
              <w:t>Delaware</w:t>
            </w:r>
          </w:p>
        </w:tc>
        <w:tc>
          <w:tcPr>
            <w:tcW w:w="600" w:type="dxa"/>
            <w:vAlign w:val="bottom"/>
          </w:tcPr>
          <w:p>
            <w:pPr>
              <w:spacing w:after="0"/>
              <w:rPr>
                <w:sz w:val="16"/>
                <w:szCs w:val="16"/>
                <w:color w:val="auto"/>
              </w:rPr>
            </w:pPr>
          </w:p>
        </w:tc>
        <w:tc>
          <w:tcPr>
            <w:tcW w:w="4880" w:type="dxa"/>
            <w:vAlign w:val="bottom"/>
          </w:tcPr>
          <w:p>
            <w:pPr>
              <w:jc w:val="right"/>
              <w:spacing w:after="0"/>
              <w:rPr>
                <w:sz w:val="20"/>
                <w:szCs w:val="20"/>
                <w:color w:val="auto"/>
              </w:rPr>
            </w:pPr>
            <w:r>
              <w:rPr>
                <w:rFonts w:ascii="Arial" w:cs="Arial" w:eastAsia="Arial" w:hAnsi="Arial"/>
                <w:sz w:val="13"/>
                <w:szCs w:val="13"/>
                <w:b w:val="1"/>
                <w:bCs w:val="1"/>
                <w:color w:val="auto"/>
              </w:rPr>
              <w:t>73-1309529</w:t>
            </w:r>
          </w:p>
        </w:tc>
      </w:tr>
      <w:tr>
        <w:trPr>
          <w:trHeight w:val="108"/>
        </w:trPr>
        <w:tc>
          <w:tcPr>
            <w:tcW w:w="2560" w:type="dxa"/>
            <w:vAlign w:val="bottom"/>
            <w:gridSpan w:val="2"/>
          </w:tcPr>
          <w:p>
            <w:pPr>
              <w:jc w:val="center"/>
              <w:ind w:left="64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80" w:type="dxa"/>
            <w:vAlign w:val="bottom"/>
          </w:tcPr>
          <w:p>
            <w:pPr>
              <w:jc w:val="center"/>
              <w:ind w:left="4050"/>
              <w:spacing w:after="0" w:line="108" w:lineRule="exact"/>
              <w:rPr>
                <w:sz w:val="20"/>
                <w:szCs w:val="20"/>
                <w:color w:val="auto"/>
              </w:rPr>
            </w:pPr>
            <w:r>
              <w:rPr>
                <w:rFonts w:ascii="Arial" w:cs="Arial" w:eastAsia="Arial" w:hAnsi="Arial"/>
                <w:sz w:val="10"/>
                <w:szCs w:val="10"/>
                <w:i w:val="1"/>
                <w:iCs w:val="1"/>
                <w:color w:val="auto"/>
                <w:w w:val="94"/>
              </w:rPr>
              <w:t>(I.R.S. employer</w:t>
            </w:r>
          </w:p>
        </w:tc>
      </w:tr>
      <w:tr>
        <w:trPr>
          <w:trHeight w:val="131"/>
        </w:trPr>
        <w:tc>
          <w:tcPr>
            <w:tcW w:w="2560" w:type="dxa"/>
            <w:vAlign w:val="bottom"/>
            <w:gridSpan w:val="2"/>
          </w:tcPr>
          <w:p>
            <w:pPr>
              <w:jc w:val="center"/>
              <w:ind w:left="640"/>
              <w:spacing w:after="0"/>
              <w:rPr>
                <w:sz w:val="20"/>
                <w:szCs w:val="20"/>
                <w:color w:val="auto"/>
              </w:rPr>
            </w:pPr>
            <w:r>
              <w:rPr>
                <w:rFonts w:ascii="Arial" w:cs="Arial" w:eastAsia="Arial" w:hAnsi="Arial"/>
                <w:sz w:val="10"/>
                <w:szCs w:val="10"/>
                <w:i w:val="1"/>
                <w:iCs w:val="1"/>
                <w:color w:val="auto"/>
                <w:w w:val="99"/>
              </w:rPr>
              <w:t>incorporation or organization)</w:t>
            </w: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rPr>
              <w:t>identification no.)</w:t>
            </w:r>
          </w:p>
        </w:tc>
      </w:tr>
      <w:tr>
        <w:trPr>
          <w:trHeight w:val="213"/>
        </w:trPr>
        <w:tc>
          <w:tcPr>
            <w:tcW w:w="2560" w:type="dxa"/>
            <w:vAlign w:val="bottom"/>
            <w:gridSpan w:val="2"/>
          </w:tcPr>
          <w:p>
            <w:pPr>
              <w:jc w:val="center"/>
              <w:ind w:left="640"/>
              <w:spacing w:after="0"/>
              <w:rPr>
                <w:sz w:val="20"/>
                <w:szCs w:val="20"/>
                <w:color w:val="auto"/>
              </w:rPr>
            </w:pPr>
            <w:r>
              <w:rPr>
                <w:rFonts w:ascii="Arial" w:cs="Arial" w:eastAsia="Arial" w:hAnsi="Arial"/>
                <w:sz w:val="13"/>
                <w:szCs w:val="13"/>
                <w:b w:val="1"/>
                <w:bCs w:val="1"/>
                <w:color w:val="auto"/>
                <w:w w:val="90"/>
              </w:rPr>
              <w:t>1001 Fannin Street, Suite 4000</w:t>
            </w:r>
          </w:p>
        </w:tc>
        <w:tc>
          <w:tcPr>
            <w:tcW w:w="4880" w:type="dxa"/>
            <w:vAlign w:val="bottom"/>
          </w:tcPr>
          <w:p>
            <w:pPr>
              <w:jc w:val="right"/>
              <w:ind w:right="150"/>
              <w:spacing w:after="0"/>
              <w:rPr>
                <w:sz w:val="20"/>
                <w:szCs w:val="20"/>
                <w:color w:val="auto"/>
              </w:rPr>
            </w:pPr>
            <w:r>
              <w:rPr>
                <w:rFonts w:ascii="Arial" w:cs="Arial" w:eastAsia="Arial" w:hAnsi="Arial"/>
                <w:sz w:val="13"/>
                <w:szCs w:val="13"/>
                <w:b w:val="1"/>
                <w:bCs w:val="1"/>
                <w:color w:val="auto"/>
              </w:rPr>
              <w:t>77002</w:t>
            </w:r>
          </w:p>
        </w:tc>
      </w:tr>
      <w:tr>
        <w:trPr>
          <w:trHeight w:val="157"/>
        </w:trPr>
        <w:tc>
          <w:tcPr>
            <w:tcW w:w="2560" w:type="dxa"/>
            <w:vAlign w:val="bottom"/>
            <w:gridSpan w:val="2"/>
          </w:tcPr>
          <w:p>
            <w:pPr>
              <w:jc w:val="center"/>
              <w:ind w:left="640"/>
              <w:spacing w:after="0"/>
              <w:rPr>
                <w:sz w:val="20"/>
                <w:szCs w:val="20"/>
                <w:color w:val="auto"/>
              </w:rPr>
            </w:pPr>
            <w:r>
              <w:rPr>
                <w:rFonts w:ascii="Arial" w:cs="Arial" w:eastAsia="Arial" w:hAnsi="Arial"/>
                <w:sz w:val="13"/>
                <w:szCs w:val="13"/>
                <w:b w:val="1"/>
                <w:bCs w:val="1"/>
                <w:color w:val="auto"/>
                <w:w w:val="88"/>
              </w:rPr>
              <w:t>Houston, Texas</w:t>
            </w: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2560" w:type="dxa"/>
            <w:vAlign w:val="bottom"/>
            <w:gridSpan w:val="2"/>
          </w:tcPr>
          <w:p>
            <w:pPr>
              <w:jc w:val="center"/>
              <w:ind w:left="62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4880" w:type="dxa"/>
            <w:vAlign w:val="bottom"/>
          </w:tcPr>
          <w:p>
            <w:pPr>
              <w:spacing w:after="0"/>
              <w:rPr>
                <w:sz w:val="11"/>
                <w:szCs w:val="1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 (713) 512-6200</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460"/>
          </w:cols>
          <w:pgMar w:left="220" w:top="127" w:right="219" w:bottom="1440" w:gutter="0" w:footer="0" w:header="0"/>
        </w:sectPr>
      </w:pPr>
    </w:p>
    <w:p>
      <w:pPr>
        <w:spacing w:after="0" w:line="102" w:lineRule="exact"/>
        <w:rPr>
          <w:sz w:val="20"/>
          <w:szCs w:val="20"/>
          <w:color w:val="auto"/>
        </w:rPr>
      </w:pPr>
    </w:p>
    <w:p>
      <w:pPr>
        <w:ind w:left="296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0"/>
          <w:szCs w:val="20"/>
          <w:color w:val="auto"/>
        </w:rPr>
      </w:pPr>
    </w:p>
    <w:p>
      <w:pPr>
        <w:sectPr>
          <w:pgSz w:w="11900" w:h="16838" w:orient="portrait"/>
          <w:cols w:equalWidth="0" w:num="2">
            <w:col w:w="7740" w:space="720"/>
            <w:col w:w="3000"/>
          </w:cols>
          <w:pgMar w:left="220" w:top="127" w:right="219" w:bottom="1440" w:gutter="0" w:footer="0" w:header="0"/>
          <w:type w:val="continuous"/>
        </w:sectPr>
      </w:pPr>
    </w:p>
    <w:p>
      <w:pPr>
        <w:ind w:left="2180"/>
        <w:spacing w:after="0"/>
        <w:rPr>
          <w:sz w:val="20"/>
          <w:szCs w:val="20"/>
          <w:color w:val="auto"/>
        </w:rPr>
      </w:pPr>
      <w:r>
        <w:rPr>
          <w:rFonts w:ascii="Arial" w:cs="Arial" w:eastAsia="Arial" w:hAnsi="Arial"/>
          <w:sz w:val="11"/>
          <w:szCs w:val="11"/>
          <w:color w:val="auto"/>
        </w:rPr>
        <w:t>Common Stock, $.01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New York Stock Exchange</w:t>
      </w:r>
    </w:p>
    <w:p>
      <w:pPr>
        <w:spacing w:after="0" w:line="94" w:lineRule="exact"/>
        <w:rPr>
          <w:sz w:val="20"/>
          <w:szCs w:val="20"/>
          <w:color w:val="auto"/>
        </w:rPr>
      </w:pPr>
    </w:p>
    <w:p>
      <w:pPr>
        <w:sectPr>
          <w:pgSz w:w="11900" w:h="16838" w:orient="portrait"/>
          <w:cols w:equalWidth="0" w:num="2">
            <w:col w:w="7060" w:space="720"/>
            <w:col w:w="3680"/>
          </w:cols>
          <w:pgMar w:left="220" w:top="127" w:right="219" w:bottom="1440" w:gutter="0" w:footer="0" w:header="0"/>
          <w:type w:val="continuous"/>
        </w:sectPr>
      </w:pPr>
    </w:p>
    <w:p>
      <w:pPr>
        <w:ind w:left="66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by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No o</w:t>
      </w:r>
    </w:p>
    <w:p>
      <w:pPr>
        <w:spacing w:after="0" w:line="94" w:lineRule="exact"/>
        <w:rPr>
          <w:sz w:val="20"/>
          <w:szCs w:val="20"/>
          <w:color w:val="auto"/>
        </w:rPr>
      </w:pPr>
    </w:p>
    <w:p>
      <w:pPr>
        <w:sectPr>
          <w:pgSz w:w="11900" w:h="16838" w:orient="portrait"/>
          <w:cols w:equalWidth="0" w:num="2">
            <w:col w:w="7240" w:space="180"/>
            <w:col w:w="404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4020"/>
          </w:cols>
          <w:pgMar w:left="220" w:top="127"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38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380" w:firstLine="324"/>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60"/>
          </w:cols>
          <w:pgMar w:left="220" w:top="127" w:right="219" w:bottom="1440" w:gutter="0" w:footer="0" w:header="0"/>
          <w:type w:val="continuous"/>
        </w:sectPr>
      </w:pPr>
    </w:p>
    <w:p>
      <w:pPr>
        <w:spacing w:after="0" w:line="1" w:lineRule="exact"/>
        <w:rPr>
          <w:sz w:val="20"/>
          <w:szCs w:val="20"/>
          <w:color w:val="auto"/>
        </w:rPr>
      </w:pPr>
    </w:p>
    <w:p>
      <w:pPr>
        <w:ind w:left="382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Non-accelerated filer o</w:t>
      </w:r>
    </w:p>
    <w:p>
      <w:pPr>
        <w:spacing w:after="0" w:line="86" w:lineRule="exact"/>
        <w:rPr>
          <w:sz w:val="20"/>
          <w:szCs w:val="20"/>
          <w:color w:val="auto"/>
        </w:rPr>
      </w:pPr>
    </w:p>
    <w:p>
      <w:pPr>
        <w:sectPr>
          <w:pgSz w:w="11900" w:h="16838" w:orient="portrait"/>
          <w:cols w:equalWidth="0" w:num="3">
            <w:col w:w="5140" w:space="160"/>
            <w:col w:w="980" w:space="160"/>
            <w:col w:w="502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420" w:space="160"/>
            <w:col w:w="4880"/>
          </w:cols>
          <w:pgMar w:left="220" w:top="127" w:right="219" w:bottom="1440" w:gutter="0" w:footer="0" w:header="0"/>
          <w:type w:val="continuous"/>
        </w:sectPr>
      </w:pPr>
    </w:p>
    <w:p>
      <w:pPr>
        <w:ind w:left="340" w:right="420" w:firstLine="324"/>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at June 30, 2006 was approximately $19.4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February 9, 2007 was 533,077,368 (excluding treasury shares of 97,205,093).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3"/>
                <w:szCs w:val="13"/>
                <w:b w:val="1"/>
                <w:bCs w:val="1"/>
                <w:color w:val="auto"/>
              </w:rPr>
              <w:t>DOCUMENTS INCORPORATED BY REFERENCE</w:t>
            </w:r>
          </w:p>
        </w:tc>
        <w:tc>
          <w:tcPr>
            <w:tcW w:w="340" w:type="dxa"/>
            <w:vAlign w:val="bottom"/>
          </w:tcPr>
          <w:p>
            <w:pPr>
              <w:spacing w:after="0"/>
              <w:rPr>
                <w:sz w:val="14"/>
                <w:szCs w:val="14"/>
                <w:color w:val="auto"/>
              </w:rPr>
            </w:pPr>
          </w:p>
        </w:tc>
      </w:tr>
      <w:tr>
        <w:trPr>
          <w:trHeight w:val="218"/>
        </w:trPr>
        <w:tc>
          <w:tcPr>
            <w:tcW w:w="340" w:type="dxa"/>
            <w:vAlign w:val="bottom"/>
          </w:tcPr>
          <w:p>
            <w:pPr>
              <w:spacing w:after="0"/>
              <w:rPr>
                <w:sz w:val="18"/>
                <w:szCs w:val="18"/>
                <w:color w:val="auto"/>
              </w:rPr>
            </w:pPr>
          </w:p>
        </w:tc>
        <w:tc>
          <w:tcPr>
            <w:tcW w:w="37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7000" w:type="dxa"/>
            <w:vAlign w:val="bottom"/>
          </w:tcPr>
          <w:p>
            <w:pPr>
              <w:ind w:left="4340"/>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ncorporated as to</w:t>
            </w:r>
          </w:p>
        </w:tc>
        <w:tc>
          <w:tcPr>
            <w:tcW w:w="3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2"/>
              </w:rPr>
              <w:t>Proxy Statement for the</w:t>
            </w:r>
          </w:p>
        </w:tc>
        <w:tc>
          <w:tcPr>
            <w:tcW w:w="7000" w:type="dxa"/>
            <w:vAlign w:val="bottom"/>
          </w:tcPr>
          <w:p>
            <w:pPr>
              <w:ind w:left="4180"/>
              <w:spacing w:after="0"/>
              <w:rPr>
                <w:sz w:val="20"/>
                <w:szCs w:val="20"/>
                <w:color w:val="auto"/>
              </w:rPr>
            </w:pPr>
            <w:r>
              <w:rPr>
                <w:rFonts w:ascii="Arial" w:cs="Arial" w:eastAsia="Arial" w:hAnsi="Arial"/>
                <w:sz w:val="13"/>
                <w:szCs w:val="13"/>
                <w:color w:val="auto"/>
              </w:rPr>
              <w:t>Part III</w:t>
            </w:r>
          </w:p>
        </w:tc>
        <w:tc>
          <w:tcPr>
            <w:tcW w:w="34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3"/>
              </w:rPr>
              <w:t>2007 Annual Meeting of Stockholders</w:t>
            </w:r>
          </w:p>
        </w:tc>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39"/>
        </w:trPr>
        <w:tc>
          <w:tcPr>
            <w:tcW w:w="340" w:type="dxa"/>
            <w:vAlign w:val="bottom"/>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70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60" w:type="dxa"/>
            <w:vAlign w:val="bottom"/>
            <w:gridSpan w:val="13"/>
          </w:tcPr>
          <w:p>
            <w:pPr>
              <w:jc w:val="center"/>
              <w:ind w:right="3700"/>
              <w:spacing w:after="0"/>
              <w:rPr>
                <w:sz w:val="20"/>
                <w:szCs w:val="20"/>
                <w:color w:val="auto"/>
              </w:rPr>
            </w:pPr>
            <w:r>
              <w:rPr>
                <w:rFonts w:ascii="Arial" w:cs="Arial" w:eastAsia="Arial" w:hAnsi="Arial"/>
                <w:sz w:val="13"/>
                <w:szCs w:val="13"/>
                <w:b w:val="1"/>
                <w:bCs w:val="1"/>
                <w:color w:val="auto"/>
                <w:w w:val="99"/>
              </w:rPr>
              <w:t>TABLE OF CONTENTS</w:t>
            </w:r>
          </w:p>
        </w:tc>
        <w:tc>
          <w:tcPr>
            <w:tcW w:w="300" w:type="dxa"/>
            <w:vAlign w:val="bottom"/>
          </w:tcPr>
          <w:p>
            <w:pPr>
              <w:spacing w:after="0"/>
              <w:rPr>
                <w:sz w:val="14"/>
                <w:szCs w:val="14"/>
                <w:color w:val="auto"/>
              </w:rPr>
            </w:pPr>
          </w:p>
        </w:tc>
      </w:tr>
      <w:tr>
        <w:trPr>
          <w:trHeight w:val="286"/>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9"/>
          </w:tcPr>
          <w:p>
            <w:pPr>
              <w:jc w:val="center"/>
              <w:ind w:right="448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00" w:type="dxa"/>
            <w:vAlign w:val="bottom"/>
          </w:tcPr>
          <w:p>
            <w:pPr>
              <w:spacing w:after="0"/>
              <w:rPr>
                <w:sz w:val="13"/>
                <w:szCs w:val="13"/>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4">
              <w:r>
                <w:rPr>
                  <w:rFonts w:ascii="Arial" w:cs="Arial" w:eastAsia="Arial" w:hAnsi="Arial"/>
                  <w:sz w:val="13"/>
                  <w:szCs w:val="13"/>
                  <w:color w:val="0000EE"/>
                  <w:w w:val="85"/>
                </w:rPr>
                <w:t>Item 1.</w:t>
              </w:r>
            </w:hyperlink>
          </w:p>
        </w:tc>
        <w:tc>
          <w:tcPr>
            <w:tcW w:w="900" w:type="dxa"/>
            <w:vAlign w:val="bottom"/>
            <w:gridSpan w:val="3"/>
          </w:tcPr>
          <w:p>
            <w:pPr>
              <w:spacing w:after="0"/>
              <w:rPr>
                <w:sz w:val="11"/>
                <w:szCs w:val="11"/>
                <w:color w:val="auto"/>
              </w:rPr>
            </w:pPr>
          </w:p>
        </w:tc>
        <w:tc>
          <w:tcPr>
            <w:tcW w:w="350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80" w:type="dxa"/>
            <w:vAlign w:val="bottom"/>
            <w:gridSpan w:val="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5">
              <w:r>
                <w:rPr>
                  <w:rFonts w:ascii="Arial" w:cs="Arial" w:eastAsia="Arial" w:hAnsi="Arial"/>
                  <w:sz w:val="13"/>
                  <w:szCs w:val="13"/>
                  <w:color w:val="0000EE"/>
                  <w:w w:val="94"/>
                </w:rPr>
                <w:t>Item 1A.</w:t>
              </w:r>
            </w:hyperlink>
          </w:p>
        </w:tc>
        <w:tc>
          <w:tcPr>
            <w:tcW w:w="80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Risk Factors</w:t>
              </w:r>
            </w:hyperlink>
          </w:p>
        </w:tc>
        <w:tc>
          <w:tcPr>
            <w:tcW w:w="7740" w:type="dxa"/>
            <w:vAlign w:val="bottom"/>
            <w:gridSpan w:val="2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1B.</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Unresolved Staff Comments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18</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85"/>
              </w:rPr>
            </w:pPr>
            <w:hyperlink w:anchor="page21">
              <w:r>
                <w:rPr>
                  <w:rFonts w:ascii="Arial" w:cs="Arial" w:eastAsia="Arial" w:hAnsi="Arial"/>
                  <w:sz w:val="13"/>
                  <w:szCs w:val="13"/>
                  <w:color w:val="0000EE"/>
                  <w:w w:val="85"/>
                </w:rPr>
                <w:t>Item 2.</w:t>
              </w:r>
            </w:hyperlink>
          </w:p>
        </w:tc>
        <w:tc>
          <w:tcPr>
            <w:tcW w:w="80" w:type="dxa"/>
            <w:vAlign w:val="bottom"/>
            <w:tcBorders>
              <w:top w:val="single" w:sz="8" w:color="0000EE"/>
            </w:tcBorders>
          </w:tcPr>
          <w:p>
            <w:pPr>
              <w:spacing w:after="0"/>
              <w:rPr>
                <w:sz w:val="11"/>
                <w:szCs w:val="11"/>
                <w:color w:val="auto"/>
              </w:rPr>
            </w:pPr>
          </w:p>
        </w:tc>
        <w:tc>
          <w:tcPr>
            <w:tcW w:w="82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Properties</w:t>
              </w:r>
            </w:hyperlink>
          </w:p>
        </w:tc>
        <w:tc>
          <w:tcPr>
            <w:tcW w:w="6920" w:type="dxa"/>
            <w:vAlign w:val="bottom"/>
            <w:gridSpan w:val="1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18</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2">
              <w:r>
                <w:rPr>
                  <w:rFonts w:ascii="Arial" w:cs="Arial" w:eastAsia="Arial" w:hAnsi="Arial"/>
                  <w:sz w:val="13"/>
                  <w:szCs w:val="13"/>
                  <w:color w:val="0000EE"/>
                  <w:w w:val="85"/>
                </w:rPr>
                <w:t>Item 3.</w:t>
              </w:r>
            </w:hyperlink>
          </w:p>
        </w:tc>
        <w:tc>
          <w:tcPr>
            <w:tcW w:w="900" w:type="dxa"/>
            <w:vAlign w:val="bottom"/>
            <w:gridSpan w:val="3"/>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Legal Proceedings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2">
              <w:r>
                <w:rPr>
                  <w:rFonts w:ascii="Arial" w:cs="Arial" w:eastAsia="Arial" w:hAnsi="Arial"/>
                  <w:sz w:val="13"/>
                  <w:szCs w:val="13"/>
                  <w:color w:val="0000EE"/>
                  <w:w w:val="85"/>
                </w:rPr>
                <w:t>Item 4.</w:t>
              </w:r>
            </w:hyperlink>
          </w:p>
        </w:tc>
        <w:tc>
          <w:tcPr>
            <w:tcW w:w="900" w:type="dxa"/>
            <w:vAlign w:val="bottom"/>
            <w:gridSpan w:val="3"/>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Submission of Matters to a Vote of Security Holders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255"/>
        </w:trPr>
        <w:tc>
          <w:tcPr>
            <w:tcW w:w="3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2">
              <w:r>
                <w:rPr>
                  <w:rFonts w:ascii="Arial" w:cs="Arial" w:eastAsia="Arial" w:hAnsi="Arial"/>
                  <w:sz w:val="13"/>
                  <w:szCs w:val="13"/>
                  <w:b w:val="1"/>
                  <w:bCs w:val="1"/>
                  <w:color w:val="0000EE"/>
                </w:rPr>
                <w:t>PART II</w:t>
              </w:r>
            </w:hyperlink>
          </w:p>
        </w:tc>
        <w:tc>
          <w:tcPr>
            <w:tcW w:w="4440" w:type="dxa"/>
            <w:vAlign w:val="bottom"/>
            <w:gridSpan w:val="7"/>
          </w:tcPr>
          <w:p>
            <w:pPr>
              <w:spacing w:after="0"/>
              <w:rPr>
                <w:sz w:val="22"/>
                <w:szCs w:val="22"/>
                <w:color w:val="auto"/>
              </w:rPr>
            </w:pPr>
          </w:p>
        </w:tc>
        <w:tc>
          <w:tcPr>
            <w:tcW w:w="300" w:type="dxa"/>
            <w:vAlign w:val="bottom"/>
          </w:tcPr>
          <w:p>
            <w:pPr>
              <w:spacing w:after="0"/>
              <w:rPr>
                <w:sz w:val="22"/>
                <w:szCs w:val="22"/>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2">
              <w:r>
                <w:rPr>
                  <w:rFonts w:ascii="Arial" w:cs="Arial" w:eastAsia="Arial" w:hAnsi="Arial"/>
                  <w:sz w:val="13"/>
                  <w:szCs w:val="13"/>
                  <w:color w:val="0000EE"/>
                  <w:w w:val="85"/>
                </w:rPr>
                <w:t>Item 5.</w:t>
              </w:r>
            </w:hyperlink>
          </w:p>
        </w:tc>
        <w:tc>
          <w:tcPr>
            <w:tcW w:w="900" w:type="dxa"/>
            <w:vAlign w:val="bottom"/>
            <w:gridSpan w:val="3"/>
          </w:tcPr>
          <w:p>
            <w:pPr>
              <w:spacing w:after="0"/>
              <w:rPr>
                <w:sz w:val="11"/>
                <w:szCs w:val="11"/>
                <w:color w:val="auto"/>
              </w:rPr>
            </w:pPr>
          </w:p>
        </w:tc>
        <w:tc>
          <w:tcPr>
            <w:tcW w:w="588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22">
              <w:r>
                <w:rPr>
                  <w:rFonts w:ascii="Arial" w:cs="Arial" w:eastAsia="Arial" w:hAnsi="Arial"/>
                  <w:sz w:val="13"/>
                  <w:szCs w:val="13"/>
                  <w:color w:val="0000EE"/>
                  <w:w w:val="91"/>
                </w:rPr>
                <w:t>Market for Registrant’s Common Equity, Related Stockholder Matters and Issuer Purchases of Equity Securities</w:t>
              </w:r>
            </w:hyperlink>
          </w:p>
        </w:tc>
        <w:tc>
          <w:tcPr>
            <w:tcW w:w="252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5">
              <w:r>
                <w:rPr>
                  <w:rFonts w:ascii="Arial" w:cs="Arial" w:eastAsia="Arial" w:hAnsi="Arial"/>
                  <w:sz w:val="13"/>
                  <w:szCs w:val="13"/>
                  <w:color w:val="0000EE"/>
                  <w:w w:val="85"/>
                </w:rPr>
                <w:t>Item 6.</w:t>
              </w:r>
            </w:hyperlink>
          </w:p>
        </w:tc>
        <w:tc>
          <w:tcPr>
            <w:tcW w:w="900" w:type="dxa"/>
            <w:vAlign w:val="bottom"/>
            <w:gridSpan w:val="3"/>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Selected Financial Data</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22</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6">
              <w:r>
                <w:rPr>
                  <w:rFonts w:ascii="Arial" w:cs="Arial" w:eastAsia="Arial" w:hAnsi="Arial"/>
                  <w:sz w:val="13"/>
                  <w:szCs w:val="13"/>
                  <w:color w:val="0000EE"/>
                  <w:w w:val="85"/>
                </w:rPr>
                <w:t>Item 7.</w:t>
              </w:r>
            </w:hyperlink>
          </w:p>
        </w:tc>
        <w:tc>
          <w:tcPr>
            <w:tcW w:w="900" w:type="dxa"/>
            <w:vAlign w:val="bottom"/>
            <w:gridSpan w:val="3"/>
          </w:tcPr>
          <w:p>
            <w:pPr>
              <w:spacing w:after="0"/>
              <w:rPr>
                <w:sz w:val="11"/>
                <w:szCs w:val="11"/>
                <w:color w:val="auto"/>
              </w:rPr>
            </w:pPr>
          </w:p>
        </w:tc>
        <w:tc>
          <w:tcPr>
            <w:tcW w:w="470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26">
              <w:r>
                <w:rPr>
                  <w:rFonts w:ascii="Arial" w:cs="Arial" w:eastAsia="Arial" w:hAnsi="Arial"/>
                  <w:sz w:val="13"/>
                  <w:szCs w:val="13"/>
                  <w:color w:val="0000EE"/>
                  <w:w w:val="91"/>
                </w:rPr>
                <w:t>Management’s Discussion and Analysis of Financial Condition and Results of Operations</w:t>
              </w:r>
            </w:hyperlink>
          </w:p>
        </w:tc>
        <w:tc>
          <w:tcPr>
            <w:tcW w:w="3700" w:type="dxa"/>
            <w:vAlign w:val="bottom"/>
            <w:gridSpan w:val="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55">
              <w:r>
                <w:rPr>
                  <w:rFonts w:ascii="Arial" w:cs="Arial" w:eastAsia="Arial" w:hAnsi="Arial"/>
                  <w:sz w:val="13"/>
                  <w:szCs w:val="13"/>
                  <w:color w:val="0000EE"/>
                  <w:w w:val="94"/>
                </w:rPr>
                <w:t>Item 7A.</w:t>
              </w:r>
            </w:hyperlink>
          </w:p>
        </w:tc>
        <w:tc>
          <w:tcPr>
            <w:tcW w:w="800" w:type="dxa"/>
            <w:vAlign w:val="bottom"/>
          </w:tcPr>
          <w:p>
            <w:pPr>
              <w:spacing w:after="0"/>
              <w:rPr>
                <w:sz w:val="11"/>
                <w:szCs w:val="11"/>
                <w:color w:val="auto"/>
              </w:rPr>
            </w:pPr>
          </w:p>
        </w:tc>
        <w:tc>
          <w:tcPr>
            <w:tcW w:w="3120" w:type="dxa"/>
            <w:vAlign w:val="bottom"/>
            <w:tcBorders>
              <w:bottom w:val="single" w:sz="8" w:color="0000EE"/>
            </w:tcBorders>
            <w:gridSpan w:val="15"/>
          </w:tcPr>
          <w:p>
            <w:pPr>
              <w:spacing w:after="0" w:line="138" w:lineRule="exact"/>
              <w:rPr>
                <w:rFonts w:ascii="Arial" w:cs="Arial" w:eastAsia="Arial" w:hAnsi="Arial"/>
                <w:sz w:val="13"/>
                <w:szCs w:val="13"/>
                <w:color w:val="0000EE"/>
                <w:w w:val="92"/>
              </w:rPr>
            </w:pPr>
            <w:hyperlink w:anchor="page55">
              <w:r>
                <w:rPr>
                  <w:rFonts w:ascii="Arial" w:cs="Arial" w:eastAsia="Arial" w:hAnsi="Arial"/>
                  <w:sz w:val="13"/>
                  <w:szCs w:val="13"/>
                  <w:color w:val="0000EE"/>
                  <w:w w:val="92"/>
                </w:rPr>
                <w:t>Quantitative and Qualitative Disclosure About Market Risk</w:t>
              </w:r>
            </w:hyperlink>
          </w:p>
        </w:tc>
        <w:tc>
          <w:tcPr>
            <w:tcW w:w="5280" w:type="dxa"/>
            <w:vAlign w:val="bottom"/>
            <w:gridSpan w:val="1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57">
              <w:r>
                <w:rPr>
                  <w:rFonts w:ascii="Arial" w:cs="Arial" w:eastAsia="Arial" w:hAnsi="Arial"/>
                  <w:sz w:val="13"/>
                  <w:szCs w:val="13"/>
                  <w:color w:val="0000EE"/>
                  <w:w w:val="85"/>
                </w:rPr>
                <w:t>Item 8.</w:t>
              </w:r>
            </w:hyperlink>
          </w:p>
        </w:tc>
        <w:tc>
          <w:tcPr>
            <w:tcW w:w="900" w:type="dxa"/>
            <w:vAlign w:val="bottom"/>
            <w:gridSpan w:val="3"/>
          </w:tcPr>
          <w:p>
            <w:pPr>
              <w:spacing w:after="0"/>
              <w:rPr>
                <w:sz w:val="11"/>
                <w:szCs w:val="11"/>
                <w:color w:val="auto"/>
              </w:rPr>
            </w:pPr>
          </w:p>
        </w:tc>
        <w:tc>
          <w:tcPr>
            <w:tcW w:w="2420" w:type="dxa"/>
            <w:vAlign w:val="bottom"/>
            <w:tcBorders>
              <w:bottom w:val="single" w:sz="8" w:color="0000EE"/>
            </w:tcBorders>
            <w:gridSpan w:val="11"/>
          </w:tcPr>
          <w:p>
            <w:pPr>
              <w:spacing w:after="0" w:line="138" w:lineRule="exact"/>
              <w:rPr>
                <w:rFonts w:ascii="Arial" w:cs="Arial" w:eastAsia="Arial" w:hAnsi="Arial"/>
                <w:sz w:val="13"/>
                <w:szCs w:val="13"/>
                <w:color w:val="0000EE"/>
                <w:w w:val="89"/>
              </w:rPr>
            </w:pPr>
            <w:hyperlink w:anchor="page57">
              <w:r>
                <w:rPr>
                  <w:rFonts w:ascii="Arial" w:cs="Arial" w:eastAsia="Arial" w:hAnsi="Arial"/>
                  <w:sz w:val="13"/>
                  <w:szCs w:val="13"/>
                  <w:color w:val="0000EE"/>
                  <w:w w:val="89"/>
                </w:rPr>
                <w:t>Financial Statements and Supplementary Data</w:t>
              </w:r>
            </w:hyperlink>
          </w:p>
        </w:tc>
        <w:tc>
          <w:tcPr>
            <w:tcW w:w="5980" w:type="dxa"/>
            <w:vAlign w:val="bottom"/>
            <w:gridSpan w:val="1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54</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121">
              <w:r>
                <w:rPr>
                  <w:rFonts w:ascii="Arial" w:cs="Arial" w:eastAsia="Arial" w:hAnsi="Arial"/>
                  <w:sz w:val="13"/>
                  <w:szCs w:val="13"/>
                  <w:color w:val="0000EE"/>
                  <w:w w:val="85"/>
                </w:rPr>
                <w:t>Item 9.</w:t>
              </w:r>
            </w:hyperlink>
          </w:p>
        </w:tc>
        <w:tc>
          <w:tcPr>
            <w:tcW w:w="900" w:type="dxa"/>
            <w:vAlign w:val="bottom"/>
            <w:gridSpan w:val="3"/>
          </w:tcPr>
          <w:p>
            <w:pPr>
              <w:spacing w:after="0"/>
              <w:rPr>
                <w:sz w:val="11"/>
                <w:szCs w:val="11"/>
                <w:color w:val="auto"/>
              </w:rPr>
            </w:pPr>
          </w:p>
        </w:tc>
        <w:tc>
          <w:tcPr>
            <w:tcW w:w="472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121">
              <w:r>
                <w:rPr>
                  <w:rFonts w:ascii="Arial" w:cs="Arial" w:eastAsia="Arial" w:hAnsi="Arial"/>
                  <w:sz w:val="13"/>
                  <w:szCs w:val="13"/>
                  <w:color w:val="0000EE"/>
                  <w:w w:val="91"/>
                </w:rPr>
                <w:t>Changes in and Disagreements with Accountants on Accounting and Financial Disclosure</w:t>
              </w:r>
            </w:hyperlink>
          </w:p>
        </w:tc>
        <w:tc>
          <w:tcPr>
            <w:tcW w:w="3680" w:type="dxa"/>
            <w:vAlign w:val="bottom"/>
            <w:gridSpan w:val="3"/>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118</w:t>
            </w: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121">
              <w:r>
                <w:rPr>
                  <w:rFonts w:ascii="Arial" w:cs="Arial" w:eastAsia="Arial" w:hAnsi="Arial"/>
                  <w:sz w:val="13"/>
                  <w:szCs w:val="13"/>
                  <w:color w:val="0000EE"/>
                  <w:w w:val="94"/>
                </w:rPr>
                <w:t>Item 9A.</w:t>
              </w:r>
            </w:hyperlink>
          </w:p>
        </w:tc>
        <w:tc>
          <w:tcPr>
            <w:tcW w:w="800" w:type="dxa"/>
            <w:vAlign w:val="bottom"/>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Controls and Procedures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118</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121">
              <w:r>
                <w:rPr>
                  <w:rFonts w:ascii="Arial" w:cs="Arial" w:eastAsia="Arial" w:hAnsi="Arial"/>
                  <w:sz w:val="13"/>
                  <w:szCs w:val="13"/>
                  <w:color w:val="0000EE"/>
                  <w:w w:val="94"/>
                </w:rPr>
                <w:t>Item 9B.</w:t>
              </w:r>
            </w:hyperlink>
          </w:p>
        </w:tc>
        <w:tc>
          <w:tcPr>
            <w:tcW w:w="80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Other Information</w:t>
              </w:r>
            </w:hyperlink>
          </w:p>
        </w:tc>
        <w:tc>
          <w:tcPr>
            <w:tcW w:w="7120" w:type="dxa"/>
            <w:vAlign w:val="bottom"/>
            <w:gridSpan w:val="2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118</w:t>
            </w:r>
          </w:p>
        </w:tc>
      </w:tr>
      <w:tr>
        <w:trPr>
          <w:trHeight w:val="255"/>
        </w:trPr>
        <w:tc>
          <w:tcPr>
            <w:tcW w:w="3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PART III</w:t>
              </w:r>
            </w:hyperlink>
          </w:p>
        </w:tc>
        <w:tc>
          <w:tcPr>
            <w:tcW w:w="4400" w:type="dxa"/>
            <w:vAlign w:val="bottom"/>
            <w:gridSpan w:val="5"/>
          </w:tcPr>
          <w:p>
            <w:pPr>
              <w:spacing w:after="0"/>
              <w:rPr>
                <w:sz w:val="22"/>
                <w:szCs w:val="22"/>
                <w:color w:val="auto"/>
              </w:rPr>
            </w:pPr>
          </w:p>
        </w:tc>
        <w:tc>
          <w:tcPr>
            <w:tcW w:w="300" w:type="dxa"/>
            <w:vAlign w:val="bottom"/>
          </w:tcPr>
          <w:p>
            <w:pPr>
              <w:spacing w:after="0"/>
              <w:rPr>
                <w:sz w:val="22"/>
                <w:szCs w:val="22"/>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10.</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Directors and Executive Officers of the Registrant</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119</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72"/>
              </w:rPr>
            </w:pPr>
            <w:hyperlink w:anchor="page122">
              <w:r>
                <w:rPr>
                  <w:rFonts w:ascii="Arial" w:cs="Arial" w:eastAsia="Arial" w:hAnsi="Arial"/>
                  <w:sz w:val="13"/>
                  <w:szCs w:val="13"/>
                  <w:color w:val="0000EE"/>
                  <w:w w:val="72"/>
                </w:rPr>
                <w:t>Item 11.</w:t>
              </w:r>
            </w:hyperlink>
          </w:p>
        </w:tc>
        <w:tc>
          <w:tcPr>
            <w:tcW w:w="900" w:type="dxa"/>
            <w:vAlign w:val="bottom"/>
            <w:gridSpan w:val="3"/>
          </w:tcPr>
          <w:p>
            <w:pPr>
              <w:spacing w:after="0"/>
              <w:rPr>
                <w:sz w:val="11"/>
                <w:szCs w:val="11"/>
                <w:color w:val="auto"/>
              </w:rPr>
            </w:pPr>
          </w:p>
        </w:tc>
        <w:tc>
          <w:tcPr>
            <w:tcW w:w="262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Executive Compensation</w:t>
              </w:r>
            </w:hyperlink>
          </w:p>
        </w:tc>
        <w:tc>
          <w:tcPr>
            <w:tcW w:w="5780" w:type="dxa"/>
            <w:vAlign w:val="bottom"/>
            <w:gridSpan w:val="1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12.</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Security Ownership of Certain Beneficial Owners and Management and Related Stockholder Matters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119</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123">
              <w:r>
                <w:rPr>
                  <w:rFonts w:ascii="Arial" w:cs="Arial" w:eastAsia="Arial" w:hAnsi="Arial"/>
                  <w:sz w:val="13"/>
                  <w:szCs w:val="13"/>
                  <w:color w:val="0000EE"/>
                </w:rPr>
                <w:t>Item 13.</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123">
              <w:r>
                <w:rPr>
                  <w:rFonts w:ascii="Arial" w:cs="Arial" w:eastAsia="Arial" w:hAnsi="Arial"/>
                  <w:sz w:val="13"/>
                  <w:szCs w:val="13"/>
                  <w:color w:val="0000EE"/>
                </w:rPr>
                <w:t>Certain Relationships and Related Transactions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120</w:t>
            </w: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123">
              <w:r>
                <w:rPr>
                  <w:rFonts w:ascii="Arial" w:cs="Arial" w:eastAsia="Arial" w:hAnsi="Arial"/>
                  <w:sz w:val="13"/>
                  <w:szCs w:val="13"/>
                  <w:color w:val="0000EE"/>
                </w:rPr>
                <w:t>Item 14.</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123">
              <w:r>
                <w:rPr>
                  <w:rFonts w:ascii="Arial" w:cs="Arial" w:eastAsia="Arial" w:hAnsi="Arial"/>
                  <w:sz w:val="13"/>
                  <w:szCs w:val="13"/>
                  <w:color w:val="0000EE"/>
                </w:rPr>
                <w:t>Principal Accounting Fees and Services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120</w:t>
            </w:r>
          </w:p>
        </w:tc>
      </w:tr>
      <w:tr>
        <w:trPr>
          <w:trHeight w:val="255"/>
        </w:trPr>
        <w:tc>
          <w:tcPr>
            <w:tcW w:w="3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940" w:type="dxa"/>
            <w:vAlign w:val="bottom"/>
            <w:gridSpan w:val="11"/>
          </w:tcPr>
          <w:p>
            <w:pPr>
              <w:jc w:val="center"/>
              <w:ind w:right="4420"/>
              <w:spacing w:after="0"/>
              <w:rPr>
                <w:rFonts w:ascii="Arial" w:cs="Arial" w:eastAsia="Arial" w:hAnsi="Arial"/>
                <w:sz w:val="13"/>
                <w:szCs w:val="13"/>
                <w:b w:val="1"/>
                <w:bCs w:val="1"/>
                <w:color w:val="0000EE"/>
              </w:rPr>
            </w:pPr>
            <w:hyperlink w:anchor="page124">
              <w:r>
                <w:rPr>
                  <w:rFonts w:ascii="Arial" w:cs="Arial" w:eastAsia="Arial" w:hAnsi="Arial"/>
                  <w:sz w:val="13"/>
                  <w:szCs w:val="13"/>
                  <w:b w:val="1"/>
                  <w:bCs w:val="1"/>
                  <w:color w:val="0000EE"/>
                </w:rPr>
                <w:t>PART IV</w:t>
              </w:r>
            </w:hyperlink>
          </w:p>
        </w:tc>
        <w:tc>
          <w:tcPr>
            <w:tcW w:w="300" w:type="dxa"/>
            <w:vAlign w:val="bottom"/>
          </w:tcPr>
          <w:p>
            <w:pPr>
              <w:spacing w:after="0"/>
              <w:rPr>
                <w:sz w:val="22"/>
                <w:szCs w:val="22"/>
                <w:color w:val="auto"/>
              </w:rPr>
            </w:pPr>
          </w:p>
        </w:tc>
      </w:tr>
      <w:tr>
        <w:trPr>
          <w:trHeight w:val="137"/>
        </w:trPr>
        <w:tc>
          <w:tcPr>
            <w:tcW w:w="1280" w:type="dxa"/>
            <w:vAlign w:val="bottom"/>
            <w:gridSpan w:val="4"/>
          </w:tcPr>
          <w:p>
            <w:pPr>
              <w:spacing w:after="0" w:line="138" w:lineRule="exact"/>
              <w:rPr>
                <w:rFonts w:ascii="Arial" w:cs="Arial" w:eastAsia="Arial" w:hAnsi="Arial"/>
                <w:sz w:val="13"/>
                <w:szCs w:val="13"/>
                <w:color w:val="0000EE"/>
              </w:rPr>
            </w:pPr>
            <w:hyperlink w:anchor="page124">
              <w:r>
                <w:rPr>
                  <w:rFonts w:ascii="Arial" w:cs="Arial" w:eastAsia="Arial" w:hAnsi="Arial"/>
                  <w:sz w:val="13"/>
                  <w:szCs w:val="13"/>
                  <w:color w:val="0000EE"/>
                </w:rPr>
                <w:t>Item 15.</w:t>
              </w:r>
            </w:hyperlink>
          </w:p>
        </w:tc>
        <w:tc>
          <w:tcPr>
            <w:tcW w:w="3480" w:type="dxa"/>
            <w:vAlign w:val="bottom"/>
            <w:gridSpan w:val="17"/>
          </w:tcPr>
          <w:p>
            <w:pPr>
              <w:spacing w:after="0" w:line="138" w:lineRule="exact"/>
              <w:rPr>
                <w:rFonts w:ascii="Arial" w:cs="Arial" w:eastAsia="Arial" w:hAnsi="Arial"/>
                <w:sz w:val="13"/>
                <w:szCs w:val="13"/>
                <w:color w:val="0000EE"/>
              </w:rPr>
            </w:pPr>
            <w:hyperlink w:anchor="page124">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20" w:type="dxa"/>
            <w:vAlign w:val="bottom"/>
            <w:gridSpan w:val="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121</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409A Deferral Savings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2007 Form of Restricted Stock Unit Award Agreement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2007 Form of Performance Share Unit Award Agreement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Computation of Ratio of Earnings to Fixed Charges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Subsidiaries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Consent of Independent Registered Public Accountant Firm</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CEO Pursuant to Rule 15d-14(a)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SVP &amp; CFO Pursuant to Rule 15d-14(a)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CEO Pursuant to Section 1350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SVP &amp; CFO Pursuant to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 During 2006, none of our customers accounted for more than 1% of our operating revenue. We employed approximately 48,000 people as of December 31, 2006.</w:t>
      </w:r>
    </w:p>
    <w:p>
      <w:pPr>
        <w:spacing w:after="0" w:line="5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Company’s goals are targeted at serving five key stakeholders: our customers, our employees, the environment, the communities in which we work, and our shareholders. Our goals are:</w:t>
      </w:r>
    </w:p>
    <w:p>
      <w:pPr>
        <w:spacing w:after="0" w:line="59"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the waste solutions provider of choice for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best place to work for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leader in promoting environmental stewardship;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trusted and valued community partner;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maximize shareholder value.</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2006, we continued working on our long-term goals of improving our organization and maximizing returns to our shareholders by concentrating on operational excellence, profitability and growing our business. Our current strategies are based on four objectives: revenue growth through pricing; lowering operating and selling, general and administrative costs through process standardization and productivity improvements; improving our portfolio of business units through our “fix or seek exit” strategy; and generating strong and consistent cash flow from operations that can be returned to shareholders.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Growth</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revenue growth through pricing excellence objective centers around attaining a return on invested capital that appropriately considers our cost of capital, the risks we take in our business and the value of our disposal assets. We have been using an increasingly more disciplined approach to pricing, where we carefully analyze our operations and make decisions based on market specific information. In addition, we are rolling out comprehensive fee programs that are designed to recover the costs we incur for items such as collection of past due balances, container deliveries and infrequent pick-ups. We believe our success in increasing internal revenue growth from yield is a direct result of our pricing objectives.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Control</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remain committed to finding the best practices throughout our organization and standardizing those practices and processes throughout the Company. In 2006, we were able to reduce our operating expenses for the first time in several years, demonstrating the progress we are making on our operational excellence initiatives such as improving productivity, reducing fleet maintenance costs, standardizing operating practices, and improving safety, as well as our divestiture of under-performing operations, which is discussed below.</w:t>
      </w:r>
    </w:p>
    <w:p>
      <w:pPr>
        <w:spacing w:after="0" w:line="50" w:lineRule="exact"/>
        <w:rPr>
          <w:sz w:val="20"/>
          <w:szCs w:val="20"/>
          <w:color w:val="auto"/>
        </w:rPr>
      </w:pPr>
    </w:p>
    <w:p>
      <w:pPr>
        <w:jc w:val="both"/>
        <w:ind w:left="680" w:right="60" w:firstLine="399"/>
        <w:spacing w:after="0" w:line="285" w:lineRule="auto"/>
        <w:rPr>
          <w:sz w:val="20"/>
          <w:szCs w:val="20"/>
          <w:color w:val="auto"/>
        </w:rPr>
      </w:pPr>
      <w:r>
        <w:rPr>
          <w:rFonts w:ascii="Arial" w:cs="Arial" w:eastAsia="Arial" w:hAnsi="Arial"/>
          <w:sz w:val="12"/>
          <w:szCs w:val="12"/>
          <w:color w:val="auto"/>
        </w:rPr>
        <w:t>We also believe that we must make investments in our business that will provide for longer-term cost savings and efficiencies. During 2006, we have made significant investments in our information technology, our people and our pricing strategies. Certain costs associated with these investments have increased our selling, general and administrative costs, but are being incurred to provide long-term returns. The most noteworthy investment we made in 2006 relates to our new revenue management software. During the last year, we focused on tailoring this revenue management software to our business and processes so that, when implemented, it will provide our employees with the information resources they need to serve our customers more effectively and efficiently. This implementation process will continue to be a focus of our people in 2007.</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Improve Operations through Divestitures, Acquisitions and Investments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third quarter of 2005, we announced that our Board of Directors had approved a plan to divest under-performing and non-strategic operations. As of December 31, 2006, we had divested operations representing annual gross revenues of over $235 million. The ultimate sale of any of the operations identified for divestiture is dependent on several factors, including identifying interested purchasers, negotiating the terms and conditions of the sales, and obtaining regulatory approvals. We believe that we have made significant progress in 2006 in executing our “fix or seek exit” strategy.</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addition to our focus on divesting under-performing operations, we continue to look for acquisitions and other investments to improve our current operations’ performance and enhance and expand our services. In particular, we intend to make investments in our landfill gas-to-energy programs as well as other purchases that we believe will benefit future expansion efforts, all of which are complementary to our existing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Return Value to Shareholders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continue to use the cash that we generate not only to reinvest in our business, but also to return value to our shareholders through common stock repurchases and dividend payments. Our current, three-year capital allocation program authorizes up to $1.2 billion of combined stock repurchases and dividend payments for each of 2005, 2006 and 2007. Our Board of Directors approved an additional $350 million for stock repurchases in 2006. Accordingly, we repurchased over $1 billion of our common stock and paid dividends of $476 million in 2006. We recently announced that our Board of Directors expects that future quarterly dividend payments will be increased to $0.24 per share, although our Board of Directors must first declare each dividend payment. This will result in an increase in the amount of free cash flow that we expect to pay out as dividends for the fourth straight year.</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are the leading provider of integrated waste services to commercial, industrial, municipal and residential customers throughout the United States, Puerto Rico and Canada. Our core business includes collection, transfer, recycling, disposal and waste-to-energy services. We manage and evaluate our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Recycling Group. We also provide additional waste management services that are not managed through our six Groups. These services include on-site services, methane gas recovery and third-party sub-contracted and administrative services managed by our National Accounts and Upstream organizations, and are presented in this report as “Other.”</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The table below shows the total revenues (in millions) contributed annually by each of our reportable segments in the three-year period ended December 31, 2006. More information about our results of operations by reportable segment is included in Note 20 to the Consolidated Financial Statements and in the </w:t>
      </w:r>
      <w:r>
        <w:rPr>
          <w:rFonts w:ascii="Arial" w:cs="Arial" w:eastAsia="Arial" w:hAnsi="Arial"/>
          <w:sz w:val="13"/>
          <w:szCs w:val="13"/>
          <w:i w:val="1"/>
          <w:iCs w:val="1"/>
          <w:color w:val="auto"/>
        </w:rPr>
        <w:t>Management’s Discussion and Analysis of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Condition and Results of Operations </w:t>
      </w:r>
      <w:r>
        <w:rPr>
          <w:rFonts w:ascii="Arial" w:cs="Arial" w:eastAsia="Arial" w:hAnsi="Arial"/>
          <w:sz w:val="13"/>
          <w:szCs w:val="13"/>
          <w:color w:val="auto"/>
        </w:rPr>
        <w:t>included in this report.</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3,744</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3,112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2,971</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3,759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3,160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2,884</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Recycling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766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833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745</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(2,449)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(2,404)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The services we provide include collection, landfill (solid and hazardous waste landfills), transfer, Wheelabrator (waste-to-energy facilities and independent power production plants), recycling, and other services, as described below. The following table shows revenues (in millions) contributed by these services for each of the three years indicated:</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8,318</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3,197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3,004</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(2,449)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(2,404)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Collection. </w:t>
      </w:r>
      <w:r>
        <w:rPr>
          <w:rFonts w:ascii="Arial" w:cs="Arial" w:eastAsia="Arial" w:hAnsi="Arial"/>
          <w:sz w:val="13"/>
          <w:szCs w:val="13"/>
          <w:color w:val="auto"/>
        </w:rPr>
        <w:t>Our commitment to customers begins with a vast waste collection network. Collection involves picking up and transporting waste from where it was generated to a</w:t>
      </w:r>
      <w:r>
        <w:rPr>
          <w:rFonts w:ascii="Arial" w:cs="Arial" w:eastAsia="Arial" w:hAnsi="Arial"/>
          <w:sz w:val="13"/>
          <w:szCs w:val="13"/>
          <w:i w:val="1"/>
          <w:iCs w:val="1"/>
          <w:color w:val="auto"/>
        </w:rPr>
        <w:t xml:space="preserve"> </w:t>
      </w:r>
      <w:r>
        <w:rPr>
          <w:rFonts w:ascii="Arial" w:cs="Arial" w:eastAsia="Arial" w:hAnsi="Arial"/>
          <w:sz w:val="13"/>
          <w:szCs w:val="13"/>
          <w:color w:val="auto"/>
        </w:rPr>
        <w:t>transfer station or disposal site. We generally provide collection services under two types of arrangements:</w:t>
      </w:r>
    </w:p>
    <w:p>
      <w:pPr>
        <w:spacing w:after="0" w:line="59" w:lineRule="exact"/>
        <w:rPr>
          <w:sz w:val="20"/>
          <w:szCs w:val="20"/>
          <w:color w:val="auto"/>
        </w:rPr>
      </w:pPr>
    </w:p>
    <w:p>
      <w:pPr>
        <w:ind w:left="1280" w:right="20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commercial and industrial collection services, typically we have a three-year service agreement. The fees under the agreements are influenced by factors such as collection frequency, type of collection equipment furnished by us, type and volume or weight of the waste collected, distance to the disposal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40"/>
        <w:spacing w:after="0" w:line="260" w:lineRule="auto"/>
        <w:rPr>
          <w:sz w:val="20"/>
          <w:szCs w:val="20"/>
          <w:color w:val="auto"/>
        </w:rPr>
      </w:pPr>
      <w:r>
        <w:rPr>
          <w:rFonts w:ascii="Arial" w:cs="Arial" w:eastAsia="Arial" w:hAnsi="Arial"/>
          <w:sz w:val="13"/>
          <w:szCs w:val="13"/>
          <w:color w:val="auto"/>
        </w:rPr>
        <w:t>facility, labor costs, cost of disposal and general market factors. As part of the service, we provide steel containers to most of our customers to store their solid waste between pick-up dates. Containers vary in size and type according to the needs of our customers or restrictions of their communities and many are designed so that they can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sz w:val="20"/>
          <w:szCs w:val="20"/>
          <w:color w:val="auto"/>
        </w:rPr>
      </w:pPr>
    </w:p>
    <w:p>
      <w:pPr>
        <w:ind w:left="1280" w:right="10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most residential collection services, we have a contract with, or a franchise granted by, a municipality or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Landfill. </w:t>
      </w:r>
      <w:r>
        <w:rPr>
          <w:rFonts w:ascii="Arial" w:cs="Arial" w:eastAsia="Arial" w:hAnsi="Arial"/>
          <w:sz w:val="13"/>
          <w:szCs w:val="13"/>
          <w:color w:val="auto"/>
        </w:rPr>
        <w:t>Landfills are the main depositories for solid waste in North America and we have the largest network of landfills in North America. Solid waste landfills are built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70"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We also operate secure hazardous waste landfills in the United States. Under federal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wastes into inert materials that are no longer hazardous. Our hazardous waste landfills are sited, constructed and operated in a manner designed to provide long-term containment of waste. We also operate a hazardous waste facility at which we isolate treated hazardous wastes in liquid form by injection into deep wells that have been drilled in rock formations far below the base of fresh water to a point that is separated by other substantial geological confining layers.</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owned or operated 277 solid waste and six hazardous waste landfills at December 31, 2006 and December 31, 2005. The landfills that we operate but do not own are generally operated under a lease agreement or an operating contract. The differences between the two arrangements usually relate to the owner of the landfill operating permit. Generally, with a lease agreement, the permit is in our name and we operate the landfill for its entire life, making payments to the lessor, who is generally a private landowner, based either on a percentage of revenue or a rate per ton of waste received. We are generally responsible for closure and post-closure requirements under our lease agreements. For operating contracts, the owner of the property, generally a municipality, usually owns the permit and we operate the landfill for a contracted term, which may be the life of the landfill. The property owner is generally responsible for closure and post-closure obligations under our operating contracts.</w:t>
      </w:r>
    </w:p>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 xml:space="preserve">Based on remaining permitted airspace (as defined within </w:t>
      </w:r>
      <w:r>
        <w:rPr>
          <w:rFonts w:ascii="Arial" w:cs="Arial" w:eastAsia="Arial" w:hAnsi="Arial"/>
          <w:sz w:val="13"/>
          <w:szCs w:val="13"/>
          <w:i w:val="1"/>
          <w:iCs w:val="1"/>
          <w:color w:val="auto"/>
        </w:rPr>
        <w:t>Management’s Discussion and Analysis of Financial Condition and Results of Operations — Critical Accounting Estimates</w:t>
      </w:r>
      <w:r>
        <w:rPr>
          <w:rFonts w:ascii="Arial" w:cs="Arial" w:eastAsia="Arial" w:hAnsi="Arial"/>
          <w:sz w:val="13"/>
          <w:szCs w:val="13"/>
          <w:color w:val="auto"/>
        </w:rPr>
        <w:t xml:space="preserve"> </w:t>
      </w:r>
      <w:r>
        <w:rPr>
          <w:rFonts w:ascii="Arial" w:cs="Arial" w:eastAsia="Arial" w:hAnsi="Arial"/>
          <w:sz w:val="13"/>
          <w:szCs w:val="13"/>
          <w:i w:val="1"/>
          <w:iCs w:val="1"/>
          <w:color w:val="auto"/>
        </w:rPr>
        <w:t>and Assumptions</w:t>
      </w:r>
      <w:r>
        <w:rPr>
          <w:rFonts w:ascii="Arial" w:cs="Arial" w:eastAsia="Arial" w:hAnsi="Arial"/>
          <w:sz w:val="13"/>
          <w:szCs w:val="13"/>
          <w:color w:val="auto"/>
        </w:rPr>
        <w:t>) as of December 31, 2006 and projected annual disposal volumes, the weighted average remaining landfill life for all of our owned or operated landfills is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28 years. Many of our landfills have the potential for expanded disposal capacity beyond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 xml:space="preserve">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currently seeking expansion permits at 62 of our landfills for which we consider expansions to be likely. Although no assurances can be made that all future expansions will be permitted or permitted as designed, the weighted average remaining landfill life for all owned or operated landfills is approximately 35 years when considering remaining permitted airspace, expansion airspace (as defined within </w:t>
      </w:r>
      <w:r>
        <w:rPr>
          <w:rFonts w:ascii="Arial" w:cs="Arial" w:eastAsia="Arial" w:hAnsi="Arial"/>
          <w:sz w:val="12"/>
          <w:szCs w:val="12"/>
          <w:i w:val="1"/>
          <w:iCs w:val="1"/>
          <w:color w:val="auto"/>
        </w:rPr>
        <w:t>Management’s Discussion and Analysis of</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Condition and Results of Operations — Critical Accounting Estimates and Assumptions</w:t>
      </w:r>
      <w:r>
        <w:rPr>
          <w:rFonts w:ascii="Arial" w:cs="Arial" w:eastAsia="Arial" w:hAnsi="Arial"/>
          <w:sz w:val="12"/>
          <w:szCs w:val="12"/>
          <w:color w:val="auto"/>
        </w:rPr>
        <w:t>) and projected annual disposal volume. At December 31, 2006 and 2005, the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remaining capacity in cubic yards and tonnage of waste that can be accepted at our owned or operated landfills is shown below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2006</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2005</w:t>
            </w: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8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1"/>
              </w:rPr>
              <w:t>Total</w:t>
            </w:r>
          </w:p>
        </w:tc>
        <w:tc>
          <w:tcPr>
            <w:tcW w:w="8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Expansion</w:t>
            </w:r>
          </w:p>
        </w:tc>
        <w:tc>
          <w:tcPr>
            <w:tcW w:w="58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8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Capacity</w:t>
            </w:r>
          </w:p>
        </w:tc>
        <w:tc>
          <w:tcPr>
            <w:tcW w:w="4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400" w:type="dxa"/>
            <w:vAlign w:val="bottom"/>
          </w:tcPr>
          <w:p>
            <w:pPr>
              <w:spacing w:after="0"/>
              <w:rPr>
                <w:sz w:val="10"/>
                <w:szCs w:val="10"/>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20"/>
                <w:szCs w:val="20"/>
                <w:color w:val="auto"/>
              </w:rPr>
            </w:pPr>
            <w:r>
              <w:rPr>
                <w:rFonts w:ascii="Arial" w:cs="Arial" w:eastAsia="Arial" w:hAnsi="Arial"/>
                <w:sz w:val="13"/>
                <w:szCs w:val="13"/>
                <w:color w:val="auto"/>
              </w:rPr>
              <w:t>Remaining cubic yards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4,255</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1,037</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5,292</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3,954</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1,287</w:t>
            </w:r>
          </w:p>
        </w:tc>
        <w:tc>
          <w:tcPr>
            <w:tcW w:w="580" w:type="dxa"/>
            <w:vAlign w:val="bottom"/>
          </w:tcPr>
          <w:p>
            <w:pPr>
              <w:jc w:val="right"/>
              <w:spacing w:after="0"/>
              <w:rPr>
                <w:sz w:val="20"/>
                <w:szCs w:val="20"/>
                <w:color w:val="auto"/>
              </w:rPr>
            </w:pPr>
            <w:r>
              <w:rPr>
                <w:rFonts w:ascii="Arial" w:cs="Arial" w:eastAsia="Arial" w:hAnsi="Arial"/>
                <w:sz w:val="13"/>
                <w:szCs w:val="13"/>
                <w:color w:val="auto"/>
              </w:rPr>
              <w:t>5,241</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Remaining tonnage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3,760</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959</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4,719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3,460</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1,196</w:t>
            </w:r>
          </w:p>
        </w:tc>
        <w:tc>
          <w:tcPr>
            <w:tcW w:w="580" w:type="dxa"/>
            <w:vAlign w:val="bottom"/>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reflects landfill capacity and airspace changes, as measured in tons of waste, for landfills owned or operated by us during the years ended December 31, 2006 and 2005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rPr>
              <w:t>December 31, 2006</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2005</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Expansion</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Capacity</w:t>
            </w: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3,460</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1,196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4,656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3,515</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1,192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4,707</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Acquisitions, divestitures, newly permitted landfills and closures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3</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expansions pursued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Expansion permits granted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387</w:t>
            </w:r>
          </w:p>
        </w:tc>
        <w:tc>
          <w:tcPr>
            <w:tcW w:w="1360" w:type="dxa"/>
            <w:vAlign w:val="bottom"/>
            <w:gridSpan w:val="3"/>
          </w:tcPr>
          <w:p>
            <w:pPr>
              <w:jc w:val="right"/>
              <w:ind w:right="360"/>
              <w:spacing w:after="0"/>
              <w:rPr>
                <w:sz w:val="20"/>
                <w:szCs w:val="20"/>
                <w:color w:val="auto"/>
              </w:rPr>
            </w:pPr>
            <w:r>
              <w:rPr>
                <w:rFonts w:ascii="Arial" w:cs="Arial" w:eastAsia="Arial" w:hAnsi="Arial"/>
                <w:sz w:val="13"/>
                <w:szCs w:val="13"/>
                <w:color w:val="auto"/>
              </w:rPr>
              <w:t>(387)</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74</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(74)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Airspace consumed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Changes in engineering estimates and other(a),(b)</w:t>
            </w: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12</w:t>
            </w: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31</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3,460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1,196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52"/>
        <w:spacing w:after="0" w:line="257"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engineering estimates result in either changes to the available remaining landfill capacity in terms of volume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and anticipated access to moisture through precipitation or recirculation of landfill leachate.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61" w:lineRule="exact"/>
        <w:rPr>
          <w:rFonts w:ascii="Arial" w:cs="Arial" w:eastAsia="Arial" w:hAnsi="Arial"/>
          <w:sz w:val="13"/>
          <w:szCs w:val="13"/>
          <w:color w:val="auto"/>
        </w:rPr>
      </w:pPr>
    </w:p>
    <w:p>
      <w:pPr>
        <w:ind w:left="1000" w:right="80" w:hanging="259"/>
        <w:spacing w:after="0" w:line="276"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2005, the amount of landfill capacity was reduced by approximately 46 million tons, or approximately 1%, to reflect cumulative corrections to align the lives of nine of our landfills for accounting purposes with the terms of the underlying contractual lease or operating agreements supporting their operations.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number of landfills we own or operate segregated by their estimated operating lives (in years), based on remaining permitted and expansion airspace and projected annual disposal volume as of December 31, 2006,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0 to 5</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6 to 10</w:t>
            </w: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11 to 20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21 to 40</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41+</w:t>
            </w:r>
          </w:p>
        </w:tc>
        <w:tc>
          <w:tcPr>
            <w:tcW w:w="38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Total</w:t>
            </w:r>
          </w:p>
        </w:tc>
      </w:tr>
      <w:tr>
        <w:trPr>
          <w:trHeight w:val="29"/>
        </w:trPr>
        <w:tc>
          <w:tcPr>
            <w:tcW w:w="57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Owned/operated through lease</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247</w:t>
            </w:r>
          </w:p>
        </w:tc>
      </w:tr>
      <w:tr>
        <w:trPr>
          <w:trHeight w:val="157"/>
        </w:trPr>
        <w:tc>
          <w:tcPr>
            <w:tcW w:w="5780" w:type="dxa"/>
            <w:vAlign w:val="bottom"/>
          </w:tcPr>
          <w:p>
            <w:pPr>
              <w:spacing w:after="0"/>
              <w:rPr>
                <w:sz w:val="20"/>
                <w:szCs w:val="20"/>
                <w:color w:val="auto"/>
              </w:rPr>
            </w:pPr>
            <w:r>
              <w:rPr>
                <w:rFonts w:ascii="Arial" w:cs="Arial" w:eastAsia="Arial" w:hAnsi="Arial"/>
                <w:sz w:val="13"/>
                <w:szCs w:val="13"/>
                <w:color w:val="auto"/>
              </w:rPr>
              <w:t>Operating contracts</w:t>
            </w:r>
          </w:p>
        </w:tc>
        <w:tc>
          <w:tcPr>
            <w:tcW w:w="300" w:type="dxa"/>
            <w:vAlign w:val="bottom"/>
          </w:tcPr>
          <w:p>
            <w:pPr>
              <w:jc w:val="right"/>
              <w:spacing w:after="0"/>
              <w:rPr>
                <w:sz w:val="20"/>
                <w:szCs w:val="20"/>
                <w:color w:val="auto"/>
              </w:rPr>
            </w:pPr>
            <w:r>
              <w:rPr>
                <w:rFonts w:ascii="Arial" w:cs="Arial" w:eastAsia="Arial" w:hAnsi="Arial"/>
                <w:sz w:val="13"/>
                <w:szCs w:val="13"/>
                <w:color w:val="auto"/>
              </w:rPr>
              <w:t>14</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r>
      <w:tr>
        <w:trPr>
          <w:trHeight w:val="20"/>
        </w:trPr>
        <w:tc>
          <w:tcPr>
            <w:tcW w:w="5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Total landfills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w:t>
            </w:r>
          </w:p>
        </w:tc>
      </w:tr>
      <w:tr>
        <w:trPr>
          <w:trHeight w:val="29"/>
        </w:trPr>
        <w:tc>
          <w:tcPr>
            <w:tcW w:w="5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volume of waste, as measured in tons, that we received in 2006 and 2005 at all of our landfills is shown below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2006</w:t>
            </w: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74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 of</w:t>
            </w:r>
          </w:p>
        </w:tc>
        <w:tc>
          <w:tcPr>
            <w:tcW w:w="102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50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380" w:type="dxa"/>
            <w:vAlign w:val="bottom"/>
          </w:tcPr>
          <w:p>
            <w:pPr>
              <w:spacing w:after="0"/>
              <w:rPr>
                <w:sz w:val="7"/>
                <w:szCs w:val="7"/>
                <w:color w:val="auto"/>
              </w:rPr>
            </w:pPr>
          </w:p>
        </w:tc>
        <w:tc>
          <w:tcPr>
            <w:tcW w:w="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 of</w:t>
            </w:r>
          </w:p>
        </w:tc>
        <w:tc>
          <w:tcPr>
            <w:tcW w:w="104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48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Sites</w:t>
            </w:r>
          </w:p>
        </w:tc>
        <w:tc>
          <w:tcPr>
            <w:tcW w:w="10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Tons</w:t>
            </w: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per Day</w:t>
            </w:r>
          </w:p>
        </w:tc>
        <w:tc>
          <w:tcPr>
            <w:tcW w:w="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Sites</w:t>
            </w:r>
          </w:p>
        </w:tc>
        <w:tc>
          <w:tcPr>
            <w:tcW w:w="10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Tons</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per Day</w:t>
            </w:r>
          </w:p>
        </w:tc>
      </w:tr>
      <w:tr>
        <w:trPr>
          <w:trHeight w:val="29"/>
        </w:trPr>
        <w:tc>
          <w:tcPr>
            <w:tcW w:w="1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Solid waste landfills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277(a)</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125,528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125,885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r>
      <w:tr>
        <w:trPr>
          <w:trHeight w:val="157"/>
        </w:trPr>
        <w:tc>
          <w:tcPr>
            <w:tcW w:w="5040" w:type="dxa"/>
            <w:vAlign w:val="bottom"/>
            <w:gridSpan w:val="2"/>
          </w:tcPr>
          <w:p>
            <w:pPr>
              <w:spacing w:after="0"/>
              <w:rPr>
                <w:sz w:val="20"/>
                <w:szCs w:val="20"/>
                <w:color w:val="auto"/>
              </w:rPr>
            </w:pPr>
            <w:r>
              <w:rPr>
                <w:rFonts w:ascii="Arial" w:cs="Arial" w:eastAsia="Arial" w:hAnsi="Arial"/>
                <w:sz w:val="13"/>
                <w:szCs w:val="13"/>
                <w:color w:val="auto"/>
              </w:rPr>
              <w:t>Hazardous waste landfills</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6</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1,287</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1,368</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283</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126,815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127,253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w:t>
            </w:r>
          </w:p>
        </w:tc>
      </w:tr>
      <w:tr>
        <w:trPr>
          <w:trHeight w:val="166"/>
        </w:trPr>
        <w:tc>
          <w:tcPr>
            <w:tcW w:w="5040" w:type="dxa"/>
            <w:vAlign w:val="bottom"/>
            <w:gridSpan w:val="2"/>
          </w:tcPr>
          <w:p>
            <w:pPr>
              <w:spacing w:after="0"/>
              <w:rPr>
                <w:sz w:val="20"/>
                <w:szCs w:val="20"/>
                <w:color w:val="auto"/>
              </w:rPr>
            </w:pPr>
            <w:r>
              <w:rPr>
                <w:rFonts w:ascii="Arial" w:cs="Arial" w:eastAsia="Arial" w:hAnsi="Arial"/>
                <w:sz w:val="13"/>
                <w:szCs w:val="13"/>
                <w:color w:val="auto"/>
              </w:rPr>
              <w:t>Solid waste landfills closed or divested during related year</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4</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1,287</w:t>
            </w: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482</w:t>
            </w: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30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128,102(b)</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127,735(b)</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140" w:hanging="252"/>
        <w:spacing w:after="0" w:line="276"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closed four landfills in 2006 and added four permitted landfills due to acquisitions. Our landfill count as of December 31, 2006 includes three landfills that were classified as held for sale for financial reporting purposes. One of these landfills was sold in January 2007.</w:t>
      </w:r>
    </w:p>
    <w:p>
      <w:pPr>
        <w:spacing w:after="0" w:line="10" w:lineRule="exact"/>
        <w:rPr>
          <w:rFonts w:ascii="Arial" w:cs="Arial" w:eastAsia="Arial" w:hAnsi="Arial"/>
          <w:sz w:val="13"/>
          <w:szCs w:val="13"/>
          <w:color w:val="auto"/>
        </w:rPr>
      </w:pPr>
    </w:p>
    <w:p>
      <w:pPr>
        <w:ind w:left="1000" w:right="100" w:hanging="259"/>
        <w:spacing w:after="0" w:line="264"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amounts include 2.0 million tons at December 31, 2006 and 2.6 million tons at December 31, 2005 that were received at our landfills but were used for beneficial purposes and were generally redirected from the permitted airspace to other areas of the landfill. Waste types that are frequently identified for beneficial use include green waste for composting and clean dirt for on-site construction projects.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When a landfill we own or operate (i) reaches its permitted waste capacity; (ii) is permanently capped and (iii) receives certification of closure from the applicable regulatory agency, management of the site, including for any remediation activities, is generally transferred to our closed sites management group. In addition to the 283 active landfills we managed at December 31, 2006, we also managed 187 closed landfills.</w:t>
      </w:r>
    </w:p>
    <w:p>
      <w:pPr>
        <w:spacing w:after="0" w:line="67"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i w:val="1"/>
          <w:iCs w:val="1"/>
          <w:color w:val="auto"/>
        </w:rPr>
        <w:t xml:space="preserve">Transfer. </w:t>
      </w:r>
      <w:r>
        <w:rPr>
          <w:rFonts w:ascii="Arial" w:cs="Arial" w:eastAsia="Arial" w:hAnsi="Arial"/>
          <w:sz w:val="12"/>
          <w:szCs w:val="12"/>
          <w:color w:val="auto"/>
        </w:rPr>
        <w:t>At December 31, 2006, we owned or operated 342 transfer stations in North America. We deposit waste at these stations, as do other third-party waste haulers. The solid</w:t>
      </w:r>
      <w:r>
        <w:rPr>
          <w:rFonts w:ascii="Arial" w:cs="Arial" w:eastAsia="Arial" w:hAnsi="Arial"/>
          <w:sz w:val="12"/>
          <w:szCs w:val="12"/>
          <w:i w:val="1"/>
          <w:iCs w:val="1"/>
          <w:color w:val="auto"/>
        </w:rPr>
        <w:t xml:space="preserve"> </w:t>
      </w:r>
      <w:r>
        <w:rPr>
          <w:rFonts w:ascii="Arial" w:cs="Arial" w:eastAsia="Arial" w:hAnsi="Arial"/>
          <w:sz w:val="12"/>
          <w:szCs w:val="12"/>
          <w:color w:val="auto"/>
        </w:rPr>
        <w:t>waste is then consolidated and compacted to reduce the volume and increase the density of the waste and transported by transfer trucks or by rail to disposal sites.</w:t>
      </w:r>
    </w:p>
    <w:p>
      <w:pPr>
        <w:spacing w:after="0" w:line="35"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Access to transfer stations is often critical to third-party haulers who do not operate their own disposal facilities in close proximity to their collection operations. Fees charged to third parties at transfer stations are usually based on the type and volume or weight of the waste transferred, the distance to the disposal site and general market factors.</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utilization of our transfer stations by our own collection operations improves internalization by allowing us to retain fees that we would otherwise pay to third parties for the disposal of the waste we collect. It allows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collection operations; and (iii) we can retain the volume by managing the transfer of the waste to one of our disposal sites.</w:t>
      </w:r>
    </w:p>
    <w:p>
      <w:pPr>
        <w:spacing w:after="0" w:line="5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transfer stations that we operate but do not own are generally operated through lease agreements under which we lease property from third parties. There are some instances where transfer stations are operated under</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contract, generally for municipalities. In most cases we own the permits and will be responsible for all of the regulatory requirements in accordance with the lease and operating agreements terms.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As of December 31, 2006, we owned or operated 17 waste-to-energy facilities and five independent power production plants (“IPPs”) that are located in the Northeast</w:t>
      </w:r>
      <w:r>
        <w:rPr>
          <w:rFonts w:ascii="Arial" w:cs="Arial" w:eastAsia="Arial" w:hAnsi="Arial"/>
          <w:sz w:val="13"/>
          <w:szCs w:val="13"/>
          <w:i w:val="1"/>
          <w:iCs w:val="1"/>
          <w:color w:val="auto"/>
        </w:rPr>
        <w:t xml:space="preserve"> </w:t>
      </w:r>
      <w:r>
        <w:rPr>
          <w:rFonts w:ascii="Arial" w:cs="Arial" w:eastAsia="Arial" w:hAnsi="Arial"/>
          <w:sz w:val="13"/>
          <w:szCs w:val="13"/>
          <w:color w:val="auto"/>
        </w:rPr>
        <w:t>and in Florida, California and Washington.</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At our waste-to-energy facilities, solid waste is burned at high temperatures in specially designed boilers to produce heat that is converted into high-pressure steam, which is either sold or used to generate electricity. Our waste-to-energy facilities are capable of processing up to 24,000 tons of solid waste each day. In both 2006 and 2005, our waste-to-energy facilities received 7.8 million tons of solid waste, or approximately 21,300 tons per day.</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IPPs convert various waste and conventional fuels into steam, which is either sold or used to generate electricity.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waste-to-energy facilities and IPPs sell steam to industrial and commercial users. Steam that is not sold is used to generate electricity for sale to electric utilities. Fees at our waste-to-energy facilities and IPPs are generally subject to the terms and conditions of long-term contracts. Interim adjustments to the prices for steam and electricity under these long-term contracts are made for changes in market conditions such as inflation, natural gas prices and other general market factors.</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Our Recycling Group focuses on improving the sustainability and future growth of recycling programs within communities and industries. In addition to our Recycling</w:t>
      </w:r>
      <w:r>
        <w:rPr>
          <w:rFonts w:ascii="Arial" w:cs="Arial" w:eastAsia="Arial" w:hAnsi="Arial"/>
          <w:sz w:val="13"/>
          <w:szCs w:val="13"/>
          <w:i w:val="1"/>
          <w:iCs w:val="1"/>
          <w:color w:val="auto"/>
        </w:rPr>
        <w:t xml:space="preserve"> </w:t>
      </w:r>
      <w:r>
        <w:rPr>
          <w:rFonts w:ascii="Arial" w:cs="Arial" w:eastAsia="Arial" w:hAnsi="Arial"/>
          <w:sz w:val="13"/>
          <w:szCs w:val="13"/>
          <w:color w:val="auto"/>
        </w:rPr>
        <w:t>Group, our four geographic operating Groups provide certain recycling services that are embedded within the Groups’ other operations and, therefore, not included within the Recycling Group’s financial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Recycling involves the separation of reusable materials from the waste stream for processing and resale or other disposition. Our recycling operations include the following:</w:t>
      </w:r>
    </w:p>
    <w:p>
      <w:pPr>
        <w:spacing w:after="0" w:line="108" w:lineRule="exact"/>
        <w:rPr>
          <w:sz w:val="20"/>
          <w:szCs w:val="20"/>
          <w:color w:val="auto"/>
        </w:rPr>
      </w:pPr>
    </w:p>
    <w:p>
      <w:pPr>
        <w:ind w:left="1080" w:firstLine="383"/>
        <w:spacing w:after="0" w:line="289" w:lineRule="auto"/>
        <w:rPr>
          <w:sz w:val="20"/>
          <w:szCs w:val="20"/>
          <w:color w:val="auto"/>
        </w:rPr>
      </w:pPr>
      <w:r>
        <w:rPr>
          <w:rFonts w:ascii="Arial" w:cs="Arial" w:eastAsia="Arial" w:hAnsi="Arial"/>
          <w:sz w:val="12"/>
          <w:szCs w:val="12"/>
          <w:i w:val="1"/>
          <w:iCs w:val="1"/>
          <w:color w:val="auto"/>
        </w:rPr>
        <w:t xml:space="preserve">Collection and materials processing </w:t>
      </w:r>
      <w:r>
        <w:rPr>
          <w:rFonts w:ascii="Arial" w:cs="Arial" w:eastAsia="Arial" w:hAnsi="Arial"/>
          <w:sz w:val="12"/>
          <w:szCs w:val="12"/>
          <w:color w:val="auto"/>
        </w:rPr>
        <w:t>— Through our collection operations, we collect recyclable materials from residential, commercial and industrial customers and direct</w:t>
      </w:r>
      <w:r>
        <w:rPr>
          <w:rFonts w:ascii="Arial" w:cs="Arial" w:eastAsia="Arial" w:hAnsi="Arial"/>
          <w:sz w:val="12"/>
          <w:szCs w:val="12"/>
          <w:i w:val="1"/>
          <w:iCs w:val="1"/>
          <w:color w:val="auto"/>
        </w:rPr>
        <w:t xml:space="preserve"> </w:t>
      </w:r>
      <w:r>
        <w:rPr>
          <w:rFonts w:ascii="Arial" w:cs="Arial" w:eastAsia="Arial" w:hAnsi="Arial"/>
          <w:sz w:val="12"/>
          <w:szCs w:val="12"/>
          <w:color w:val="auto"/>
        </w:rPr>
        <w:t>these materials to one of our material recovery facilities (“MRFs”) for processing. We operate 108 MRFs where paper, glass, metals, plastics and compost are recovered for resale. We also operate five secondary processing facilities where materials received from MRFs can be further processed into raw products used in the manufacturing of consumer goods. Specifically, material processing services include data destruction, automated color sorting, and construction and demolition processing.</w:t>
      </w:r>
    </w:p>
    <w:p>
      <w:pPr>
        <w:spacing w:after="0" w:line="53" w:lineRule="exact"/>
        <w:rPr>
          <w:sz w:val="20"/>
          <w:szCs w:val="20"/>
          <w:color w:val="auto"/>
        </w:rPr>
      </w:pPr>
    </w:p>
    <w:p>
      <w:pPr>
        <w:ind w:left="1080" w:right="20" w:firstLine="383"/>
        <w:spacing w:after="0" w:line="276" w:lineRule="auto"/>
        <w:rPr>
          <w:sz w:val="20"/>
          <w:szCs w:val="20"/>
          <w:color w:val="auto"/>
        </w:rPr>
      </w:pPr>
      <w:r>
        <w:rPr>
          <w:rFonts w:ascii="Arial" w:cs="Arial" w:eastAsia="Arial" w:hAnsi="Arial"/>
          <w:sz w:val="13"/>
          <w:szCs w:val="13"/>
          <w:i w:val="1"/>
          <w:iCs w:val="1"/>
          <w:color w:val="auto"/>
        </w:rPr>
        <w:t xml:space="preserve">Plastics and rubber materials recycling </w:t>
      </w:r>
      <w:r>
        <w:rPr>
          <w:rFonts w:ascii="Arial" w:cs="Arial" w:eastAsia="Arial" w:hAnsi="Arial"/>
          <w:sz w:val="13"/>
          <w:szCs w:val="13"/>
          <w:color w:val="auto"/>
        </w:rPr>
        <w:t>— Using state-of-the-art sorting and processing technology, we process, inventory and sell plastic and rubber commodities making the</w:t>
      </w:r>
      <w:r>
        <w:rPr>
          <w:rFonts w:ascii="Arial" w:cs="Arial" w:eastAsia="Arial" w:hAnsi="Arial"/>
          <w:sz w:val="13"/>
          <w:szCs w:val="13"/>
          <w:i w:val="1"/>
          <w:iCs w:val="1"/>
          <w:color w:val="auto"/>
        </w:rPr>
        <w:t xml:space="preserve"> </w:t>
      </w:r>
      <w:r>
        <w:rPr>
          <w:rFonts w:ascii="Arial" w:cs="Arial" w:eastAsia="Arial" w:hAnsi="Arial"/>
          <w:sz w:val="13"/>
          <w:szCs w:val="13"/>
          <w:color w:val="auto"/>
        </w:rPr>
        <w:t>recycling of such items more cost effective and convenient.</w:t>
      </w:r>
    </w:p>
    <w:p>
      <w:pPr>
        <w:spacing w:after="0" w:line="59" w:lineRule="exact"/>
        <w:rPr>
          <w:sz w:val="20"/>
          <w:szCs w:val="20"/>
          <w:color w:val="auto"/>
        </w:rPr>
      </w:pPr>
    </w:p>
    <w:p>
      <w:pPr>
        <w:ind w:left="1080" w:right="520" w:firstLine="383"/>
        <w:spacing w:after="0" w:line="276" w:lineRule="auto"/>
        <w:rPr>
          <w:sz w:val="20"/>
          <w:szCs w:val="20"/>
          <w:color w:val="auto"/>
        </w:rPr>
      </w:pPr>
      <w:r>
        <w:rPr>
          <w:rFonts w:ascii="Arial" w:cs="Arial" w:eastAsia="Arial" w:hAnsi="Arial"/>
          <w:sz w:val="13"/>
          <w:szCs w:val="13"/>
          <w:i w:val="1"/>
          <w:iCs w:val="1"/>
          <w:color w:val="auto"/>
        </w:rPr>
        <w:t xml:space="preserve">Electronics recycling services </w:t>
      </w:r>
      <w:r>
        <w:rPr>
          <w:rFonts w:ascii="Arial" w:cs="Arial" w:eastAsia="Arial" w:hAnsi="Arial"/>
          <w:sz w:val="13"/>
          <w:szCs w:val="13"/>
          <w:color w:val="auto"/>
        </w:rPr>
        <w:t>— We provide an innovative, customized approach to recycling discarded computers, communications equipment, and other electronic</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Services include the collection, sorting and disassembling of electronics in an effort to reuse or recycle all collected materials.</w:t>
      </w:r>
    </w:p>
    <w:p>
      <w:pPr>
        <w:spacing w:after="0" w:line="59" w:lineRule="exact"/>
        <w:rPr>
          <w:sz w:val="20"/>
          <w:szCs w:val="20"/>
          <w:color w:val="auto"/>
        </w:rPr>
      </w:pPr>
    </w:p>
    <w:p>
      <w:pPr>
        <w:ind w:left="1080" w:right="80" w:firstLine="383"/>
        <w:spacing w:after="0" w:line="320" w:lineRule="auto"/>
        <w:rPr>
          <w:sz w:val="20"/>
          <w:szCs w:val="20"/>
          <w:color w:val="auto"/>
        </w:rPr>
      </w:pPr>
      <w:r>
        <w:rPr>
          <w:rFonts w:ascii="Arial" w:cs="Arial" w:eastAsia="Arial" w:hAnsi="Arial"/>
          <w:sz w:val="12"/>
          <w:szCs w:val="12"/>
          <w:i w:val="1"/>
          <w:iCs w:val="1"/>
          <w:color w:val="auto"/>
        </w:rPr>
        <w:t xml:space="preserve">Commodities recycling </w:t>
      </w:r>
      <w:r>
        <w:rPr>
          <w:rFonts w:ascii="Arial" w:cs="Arial" w:eastAsia="Arial" w:hAnsi="Arial"/>
          <w:sz w:val="12"/>
          <w:szCs w:val="12"/>
          <w:color w:val="auto"/>
        </w:rPr>
        <w:t>— We market and resell recyclable commodities to customers world-wide. We manage the marketing of recyclable commodities for our own facilities</w:t>
      </w:r>
      <w:r>
        <w:rPr>
          <w:rFonts w:ascii="Arial" w:cs="Arial" w:eastAsia="Arial" w:hAnsi="Arial"/>
          <w:sz w:val="12"/>
          <w:szCs w:val="12"/>
          <w:i w:val="1"/>
          <w:iCs w:val="1"/>
          <w:color w:val="auto"/>
        </w:rPr>
        <w:t xml:space="preserve"> </w:t>
      </w:r>
      <w:r>
        <w:rPr>
          <w:rFonts w:ascii="Arial" w:cs="Arial" w:eastAsia="Arial" w:hAnsi="Arial"/>
          <w:sz w:val="12"/>
          <w:szCs w:val="12"/>
          <w:color w:val="auto"/>
        </w:rPr>
        <w:t>and for third parties by maintaining comprehensive service centers that continuously analyze market prices, logistics, market demands and product quality.</w:t>
      </w:r>
    </w:p>
    <w:p>
      <w:pPr>
        <w:spacing w:after="0" w:line="3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During 2005 and 2006, we also provided glass recycling services. However, we divested of our glass recycling facilities in 2006 as part of our continued focus on improving the profitability of our business.</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Recycling fees are influenced by frequency of collection, type and volume or weight of the recyclable material, degree of processing required, the market value of the recovered material and other market factors.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Recycling Group purchases recyclable materials processed in our MRFs from various sources, including third parties and other operating subsidiaries of WMI. The cost per ton of material purchased is based on market prices and the cost to transport the finished goods to our customers. The price our Recycling Group pays for recyclable materials is often referred to as a “rebate” and is based upon the price we receive for sales of finished goods and local market conditions. As a result, higher commodity prices increase our revenues and increase the rebates we pay to our suppliers.</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provide on-site services, in which we outsource our employees to provide full service waste management to customers at their plants and other facilities through our</w:t>
      </w:r>
      <w:r>
        <w:rPr>
          <w:rFonts w:ascii="Arial" w:cs="Arial" w:eastAsia="Arial" w:hAnsi="Arial"/>
          <w:sz w:val="13"/>
          <w:szCs w:val="13"/>
          <w:i w:val="1"/>
          <w:iCs w:val="1"/>
          <w:color w:val="auto"/>
        </w:rPr>
        <w:t xml:space="preserve"> </w:t>
      </w:r>
      <w:r>
        <w:rPr>
          <w:rFonts w:ascii="Arial" w:cs="Arial" w:eastAsia="Arial" w:hAnsi="Arial"/>
          <w:sz w:val="13"/>
          <w:szCs w:val="13"/>
          <w:color w:val="auto"/>
        </w:rPr>
        <w:t>Upstream division. Our vertically integrated waste management operations allow us to provide customers with full management of their waste, including identifying recycling opportunities, minimizing their waste, determining the most efficient means available for waste collection and transporting and disposing of their waste.</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also develop, operate and promote projects for the beneficial use of landfill gas through our Waste Management Renewable Energy Program. Landfill gas is produced naturally as waste decomposes in a landfill. The methane component of the landfill gas is a readily available, renewable energy source that can be gathered and used beneficially as an alternative to fossil fuel. The United States Environmental Protection Agency (“EPA”) endorses landfill gas as a renewable energy resource, in the same category as wind, solar and geothermal resources. We actively pursue landfill gas beneficial use projects and at December 31, 2006 we were producing commercial quantities of methane gas at 104 of our solid waste landfills. At 76 of these landfills, the processed gas is delivered to electricity generators. The electricity is then sold to public utilities, municipal utilities or power cooperatives. At 23 landfills, the gas is delivered by pipeline to industrial customers as a direct substitute for fossil fuels in industrial processes such as steam boilers, cement kilns and utility plants. At five landfills, the landfill gas is processed to pipeline-quality natural gas and then sold to natural gas suppliers.</w:t>
      </w:r>
    </w:p>
    <w:p>
      <w:pPr>
        <w:spacing w:after="0" w:line="56" w:lineRule="exact"/>
        <w:rPr>
          <w:sz w:val="20"/>
          <w:szCs w:val="20"/>
          <w:color w:val="auto"/>
        </w:rPr>
      </w:pPr>
    </w:p>
    <w:p>
      <w:pPr>
        <w:ind w:left="680" w:right="240" w:firstLine="399"/>
        <w:spacing w:after="0" w:line="280" w:lineRule="auto"/>
        <w:rPr>
          <w:sz w:val="20"/>
          <w:szCs w:val="20"/>
          <w:color w:val="auto"/>
        </w:rPr>
      </w:pPr>
      <w:r>
        <w:rPr>
          <w:rFonts w:ascii="Arial" w:cs="Arial" w:eastAsia="Arial" w:hAnsi="Arial"/>
          <w:sz w:val="13"/>
          <w:szCs w:val="13"/>
          <w:color w:val="auto"/>
        </w:rPr>
        <w:t>In addition, we rent and service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3"/>
          <w:szCs w:val="13"/>
          <w:color w:val="auto"/>
        </w:rPr>
        <w:t>, and provide street and parking lot sweeping services. From time to time, we are also contracted to construct waste facilities on behalf of third parties.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 The municipalities and regional governmental authorities are often able to offer lower direct charges to the customer for the same service by subsidizing the cost of the service through the use of tax revenues and tax-exempt financing. Generally, however, municipalities do not provide significant commercial and industrial collection or waste disposal.</w:t>
      </w:r>
    </w:p>
    <w:p>
      <w:pPr>
        <w:spacing w:after="0" w:line="5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compete for disposal business on the basis of tipping fees, geographic location and quality of operations. Our ability to obtain disposal business may be limited in areas where other companies own or operate their own landfills, to which they will send their waste. We compete for collection accounts primarily on the basis of price and quality of services. 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quality of service and pricing. Under certain customer service contracts, our ability to increase our prices or pass on cost increases to our customers may be limited. From time to time, competitors may reduce the price of their services and accept lower margins in an effort to expand or maintain market share or to successfully obtain competitively bid contracts.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At December 31, 2006 we had approximately 48,000 full-time employees, of which approximately 7,600 were employed in administrative and sales positions and the balance in operations. Approximately 12,500 of our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Assurance and Insurance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Assurance</w:t>
      </w:r>
    </w:p>
    <w:p>
      <w:pPr>
        <w:spacing w:after="0" w:line="96"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Municipal and governmental waste service contracts generally require the contracting party to demonstrate financial responsibility for their obligations under the contract. Financial assurance is also a requirement for obtaining or retaining disposal site or transfer station operating permits. Various forms of financial assurance are also required by regulatory agencies for estimated closure, post-closure and remedial obligations at many of our landfills. In addition, certain of our tax-exempt borrowings require us to hold funds in trust for the repayment of our interest and principal obligations.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establish financial assurance in different ways including surety bonds, letters of credit, insurance policies, trust and escrow agreements and financial guarantees. The instrument decision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2006:</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Surety bonds: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4"/>
          </w:tcPr>
          <w:p>
            <w:pPr>
              <w:jc w:val="right"/>
              <w:ind w:right="960"/>
              <w:spacing w:after="0"/>
              <w:rPr>
                <w:sz w:val="20"/>
                <w:szCs w:val="20"/>
                <w:color w:val="auto"/>
              </w:rPr>
            </w:pPr>
            <w:r>
              <w:rPr>
                <w:rFonts w:ascii="Arial" w:cs="Arial" w:eastAsia="Arial" w:hAnsi="Arial"/>
                <w:sz w:val="13"/>
                <w:szCs w:val="13"/>
                <w:color w:val="auto"/>
              </w:rPr>
              <w:t>326(a)</w:t>
            </w: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entities</w:t>
            </w:r>
          </w:p>
        </w:tc>
        <w:tc>
          <w:tcPr>
            <w:tcW w:w="1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940"/>
              <w:spacing w:after="0"/>
              <w:rPr>
                <w:sz w:val="20"/>
                <w:szCs w:val="20"/>
                <w:color w:val="auto"/>
              </w:rPr>
            </w:pPr>
            <w:r>
              <w:rPr>
                <w:rFonts w:ascii="Arial" w:cs="Arial" w:eastAsia="Arial" w:hAnsi="Arial"/>
                <w:sz w:val="13"/>
                <w:szCs w:val="13"/>
                <w:color w:val="auto"/>
              </w:rPr>
              <w:t>1,589(b)</w:t>
            </w:r>
          </w:p>
        </w:tc>
        <w:tc>
          <w:tcPr>
            <w:tcW w:w="0" w:type="dxa"/>
            <w:vAlign w:val="bottom"/>
          </w:tcPr>
          <w:p>
            <w:pPr>
              <w:spacing w:after="0"/>
              <w:rPr>
                <w:sz w:val="1"/>
                <w:szCs w:val="1"/>
                <w:color w:val="auto"/>
              </w:rPr>
            </w:pPr>
          </w:p>
        </w:tc>
      </w:tr>
      <w:tr>
        <w:trPr>
          <w:trHeight w:val="157"/>
        </w:trPr>
        <w:tc>
          <w:tcPr>
            <w:tcW w:w="8400" w:type="dxa"/>
            <w:vAlign w:val="bottom"/>
            <w:gridSpan w:val="2"/>
          </w:tcPr>
          <w:p>
            <w:pPr>
              <w:ind w:left="140"/>
              <w:spacing w:after="0"/>
              <w:rPr>
                <w:sz w:val="20"/>
                <w:szCs w:val="20"/>
                <w:color w:val="auto"/>
              </w:rPr>
            </w:pPr>
            <w:r>
              <w:rPr>
                <w:rFonts w:ascii="Arial" w:cs="Arial" w:eastAsia="Arial" w:hAnsi="Arial"/>
                <w:sz w:val="13"/>
                <w:szCs w:val="13"/>
                <w:color w:val="auto"/>
              </w:rPr>
              <w:t>Issued by third-party surety companies</w:t>
            </w:r>
          </w:p>
        </w:tc>
        <w:tc>
          <w:tcPr>
            <w:tcW w:w="120" w:type="dxa"/>
            <w:vAlign w:val="bottom"/>
          </w:tcPr>
          <w:p>
            <w:pPr>
              <w:spacing w:after="0"/>
              <w:rPr>
                <w:sz w:val="13"/>
                <w:szCs w:val="13"/>
                <w:color w:val="auto"/>
              </w:rPr>
            </w:pPr>
          </w:p>
        </w:tc>
        <w:tc>
          <w:tcPr>
            <w:tcW w:w="820" w:type="dxa"/>
            <w:vAlign w:val="bottom"/>
            <w:gridSpan w:val="2"/>
          </w:tcPr>
          <w:p>
            <w:pPr>
              <w:jc w:val="right"/>
              <w:ind w:right="394"/>
              <w:spacing w:after="0"/>
              <w:rPr>
                <w:sz w:val="20"/>
                <w:szCs w:val="20"/>
                <w:color w:val="auto"/>
              </w:rPr>
            </w:pPr>
            <w:r>
              <w:rPr>
                <w:rFonts w:ascii="Arial" w:cs="Arial" w:eastAsia="Arial" w:hAnsi="Arial"/>
                <w:sz w:val="13"/>
                <w:szCs w:val="13"/>
                <w:color w:val="auto"/>
              </w:rPr>
              <w:t>772</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surety bonds</w:t>
            </w: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2,687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Letters of credit: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960"/>
              <w:spacing w:after="0"/>
              <w:rPr>
                <w:sz w:val="20"/>
                <w:szCs w:val="20"/>
                <w:color w:val="auto"/>
              </w:rPr>
            </w:pPr>
            <w:r>
              <w:rPr>
                <w:rFonts w:ascii="Arial" w:cs="Arial" w:eastAsia="Arial" w:hAnsi="Arial"/>
                <w:sz w:val="13"/>
                <w:szCs w:val="13"/>
                <w:color w:val="auto"/>
              </w:rPr>
              <w:t>1,301(c)</w:t>
            </w:r>
          </w:p>
        </w:tc>
        <w:tc>
          <w:tcPr>
            <w:tcW w:w="0" w:type="dxa"/>
            <w:vAlign w:val="bottom"/>
          </w:tcPr>
          <w:p>
            <w:pPr>
              <w:spacing w:after="0"/>
              <w:rPr>
                <w:sz w:val="1"/>
                <w:szCs w:val="1"/>
                <w:color w:val="auto"/>
              </w:rPr>
            </w:pPr>
          </w:p>
        </w:tc>
      </w:tr>
      <w:tr>
        <w:trPr>
          <w:trHeight w:val="157"/>
        </w:trPr>
        <w:tc>
          <w:tcPr>
            <w:tcW w:w="8400" w:type="dxa"/>
            <w:vAlign w:val="bottom"/>
            <w:gridSpan w:val="2"/>
          </w:tcPr>
          <w:p>
            <w:pPr>
              <w:ind w:left="140"/>
              <w:spacing w:after="0"/>
              <w:rPr>
                <w:sz w:val="20"/>
                <w:szCs w:val="20"/>
                <w:color w:val="auto"/>
              </w:rPr>
            </w:pPr>
            <w:r>
              <w:rPr>
                <w:rFonts w:ascii="Arial" w:cs="Arial" w:eastAsia="Arial" w:hAnsi="Arial"/>
                <w:sz w:val="13"/>
                <w:szCs w:val="13"/>
                <w:color w:val="auto"/>
              </w:rPr>
              <w:t>LC and term loan agreements</w:t>
            </w:r>
          </w:p>
        </w:tc>
        <w:tc>
          <w:tcPr>
            <w:tcW w:w="120" w:type="dxa"/>
            <w:vAlign w:val="bottom"/>
          </w:tcPr>
          <w:p>
            <w:pPr>
              <w:spacing w:after="0"/>
              <w:rPr>
                <w:sz w:val="13"/>
                <w:szCs w:val="13"/>
                <w:color w:val="auto"/>
              </w:rPr>
            </w:pPr>
          </w:p>
        </w:tc>
        <w:tc>
          <w:tcPr>
            <w:tcW w:w="1460" w:type="dxa"/>
            <w:vAlign w:val="bottom"/>
            <w:gridSpan w:val="4"/>
          </w:tcPr>
          <w:p>
            <w:pPr>
              <w:jc w:val="right"/>
              <w:ind w:right="940"/>
              <w:spacing w:after="0"/>
              <w:rPr>
                <w:sz w:val="20"/>
                <w:szCs w:val="20"/>
                <w:color w:val="auto"/>
              </w:rPr>
            </w:pPr>
            <w:r>
              <w:rPr>
                <w:rFonts w:ascii="Arial" w:cs="Arial" w:eastAsia="Arial" w:hAnsi="Arial"/>
                <w:sz w:val="13"/>
                <w:szCs w:val="13"/>
                <w:color w:val="auto"/>
              </w:rPr>
              <w:t>295(d)</w:t>
            </w: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Letter of credit facility</w:t>
            </w:r>
          </w:p>
        </w:tc>
        <w:tc>
          <w:tcPr>
            <w:tcW w:w="1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960"/>
              <w:spacing w:after="0"/>
              <w:rPr>
                <w:sz w:val="20"/>
                <w:szCs w:val="20"/>
                <w:color w:val="auto"/>
              </w:rPr>
            </w:pPr>
            <w:r>
              <w:rPr>
                <w:rFonts w:ascii="Arial" w:cs="Arial" w:eastAsia="Arial" w:hAnsi="Arial"/>
                <w:sz w:val="13"/>
                <w:szCs w:val="13"/>
                <w:color w:val="auto"/>
              </w:rPr>
              <w:t>346(e)</w:t>
            </w:r>
          </w:p>
        </w:tc>
        <w:tc>
          <w:tcPr>
            <w:tcW w:w="0" w:type="dxa"/>
            <w:vAlign w:val="bottom"/>
          </w:tcPr>
          <w:p>
            <w:pPr>
              <w:spacing w:after="0"/>
              <w:rPr>
                <w:sz w:val="1"/>
                <w:szCs w:val="1"/>
                <w:color w:val="auto"/>
              </w:rPr>
            </w:pPr>
          </w:p>
        </w:tc>
      </w:tr>
      <w:tr>
        <w:trPr>
          <w:trHeight w:val="157"/>
        </w:trPr>
        <w:tc>
          <w:tcPr>
            <w:tcW w:w="8400" w:type="dxa"/>
            <w:vAlign w:val="bottom"/>
            <w:gridSpan w:val="2"/>
          </w:tcPr>
          <w:p>
            <w:pPr>
              <w:ind w:left="140"/>
              <w:spacing w:after="0"/>
              <w:rPr>
                <w:sz w:val="20"/>
                <w:szCs w:val="20"/>
                <w:color w:val="auto"/>
              </w:rPr>
            </w:pPr>
            <w:r>
              <w:rPr>
                <w:rFonts w:ascii="Arial" w:cs="Arial" w:eastAsia="Arial" w:hAnsi="Arial"/>
                <w:sz w:val="13"/>
                <w:szCs w:val="13"/>
                <w:color w:val="auto"/>
              </w:rPr>
              <w:t>Other lines of credit</w:t>
            </w:r>
          </w:p>
        </w:tc>
        <w:tc>
          <w:tcPr>
            <w:tcW w:w="120" w:type="dxa"/>
            <w:vAlign w:val="bottom"/>
          </w:tcPr>
          <w:p>
            <w:pPr>
              <w:spacing w:after="0"/>
              <w:rPr>
                <w:sz w:val="13"/>
                <w:szCs w:val="13"/>
                <w:color w:val="auto"/>
              </w:rPr>
            </w:pPr>
          </w:p>
        </w:tc>
        <w:tc>
          <w:tcPr>
            <w:tcW w:w="820" w:type="dxa"/>
            <w:vAlign w:val="bottom"/>
            <w:gridSpan w:val="2"/>
          </w:tcPr>
          <w:p>
            <w:pPr>
              <w:jc w:val="right"/>
              <w:ind w:right="394"/>
              <w:spacing w:after="0"/>
              <w:rPr>
                <w:sz w:val="20"/>
                <w:szCs w:val="20"/>
                <w:color w:val="auto"/>
              </w:rPr>
            </w:pPr>
            <w:r>
              <w:rPr>
                <w:rFonts w:ascii="Arial" w:cs="Arial" w:eastAsia="Arial" w:hAnsi="Arial"/>
                <w:sz w:val="13"/>
                <w:szCs w:val="13"/>
                <w:color w:val="auto"/>
              </w:rPr>
              <w:t>75</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letters of credit</w:t>
            </w: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Insurance policies: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consolidated subsidiary</w:t>
            </w:r>
          </w:p>
        </w:tc>
        <w:tc>
          <w:tcPr>
            <w:tcW w:w="1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960"/>
              <w:spacing w:after="0"/>
              <w:rPr>
                <w:sz w:val="20"/>
                <w:szCs w:val="20"/>
                <w:color w:val="auto"/>
              </w:rPr>
            </w:pPr>
            <w:r>
              <w:rPr>
                <w:rFonts w:ascii="Arial" w:cs="Arial" w:eastAsia="Arial" w:hAnsi="Arial"/>
                <w:sz w:val="13"/>
                <w:szCs w:val="13"/>
                <w:color w:val="auto"/>
              </w:rPr>
              <w:t>923(a)</w:t>
            </w:r>
          </w:p>
        </w:tc>
        <w:tc>
          <w:tcPr>
            <w:tcW w:w="0" w:type="dxa"/>
            <w:vAlign w:val="bottom"/>
          </w:tcPr>
          <w:p>
            <w:pPr>
              <w:spacing w:after="0"/>
              <w:rPr>
                <w:sz w:val="1"/>
                <w:szCs w:val="1"/>
                <w:color w:val="auto"/>
              </w:rPr>
            </w:pPr>
          </w:p>
        </w:tc>
      </w:tr>
      <w:tr>
        <w:trPr>
          <w:trHeight w:val="157"/>
        </w:trPr>
        <w:tc>
          <w:tcPr>
            <w:tcW w:w="8400" w:type="dxa"/>
            <w:vAlign w:val="bottom"/>
            <w:gridSpan w:val="2"/>
          </w:tcPr>
          <w:p>
            <w:pPr>
              <w:ind w:left="140"/>
              <w:spacing w:after="0"/>
              <w:rPr>
                <w:sz w:val="20"/>
                <w:szCs w:val="20"/>
                <w:color w:val="auto"/>
              </w:rPr>
            </w:pPr>
            <w:r>
              <w:rPr>
                <w:rFonts w:ascii="Arial" w:cs="Arial" w:eastAsia="Arial" w:hAnsi="Arial"/>
                <w:sz w:val="13"/>
                <w:szCs w:val="13"/>
                <w:color w:val="auto"/>
              </w:rPr>
              <w:t>Issued by affiliated entity</w:t>
            </w:r>
          </w:p>
        </w:tc>
        <w:tc>
          <w:tcPr>
            <w:tcW w:w="120" w:type="dxa"/>
            <w:vAlign w:val="bottom"/>
          </w:tcPr>
          <w:p>
            <w:pPr>
              <w:spacing w:after="0"/>
              <w:rPr>
                <w:sz w:val="13"/>
                <w:szCs w:val="13"/>
                <w:color w:val="auto"/>
              </w:rPr>
            </w:pPr>
          </w:p>
        </w:tc>
        <w:tc>
          <w:tcPr>
            <w:tcW w:w="1460" w:type="dxa"/>
            <w:vAlign w:val="bottom"/>
            <w:gridSpan w:val="4"/>
          </w:tcPr>
          <w:p>
            <w:pPr>
              <w:jc w:val="right"/>
              <w:ind w:right="940"/>
              <w:spacing w:after="0"/>
              <w:rPr>
                <w:sz w:val="20"/>
                <w:szCs w:val="20"/>
                <w:color w:val="auto"/>
              </w:rPr>
            </w:pPr>
            <w:r>
              <w:rPr>
                <w:rFonts w:ascii="Arial" w:cs="Arial" w:eastAsia="Arial" w:hAnsi="Arial"/>
                <w:sz w:val="13"/>
                <w:szCs w:val="13"/>
                <w:color w:val="auto"/>
              </w:rPr>
              <w:t>13(b)</w:t>
            </w: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insurance policies</w:t>
            </w: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ind w:left="760"/>
              <w:spacing w:after="0"/>
              <w:rPr>
                <w:sz w:val="20"/>
                <w:szCs w:val="20"/>
                <w:color w:val="auto"/>
              </w:rPr>
            </w:pPr>
            <w:r>
              <w:rPr>
                <w:rFonts w:ascii="Arial" w:cs="Arial" w:eastAsia="Arial" w:hAnsi="Arial"/>
                <w:sz w:val="13"/>
                <w:szCs w:val="13"/>
                <w:color w:val="auto"/>
              </w:rPr>
              <w:t>936</w:t>
            </w:r>
          </w:p>
        </w:tc>
        <w:tc>
          <w:tcPr>
            <w:tcW w:w="0" w:type="dxa"/>
            <w:vAlign w:val="bottom"/>
          </w:tcPr>
          <w:p>
            <w:pPr>
              <w:spacing w:after="0"/>
              <w:rPr>
                <w:sz w:val="1"/>
                <w:szCs w:val="1"/>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Funded trust and escrow accounts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tcPr>
          <w:p>
            <w:pPr>
              <w:ind w:left="300"/>
              <w:spacing w:after="0"/>
              <w:rPr>
                <w:sz w:val="20"/>
                <w:szCs w:val="20"/>
                <w:color w:val="auto"/>
              </w:rPr>
            </w:pPr>
            <w:r>
              <w:rPr>
                <w:rFonts w:ascii="Arial" w:cs="Arial" w:eastAsia="Arial" w:hAnsi="Arial"/>
                <w:sz w:val="13"/>
                <w:szCs w:val="13"/>
                <w:color w:val="auto"/>
                <w:w w:val="94"/>
              </w:rPr>
              <w:t>283(f)</w:t>
            </w:r>
          </w:p>
        </w:tc>
        <w:tc>
          <w:tcPr>
            <w:tcW w:w="0" w:type="dxa"/>
            <w:vAlign w:val="bottom"/>
          </w:tcPr>
          <w:p>
            <w:pPr>
              <w:spacing w:after="0"/>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guarantees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85"/>
              </w:rPr>
              <w:t>226(g)</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3"/>
                <w:szCs w:val="13"/>
                <w:color w:val="auto"/>
              </w:rPr>
              <w:t>Total financial assurance</w:t>
            </w: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  6,149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40" w:hanging="493"/>
        <w:spacing w:after="0" w:line="264" w:lineRule="auto"/>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use surety bonds and insurance policies issued by a wholly-owned insurance subsidiary, National Guaranty Insurance Company of Vermont, the sole business of which is to issue financial assurance to WMI and our subsidiaries. National Guaranty Insurance Company is authorized to write up to approximately $1.3 billion in surety bonds or insurance policies for our closure and post-closure requirements, waste collection contracts and other business related obligations.</w:t>
      </w:r>
    </w:p>
    <w:p>
      <w:pPr>
        <w:spacing w:after="0" w:line="17" w:lineRule="exact"/>
        <w:rPr>
          <w:rFonts w:ascii="Arial" w:cs="Arial" w:eastAsia="Arial" w:hAnsi="Arial"/>
          <w:sz w:val="13"/>
          <w:szCs w:val="13"/>
          <w:color w:val="auto"/>
        </w:rPr>
      </w:pPr>
    </w:p>
    <w:p>
      <w:pPr>
        <w:jc w:val="both"/>
        <w:ind w:left="1180" w:right="340" w:hanging="493"/>
        <w:spacing w:after="0" w:line="264" w:lineRule="auto"/>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hold non-controlling financial interests in two entities that we use to obtain financial assurance. Our contractual agreements with these entities do not specifically limit the amounts of surety bonds or insurance that we may obtain, making our financial assurance under these agreements limited only by the guidelines and restrictions of surety and insurance regulations.</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160" w:hanging="493"/>
        <w:spacing w:after="0" w:line="276"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August 17, 2006, WMI entered into a five-year, $2.4 billion revolving credit facility that matures in August 2011, replacing a $2.4 billion revolving credit facility that would have expired in 2009. At December 31, 2006, we had unused and available credit capacity of $1,099 million under our revolving credit facility.</w:t>
      </w:r>
    </w:p>
    <w:p>
      <w:pPr>
        <w:spacing w:after="0" w:line="10" w:lineRule="exact"/>
        <w:rPr>
          <w:rFonts w:ascii="Arial" w:cs="Arial" w:eastAsia="Arial" w:hAnsi="Arial"/>
          <w:sz w:val="13"/>
          <w:szCs w:val="13"/>
          <w:color w:val="auto"/>
        </w:rPr>
      </w:pPr>
    </w:p>
    <w:p>
      <w:pPr>
        <w:ind w:left="1180" w:hanging="493"/>
        <w:spacing w:after="0" w:line="264"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 (collectively, the “LC and term loan agreements”). At December 31, 2006, the entire capacity under the LC and term loan agreements was used to support outstanding letters of credit.</w:t>
      </w:r>
    </w:p>
    <w:p>
      <w:pPr>
        <w:spacing w:after="0" w:line="17" w:lineRule="exact"/>
        <w:rPr>
          <w:rFonts w:ascii="Arial" w:cs="Arial" w:eastAsia="Arial" w:hAnsi="Arial"/>
          <w:sz w:val="13"/>
          <w:szCs w:val="13"/>
          <w:color w:val="auto"/>
        </w:rPr>
      </w:pPr>
    </w:p>
    <w:p>
      <w:pPr>
        <w:ind w:left="1180" w:right="240" w:hanging="493"/>
        <w:spacing w:after="0" w:line="276"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December 2003, we entered into a five-year, $350 million letter of credit facility (the “letter of credit facility”). At December 31, 2006, $4 million was unused and available under the facility to support letters of credit.</w:t>
      </w:r>
    </w:p>
    <w:p>
      <w:pPr>
        <w:spacing w:after="0" w:line="10" w:lineRule="exact"/>
        <w:rPr>
          <w:rFonts w:ascii="Arial" w:cs="Arial" w:eastAsia="Arial" w:hAnsi="Arial"/>
          <w:sz w:val="13"/>
          <w:szCs w:val="13"/>
          <w:color w:val="auto"/>
        </w:rPr>
      </w:pPr>
    </w:p>
    <w:p>
      <w:pPr>
        <w:ind w:left="1180" w:right="460" w:hanging="493"/>
        <w:spacing w:after="0" w:line="303" w:lineRule="auto"/>
        <w:tabs>
          <w:tab w:leader="none" w:pos="1180"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funded trust and escrow accounts have been established to support landfill closure, post-closure and remedial obligations, the repayment of debt obligations and our performance under various operating contracts. Balances maintained in these trust funds and escrow accounts will fluctuate based on (i) changes in statutory requirements; (ii) future deposits made to comply with contractual arrangements; (iii) the ongoing use of funds for qualifying activities; (iv) acquisitions or divestitures of landfills; and</w:t>
      </w:r>
    </w:p>
    <w:p>
      <w:pPr>
        <w:ind w:left="1180"/>
        <w:spacing w:after="0"/>
        <w:rPr>
          <w:sz w:val="20"/>
          <w:szCs w:val="20"/>
          <w:color w:val="auto"/>
        </w:rPr>
      </w:pPr>
      <w:r>
        <w:rPr>
          <w:rFonts w:ascii="Arial" w:cs="Arial" w:eastAsia="Arial" w:hAnsi="Arial"/>
          <w:sz w:val="13"/>
          <w:szCs w:val="13"/>
          <w:color w:val="auto"/>
        </w:rPr>
        <w:t>(v) changes in the fair value of the financial instruments held in the trust fund or escrow accounts.</w:t>
      </w:r>
    </w:p>
    <w:p>
      <w:pPr>
        <w:spacing w:after="0" w:line="39" w:lineRule="exact"/>
        <w:rPr>
          <w:sz w:val="20"/>
          <w:szCs w:val="20"/>
          <w:color w:val="auto"/>
        </w:rPr>
      </w:pPr>
    </w:p>
    <w:p>
      <w:pPr>
        <w:ind w:left="1180" w:right="80" w:hanging="493"/>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Financial guarantees are provided on behalf of our subsidiaries to municipalities, customers and regulatory authorities. They are provided primarily to support our performance of landfill closure and post-closure activities.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assets held in our funded trust and escrow accounts may be drawn and used to meet the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also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general liability insurance program has a per incident deductible of $2.5 million and our workers’ compensation and auto insurance programs each have per incident deductibles of $1 million. Effective January 1, 2007, we increased the per incident deductible for our workers’ compensation insurance program to $1.5 million. We do not expect the impact of any known casualty, property, environmental or other contingency to be material to our financial condition, results of operations or cash flows. Our estimated insurance liabilities as of December 31, 2006 are summarized in Note 10 to the Consolidated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business is subject to extensive and evolving federal, state or provincial and local environmental, health, safety and transportation laws and regulations. These laws and regulations are administered by the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United States federal statutes affecting our business are summarized below:</w:t>
      </w:r>
    </w:p>
    <w:p>
      <w:pPr>
        <w:spacing w:after="0" w:line="96" w:lineRule="exact"/>
        <w:rPr>
          <w:sz w:val="20"/>
          <w:szCs w:val="20"/>
          <w:color w:val="auto"/>
        </w:rPr>
      </w:pPr>
    </w:p>
    <w:p>
      <w:pPr>
        <w:ind w:left="1280" w:right="200" w:hanging="190"/>
        <w:spacing w:after="0" w:line="289"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Resource Conservation and Recovery Act of 1976, as amended (“RCRA”), regulates handling, transporting and disposing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w:t>
      </w:r>
    </w:p>
    <w:p>
      <w:pPr>
        <w:spacing w:after="0" w:line="43" w:lineRule="exact"/>
        <w:rPr>
          <w:rFonts w:ascii="Arial" w:cs="Arial" w:eastAsia="Arial" w:hAnsi="Arial"/>
          <w:sz w:val="12"/>
          <w:szCs w:val="12"/>
          <w:color w:val="auto"/>
        </w:rPr>
      </w:pPr>
    </w:p>
    <w:p>
      <w:pPr>
        <w:ind w:left="1280" w:hanging="190"/>
        <w:spacing w:after="0" w:line="279"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 approved settlement. Liability may also include damage to publicly owned natural resources. We are subject to potential liability under CERCLA as an owner or operator of facilities at which hazardous substances have been disposed or as a generator or transporter of hazardous substances disposed of at other locations.</w:t>
      </w:r>
    </w:p>
    <w:p>
      <w:pPr>
        <w:spacing w:after="0" w:line="50" w:lineRule="exact"/>
        <w:rPr>
          <w:rFonts w:ascii="Arial" w:cs="Arial" w:eastAsia="Arial" w:hAnsi="Arial"/>
          <w:sz w:val="12"/>
          <w:szCs w:val="12"/>
          <w:color w:val="auto"/>
        </w:rPr>
      </w:pPr>
    </w:p>
    <w:p>
      <w:pPr>
        <w:ind w:left="1280" w:right="180" w:hanging="190"/>
        <w:spacing w:after="0" w:line="281"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Federal Water Pollution Control Act of 1972 (the “Clean Water Act”) regulates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from landfills that require landfills to obtain storm water discharge permits. In addition, if a landfill or a transfer station discharges wastewater through a sewage system to a publicly 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48" w:lineRule="exact"/>
        <w:rPr>
          <w:rFonts w:ascii="Arial" w:cs="Arial" w:eastAsia="Arial" w:hAnsi="Arial"/>
          <w:sz w:val="12"/>
          <w:szCs w:val="12"/>
          <w:color w:val="auto"/>
        </w:rPr>
      </w:pPr>
    </w:p>
    <w:p>
      <w:pPr>
        <w:ind w:left="1280" w:right="60" w:hanging="190"/>
        <w:spacing w:after="0" w:line="25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The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general, controlling emissions involves drilling collection wells into a landfill and routing the gas to a</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60"/>
        <w:spacing w:after="0" w:line="264" w:lineRule="auto"/>
        <w:rPr>
          <w:sz w:val="20"/>
          <w:szCs w:val="20"/>
          <w:color w:val="auto"/>
        </w:rPr>
      </w:pPr>
      <w:r>
        <w:rPr>
          <w:rFonts w:ascii="Arial" w:cs="Arial" w:eastAsia="Arial" w:hAnsi="Arial"/>
          <w:sz w:val="13"/>
          <w:szCs w:val="13"/>
          <w:color w:val="auto"/>
        </w:rPr>
        <w:t>suitable energy recovery system or combustion device. We are currently capturing and utilizing the renewable energy value of landfill gas at 104 of our solid waste landfills. In January 2003, the EPA issued additional regulations that required affected landfills to prepare, by January 2004, startup, shutdown and malfunction plans to ensure proper operation of gas collection, control and treatment systems.</w:t>
      </w:r>
    </w:p>
    <w:p>
      <w:pPr>
        <w:spacing w:after="0" w:line="67" w:lineRule="exact"/>
        <w:rPr>
          <w:sz w:val="20"/>
          <w:szCs w:val="20"/>
          <w:color w:val="auto"/>
        </w:rPr>
      </w:pPr>
    </w:p>
    <w:p>
      <w:pPr>
        <w:jc w:val="both"/>
        <w:ind w:left="680" w:right="100" w:firstLine="599"/>
        <w:spacing w:after="0" w:line="296" w:lineRule="auto"/>
        <w:rPr>
          <w:sz w:val="20"/>
          <w:szCs w:val="20"/>
          <w:color w:val="auto"/>
        </w:rPr>
      </w:pPr>
      <w:r>
        <w:rPr>
          <w:rFonts w:ascii="Arial" w:cs="Arial" w:eastAsia="Arial" w:hAnsi="Arial"/>
          <w:sz w:val="12"/>
          <w:szCs w:val="12"/>
          <w:color w:val="auto"/>
        </w:rPr>
        <w:t>The EPA has issued new source performance standards and emission guidelines for large and small municipal waste-to-energy facilities, which include stringent emission limits for various pollutants based on Maximum Achievable Control Technology (“MACT”)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50" w:lineRule="exact"/>
        <w:rPr>
          <w:sz w:val="20"/>
          <w:szCs w:val="20"/>
          <w:color w:val="auto"/>
        </w:rPr>
      </w:pPr>
    </w:p>
    <w:p>
      <w:pPr>
        <w:ind w:left="1280" w:right="40" w:hanging="190"/>
        <w:spacing w:after="0" w:line="282"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(“OSHA”), and various record keeping,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pertaining to safety, movement of hazardous materials, movement and disposal of hazardous waste and equipment standards. Various state and local agencies have jurisdiction over disposal of hazardous waste and may seek to regulate movement of hazardous materials in areas not otherwise preempted by federal law.</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There are also various state or provincial and local regulations that affect our operations. Sometimes states’ regulations are stricter than comparable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to date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our solid waste management services.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3 to the consolidated financial statements for disclosures relating to our current assessments of the impact of regulations on our current and future operations.</w:t>
      </w:r>
    </w:p>
    <w:p>
      <w:pPr>
        <w:spacing w:after="0" w:line="18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an effort to keep our shareholders and the public informed about our business, we may make “forward-looking statements.” Forward-looking statements usually relate to future events and anticipated revenues, earnings,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flows or other aspects of our operations or operating results. Forward-looking statements generally include statements containing:</w:t>
      </w:r>
    </w:p>
    <w:p>
      <w:pPr>
        <w:spacing w:after="0" w:line="96"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opinions, views or beliefs about current or future events, circumstances or performance.</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face and that could affect our business and financial statement for 2007 and beyond. However, they are not the only risks that we face. There may be other risks that we do not presently know or that we currently believe are immaterial that could also impair our business or financial position.</w:t>
      </w:r>
    </w:p>
    <w:p>
      <w:pPr>
        <w:spacing w:after="0" w:line="152"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successfully manage our costs, our income from operations could be lower than expected.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recent years, we have implemented several profit improvement initiatives aimed at lowering our costs and enhancing our revenues, and we continue to seek ways to reduce our selling, general and administrative and operating expenses. While generally we have been successful in managing our selling, general and administrative costs, subcontractor costs and the effect of fuel price increases, our initiatives may not be sufficient. Even as our revenues increase, if we are unable to control variable costs or increases to our fixed costs in the future, we will be unable to maintain or expand our margins.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guarantee that we will be able to successfully implement our plans and strategies to improve margins and increase our income from operations.</w:t>
      </w:r>
    </w:p>
    <w:p>
      <w:pPr>
        <w:spacing w:after="0" w:line="96"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We have announced several programs and strategies that we have implemented or planned to improve our margins and operating results. For example, except when prohibited by contract, we have implemented price increases and environmental fees, and we continue our fuel surcharge programs, all of which have increased our internal revenue growth. The loss of volumes as a result of price increases may negatively affect our cash flows or results of operations. Additionally, we have announced plans to divest under-performing and non-strategic assets if we cannot improve their profitability. We may not be able to successfully negotiate the divestiture of under-performing and non-strategic operations, which could result in asset impairments or the continued operation of low-</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margin businesses. If we are not able to fully implement our plans for any reason, many of which are out of our control, we may not see the expected improvements in our income from operations or our operating margins.</w:t>
      </w:r>
    </w:p>
    <w:p>
      <w:pPr>
        <w:spacing w:after="0" w:line="138"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59"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Our operating revenues tend to be somewhat higher in the warmer months of the year, primarily due to the higher volume of construction and demolition waste in those months. The volumes of industrial and residential waste in certain regions where we operate also tend to increase during the summer months. Our second and third quarter revenues and results of operations typically reflect these seasonal trends. Additionally, the storm conditions during hurricane season, which is generally June through November, can increase our revenues in the areas affected. However, for several reasons, including significant start-up costs, storm-related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perform scheduled maintenance at our waste-to-energy facilities in the slower winter months, when electrical demand is generally lower.</w:t>
      </w:r>
    </w:p>
    <w:p>
      <w:pPr>
        <w:spacing w:after="0" w:line="4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Our business is affected by changes in national and general economic factors that are also outside of our control, including interest rates and consumer confidence. We have</w:t>
      </w:r>
    </w:p>
    <w:p>
      <w:pPr>
        <w:spacing w:after="0" w:line="15" w:lineRule="exact"/>
        <w:rPr>
          <w:sz w:val="20"/>
          <w:szCs w:val="20"/>
          <w:color w:val="auto"/>
        </w:rPr>
      </w:pPr>
    </w:p>
    <w:p>
      <w:pPr>
        <w:jc w:val="both"/>
        <w:ind w:left="680" w:right="80"/>
        <w:spacing w:after="0" w:line="284" w:lineRule="auto"/>
        <w:rPr>
          <w:sz w:val="20"/>
          <w:szCs w:val="20"/>
          <w:color w:val="auto"/>
        </w:rPr>
      </w:pPr>
      <w:r>
        <w:rPr>
          <w:rFonts w:ascii="Arial" w:cs="Arial" w:eastAsia="Arial" w:hAnsi="Arial"/>
          <w:sz w:val="12"/>
          <w:szCs w:val="12"/>
          <w:color w:val="auto"/>
        </w:rPr>
        <w:t>$3.0 billion of debt as of December 31, 2006 that is exposed to changes in market interest rates because of the combined impact of our variable rate tax-exempt bonds and our interest rate swap agreements. Therefore, any increase in interest rates can significantly increase our expenses. Additionally, although our services are of an essential nature, a weak economy generally results in decreases in volumes of waste generated, which decreases our revenues. We also face risks related to other adverse external factors, such as the ability of our insurers to meet their commitments in a timely manner and the effect that significant claims or litigation against insurance companies may have on such ability.</w:t>
      </w:r>
    </w:p>
    <w:p>
      <w:pPr>
        <w:spacing w:after="0" w:line="5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Any of the factors described above could materially adversely affect our results of operations and cash flows. Additionally, due to these and other factors, operating results in any interim period are not necessarily indicative of operating results for an entire year, and operating results for any historical period are not necessarily indicative of operating results for a future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predict with certainty the extent of future costs under environmental, health and safety laws, and cannot guarantee that they will not be material.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59" w:lineRule="exact"/>
        <w:rPr>
          <w:sz w:val="20"/>
          <w:szCs w:val="20"/>
          <w:color w:val="auto"/>
        </w:rPr>
      </w:pPr>
    </w:p>
    <w:p>
      <w:pPr>
        <w:ind w:left="12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6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on siting and constructing new waste disposal, transfer or processing facilities or expanding existing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regulations or levies on collection and disposal prices, rates and volumes;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waste or certain categories of waste;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mandates regarding the disposal of solid waste</w:t>
      </w:r>
    </w:p>
    <w:p>
      <w:pPr>
        <w:spacing w:after="0" w:line="96"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2"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shortages in fuel supply or increases in fuel prices will increase our operating expenses and price increases may also increase our tax expense.</w:t>
      </w:r>
    </w:p>
    <w:p>
      <w:pPr>
        <w:spacing w:after="0" w:line="96"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The price and supply of fuel are unpredictable, and can fluctuate significantly based on international, political and economic circumstances, as well as other factors outside our control, such as actions by OPEC and other oil and gas producers, regional production patterns, weather conditions and environmental concerns. In the past two years, the year-over-year changes in the average quarterly fuel prices have ranged from an increase of 40% to a decrease of 5%.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Additionally, our effective tax rate through 2007 is expected to be significantly lower than statutory tax rates due in part to Section 45K (formerly Section 29) tax credits we realize from our landfill gas sales and investments in coal-based synthetic fuel partnerships. The ability to earn Section 45K tax credits is tied to an average benchmark oil price determined by the Internal Revenue Service, and the credits are phased out as the benchmark average price increases. Higher crude oil prices will phase out our credits and increase our effective tax rate, which will result in higher tax expense.</w:t>
      </w:r>
    </w:p>
    <w:p>
      <w:pPr>
        <w:spacing w:after="0" w:line="148"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amount of insurance we are required to maintain for environmental liability is governed by statutory requirements. We believe that the cost for such insurance is high relative to the coverage it would provide,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To the extent our insurers were unable to meet their obligations, or our own obligations for claims were more than we estimated, there could be a material adverse effect to our financial results.</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financial assurance instruments necessary for our operations.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possibility of development and expansion projects or pending acquisitions not being completed or certain other events could result in a material charge against our earnings.</w:t>
      </w:r>
    </w:p>
    <w:p>
      <w:pPr>
        <w:spacing w:after="0" w:line="11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accordance with generally accepted accounting principles, we capitalize certain expenditures and advances relating to disposal site development, expansion projects, acquisitions, software development costs and other 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costs that we estimate will be recoverable, through sale or otherwise.</w:t>
      </w:r>
    </w:p>
    <w:p>
      <w:pPr>
        <w:spacing w:after="0" w:line="5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future periods, we may be required to incur charges against earnings in accordance with this policy, or due to other events that cause impairments. Any such charges could have a material adverse effect on our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revenues will fluctuate based on changes in commodity prices.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(“OCC”), and old newsprint (“ONP”). We enter into commodity price derivatives in an effort to mitigate some of the variability in cash flows from the sales of recyclable materials at floating market prices. In the past three years, the year-over-year changes in the quarterly average market prices for OCC ranged from a decrease of as much as 33% to an increase of as much as 36%. The same comparisons for ONP have ranged from a decrease of as much as 15% to an increase of as much as 29%. These fluctuations can affect future operating income and cash flows. Additionally, our recycling operations offer rebates to suppliers, based on the market prices of commodities we buy to process for resale. Therefore, even if we experience higher revenues based on increased market prices for commodities, the rebates we pay will also increase.</w:t>
      </w:r>
    </w:p>
    <w:p>
      <w:pPr>
        <w:spacing w:after="0" w:line="7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as those agreements expire and are up for renewal, changes in market prices may affect our revenues. Additionally, revenues from our independent power production plants can be affected by price fluctuations. In the past two years, the year-over-year changes in the average quarterly electricity prices have increased as much as 12%.</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development and acceptance of alternatives to landfill disposal and waste-to-energy facilities could reduce our ability to operate at full capacity.</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Efforts by labor unions to organize our employees could increase our operating expenses.</w:t>
      </w:r>
    </w:p>
    <w:p>
      <w:pPr>
        <w:spacing w:after="0" w:line="5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 ensue. Depending on the type and duration of any labor disruptions, our operating expenses could increase significantly, which could adversely affect our financial condition, results of operations and cash flows.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Currently pending or future litigation or governmental proceedings could result in material adverse consequences, including judgments or settlements.</w:t>
      </w:r>
    </w:p>
    <w:p>
      <w:pPr>
        <w:spacing w:after="0" w:line="5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increasingly dependent on technology in our operations and if our technology fails, our business could be adversely affected.</w:t>
      </w:r>
    </w:p>
    <w:p>
      <w:pPr>
        <w:spacing w:after="0" w:line="5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have purchased and developed a new revenue management system and are piloting the system in the first half of 2007, with additional implementation to occur in late 2007 and early 2008. We may encounter problems in the development or deployment of this system that could result in significant errors in, or disruption of, our billing processes. Additionally, any systems failures could impede our ability to timely collect and report financial results in accordance with applicable law and regulations.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adverse impacts on our reported results of operations as a result of adopting new accounting standards or interpretations.</w:t>
      </w:r>
    </w:p>
    <w:p>
      <w:pPr>
        <w:spacing w:after="0" w:line="5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Unforeseen circumstances could result in a need for additional capital.</w:t>
      </w:r>
    </w:p>
    <w:p>
      <w:pPr>
        <w:spacing w:after="0" w:line="5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currently expect to meet our anticipated cash needs for capital expenditures, acquisitions and other cash expenditures with our cash flows from operations and, to the extent necessary, additional financings. However, materially adverse events could reduce our cash flows from operations. Our Board of Directors has approved a capital allocation program that provides for up to $1.2 billion in aggregate dividend payments and share repurchases during 2007 and recently announced that it expects future quarterly dividend payments, when declared by the Board of Directors, to be $0.24 per share. If our cash flows from operations were negatively affected, we could be forced to</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60"/>
        <w:spacing w:after="0" w:line="264" w:lineRule="auto"/>
        <w:rPr>
          <w:sz w:val="20"/>
          <w:szCs w:val="20"/>
          <w:color w:val="auto"/>
        </w:rPr>
      </w:pPr>
      <w:r>
        <w:rPr>
          <w:rFonts w:ascii="Arial" w:cs="Arial" w:eastAsia="Arial" w:hAnsi="Arial"/>
          <w:sz w:val="13"/>
          <w:szCs w:val="13"/>
          <w:color w:val="auto"/>
        </w:rPr>
        <w:t>reduce capital expenditures, acquisition activity, share repurchase activity or dividend declarations. In these circumstances we instead may elect to incur more indebtedness. If we made such an election, there can be no assurances that we would be able to obtain additional financings on acceptable terms. In these circumstances, we would likely use our revolving credit facility to meet our cash needs.</w:t>
      </w:r>
    </w:p>
    <w:p>
      <w:pPr>
        <w:spacing w:after="0" w:line="67" w:lineRule="exact"/>
        <w:rPr>
          <w:sz w:val="20"/>
          <w:szCs w:val="20"/>
          <w:color w:val="auto"/>
        </w:rPr>
      </w:pPr>
    </w:p>
    <w:p>
      <w:pPr>
        <w:jc w:val="both"/>
        <w:ind w:left="680" w:right="1020" w:firstLine="399"/>
        <w:spacing w:after="0" w:line="264" w:lineRule="auto"/>
        <w:rPr>
          <w:sz w:val="20"/>
          <w:szCs w:val="20"/>
          <w:color w:val="auto"/>
        </w:rPr>
      </w:pPr>
      <w:r>
        <w:rPr>
          <w:rFonts w:ascii="Arial" w:cs="Arial" w:eastAsia="Arial" w:hAnsi="Arial"/>
          <w:sz w:val="13"/>
          <w:szCs w:val="13"/>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10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0"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Our principal executive offices are in Houston, Texas, where we lease approximately 390,000 square feet under leases expiring at various times through 2010. Our operating Group offices are in Pennsylvania, Illinois, Georgia, Arizona, New Hampshire and Texas. We also have field-based administrative offices in Arizona, Illinois and Canada. We own or lease real property in most locations where we have operations. We have operations in each of the fifty states other than Montana and Wyoming. We also have operations in the District of Columbia, Puerto Rico and throughout Canada.</w:t>
      </w:r>
    </w:p>
    <w:p>
      <w:pPr>
        <w:spacing w:after="0" w:line="70" w:lineRule="exact"/>
        <w:rPr>
          <w:sz w:val="20"/>
          <w:szCs w:val="20"/>
          <w:color w:val="auto"/>
        </w:rPr>
      </w:pPr>
    </w:p>
    <w:p>
      <w:pPr>
        <w:jc w:val="both"/>
        <w:ind w:left="680" w:right="940" w:firstLine="399"/>
        <w:spacing w:after="0" w:line="260" w:lineRule="auto"/>
        <w:rPr>
          <w:sz w:val="20"/>
          <w:szCs w:val="20"/>
          <w:color w:val="auto"/>
        </w:rPr>
      </w:pPr>
      <w:r>
        <w:rPr>
          <w:rFonts w:ascii="Arial" w:cs="Arial" w:eastAsia="Arial" w:hAnsi="Arial"/>
          <w:sz w:val="13"/>
          <w:szCs w:val="13"/>
          <w:color w:val="auto"/>
        </w:rPr>
        <w:t xml:space="preserve">Our principal property and equipment consist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3"/>
          <w:szCs w:val="13"/>
          <w:i w:val="1"/>
          <w:iCs w:val="1"/>
          <w:color w:val="auto"/>
        </w:rPr>
        <w:t>Management’s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Analysis of Financial Condition and Results of Operations </w:t>
      </w:r>
      <w:r>
        <w:rPr>
          <w:rFonts w:ascii="Arial" w:cs="Arial" w:eastAsia="Arial" w:hAnsi="Arial"/>
          <w:sz w:val="13"/>
          <w:szCs w:val="13"/>
          <w:color w:val="auto"/>
        </w:rPr>
        <w:t>included within this report.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various operations at December 31 for the periods noted: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Landfills: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Owned or operated through lease agreements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247</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245</w:t>
            </w: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Operated through contractual agreements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9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283</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r>
      <w:tr>
        <w:trPr>
          <w:trHeight w:val="158"/>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Transfer stations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Material recovery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Secondary processing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Waste-to-energy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Independent power production plants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bl>
    <w:p>
      <w:pPr>
        <w:spacing w:after="0" w:line="80" w:lineRule="exact"/>
        <w:rPr>
          <w:sz w:val="20"/>
          <w:szCs w:val="20"/>
          <w:color w:val="auto"/>
        </w:rPr>
      </w:pPr>
    </w:p>
    <w:p>
      <w:pPr>
        <w:jc w:val="both"/>
        <w:ind w:left="680" w:right="820" w:firstLine="399"/>
        <w:spacing w:after="0" w:line="276" w:lineRule="auto"/>
        <w:rPr>
          <w:sz w:val="20"/>
          <w:szCs w:val="20"/>
          <w:color w:val="auto"/>
        </w:rPr>
      </w:pPr>
      <w:r>
        <w:rPr>
          <w:rFonts w:ascii="Arial" w:cs="Arial" w:eastAsia="Arial" w:hAnsi="Arial"/>
          <w:sz w:val="13"/>
          <w:szCs w:val="13"/>
          <w:color w:val="auto"/>
        </w:rPr>
        <w:t>The following table provides certain information by Group regarding the 247 landfills owned or operated through lease agreements and a count, by Group, of contracted disposal sites as of December 31, 2006: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Permitted</w:t>
            </w: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Contracted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Landfills</w:t>
            </w:r>
          </w:p>
        </w:tc>
        <w:tc>
          <w:tcPr>
            <w:tcW w:w="11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Disposal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Acreage(a)</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Acreage(b)</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Acreage(c)</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Sites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33,388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6,650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Midwest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30,895</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9,148</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1,028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39,551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12,296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Western</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34,534</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6,715</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1,317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247</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139,149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35,098</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4,475</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20" w:type="dxa"/>
            <w:vAlign w:val="bottom"/>
            <w:tcBorders>
              <w:top w:val="single" w:sz="8" w:color="auto"/>
            </w:tcBorders>
          </w:tcPr>
          <w:p>
            <w:pPr>
              <w:jc w:val="right"/>
              <w:ind w:right="296"/>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313"/>
        <w:spacing w:after="0" w:line="276"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“Total acreage” includes permitted acreage, expansion acreage, other acreage available for future disposal that has not been permitted, buffer land and other land owned by our landfill operations.</w:t>
      </w:r>
    </w:p>
    <w:p>
      <w:pPr>
        <w:spacing w:after="0" w:line="10" w:lineRule="exact"/>
        <w:rPr>
          <w:rFonts w:ascii="Arial" w:cs="Arial" w:eastAsia="Arial" w:hAnsi="Arial"/>
          <w:sz w:val="13"/>
          <w:szCs w:val="13"/>
          <w:color w:val="auto"/>
        </w:rPr>
      </w:pPr>
    </w:p>
    <w:p>
      <w:pPr>
        <w:ind w:left="1000" w:hanging="313"/>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“Permitted acreage” consists of all acreage at the landfill encompassed by an active permit to dispose of waste.</w:t>
      </w:r>
    </w:p>
    <w:p>
      <w:pPr>
        <w:spacing w:after="0" w:line="47" w:lineRule="exact"/>
        <w:rPr>
          <w:rFonts w:ascii="Arial" w:cs="Arial" w:eastAsia="Arial" w:hAnsi="Arial"/>
          <w:sz w:val="13"/>
          <w:szCs w:val="13"/>
          <w:color w:val="auto"/>
        </w:rPr>
      </w:pPr>
    </w:p>
    <w:p>
      <w:pPr>
        <w:ind w:left="1000" w:right="180" w:hanging="313"/>
        <w:spacing w:after="0" w:line="26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3"/>
          <w:szCs w:val="13"/>
          <w:i w:val="1"/>
          <w:iCs w:val="1"/>
          <w:color w:val="auto"/>
        </w:rPr>
        <w:t>Management’s Discussion and Analysis of Financial Condition and Results of Operations — Critical Accounting Estimates and Assumptions</w:t>
      </w:r>
      <w:r>
        <w:rPr>
          <w:rFonts w:ascii="Arial" w:cs="Arial" w:eastAsia="Arial" w:hAnsi="Arial"/>
          <w:sz w:val="13"/>
          <w:szCs w:val="13"/>
          <w:color w:val="auto"/>
        </w:rPr>
        <w:t xml:space="preserve"> section included herein.</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Information regarding our legal proceedings can be found under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10 in the Consolidated Financial Statements included in this report.</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submit any matters to a vote of our stockholders during the fourth quarter of 2006.</w:t>
      </w:r>
    </w:p>
    <w:p>
      <w:pPr>
        <w:spacing w:after="0" w:line="250"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(“NYSE”) under the symbol “WMI.” The following table sets forth the range of the high and low per share sales prices for our common stock as reported on the NYSE: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28.37</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27.18</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29.76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26.80</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26.95</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30.08</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38.34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33.83</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32.88</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38.64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35.68</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 (through February 9, 2007)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34.69</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February 9, 2007, the closing sale price as reported on the NYSE was $35.25 per share. The number of holders of record of our common stock at February 9, 2007 was 16,377.</w:t>
      </w:r>
    </w:p>
    <w:p>
      <w:pPr>
        <w:spacing w:after="0" w:line="10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following graph is presented pursuant to SEC rules and is not meant to be an indication of our future performance.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119380</wp:posOffset>
            </wp:positionV>
            <wp:extent cx="3569970" cy="1566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9970" cy="156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00" w:type="dxa"/>
            <w:vAlign w:val="bottom"/>
            <w:tcBorders>
              <w:right w:val="single" w:sz="8" w:color="auto"/>
            </w:tcBorders>
          </w:tcPr>
          <w:p>
            <w:pPr>
              <w:spacing w:after="0"/>
              <w:rPr>
                <w:sz w:val="9"/>
                <w:szCs w:val="9"/>
                <w:color w:val="auto"/>
              </w:rPr>
            </w:pPr>
          </w:p>
        </w:tc>
        <w:tc>
          <w:tcPr>
            <w:tcW w:w="4360" w:type="dxa"/>
            <w:vAlign w:val="bottom"/>
            <w:tcBorders>
              <w:top w:val="single" w:sz="8" w:color="auto"/>
              <w:bottom w:val="single" w:sz="8" w:color="auto"/>
              <w:right w:val="single" w:sz="8" w:color="auto"/>
            </w:tcBorders>
          </w:tcPr>
          <w:p>
            <w:pPr>
              <w:spacing w:after="0"/>
              <w:rPr>
                <w:sz w:val="9"/>
                <w:szCs w:val="9"/>
                <w:color w:val="auto"/>
              </w:rPr>
            </w:pPr>
          </w:p>
        </w:tc>
        <w:tc>
          <w:tcPr>
            <w:tcW w:w="9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9"/>
                <w:szCs w:val="9"/>
                <w:b w:val="1"/>
                <w:bCs w:val="1"/>
                <w:color w:val="auto"/>
              </w:rPr>
              <w:t>12/31/01</w:t>
            </w:r>
          </w:p>
        </w:tc>
        <w:tc>
          <w:tcPr>
            <w:tcW w:w="90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9"/>
                <w:szCs w:val="9"/>
                <w:b w:val="1"/>
                <w:bCs w:val="1"/>
                <w:color w:val="auto"/>
              </w:rPr>
              <w:t>12/31/02</w:t>
            </w:r>
          </w:p>
        </w:tc>
        <w:tc>
          <w:tcPr>
            <w:tcW w:w="960" w:type="dxa"/>
            <w:vAlign w:val="bottom"/>
            <w:tcBorders>
              <w:top w:val="single" w:sz="8" w:color="auto"/>
              <w:bottom w:val="single" w:sz="8" w:color="auto"/>
              <w:right w:val="single" w:sz="8" w:color="auto"/>
            </w:tcBorders>
            <w:gridSpan w:val="2"/>
          </w:tcPr>
          <w:p>
            <w:pPr>
              <w:ind w:left="300"/>
              <w:spacing w:after="0"/>
              <w:rPr>
                <w:sz w:val="20"/>
                <w:szCs w:val="20"/>
                <w:color w:val="auto"/>
              </w:rPr>
            </w:pPr>
            <w:r>
              <w:rPr>
                <w:rFonts w:ascii="Arial" w:cs="Arial" w:eastAsia="Arial" w:hAnsi="Arial"/>
                <w:sz w:val="9"/>
                <w:szCs w:val="9"/>
                <w:b w:val="1"/>
                <w:bCs w:val="1"/>
                <w:color w:val="auto"/>
              </w:rPr>
              <w:t>12/31/03</w:t>
            </w:r>
          </w:p>
        </w:tc>
        <w:tc>
          <w:tcPr>
            <w:tcW w:w="96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9"/>
                <w:szCs w:val="9"/>
                <w:b w:val="1"/>
                <w:bCs w:val="1"/>
                <w:color w:val="auto"/>
              </w:rPr>
              <w:t>12/31/04</w:t>
            </w:r>
          </w:p>
        </w:tc>
        <w:tc>
          <w:tcPr>
            <w:tcW w:w="96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9"/>
                <w:szCs w:val="9"/>
                <w:b w:val="1"/>
                <w:bCs w:val="1"/>
                <w:color w:val="auto"/>
              </w:rPr>
              <w:t>12/31/05</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1"/>
              </w:rPr>
              <w:t>12/31/06</w:t>
            </w:r>
          </w:p>
        </w:tc>
        <w:tc>
          <w:tcPr>
            <w:tcW w:w="780" w:type="dxa"/>
            <w:vAlign w:val="bottom"/>
          </w:tcPr>
          <w:p>
            <w:pPr>
              <w:spacing w:after="0"/>
              <w:rPr>
                <w:sz w:val="9"/>
                <w:szCs w:val="9"/>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43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Waste Management, Inc.</w:t>
            </w:r>
          </w:p>
        </w:tc>
        <w:tc>
          <w:tcPr>
            <w:tcW w:w="960" w:type="dxa"/>
            <w:vAlign w:val="bottom"/>
            <w:tcBorders>
              <w:bottom w:val="single" w:sz="8" w:color="auto"/>
              <w:right w:val="single" w:sz="8" w:color="auto"/>
            </w:tcBorders>
          </w:tcPr>
          <w:p>
            <w:pPr>
              <w:ind w:left="300"/>
              <w:spacing w:after="0" w:line="148" w:lineRule="exact"/>
              <w:rPr>
                <w:sz w:val="20"/>
                <w:szCs w:val="20"/>
                <w:color w:val="auto"/>
              </w:rPr>
            </w:pPr>
            <w:r>
              <w:rPr>
                <w:rFonts w:ascii="Arial" w:cs="Arial" w:eastAsia="Arial" w:hAnsi="Arial"/>
                <w:sz w:val="13"/>
                <w:szCs w:val="13"/>
                <w:color w:val="auto"/>
              </w:rPr>
              <w:t>$100</w:t>
            </w:r>
          </w:p>
        </w:tc>
        <w:tc>
          <w:tcPr>
            <w:tcW w:w="900" w:type="dxa"/>
            <w:vAlign w:val="bottom"/>
            <w:tcBorders>
              <w:bottom w:val="single" w:sz="8" w:color="auto"/>
              <w:right w:val="single" w:sz="8" w:color="auto"/>
            </w:tcBorders>
          </w:tcPr>
          <w:p>
            <w:pPr>
              <w:jc w:val="right"/>
              <w:ind w:right="339"/>
              <w:spacing w:after="0" w:line="148" w:lineRule="exact"/>
              <w:rPr>
                <w:sz w:val="20"/>
                <w:szCs w:val="20"/>
                <w:color w:val="auto"/>
              </w:rPr>
            </w:pPr>
            <w:r>
              <w:rPr>
                <w:rFonts w:ascii="Arial" w:cs="Arial" w:eastAsia="Arial" w:hAnsi="Arial"/>
                <w:sz w:val="13"/>
                <w:szCs w:val="13"/>
                <w:color w:val="auto"/>
              </w:rPr>
              <w:t>$72</w:t>
            </w:r>
          </w:p>
        </w:tc>
        <w:tc>
          <w:tcPr>
            <w:tcW w:w="380" w:type="dxa"/>
            <w:vAlign w:val="bottom"/>
            <w:tcBorders>
              <w:bottom w:val="single" w:sz="8" w:color="auto"/>
            </w:tcBorders>
          </w:tcPr>
          <w:p>
            <w:pPr>
              <w:ind w:left="300"/>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rPr>
              <w:t>93</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rPr>
              <w:t>96</w:t>
            </w:r>
          </w:p>
        </w:tc>
        <w:tc>
          <w:tcPr>
            <w:tcW w:w="960" w:type="dxa"/>
            <w:vAlign w:val="bottom"/>
            <w:tcBorders>
              <w:bottom w:val="single" w:sz="8" w:color="auto"/>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$100</w:t>
            </w:r>
          </w:p>
        </w:tc>
        <w:tc>
          <w:tcPr>
            <w:tcW w:w="8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$125</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43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S&amp;P 500 Index</w:t>
            </w:r>
          </w:p>
        </w:tc>
        <w:tc>
          <w:tcPr>
            <w:tcW w:w="960" w:type="dxa"/>
            <w:vAlign w:val="bottom"/>
            <w:tcBorders>
              <w:bottom w:val="single" w:sz="8" w:color="auto"/>
              <w:right w:val="single" w:sz="8" w:color="auto"/>
            </w:tcBorders>
          </w:tcPr>
          <w:p>
            <w:pPr>
              <w:ind w:left="300"/>
              <w:spacing w:after="0" w:line="148" w:lineRule="exact"/>
              <w:rPr>
                <w:sz w:val="20"/>
                <w:szCs w:val="20"/>
                <w:color w:val="auto"/>
              </w:rPr>
            </w:pPr>
            <w:r>
              <w:rPr>
                <w:rFonts w:ascii="Arial" w:cs="Arial" w:eastAsia="Arial" w:hAnsi="Arial"/>
                <w:sz w:val="13"/>
                <w:szCs w:val="13"/>
                <w:color w:val="auto"/>
              </w:rPr>
              <w:t>$100</w:t>
            </w:r>
          </w:p>
        </w:tc>
        <w:tc>
          <w:tcPr>
            <w:tcW w:w="900" w:type="dxa"/>
            <w:vAlign w:val="bottom"/>
            <w:tcBorders>
              <w:bottom w:val="single" w:sz="8" w:color="auto"/>
              <w:right w:val="single" w:sz="8" w:color="auto"/>
            </w:tcBorders>
          </w:tcPr>
          <w:p>
            <w:pPr>
              <w:jc w:val="right"/>
              <w:ind w:right="339"/>
              <w:spacing w:after="0" w:line="148" w:lineRule="exact"/>
              <w:rPr>
                <w:sz w:val="20"/>
                <w:szCs w:val="20"/>
                <w:color w:val="auto"/>
              </w:rPr>
            </w:pPr>
            <w:r>
              <w:rPr>
                <w:rFonts w:ascii="Arial" w:cs="Arial" w:eastAsia="Arial" w:hAnsi="Arial"/>
                <w:sz w:val="13"/>
                <w:szCs w:val="13"/>
                <w:color w:val="auto"/>
              </w:rPr>
              <w:t>$78</w:t>
            </w:r>
          </w:p>
        </w:tc>
        <w:tc>
          <w:tcPr>
            <w:tcW w:w="380" w:type="dxa"/>
            <w:vAlign w:val="bottom"/>
            <w:tcBorders>
              <w:bottom w:val="single" w:sz="8" w:color="auto"/>
            </w:tcBorders>
          </w:tcPr>
          <w:p>
            <w:pPr>
              <w:ind w:left="300"/>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w w:val="82"/>
              </w:rPr>
              <w:t>100</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w w:val="82"/>
              </w:rPr>
              <w:t>111</w:t>
            </w:r>
          </w:p>
        </w:tc>
        <w:tc>
          <w:tcPr>
            <w:tcW w:w="960" w:type="dxa"/>
            <w:vAlign w:val="bottom"/>
            <w:tcBorders>
              <w:bottom w:val="single" w:sz="8" w:color="auto"/>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$117</w:t>
            </w:r>
          </w:p>
        </w:tc>
        <w:tc>
          <w:tcPr>
            <w:tcW w:w="8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$135</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43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Dow Jones Waste &amp; Disposal Services Index</w:t>
            </w:r>
          </w:p>
        </w:tc>
        <w:tc>
          <w:tcPr>
            <w:tcW w:w="960" w:type="dxa"/>
            <w:vAlign w:val="bottom"/>
            <w:tcBorders>
              <w:bottom w:val="single" w:sz="8" w:color="auto"/>
              <w:right w:val="single" w:sz="8" w:color="auto"/>
            </w:tcBorders>
          </w:tcPr>
          <w:p>
            <w:pPr>
              <w:ind w:left="300"/>
              <w:spacing w:after="0" w:line="148" w:lineRule="exact"/>
              <w:rPr>
                <w:sz w:val="20"/>
                <w:szCs w:val="20"/>
                <w:color w:val="auto"/>
              </w:rPr>
            </w:pPr>
            <w:r>
              <w:rPr>
                <w:rFonts w:ascii="Arial" w:cs="Arial" w:eastAsia="Arial" w:hAnsi="Arial"/>
                <w:sz w:val="13"/>
                <w:szCs w:val="13"/>
                <w:color w:val="auto"/>
              </w:rPr>
              <w:t>$100</w:t>
            </w:r>
          </w:p>
        </w:tc>
        <w:tc>
          <w:tcPr>
            <w:tcW w:w="900" w:type="dxa"/>
            <w:vAlign w:val="bottom"/>
            <w:tcBorders>
              <w:bottom w:val="single" w:sz="8" w:color="auto"/>
              <w:right w:val="single" w:sz="8" w:color="auto"/>
            </w:tcBorders>
          </w:tcPr>
          <w:p>
            <w:pPr>
              <w:jc w:val="right"/>
              <w:ind w:right="339"/>
              <w:spacing w:after="0" w:line="148" w:lineRule="exact"/>
              <w:rPr>
                <w:sz w:val="20"/>
                <w:szCs w:val="20"/>
                <w:color w:val="auto"/>
              </w:rPr>
            </w:pPr>
            <w:r>
              <w:rPr>
                <w:rFonts w:ascii="Arial" w:cs="Arial" w:eastAsia="Arial" w:hAnsi="Arial"/>
                <w:sz w:val="13"/>
                <w:szCs w:val="13"/>
                <w:color w:val="auto"/>
              </w:rPr>
              <w:t>$79</w:t>
            </w:r>
          </w:p>
        </w:tc>
        <w:tc>
          <w:tcPr>
            <w:tcW w:w="380" w:type="dxa"/>
            <w:vAlign w:val="bottom"/>
            <w:tcBorders>
              <w:bottom w:val="single" w:sz="8" w:color="auto"/>
            </w:tcBorders>
          </w:tcPr>
          <w:p>
            <w:pPr>
              <w:ind w:left="300"/>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w w:val="82"/>
              </w:rPr>
              <w:t>104</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right w:val="single" w:sz="8" w:color="auto"/>
            </w:tcBorders>
          </w:tcPr>
          <w:p>
            <w:pPr>
              <w:jc w:val="right"/>
              <w:ind w:right="314"/>
              <w:spacing w:after="0" w:line="148" w:lineRule="exact"/>
              <w:rPr>
                <w:sz w:val="20"/>
                <w:szCs w:val="20"/>
                <w:color w:val="auto"/>
              </w:rPr>
            </w:pPr>
            <w:r>
              <w:rPr>
                <w:rFonts w:ascii="Arial" w:cs="Arial" w:eastAsia="Arial" w:hAnsi="Arial"/>
                <w:sz w:val="13"/>
                <w:szCs w:val="13"/>
                <w:color w:val="auto"/>
                <w:w w:val="82"/>
              </w:rPr>
              <w:t>108</w:t>
            </w:r>
          </w:p>
        </w:tc>
        <w:tc>
          <w:tcPr>
            <w:tcW w:w="960" w:type="dxa"/>
            <w:vAlign w:val="bottom"/>
            <w:tcBorders>
              <w:bottom w:val="single" w:sz="8" w:color="auto"/>
              <w:right w:val="single" w:sz="8" w:color="auto"/>
            </w:tcBorders>
          </w:tcPr>
          <w:p>
            <w:pPr>
              <w:ind w:left="320"/>
              <w:spacing w:after="0" w:line="148" w:lineRule="exact"/>
              <w:rPr>
                <w:sz w:val="20"/>
                <w:szCs w:val="20"/>
                <w:color w:val="auto"/>
              </w:rPr>
            </w:pPr>
            <w:r>
              <w:rPr>
                <w:rFonts w:ascii="Arial" w:cs="Arial" w:eastAsia="Arial" w:hAnsi="Arial"/>
                <w:sz w:val="13"/>
                <w:szCs w:val="13"/>
                <w:color w:val="auto"/>
              </w:rPr>
              <w:t>$115</w:t>
            </w:r>
          </w:p>
        </w:tc>
        <w:tc>
          <w:tcPr>
            <w:tcW w:w="88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$141</w:t>
            </w:r>
          </w:p>
        </w:tc>
        <w:tc>
          <w:tcPr>
            <w:tcW w:w="780" w:type="dxa"/>
            <w:vAlign w:val="bottom"/>
          </w:tcPr>
          <w:p>
            <w:pPr>
              <w:spacing w:after="0"/>
              <w:rPr>
                <w:sz w:val="12"/>
                <w:szCs w:val="12"/>
                <w:color w:val="auto"/>
              </w:rPr>
            </w:pPr>
          </w:p>
        </w:tc>
      </w:tr>
      <w:tr>
        <w:trPr>
          <w:trHeight w:val="598"/>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60" w:type="dxa"/>
            <w:vAlign w:val="bottom"/>
          </w:tcPr>
          <w:p>
            <w:pPr>
              <w:ind w:left="560"/>
              <w:spacing w:after="0"/>
              <w:rPr>
                <w:sz w:val="20"/>
                <w:szCs w:val="20"/>
                <w:color w:val="auto"/>
              </w:rPr>
            </w:pPr>
            <w:r>
              <w:rPr>
                <w:rFonts w:ascii="Arial" w:cs="Arial" w:eastAsia="Arial" w:hAnsi="Arial"/>
                <w:sz w:val="13"/>
                <w:szCs w:val="13"/>
                <w:color w:val="auto"/>
              </w:rPr>
              <w:t>20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October 2004, the Company announced that its Board of Directors approved a capital allocation program authorizing up to $1.2 billion of stock repurchases and dividend payments annually for each of 2005, 2006 and 2007. Under this program, we paid quarterly cash dividends of $0.20 per share each quarter in 2005 for a total of $449 million. We paid quarterly dividends in 2006 of $0.22 per common share for a total of $476 million.</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June 2006, our Board of Directors approved up to $350 million of additional share repurchases for 2006, increasing the amount of capital authorized for our share repurchases and dividends for 2006 to $1.55 billion. In 2006, we repurchased approximately 31 million shares of our common stock for $1,072 million. All of the repurchases were made pursuant to our capital allocation program. The following table summarizes our fourth quarter 2006 share repurchase activity:</w:t>
      </w:r>
    </w:p>
    <w:p>
      <w:pPr>
        <w:spacing w:after="0" w:line="102"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Total Number</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of Shares</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7"/>
              </w:rPr>
              <w:t>Dollar Value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Purchased as</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Shares that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Total Number</w:t>
            </w:r>
          </w:p>
        </w:tc>
        <w:tc>
          <w:tcPr>
            <w:tcW w:w="14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2"/>
              </w:rPr>
              <w:t>Average Price</w:t>
            </w: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Part of</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9"/>
              </w:rPr>
              <w:t>May Yet be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Publicly Announced</w:t>
            </w:r>
          </w:p>
        </w:tc>
        <w:tc>
          <w:tcPr>
            <w:tcW w:w="240" w:type="dxa"/>
            <w:vAlign w:val="bottom"/>
          </w:tcPr>
          <w:p>
            <w:pPr>
              <w:spacing w:after="0"/>
              <w:rPr>
                <w:sz w:val="9"/>
                <w:szCs w:val="9"/>
                <w:color w:val="auto"/>
              </w:rPr>
            </w:pPr>
          </w:p>
        </w:tc>
        <w:tc>
          <w:tcPr>
            <w:tcW w:w="17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Purchased Under</w:t>
            </w:r>
          </w:p>
        </w:tc>
        <w:tc>
          <w:tcPr>
            <w:tcW w:w="0" w:type="dxa"/>
            <w:vAlign w:val="bottom"/>
          </w:tcPr>
          <w:p>
            <w:pPr>
              <w:spacing w:after="0"/>
              <w:rPr>
                <w:sz w:val="1"/>
                <w:szCs w:val="1"/>
                <w:color w:val="auto"/>
              </w:rPr>
            </w:pPr>
          </w:p>
        </w:tc>
      </w:tr>
      <w:tr>
        <w:trPr>
          <w:trHeight w:val="118"/>
        </w:trPr>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4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of Shares</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Paid per</w:t>
            </w: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Plans or</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the Plans</w:t>
            </w: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Purchased</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Share(a)</w:t>
            </w: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1-31</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960,700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37.36</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960,700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 million</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November 1-30</w:t>
            </w:r>
          </w:p>
        </w:tc>
        <w:tc>
          <w:tcPr>
            <w:tcW w:w="1020" w:type="dxa"/>
            <w:vAlign w:val="bottom"/>
          </w:tcPr>
          <w:p>
            <w:pPr>
              <w:jc w:val="right"/>
              <w:spacing w:after="0"/>
              <w:rPr>
                <w:sz w:val="20"/>
                <w:szCs w:val="20"/>
                <w:color w:val="auto"/>
              </w:rPr>
            </w:pPr>
            <w:r>
              <w:rPr>
                <w:rFonts w:ascii="Arial" w:cs="Arial" w:eastAsia="Arial" w:hAnsi="Arial"/>
                <w:sz w:val="13"/>
                <w:szCs w:val="13"/>
                <w:color w:val="auto"/>
              </w:rPr>
              <w:t>1,828,900</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37.78</w:t>
            </w: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1,828,900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tcPr>
          <w:p>
            <w:pPr>
              <w:jc w:val="right"/>
              <w:ind w:right="100"/>
              <w:spacing w:after="0"/>
              <w:rPr>
                <w:sz w:val="20"/>
                <w:szCs w:val="20"/>
                <w:color w:val="auto"/>
              </w:rPr>
            </w:pPr>
            <w:r>
              <w:rPr>
                <w:rFonts w:ascii="Arial" w:cs="Arial" w:eastAsia="Arial" w:hAnsi="Arial"/>
                <w:sz w:val="13"/>
                <w:szCs w:val="13"/>
                <w:color w:val="auto"/>
              </w:rPr>
              <w:t>30 million</w:t>
            </w:r>
          </w:p>
        </w:tc>
        <w:tc>
          <w:tcPr>
            <w:tcW w:w="0" w:type="dxa"/>
            <w:vAlign w:val="bottom"/>
          </w:tcPr>
          <w:p>
            <w:pPr>
              <w:spacing w:after="0"/>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1-31</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37.32</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750,400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 million</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37.57</w:t>
            </w:r>
          </w:p>
        </w:tc>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vMerge w:val="restart"/>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3300" w:type="dxa"/>
            <w:vAlign w:val="bottom"/>
            <w:gridSpan w:val="2"/>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3,540,000</w:t>
            </w:r>
          </w:p>
        </w:tc>
        <w:tc>
          <w:tcPr>
            <w:tcW w:w="4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3,540,000</w:t>
            </w:r>
          </w:p>
        </w:tc>
        <w:tc>
          <w:tcPr>
            <w:tcW w:w="24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180" w:hanging="235"/>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180" w:right="100" w:hanging="243"/>
        <w:spacing w:after="0" w:line="257"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as of the end of such period. As discussed above, the amount of capital available for share repurchases during 2006 was $1.55 billion, net of dividends paid. During the year ended December 31, 2006, we paid $476 million in dividends. The maximum dollar value of shares that may be purchased under the program included in the table above includes the effect of these dividend payments as if all payments had been made at the beginning of the earliest period presented. The “Total” amount available for repurchases under the plan is shown as zero because our capital allocation program, by its terms, provided for $1.55 billion in dividends and share repurchases in 2006, which makes any unexpended portion of the $1.55 billion unavailable after the end of the year.</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2005, we repurchased 24.7 million shares of our common stock for $706 million, all of which was made pursuant to the capital allocation program discussed above.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00" w:firstLine="399"/>
        <w:spacing w:after="0" w:line="334" w:lineRule="auto"/>
        <w:rPr>
          <w:sz w:val="20"/>
          <w:szCs w:val="20"/>
          <w:color w:val="auto"/>
        </w:rPr>
      </w:pPr>
      <w:r>
        <w:rPr>
          <w:rFonts w:ascii="Arial" w:cs="Arial" w:eastAsia="Arial" w:hAnsi="Arial"/>
          <w:sz w:val="11"/>
          <w:szCs w:val="11"/>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2006(a)</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2005(a)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2004(a)</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2003(b)</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980" w:type="dxa"/>
            <w:vAlign w:val="bottom"/>
            <w:gridSpan w:val="6"/>
          </w:tcPr>
          <w:p>
            <w:pPr>
              <w:spacing w:after="0"/>
              <w:rPr>
                <w:sz w:val="20"/>
                <w:szCs w:val="20"/>
                <w:color w:val="auto"/>
              </w:rPr>
            </w:pPr>
            <w:r>
              <w:rPr>
                <w:rFonts w:ascii="Arial" w:cs="Arial" w:eastAsia="Arial" w:hAnsi="Arial"/>
                <w:sz w:val="10"/>
                <w:szCs w:val="10"/>
                <w:b w:val="1"/>
                <w:bCs w:val="1"/>
                <w:color w:val="auto"/>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revenues(c)</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13,074</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12,516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11,648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7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Operating(c)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8,587</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8,631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8,228</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7,591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6,949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1,334</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1,361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1,336</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1,265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10,817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1,710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1,699</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(555)</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income taxes and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1,474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1,092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1,178</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1,123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1,149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1,182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931</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719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1,149</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1,182</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630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2.09</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2.10</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w w:val="98"/>
              </w:rPr>
              <w:t>Cash dividends declared per common share (2005 includes $0.22 paid in 2006)</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b w:val="1"/>
                <w:bCs w:val="1"/>
                <w:color w:val="auto"/>
              </w:rPr>
              <w:t>Balance Sheet Data (at end of period):</w:t>
            </w:r>
          </w:p>
        </w:tc>
        <w:tc>
          <w:tcPr>
            <w:tcW w:w="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 (deficit)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Goodwill and other intangible assets, net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5,413</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5,514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5,453</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5,376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20,600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21,135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20,905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20,382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Debt, including current portion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8,317</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8,687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8,566</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8,511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6,222</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6,121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tcPr>
          <w:p>
            <w:pPr>
              <w:jc w:val="right"/>
              <w:ind w:right="174"/>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right="60" w:hanging="235"/>
        <w:spacing w:after="0" w:line="264"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For more information regarding this financial data, see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17" w:lineRule="exact"/>
        <w:rPr>
          <w:rFonts w:ascii="Arial" w:cs="Arial" w:eastAsia="Arial" w:hAnsi="Arial"/>
          <w:sz w:val="13"/>
          <w:szCs w:val="13"/>
          <w:color w:val="auto"/>
        </w:rPr>
      </w:pPr>
    </w:p>
    <w:p>
      <w:pPr>
        <w:ind w:left="1180" w:hanging="243"/>
        <w:spacing w:after="0" w:line="281" w:lineRule="auto"/>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In the first quarter of 2003, we recorded $101 million, including tax benefit, or $0.17 per diluted share, as a charge to cumulative effect of changes in accounting principles for the adoption of Statement of Financial Accounting Standards (“SFAS”) No. 143, </w:t>
      </w:r>
      <w:r>
        <w:rPr>
          <w:rFonts w:ascii="Arial" w:cs="Arial" w:eastAsia="Arial" w:hAnsi="Arial"/>
          <w:sz w:val="12"/>
          <w:szCs w:val="12"/>
          <w:i w:val="1"/>
          <w:iCs w:val="1"/>
          <w:color w:val="auto"/>
        </w:rPr>
        <w:t>Accounting for Asset Retirement Obligations</w:t>
      </w:r>
      <w:r>
        <w:rPr>
          <w:rFonts w:ascii="Arial" w:cs="Arial" w:eastAsia="Arial" w:hAnsi="Arial"/>
          <w:sz w:val="12"/>
          <w:szCs w:val="12"/>
          <w:color w:val="auto"/>
        </w:rPr>
        <w:t xml:space="preserve"> (“SFAS No. 143”). Substantially all of this charge was related to changes in accounting for landfill final capping, closure and post-closure costs. Effective January 1, 2003, we also changed our accounting for repairs and maintenance and loss contracts, which resulted in a credit to cumulative effect of changes in accounting principles of $55 million, net of taxes, or $0.09 per diluted share. On December 31, 2003, we began consolidating two limited liability companies from which we lease three waste-to-energy facilities as a result of our implementation of Financial Accounting Standards Board Interpretation No. 46(R), </w:t>
      </w:r>
      <w:r>
        <w:rPr>
          <w:rFonts w:ascii="Arial" w:cs="Arial" w:eastAsia="Arial" w:hAnsi="Arial"/>
          <w:sz w:val="12"/>
          <w:szCs w:val="12"/>
          <w:i w:val="1"/>
          <w:iCs w:val="1"/>
          <w:color w:val="auto"/>
        </w:rPr>
        <w:t>Consolidation of Variable Interest Entities (revised December 2003) — an Interpretation of ARB No. 51</w:t>
      </w:r>
      <w:r>
        <w:rPr>
          <w:rFonts w:ascii="Arial" w:cs="Arial" w:eastAsia="Arial" w:hAnsi="Arial"/>
          <w:sz w:val="12"/>
          <w:szCs w:val="12"/>
          <w:color w:val="auto"/>
        </w:rPr>
        <w:t xml:space="preserve"> (“FIN 46(R)”). Upon consolidating these entities, we recorded a charge to cumulative effect of changes in accounting principles of $43 million, including tax benefit, or $0.07 per diluted share.</w:t>
      </w:r>
    </w:p>
    <w:p>
      <w:pPr>
        <w:spacing w:after="0" w:line="9" w:lineRule="exact"/>
        <w:rPr>
          <w:rFonts w:ascii="Arial" w:cs="Arial" w:eastAsia="Arial" w:hAnsi="Arial"/>
          <w:sz w:val="12"/>
          <w:szCs w:val="12"/>
          <w:color w:val="auto"/>
        </w:rPr>
      </w:pPr>
    </w:p>
    <w:p>
      <w:pPr>
        <w:ind w:left="1180" w:right="120" w:hanging="235"/>
        <w:spacing w:after="0" w:line="260"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In 2004, we conformed the 2003 and 2002 presentation of our revenues and expenses with this presentation by increasing both our revenue and our operating expense by $74 million for the year ended December 31, 2003 and by $69 million for the year ended December 31, 2002.</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section includes a discussion of our operations for the three years ended December 31, 2006. This discussion may contain forward-looking statements that anticipate results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based on management’s plans that are subject to uncertainty. We discuss in more detail various factors that could cause actual results to differ from expectations in Item 1A, </w:t>
      </w:r>
      <w:r>
        <w:rPr>
          <w:rFonts w:ascii="Arial" w:cs="Arial" w:eastAsia="Arial" w:hAnsi="Arial"/>
          <w:sz w:val="12"/>
          <w:szCs w:val="12"/>
          <w:i w:val="1"/>
          <w:iCs w:val="1"/>
          <w:color w:val="auto"/>
        </w:rPr>
        <w:t>Risk</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 xml:space="preserve">Factors. </w:t>
      </w:r>
      <w:r>
        <w:rPr>
          <w:rFonts w:ascii="Arial" w:cs="Arial" w:eastAsia="Arial" w:hAnsi="Arial"/>
          <w:sz w:val="12"/>
          <w:szCs w:val="12"/>
          <w:color w:val="auto"/>
        </w:rPr>
        <w:t>The following discussion should be read in light of that disclosure and together with the Consolidated Financial Statements and the notes to the Consolidated Financial Statements.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financial achievements during the year ended December 31, 2006 include:</w:t>
      </w:r>
    </w:p>
    <w:p>
      <w:pPr>
        <w:spacing w:after="0" w:line="96" w:lineRule="exact"/>
        <w:rPr>
          <w:sz w:val="20"/>
          <w:szCs w:val="20"/>
          <w:color w:val="auto"/>
        </w:rPr>
      </w:pPr>
    </w:p>
    <w:p>
      <w:pPr>
        <w:ind w:left="1280" w:right="1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Net cash provided by operating activities increased to $2.54 billion and free cash flow increased to $1.45 billion, increases of 6.2% and 3.3%, respectively, when compared with 2005;</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Internal revenue growth of 2.7% in 2006, driven by the 3.6% increase in yield on base business, which is the highest base business yield increase we have had in at least six years;</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Improvement in our operating expenses as a percentage of revenue, which decreased by 1.7 percentage points from 66.0% of revenue in 2005 to 64.3% of revenue in 2006; and</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Nearly $1.1 billion in share repurchases and $476 million in dividends paid pursuant to our capital allocation plan.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Free Cash Flow </w:t>
      </w:r>
      <w:r>
        <w:rPr>
          <w:rFonts w:ascii="Arial" w:cs="Arial" w:eastAsia="Arial" w:hAnsi="Arial"/>
          <w:sz w:val="13"/>
          <w:szCs w:val="13"/>
          <w:color w:val="auto"/>
        </w:rPr>
        <w:t>— Free cash flow is a non-GAAP measure of financial performance that we include in our disclosures because we believe the production of free cash flow is an</w:t>
      </w:r>
      <w:r>
        <w:rPr>
          <w:rFonts w:ascii="Arial" w:cs="Arial" w:eastAsia="Arial" w:hAnsi="Arial"/>
          <w:sz w:val="13"/>
          <w:szCs w:val="13"/>
          <w:i w:val="1"/>
          <w:iCs w:val="1"/>
          <w:color w:val="auto"/>
        </w:rPr>
        <w:t xml:space="preserve"> </w:t>
      </w:r>
      <w:r>
        <w:rPr>
          <w:rFonts w:ascii="Arial" w:cs="Arial" w:eastAsia="Arial" w:hAnsi="Arial"/>
          <w:sz w:val="13"/>
          <w:szCs w:val="13"/>
          <w:color w:val="auto"/>
        </w:rPr>
        <w:t>important measure of our liquidity and performance and because we believe our investors are interested in the cash we produce from non-financing activities that is available for acquisitions, share repurchases, scheduled debt repayments and the payment of</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dividends. The most comparable GAAP financial measure to free cash flow is “Net cash provided by operating activities.” We calculate free cash flow as shown in the table below (in millions):</w:t>
      </w:r>
    </w:p>
    <w:p>
      <w:pPr>
        <w:spacing w:after="0" w:line="61" w:lineRule="exact"/>
        <w:rPr>
          <w:sz w:val="20"/>
          <w:szCs w:val="20"/>
          <w:color w:val="auto"/>
        </w:rPr>
      </w:pPr>
    </w:p>
    <w:p>
      <w:pPr>
        <w:ind w:left="950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(1,329)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1,451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1,405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growth in our 2006 operating and free cash flow reflects the current year improvements in our operating results, particularly those contributed by our increase in revenue from yield, which is discussed below.</w:t>
      </w:r>
    </w:p>
    <w:p>
      <w:pPr>
        <w:spacing w:after="0" w:line="59"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i w:val="1"/>
          <w:iCs w:val="1"/>
          <w:color w:val="auto"/>
        </w:rPr>
        <w:t xml:space="preserve">Revenue Growth </w:t>
      </w:r>
      <w:r>
        <w:rPr>
          <w:rFonts w:ascii="Arial" w:cs="Arial" w:eastAsia="Arial" w:hAnsi="Arial"/>
          <w:sz w:val="12"/>
          <w:szCs w:val="12"/>
          <w:color w:val="auto"/>
        </w:rPr>
        <w:t>— Our revenues for the year increased over 2%, from $13,074 million in 2005 to $13,363 million in 2006. The overall increase was largely a result of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growth, or IRG. IRG is an important indicator of our performance as it is a measure of our ability to increase revenues from our existing operations. Our IRG for the year was 2.7% and consisted primarily of improvement in yield on base business and an increase in revenues related to our fuel surcharge program. Our revenue growth from improved yield on base business for 2006 was 3.6%, which is an increase of 0.9 percentage points from the prior year. In addition, our fuel surcharge program contributed $117 million to revenue growth in 2006 compared with $157 million in 2005. The revenues generated by the program in 2006 recovered the increase in our operating costs attributable to fuel. The increases in revenue from improved yield on base business and our fuel surcharge program were partially offset by decreased revenues due to lower volumes. Additionally, the positive effect IRG had on overall revenue growth was offset by divestitures during the year. We have divested of under-performing operations, which resulted in lower revenues in the year. Although we continue to seek appropriate acquisitions, in 2006 we lost more revenue as a result of divestitures than we gained from acquisitions. As discussed below, we believe that the negative impact divestitures had on revenues resulted in improvements in our operating margins.</w:t>
      </w:r>
    </w:p>
    <w:p>
      <w:pPr>
        <w:spacing w:after="0" w:line="60" w:lineRule="exact"/>
        <w:rPr>
          <w:sz w:val="20"/>
          <w:szCs w:val="20"/>
          <w:color w:val="auto"/>
        </w:rPr>
      </w:pPr>
    </w:p>
    <w:p>
      <w:pPr>
        <w:ind w:left="680" w:right="40" w:firstLine="399"/>
        <w:spacing w:after="0" w:line="307" w:lineRule="auto"/>
        <w:rPr>
          <w:sz w:val="20"/>
          <w:szCs w:val="20"/>
          <w:color w:val="auto"/>
        </w:rPr>
      </w:pPr>
      <w:r>
        <w:rPr>
          <w:rFonts w:ascii="Arial" w:cs="Arial" w:eastAsia="Arial" w:hAnsi="Arial"/>
          <w:sz w:val="11"/>
          <w:szCs w:val="11"/>
          <w:i w:val="1"/>
          <w:iCs w:val="1"/>
          <w:color w:val="auto"/>
        </w:rPr>
        <w:t xml:space="preserve">Margin Improvement </w:t>
      </w:r>
      <w:r>
        <w:rPr>
          <w:rFonts w:ascii="Arial" w:cs="Arial" w:eastAsia="Arial" w:hAnsi="Arial"/>
          <w:sz w:val="11"/>
          <w:szCs w:val="11"/>
          <w:color w:val="auto"/>
        </w:rPr>
        <w:t>— In 2006, our income from operations improved by $319 million, or 18.7%, as compared with 2005. Income from operations as a percentage of revenues was</w:t>
      </w:r>
      <w:r>
        <w:rPr>
          <w:rFonts w:ascii="Arial" w:cs="Arial" w:eastAsia="Arial" w:hAnsi="Arial"/>
          <w:sz w:val="11"/>
          <w:szCs w:val="11"/>
          <w:i w:val="1"/>
          <w:iCs w:val="1"/>
          <w:color w:val="auto"/>
        </w:rPr>
        <w:t xml:space="preserve"> </w:t>
      </w:r>
      <w:r>
        <w:rPr>
          <w:rFonts w:ascii="Arial" w:cs="Arial" w:eastAsia="Arial" w:hAnsi="Arial"/>
          <w:sz w:val="11"/>
          <w:szCs w:val="11"/>
          <w:color w:val="auto"/>
        </w:rPr>
        <w:t>15.2% for the year ended December 31, 2006 compared with 13.1% for the year ended December 31, 2005. Several items that negatively affected our 2005 results and are not part of our ongoing operations significantly impact the comparability of our 2006 and 2005 operating results. When focusing on our core operating costs (which are Operating; Selling, general and administrative; and Depreciation and amortization expenses) as a percentage of revenues, our margin improvement was considerable, increasing 1.6 percentage points from 13.8% in 2005 to 15.4% in 2006. The year-over-year decrease in our operating expenses as a percentage of revenue is largely a result of our increased revenue provided by base business yield, but is also due to the success of our cost control initiatives, which have focused on improving productivity and standardizing our practices, and the divestitures of under-performing operations. Our selling, general and administrative expenses in 2006 increased by $112 million, and as a percentage of revenue increased by 0.6 percentage points to 10.4%. The increase in selling, general and administrative expenses is due largely to higher bonus expense as a result of the significant improvement in the Company’s performance, non-capitalizable costs incurred to support the development of our revenue management system and a $20 million charge to record estimated unrecorded obligations associated with unclaimed property audits.</w:t>
      </w:r>
    </w:p>
    <w:p>
      <w:pPr>
        <w:spacing w:after="0" w:line="4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i w:val="1"/>
          <w:iCs w:val="1"/>
          <w:color w:val="auto"/>
        </w:rPr>
        <w:t xml:space="preserve">2007 Objectives </w:t>
      </w:r>
      <w:r>
        <w:rPr>
          <w:rFonts w:ascii="Arial" w:cs="Arial" w:eastAsia="Arial" w:hAnsi="Arial"/>
          <w:sz w:val="12"/>
          <w:szCs w:val="12"/>
          <w:color w:val="auto"/>
        </w:rPr>
        <w:t>— In 2007, we will continue to pursue our goal of improving our profitability by focusing on revenue growth through pricing, eliminating our less profitable work,</w:t>
      </w:r>
      <w:r>
        <w:rPr>
          <w:rFonts w:ascii="Arial" w:cs="Arial" w:eastAsia="Arial" w:hAnsi="Arial"/>
          <w:sz w:val="12"/>
          <w:szCs w:val="12"/>
          <w:i w:val="1"/>
          <w:iCs w:val="1"/>
          <w:color w:val="auto"/>
        </w:rPr>
        <w:t xml:space="preserve"> </w:t>
      </w:r>
      <w:r>
        <w:rPr>
          <w:rFonts w:ascii="Arial" w:cs="Arial" w:eastAsia="Arial" w:hAnsi="Arial"/>
          <w:sz w:val="12"/>
          <w:szCs w:val="12"/>
          <w:color w:val="auto"/>
        </w:rPr>
        <w:t>lowering our operating expenses, managing our selling, general and administrative expenses and generating strong and consistent cash flows that can be returned to our shareholders.</w:t>
      </w:r>
    </w:p>
    <w:p>
      <w:pPr>
        <w:spacing w:after="0" w:line="35"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Late in 2006, we began to see a decline in our revenue growth due to decreases in volumes. We believe that this decline can be attributed to our pricing strategy and an economic softening in certain lines of our business in certain parts of the country. Even when considering these volume declines, which may continue in 2007, we have seen that our focus on increasing revenue through yield and shedding our less profitable volumes has been positive for our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operating margins and our cash flows. As we consider the continuing effects of this approach on our business, we will continue to focus on our stated long-term strategy of seeking operational excellence and improving profitability, divesting under-performing and non-strategic operations and seeking acquisition and investment candidates, such as landfill gas-to-energy projects, that we believe will offer superior margins and returns on capital.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Accounting Change </w:t>
      </w:r>
      <w:r>
        <w:rPr>
          <w:rFonts w:ascii="Arial" w:cs="Arial" w:eastAsia="Arial" w:hAnsi="Arial"/>
          <w:sz w:val="13"/>
          <w:szCs w:val="13"/>
          <w:color w:val="auto"/>
        </w:rPr>
        <w:t>— On January 1, 2006, we adopted SFAS No. 123 (revised 2004),</w:t>
      </w:r>
      <w:r>
        <w:rPr>
          <w:rFonts w:ascii="Arial" w:cs="Arial" w:eastAsia="Arial" w:hAnsi="Arial"/>
          <w:sz w:val="13"/>
          <w:szCs w:val="13"/>
          <w:i w:val="1"/>
          <w:iCs w:val="1"/>
          <w:color w:val="auto"/>
        </w:rPr>
        <w:t xml:space="preserve"> Share-Based Payment </w:t>
      </w:r>
      <w:r>
        <w:rPr>
          <w:rFonts w:ascii="Arial" w:cs="Arial" w:eastAsia="Arial" w:hAnsi="Arial"/>
          <w:sz w:val="13"/>
          <w:szCs w:val="13"/>
          <w:color w:val="auto"/>
        </w:rPr>
        <w:t>(“SFAS No. 123(R)”), which requires compensation expense to be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recognized for all share-based payments made to employees based on the fair value of the award at the date of grant. We adopted 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No. 123”) for all unvested awards outstanding at the date of adoption.</w:t>
      </w:r>
    </w:p>
    <w:p>
      <w:pPr>
        <w:spacing w:after="0" w:line="71"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 xml:space="preserve">Through December 31, 2005, as permitted by SFAS No. 123, we accounted for equity-based compensation in accordance with Accounting Principles Board (“APB”) Opinion No. 25, </w:t>
      </w:r>
      <w:r>
        <w:rPr>
          <w:rFonts w:ascii="Arial" w:cs="Arial" w:eastAsia="Arial" w:hAnsi="Arial"/>
          <w:sz w:val="11"/>
          <w:szCs w:val="11"/>
          <w:i w:val="1"/>
          <w:iCs w:val="1"/>
          <w:color w:val="auto"/>
        </w:rPr>
        <w:t>Accounting for Stock Issued to Employees</w:t>
      </w:r>
      <w:r>
        <w:rPr>
          <w:rFonts w:ascii="Arial" w:cs="Arial" w:eastAsia="Arial" w:hAnsi="Arial"/>
          <w:sz w:val="11"/>
          <w:szCs w:val="11"/>
          <w:color w:val="auto"/>
        </w:rPr>
        <w:t>, as amended (“APB No. 25”). Under APB No. 25, we recognized compensation expense based on an award’s intrinsic value. For stock options,</w:t>
      </w:r>
      <w:r>
        <w:rPr>
          <w:rFonts w:ascii="Arial" w:cs="Arial" w:eastAsia="Arial" w:hAnsi="Arial"/>
          <w:sz w:val="11"/>
          <w:szCs w:val="11"/>
          <w:i w:val="1"/>
          <w:iCs w:val="1"/>
          <w:color w:val="auto"/>
        </w:rPr>
        <w:t xml:space="preserve"> </w:t>
      </w:r>
      <w:r>
        <w:rPr>
          <w:rFonts w:ascii="Arial" w:cs="Arial" w:eastAsia="Arial" w:hAnsi="Arial"/>
          <w:sz w:val="11"/>
          <w:szCs w:val="11"/>
          <w:color w:val="auto"/>
        </w:rPr>
        <w:t>which were the primary form of awards we granted through December 31, 2004, this meant that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 until such time that the number of shares to be issued and all other provisions are fixed.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2005, the Management Development and Compensation Committee of our Board of Directors approved the acceleration of the vesting of all unvested stock options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awarded under our stock incentive plans, effective December 28, 2005. The decision to accelerate the vesting of outstanding stock options was made primarily to reduce the non-cash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expense that we would have otherwise recorded in future periods as a result of adopting SFAS No. 123(R). We estimated that the acceleration eliminated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$55 million of cumulative pre-tax compensation charges that would have been recognized during 2006, 2007 and 2008 as the stock options would have continued to vest. We recognized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 million pre-tax charge to compensation expense during the fourth quarter of 2005 as a result of the acceleration, but do not expect to recognize future compensation expense for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accelerated options under SFAS No. 123(R).</w:t>
      </w:r>
    </w:p>
    <w:p>
      <w:pPr>
        <w:spacing w:after="0" w:line="89"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Additionally, as a result of changes in accounting required by SFAS No. 123(R) and a desire to design our long-term incentive plans in a manner that creates a stronger link to operating and market performance, the Management Development and Compensation Committee approved a substantial change in the form of awards that we grant. Beginning in 2005, annual stock option grants were replaced with either (i) grants of restricted stock units and performance share units or (ii) an enhanced cash compensation award. Stock option grants in connection with new hires and promotions were replaced with grants of restricted stock units. The terms of restricted stock units and performance share units granted during 2006 are summarized in Note 15 to the Consolidated Financial Statements.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result of the acceleration of the vesting of stock options and the replacement of future awards of stock options with other forms of equity awards, the adoption of</w:t>
      </w:r>
    </w:p>
    <w:p>
      <w:pPr>
        <w:spacing w:after="0" w:line="15" w:lineRule="exact"/>
        <w:rPr>
          <w:sz w:val="20"/>
          <w:szCs w:val="20"/>
          <w:color w:val="auto"/>
        </w:rPr>
      </w:pPr>
    </w:p>
    <w:p>
      <w:pPr>
        <w:jc w:val="both"/>
        <w:ind w:left="680" w:right="200"/>
        <w:spacing w:after="0" w:line="258" w:lineRule="auto"/>
        <w:rPr>
          <w:sz w:val="20"/>
          <w:szCs w:val="20"/>
          <w:color w:val="auto"/>
        </w:rPr>
      </w:pPr>
      <w:r>
        <w:rPr>
          <w:rFonts w:ascii="Arial" w:cs="Arial" w:eastAsia="Arial" w:hAnsi="Arial"/>
          <w:sz w:val="13"/>
          <w:szCs w:val="13"/>
          <w:color w:val="auto"/>
        </w:rPr>
        <w:t>SFAS No. 123(R) on January 1, 2006 did not significantly affect our accounting for equity-based compensation or net income for the year ended December 31, 2006. We do not currently expect this change in accounting to significantly impact our future results of operations. However, we do expect equity-based compensation expense to increase over the next three years because of the incremental expense that will be recognized each year as additional awards are granted.</w:t>
      </w:r>
    </w:p>
    <w:p>
      <w:pPr>
        <w:spacing w:after="0" w:line="71"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i w:val="1"/>
          <w:iCs w:val="1"/>
          <w:color w:val="auto"/>
        </w:rPr>
        <w:t xml:space="preserve">Reconsideration of a Variable Interest </w:t>
      </w:r>
      <w:r>
        <w:rPr>
          <w:rFonts w:ascii="Arial" w:cs="Arial" w:eastAsia="Arial" w:hAnsi="Arial"/>
          <w:sz w:val="12"/>
          <w:szCs w:val="12"/>
          <w:color w:val="auto"/>
        </w:rPr>
        <w:t>— During 2006, the debt of a previously consolidated variable interest entity was refinanced. As a result of the refinancing, our guarantee</w:t>
      </w:r>
      <w:r>
        <w:rPr>
          <w:rFonts w:ascii="Arial" w:cs="Arial" w:eastAsia="Arial" w:hAnsi="Arial"/>
          <w:sz w:val="12"/>
          <w:szCs w:val="12"/>
          <w:i w:val="1"/>
          <w:iCs w:val="1"/>
          <w:color w:val="auto"/>
        </w:rPr>
        <w:t xml:space="preserve"> </w:t>
      </w:r>
      <w:r>
        <w:rPr>
          <w:rFonts w:ascii="Arial" w:cs="Arial" w:eastAsia="Arial" w:hAnsi="Arial"/>
          <w:sz w:val="12"/>
          <w:szCs w:val="12"/>
          <w:color w:val="auto"/>
        </w:rPr>
        <w:t>arrangement was also renegotiated, significantly reducing the value of our guarantee. We determined that the refinancing of the entity’s debt obligations and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corresponding renegotiation of our guarantee represented significant changes in the entity that required reconsideration of the applicability of FIN 46(R). As a result of the reconsideration of our interest in this variable interest entity, we concluded that we are no longer the primary beneficiary of this entity. Accordingly, in April 2006, we deconsolidated the entity. The deconsolidation of this entity did not materially impact our Consolidated Financial Statements for the periods presented.</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Certain reclassifications have also been made in the accompanying financial statements to conform prior year information with the current period presentation. The supplementary financial information included in this section has been updated to reflect these changes.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several estimates and assumptions that affect the accounting for and recognition and disclosure of our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below. Actual results could differ materially from the estimates and assumptions that we use in the preparation of our financial statements.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The cost estimates for final capping, closure and post-closure activities at landfills for which we have responsibility are estimated based on our interpretations of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and proposed or anticipated regulatory changes. We also estimate additional costs, pursuant to the requirements of SFAS No. 143, based on the amount a third party would charge us to perform such activities even when we expect to perform these activities internally. We estimate the airspace to be consumed related to each final capping event and the timing of each final capping event and of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7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 xml:space="preserve">Landfill Costs — </w:t>
      </w:r>
      <w:r>
        <w:rPr>
          <w:rFonts w:ascii="Arial" w:cs="Arial" w:eastAsia="Arial" w:hAnsi="Arial"/>
          <w:sz w:val="13"/>
          <w:szCs w:val="13"/>
          <w:color w:val="auto"/>
        </w:rPr>
        <w:t>We estimate the total cost to develop each of our landfill sites to its remaining permitted and expansion capacity. This estimate includes such costs as landfill liner</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72"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Final Capping Costs — </w:t>
      </w:r>
      <w:r>
        <w:rPr>
          <w:rFonts w:ascii="Arial" w:cs="Arial" w:eastAsia="Arial" w:hAnsi="Arial"/>
          <w:sz w:val="13"/>
          <w:szCs w:val="13"/>
          <w:color w:val="auto"/>
        </w:rPr>
        <w:t>We estimate the cost for each final capping event based on the area to be finally capped and the capping materials and activities required. The estimates also</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 when these costs would actually be paid and factor in inflation and discount rates. Our engineering personnel allocate final landfill capping costs to specific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Closure and Post-Closure Costs — </w:t>
      </w:r>
      <w:r>
        <w:rPr>
          <w:rFonts w:ascii="Arial" w:cs="Arial" w:eastAsia="Arial" w:hAnsi="Arial"/>
          <w:sz w:val="13"/>
          <w:szCs w:val="13"/>
          <w:color w:val="auto"/>
        </w:rPr>
        <w:t>We base our estimates for closure and post-closure costs on our interpretations of permit and regulatory requirements for closure and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72"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Remaining Permitted Airspace — </w:t>
      </w:r>
      <w:r>
        <w:rPr>
          <w:rFonts w:ascii="Arial" w:cs="Arial" w:eastAsia="Arial" w:hAnsi="Arial"/>
          <w:sz w:val="11"/>
          <w:szCs w:val="11"/>
          <w:color w:val="auto"/>
        </w:rPr>
        <w:t>Our engineers, in consultation with third-party engineering consultants and surveyors, are responsible for determining remaining permitted airspace</w:t>
      </w:r>
      <w:r>
        <w:rPr>
          <w:rFonts w:ascii="Arial" w:cs="Arial" w:eastAsia="Arial" w:hAnsi="Arial"/>
          <w:sz w:val="11"/>
          <w:szCs w:val="11"/>
          <w:i w:val="1"/>
          <w:iCs w:val="1"/>
          <w:color w:val="auto"/>
        </w:rPr>
        <w:t xml:space="preserve"> </w:t>
      </w:r>
      <w:r>
        <w:rPr>
          <w:rFonts w:ascii="Arial" w:cs="Arial" w:eastAsia="Arial" w:hAnsi="Arial"/>
          <w:sz w:val="11"/>
          <w:szCs w:val="11"/>
          <w:color w:val="auto"/>
        </w:rPr>
        <w:t>at our landfills. The remaining permitted airspace is determined by an annual survey, which is then used to compare the existing landfill topography to the expected final landfill topography.</w:t>
      </w:r>
    </w:p>
    <w:p>
      <w:pPr>
        <w:spacing w:after="0" w:line="1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Expansion Airspace — </w:t>
      </w:r>
      <w:r>
        <w:rPr>
          <w:rFonts w:ascii="Arial" w:cs="Arial" w:eastAsia="Arial" w:hAnsi="Arial"/>
          <w:sz w:val="13"/>
          <w:szCs w:val="13"/>
          <w:color w:val="auto"/>
        </w:rPr>
        <w:t>We include currently unpermitted airspace in our estimate of remaining permitted and expansion airspace in certain circumstances. First, to include airspace</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the Chief Financial Officer and a review by the Audit Committee of the Board of Directors on a quarterly basis. Of the 62 landfill sites with expansions at December 31, 2006, 14 landfills required the Chief Financial Officer to approve the inclusion of the unpermitted airspace. Eight of these landfills required approval by the Chief Financial Officer because of a lack of community or political support that could impede the expansion process. The remaining six landfills required approval mainly due to local zoning restrictions or because the permit application processes would not meet the one or five year requirements, generally due to state-specific permitting procedures.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Once the remaining permitted and expansion airspace is determined, an airspace utilization factor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initial selection of the AUF is subject to a subsequent multi-level review by our engineering group. Our historical experience generally indicates that the impact of settlement at a landfill is greater later in the life of the landfill when the waste placed at the landfill approaches its highest point under the permit requirements.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When we include the expansion airspace in our calculations of available airspace, we also include the projected costs for development, as well as the projected asset retirement cost related to final capping, and closure and post-closure of the expansion in the amortization basis of the landfill.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After determining the costs and remaining permitted and expansion capacity at each of our landfills, we determine the per ton rates that will be expensed through landfill amortization. We look at factors such as the waste stream, geography and rate of compaction, among others, to determine the number of tons necessary to fill the remaining permitted and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55"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our operations, or for damage caused by conditions that existed before we acquired a site. These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typical allocation of costs among PRPs.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Our long-lived assets, including landfills and landfill expansions, are carried on our financial statements based on their cost less accumulated depreciation or</w:t>
      </w:r>
      <w:r>
        <w:rPr>
          <w:rFonts w:ascii="Arial" w:cs="Arial" w:eastAsia="Arial" w:hAnsi="Arial"/>
          <w:sz w:val="13"/>
          <w:szCs w:val="13"/>
          <w:i w:val="1"/>
          <w:iCs w:val="1"/>
          <w:color w:val="auto"/>
        </w:rPr>
        <w:t xml:space="preserve"> </w:t>
      </w:r>
      <w:r>
        <w:rPr>
          <w:rFonts w:ascii="Arial" w:cs="Arial" w:eastAsia="Arial" w:hAnsi="Arial"/>
          <w:sz w:val="13"/>
          <w:szCs w:val="13"/>
          <w:color w:val="auto"/>
        </w:rPr>
        <w:t>amortization. However, accounting standards require us to write down assets or groups of assets if they become impaired. If significant events 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determined by either an internally developed discounted projected cash flow analysis of the asset or asset group or an actual third-party valuation. If the fair value of an asset or asset group is determined to be less than the carrying amount of the asset or asset group, an impairment in the amount of the difference is recorded in the period that the impairment indicator occurs.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Typical indicators that an asset may be impaired include:</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significant decrease in the market price of an asset or asset group;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significant adverse change in the extent or manner in which an asset or asset group is being used or in its physical condition;</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significant adverse change in legal factors or in the business climate that could affect the value of an asset or asset group, including an adverse action or assessment by a regulator;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 accumulation of costs significantly in excess of the amount originally expected for the acquisition or construction of a long-lived asset;</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49"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current expectation that, more likely than not, a long-lived asset or asset group will be sold or otherwise disposed of significantly before the end of its previously estimated useful life.</w:t>
      </w:r>
    </w:p>
    <w:p>
      <w:pPr>
        <w:spacing w:after="0" w:line="59"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If any of these or other indicators occur, the asset is reviewed to determine whether there has been an impairment. Estimating future cash flows requires significant judgment and projections may vary from cash flows eventually realized. There are other considerations for impairments of landfills and goodwill, as described below.</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Landfills — </w:t>
      </w:r>
      <w:r>
        <w:rPr>
          <w:rFonts w:ascii="Arial" w:cs="Arial" w:eastAsia="Arial" w:hAnsi="Arial"/>
          <w:sz w:val="13"/>
          <w:szCs w:val="13"/>
          <w:color w:val="auto"/>
        </w:rPr>
        <w:t>Certain of the indicators listed above require significant judgment and understanding of the waste industry when applied to landfill development or expansion projects.</w:t>
      </w:r>
      <w:r>
        <w:rPr>
          <w:rFonts w:ascii="Arial" w:cs="Arial" w:eastAsia="Arial" w:hAnsi="Arial"/>
          <w:sz w:val="13"/>
          <w:szCs w:val="13"/>
          <w:i w:val="1"/>
          <w:iCs w:val="1"/>
          <w:color w:val="auto"/>
        </w:rPr>
        <w:t xml:space="preserve"> </w:t>
      </w:r>
      <w:r>
        <w:rPr>
          <w:rFonts w:ascii="Arial" w:cs="Arial" w:eastAsia="Arial" w:hAnsi="Arial"/>
          <w:sz w:val="13"/>
          <w:szCs w:val="13"/>
          <w:color w:val="auto"/>
        </w:rPr>
        <w:t>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Goodwill — </w:t>
      </w:r>
      <w:r>
        <w:rPr>
          <w:rFonts w:ascii="Arial" w:cs="Arial" w:eastAsia="Arial" w:hAnsi="Arial"/>
          <w:sz w:val="12"/>
          <w:szCs w:val="12"/>
          <w:color w:val="auto"/>
        </w:rPr>
        <w:t>At least annually, we assess whether goodwill is impaired. We assess whether an impairment exists by comparing the book value of goodwill to its implied fair value.</w:t>
      </w:r>
      <w:r>
        <w:rPr>
          <w:rFonts w:ascii="Arial" w:cs="Arial" w:eastAsia="Arial" w:hAnsi="Arial"/>
          <w:sz w:val="12"/>
          <w:szCs w:val="12"/>
          <w:i w:val="1"/>
          <w:iCs w:val="1"/>
          <w:color w:val="auto"/>
        </w:rPr>
        <w:t xml:space="preserve"> </w:t>
      </w:r>
      <w:r>
        <w:rPr>
          <w:rFonts w:ascii="Arial" w:cs="Arial" w:eastAsia="Arial" w:hAnsi="Arial"/>
          <w:sz w:val="12"/>
          <w:szCs w:val="12"/>
          <w:color w:val="auto"/>
        </w:rPr>
        <w:t>The implied fair value of goodwill is determined by deducting the fair value of each of our reporting unit’s (Group’s)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5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Self-insurance reserves and recoveries </w:t>
      </w:r>
      <w:r>
        <w:rPr>
          <w:rFonts w:ascii="Arial" w:cs="Arial" w:eastAsia="Arial" w:hAnsi="Arial"/>
          <w:sz w:val="13"/>
          <w:szCs w:val="13"/>
          <w:color w:val="auto"/>
        </w:rPr>
        <w:t>— We have retained a portion of the risks related to our health and welfare, automobile, general liability and workers’ compensation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Our liabilities associated with the exposure for unpaid claims and associated expenses, including incurred but not reported losses, generally is estimated with the assistance of external actuaries and by factoring in pending claims and historical trends and data. Our estimated accruals for these liabilities could be significantly different than our ultimate obligations if variables such as the frequency or severity of future incidents are significantly different than what we assume. Estimated insurance recoveries related to recorded liabilities are recorded as assets when we believe that the receipt of such amounts is probable.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presents, for the periods indicated, the period-to-period change in dollars (in millions) and percentages for the respective Consolidated Statement of Operations line items: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0"/>
                <w:szCs w:val="10"/>
                <w:b w:val="1"/>
                <w:bCs w:val="1"/>
                <w:color w:val="auto"/>
              </w:rPr>
              <w:t>Period-to-Period Change</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40" w:type="dxa"/>
            <w:vAlign w:val="bottom"/>
          </w:tcPr>
          <w:p>
            <w:pPr>
              <w:spacing w:after="0"/>
              <w:rPr>
                <w:sz w:val="7"/>
                <w:szCs w:val="7"/>
                <w:color w:val="auto"/>
              </w:rPr>
            </w:pPr>
          </w:p>
        </w:tc>
        <w:tc>
          <w:tcPr>
            <w:tcW w:w="1600" w:type="dxa"/>
            <w:vAlign w:val="bottom"/>
            <w:gridSpan w:val="4"/>
          </w:tcPr>
          <w:p>
            <w:pPr>
              <w:jc w:val="center"/>
              <w:ind w:right="520"/>
              <w:spacing w:after="0" w:line="81" w:lineRule="exact"/>
              <w:rPr>
                <w:sz w:val="20"/>
                <w:szCs w:val="20"/>
                <w:color w:val="auto"/>
              </w:rPr>
            </w:pPr>
            <w:r>
              <w:rPr>
                <w:rFonts w:ascii="Arial" w:cs="Arial" w:eastAsia="Arial" w:hAnsi="Arial"/>
                <w:sz w:val="9"/>
                <w:szCs w:val="9"/>
                <w:b w:val="1"/>
                <w:bCs w:val="1"/>
                <w:color w:val="auto"/>
              </w:rPr>
              <w:t>Years Ended</w:t>
            </w:r>
          </w:p>
        </w:tc>
        <w:tc>
          <w:tcPr>
            <w:tcW w:w="120" w:type="dxa"/>
            <w:vAlign w:val="bottom"/>
          </w:tcPr>
          <w:p>
            <w:pPr>
              <w:spacing w:after="0"/>
              <w:rPr>
                <w:sz w:val="7"/>
                <w:szCs w:val="7"/>
                <w:color w:val="auto"/>
              </w:rPr>
            </w:pPr>
          </w:p>
        </w:tc>
        <w:tc>
          <w:tcPr>
            <w:tcW w:w="760" w:type="dxa"/>
            <w:vAlign w:val="bottom"/>
            <w:gridSpan w:val="2"/>
          </w:tcPr>
          <w:p>
            <w:pPr>
              <w:jc w:val="center"/>
              <w:ind w:left="77"/>
              <w:spacing w:after="0" w:line="81" w:lineRule="exact"/>
              <w:rPr>
                <w:sz w:val="20"/>
                <w:szCs w:val="20"/>
                <w:color w:val="auto"/>
              </w:rPr>
            </w:pPr>
            <w:r>
              <w:rPr>
                <w:rFonts w:ascii="Arial" w:cs="Arial" w:eastAsia="Arial" w:hAnsi="Arial"/>
                <w:sz w:val="9"/>
                <w:szCs w:val="9"/>
                <w:b w:val="1"/>
                <w:bCs w:val="1"/>
                <w:color w:val="auto"/>
              </w:rPr>
              <w:t>Years Ended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0" w:type="dxa"/>
            <w:vAlign w:val="bottom"/>
            <w:gridSpan w:val="4"/>
          </w:tcPr>
          <w:p>
            <w:pPr>
              <w:jc w:val="center"/>
              <w:ind w:right="52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760" w:type="dxa"/>
            <w:vAlign w:val="bottom"/>
            <w:gridSpan w:val="2"/>
          </w:tcPr>
          <w:p>
            <w:pPr>
              <w:jc w:val="center"/>
              <w:ind w:left="77"/>
              <w:spacing w:after="0" w:line="108" w:lineRule="exact"/>
              <w:rPr>
                <w:sz w:val="20"/>
                <w:szCs w:val="20"/>
                <w:color w:val="auto"/>
              </w:rPr>
            </w:pPr>
            <w:r>
              <w:rPr>
                <w:rFonts w:ascii="Arial" w:cs="Arial" w:eastAsia="Arial" w:hAnsi="Arial"/>
                <w:sz w:val="10"/>
                <w:szCs w:val="10"/>
                <w:b w:val="1"/>
                <w:bCs w:val="1"/>
                <w:color w:val="auto"/>
                <w:w w:val="95"/>
              </w:rPr>
              <w:t>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600" w:type="dxa"/>
            <w:vAlign w:val="bottom"/>
            <w:gridSpan w:val="4"/>
          </w:tcPr>
          <w:p>
            <w:pPr>
              <w:jc w:val="center"/>
              <w:ind w:right="520"/>
              <w:spacing w:after="0"/>
              <w:rPr>
                <w:sz w:val="20"/>
                <w:szCs w:val="20"/>
                <w:color w:val="auto"/>
              </w:rPr>
            </w:pPr>
            <w:r>
              <w:rPr>
                <w:rFonts w:ascii="Arial" w:cs="Arial" w:eastAsia="Arial" w:hAnsi="Arial"/>
                <w:sz w:val="10"/>
                <w:szCs w:val="10"/>
                <w:b w:val="1"/>
                <w:bCs w:val="1"/>
                <w:color w:val="auto"/>
                <w:w w:val="93"/>
              </w:rPr>
              <w:t>2006 vs. 2005</w:t>
            </w:r>
          </w:p>
        </w:tc>
        <w:tc>
          <w:tcPr>
            <w:tcW w:w="120" w:type="dxa"/>
            <w:vAlign w:val="bottom"/>
          </w:tcPr>
          <w:p>
            <w:pPr>
              <w:spacing w:after="0"/>
              <w:rPr>
                <w:sz w:val="10"/>
                <w:szCs w:val="10"/>
                <w:color w:val="auto"/>
              </w:rPr>
            </w:pPr>
          </w:p>
        </w:tc>
        <w:tc>
          <w:tcPr>
            <w:tcW w:w="760" w:type="dxa"/>
            <w:vAlign w:val="bottom"/>
            <w:gridSpan w:val="2"/>
          </w:tcPr>
          <w:p>
            <w:pPr>
              <w:jc w:val="center"/>
              <w:ind w:left="77"/>
              <w:spacing w:after="0"/>
              <w:rPr>
                <w:sz w:val="20"/>
                <w:szCs w:val="20"/>
                <w:color w:val="auto"/>
              </w:rPr>
            </w:pPr>
            <w:r>
              <w:rPr>
                <w:rFonts w:ascii="Arial" w:cs="Arial" w:eastAsia="Arial" w:hAnsi="Arial"/>
                <w:sz w:val="10"/>
                <w:szCs w:val="10"/>
                <w:b w:val="1"/>
                <w:bCs w:val="1"/>
                <w:color w:val="auto"/>
                <w:w w:val="90"/>
              </w:rPr>
              <w:t>2005 vs. 2004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5"/>
              </w:rPr>
              <w:t>$ 289</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403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14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112</w:t>
            </w:r>
          </w:p>
        </w:tc>
        <w:tc>
          <w:tcPr>
            <w:tcW w:w="1040" w:type="dxa"/>
            <w:vAlign w:val="bottom"/>
            <w:gridSpan w:val="2"/>
          </w:tcPr>
          <w:p>
            <w:pPr>
              <w:jc w:val="right"/>
              <w:ind w:right="540"/>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3"/>
                <w:szCs w:val="13"/>
                <w:color w:val="auto"/>
              </w:rPr>
              <w:t>9</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7140" w:type="dxa"/>
            <w:vAlign w:val="bottom"/>
            <w:gridSpan w:val="2"/>
          </w:tcPr>
          <w:p>
            <w:pPr>
              <w:ind w:left="140"/>
              <w:spacing w:after="0"/>
              <w:rPr>
                <w:sz w:val="20"/>
                <w:szCs w:val="20"/>
                <w:color w:val="auto"/>
              </w:rPr>
            </w:pPr>
            <w:r>
              <w:rPr>
                <w:rFonts w:ascii="Arial" w:cs="Arial" w:eastAsia="Arial" w:hAnsi="Arial"/>
                <w:sz w:val="13"/>
                <w:szCs w:val="13"/>
                <w:color w:val="auto"/>
              </w:rPr>
              <w:t>Restructuring</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(28)</w:t>
            </w:r>
          </w:p>
        </w:tc>
        <w:tc>
          <w:tcPr>
            <w:tcW w:w="104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3"/>
                <w:szCs w:val="13"/>
                <w:color w:val="auto"/>
              </w:rPr>
              <w:t>29</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5.1</w:t>
            </w:r>
          </w:p>
        </w:tc>
        <w:tc>
          <w:tcPr>
            <w:tcW w:w="0" w:type="dxa"/>
            <w:vAlign w:val="bottom"/>
          </w:tcPr>
          <w:p>
            <w:pPr>
              <w:spacing w:after="0" w:line="20" w:lineRule="exact"/>
              <w:rPr>
                <w:sz w:val="1"/>
                <w:szCs w:val="1"/>
                <w:color w:val="auto"/>
              </w:rPr>
            </w:pPr>
          </w:p>
        </w:tc>
      </w:tr>
      <w:tr>
        <w:trPr>
          <w:trHeight w:val="157"/>
        </w:trPr>
        <w:tc>
          <w:tcPr>
            <w:tcW w:w="130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(30)</w:t>
            </w: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3"/>
                <w:szCs w:val="13"/>
                <w:color w:val="auto"/>
              </w:rPr>
              <w:t>547</w:t>
            </w:r>
          </w:p>
        </w:tc>
        <w:tc>
          <w:tcPr>
            <w:tcW w:w="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18.7</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20.8</w:t>
            </w:r>
          </w:p>
        </w:tc>
        <w:tc>
          <w:tcPr>
            <w:tcW w:w="0" w:type="dxa"/>
            <w:vAlign w:val="bottom"/>
          </w:tcPr>
          <w:p>
            <w:pPr>
              <w:spacing w:after="0"/>
              <w:rPr>
                <w:sz w:val="1"/>
                <w:szCs w:val="1"/>
                <w:color w:val="auto"/>
              </w:rPr>
            </w:pPr>
          </w:p>
        </w:tc>
      </w:tr>
      <w:tr>
        <w:trPr>
          <w:trHeight w:val="157"/>
        </w:trPr>
        <w:tc>
          <w:tcPr>
            <w:tcW w:w="7140" w:type="dxa"/>
            <w:vAlign w:val="bottom"/>
            <w:gridSpan w:val="2"/>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71</w:t>
            </w:r>
          </w:p>
        </w:tc>
        <w:tc>
          <w:tcPr>
            <w:tcW w:w="104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(9)</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33.3</w:t>
            </w:r>
          </w:p>
        </w:tc>
        <w:tc>
          <w:tcPr>
            <w:tcW w:w="0" w:type="dxa"/>
            <w:vAlign w:val="bottom"/>
          </w:tcPr>
          <w:p>
            <w:pPr>
              <w:spacing w:after="0"/>
              <w:rPr>
                <w:sz w:val="1"/>
                <w:szCs w:val="1"/>
                <w:color w:val="auto"/>
              </w:rPr>
            </w:pPr>
          </w:p>
        </w:tc>
      </w:tr>
      <w:tr>
        <w:trPr>
          <w:trHeight w:val="157"/>
        </w:trPr>
        <w:tc>
          <w:tcPr>
            <w:tcW w:w="7140" w:type="dxa"/>
            <w:vAlign w:val="bottom"/>
            <w:gridSpan w:val="2"/>
          </w:tcPr>
          <w:p>
            <w:pPr>
              <w:ind w:left="140"/>
              <w:spacing w:after="0"/>
              <w:rPr>
                <w:sz w:val="20"/>
                <w:szCs w:val="20"/>
                <w:color w:val="auto"/>
              </w:rPr>
            </w:pPr>
            <w:r>
              <w:rPr>
                <w:rFonts w:ascii="Arial" w:cs="Arial" w:eastAsia="Arial" w:hAnsi="Arial"/>
                <w:sz w:val="13"/>
                <w:szCs w:val="13"/>
                <w:color w:val="auto"/>
              </w:rPr>
              <w:t>Other, net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04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18.6</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 and cumulative effect of change in accounting principle</w:t>
            </w: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(7.3)</w:t>
            </w:r>
          </w:p>
        </w:tc>
        <w:tc>
          <w:tcPr>
            <w:tcW w:w="0" w:type="dxa"/>
            <w:vAlign w:val="bottom"/>
          </w:tcPr>
          <w:p>
            <w:pPr>
              <w:spacing w:after="0" w:line="20" w:lineRule="exact"/>
              <w:rPr>
                <w:sz w:val="1"/>
                <w:szCs w:val="1"/>
                <w:color w:val="auto"/>
              </w:rPr>
            </w:pPr>
          </w:p>
        </w:tc>
      </w:tr>
      <w:tr>
        <w:trPr>
          <w:trHeight w:val="156"/>
        </w:trPr>
        <w:tc>
          <w:tcPr>
            <w:tcW w:w="714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382</w:t>
            </w: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(86)</w:t>
            </w:r>
          </w:p>
        </w:tc>
        <w:tc>
          <w:tcPr>
            <w:tcW w:w="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8"/>
              </w:rPr>
              <w:t>(337)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3"/>
                <w:szCs w:val="13"/>
                <w:color w:val="auto"/>
              </w:rPr>
              <w:t>Income before cumulative effect of change in accounting principle</w:t>
            </w: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w w:val="92"/>
              </w:rPr>
              <w:t>27.0%</w:t>
            </w:r>
          </w:p>
        </w:tc>
        <w:tc>
          <w:tcPr>
            <w:tcW w:w="0" w:type="dxa"/>
            <w:vAlign w:val="bottom"/>
          </w:tcPr>
          <w:p>
            <w:pPr>
              <w:spacing w:after="0" w:line="20" w:lineRule="exact"/>
              <w:rPr>
                <w:sz w:val="1"/>
                <w:szCs w:val="1"/>
                <w:color w:val="auto"/>
              </w:rPr>
            </w:pPr>
          </w:p>
        </w:tc>
      </w:tr>
      <w:tr>
        <w:trPr>
          <w:trHeight w:val="166"/>
        </w:trPr>
        <w:tc>
          <w:tcPr>
            <w:tcW w:w="7140" w:type="dxa"/>
            <w:vAlign w:val="bottom"/>
            <w:gridSpan w:val="2"/>
            <w:vMerge w:val="continue"/>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w w:val="94"/>
              </w:rPr>
              <w:t>$ (33)</w:t>
            </w:r>
          </w:p>
        </w:tc>
        <w:tc>
          <w:tcPr>
            <w:tcW w:w="104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80"/>
              <w:spacing w:after="0"/>
              <w:rPr>
                <w:sz w:val="20"/>
                <w:szCs w:val="20"/>
                <w:color w:val="auto"/>
              </w:rPr>
            </w:pPr>
            <w:r>
              <w:rPr>
                <w:rFonts w:ascii="Arial" w:cs="Arial" w:eastAsia="Arial" w:hAnsi="Arial"/>
                <w:sz w:val="13"/>
                <w:szCs w:val="13"/>
                <w:color w:val="auto"/>
              </w:rPr>
              <w:t>251</w:t>
            </w:r>
          </w:p>
        </w:tc>
        <w:tc>
          <w:tcPr>
            <w:tcW w:w="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40" w:hanging="188"/>
        <w:spacing w:after="0" w:line="276" w:lineRule="auto"/>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 Refer to the explanations of these items included herein for a discussion of the relationship between current year and prior year activity.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for the periods indicated, the percentage relationship that the respective Consolidated Statement of Operations line items has to operating revenues: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Years Ended December 31,</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6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6"/>
        </w:trPr>
        <w:tc>
          <w:tcPr>
            <w:tcW w:w="7860" w:type="dxa"/>
            <w:vAlign w:val="bottom"/>
          </w:tcPr>
          <w:p>
            <w:pPr>
              <w:spacing w:after="0"/>
              <w:rPr>
                <w:sz w:val="20"/>
                <w:szCs w:val="20"/>
                <w:color w:val="auto"/>
              </w:rPr>
            </w:pPr>
            <w:r>
              <w:rPr>
                <w:rFonts w:ascii="Arial" w:cs="Arial" w:eastAsia="Arial" w:hAnsi="Arial"/>
                <w:sz w:val="13"/>
                <w:szCs w:val="13"/>
                <w:color w:val="auto"/>
              </w:rPr>
              <w:t>Costs and expenses:</w:t>
            </w: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64.3</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10.4</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9.8</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0.2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84.8</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86.9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6"/>
        </w:trPr>
        <w:tc>
          <w:tcPr>
            <w:tcW w:w="7860" w:type="dxa"/>
            <w:vAlign w:val="bottom"/>
          </w:tcPr>
          <w:p>
            <w:pPr>
              <w:spacing w:after="0"/>
              <w:rPr>
                <w:sz w:val="20"/>
                <w:szCs w:val="20"/>
                <w:color w:val="auto"/>
              </w:rPr>
            </w:pPr>
            <w:r>
              <w:rPr>
                <w:rFonts w:ascii="Arial" w:cs="Arial" w:eastAsia="Arial" w:hAnsi="Arial"/>
                <w:sz w:val="13"/>
                <w:szCs w:val="13"/>
                <w:color w:val="auto"/>
              </w:rPr>
              <w:t>Other income (expense):</w:t>
            </w: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800" w:type="dxa"/>
            <w:vAlign w:val="bottom"/>
            <w:gridSpan w:val="2"/>
          </w:tcPr>
          <w:p>
            <w:pPr>
              <w:jc w:val="right"/>
              <w:ind w:right="308"/>
              <w:spacing w:after="0"/>
              <w:rPr>
                <w:sz w:val="20"/>
                <w:szCs w:val="20"/>
                <w:color w:val="auto"/>
              </w:rPr>
            </w:pPr>
            <w:r>
              <w:rPr>
                <w:rFonts w:ascii="Arial" w:cs="Arial" w:eastAsia="Arial" w:hAnsi="Arial"/>
                <w:sz w:val="13"/>
                <w:szCs w:val="13"/>
                <w:color w:val="auto"/>
              </w:rPr>
              <w:t>(0.3)</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(0.8)</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786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(4.2)</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3"/>
                <w:szCs w:val="13"/>
                <w:color w:val="auto"/>
              </w:rPr>
              <w:t>Income before income taxes and cumulative effect of change in accounting principle</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11.0</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8.3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8"/>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3"/>
                <w:szCs w:val="13"/>
                <w:color w:val="auto"/>
              </w:rPr>
              <w:t>Income before cumulative effect of change in accounting principle</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8.6%</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9.0%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30"/>
        </w:trPr>
        <w:tc>
          <w:tcPr>
            <w:tcW w:w="7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Our operating revenues in 2006 were $13.4 billion, compared with $13.1 billion in 2005 and $12.5 billion in 2004.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year provided by our six operating Groups and our Other waste services:</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3,744</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3,112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2,971</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3,759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3,160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2,884</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Recycling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766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833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745</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(2,449)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(2,404)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Our operating revenues generally come from fees charged for our collection, disposal, transfer, Wheelabrator and recycling services. Some of the fees we charge to our customers for collection services are billed in advance;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liability for future service is recorded when we bill the customer and operating revenues are recognized as services are actually provided. Revenues from our disposal operations consist of tipping fees, which are generally based on the weight,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8,318</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3,197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3,004</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(2,449)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(2,404)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tcPr>
          <w:p>
            <w:pPr>
              <w:jc w:val="center"/>
              <w:ind w:right="520"/>
              <w:spacing w:after="0"/>
              <w:rPr>
                <w:sz w:val="20"/>
                <w:szCs w:val="20"/>
                <w:color w:val="auto"/>
              </w:rPr>
            </w:pPr>
            <w:r>
              <w:rPr>
                <w:rFonts w:ascii="Arial" w:cs="Arial" w:eastAsia="Arial" w:hAnsi="Arial"/>
                <w:sz w:val="10"/>
                <w:szCs w:val="10"/>
                <w:b w:val="1"/>
                <w:bCs w:val="1"/>
                <w:color w:val="auto"/>
                <w:w w:val="96"/>
              </w:rPr>
              <w:t>Period-to-Period</w:t>
            </w:r>
          </w:p>
        </w:tc>
        <w:tc>
          <w:tcPr>
            <w:tcW w:w="112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4"/>
              </w:rPr>
              <w:t>Period-to-Period</w:t>
            </w: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center"/>
              <w:ind w:left="57"/>
              <w:spacing w:after="0" w:line="108" w:lineRule="exact"/>
              <w:rPr>
                <w:sz w:val="20"/>
                <w:szCs w:val="20"/>
                <w:color w:val="auto"/>
              </w:rPr>
            </w:pPr>
            <w:r>
              <w:rPr>
                <w:rFonts w:ascii="Arial" w:cs="Arial" w:eastAsia="Arial" w:hAnsi="Arial"/>
                <w:sz w:val="10"/>
                <w:szCs w:val="10"/>
                <w:b w:val="1"/>
                <w:bCs w:val="1"/>
                <w:color w:val="auto"/>
                <w:w w:val="98"/>
              </w:rPr>
              <w:t>Change for</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3"/>
          </w:tcPr>
          <w:p>
            <w:pPr>
              <w:jc w:val="center"/>
              <w:ind w:left="157"/>
              <w:spacing w:after="0" w:line="108" w:lineRule="exact"/>
              <w:rPr>
                <w:sz w:val="20"/>
                <w:szCs w:val="20"/>
                <w:color w:val="auto"/>
              </w:rPr>
            </w:pPr>
            <w:r>
              <w:rPr>
                <w:rFonts w:ascii="Arial" w:cs="Arial" w:eastAsia="Arial" w:hAnsi="Arial"/>
                <w:sz w:val="10"/>
                <w:szCs w:val="10"/>
                <w:b w:val="1"/>
                <w:bCs w:val="1"/>
                <w:color w:val="auto"/>
                <w:w w:val="94"/>
              </w:rPr>
              <w:t>Change for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0"/>
                <w:szCs w:val="10"/>
                <w:b w:val="1"/>
                <w:bCs w:val="1"/>
                <w:color w:val="auto"/>
                <w:w w:val="93"/>
              </w:rPr>
              <w:t>2006 vs. 2005</w:t>
            </w:r>
          </w:p>
        </w:tc>
        <w:tc>
          <w:tcPr>
            <w:tcW w:w="2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0"/>
                <w:szCs w:val="10"/>
                <w:b w:val="1"/>
                <w:bCs w:val="1"/>
                <w:color w:val="auto"/>
                <w:w w:val="90"/>
              </w:rPr>
              <w:t>2005 vs. 2004</w:t>
            </w:r>
          </w:p>
        </w:tc>
        <w:tc>
          <w:tcPr>
            <w:tcW w:w="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461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3.6%</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$ 336</w:t>
            </w: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(0.4)</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(0.3)</w:t>
            </w:r>
          </w:p>
        </w:tc>
        <w:tc>
          <w:tcPr>
            <w:tcW w:w="0" w:type="dxa"/>
            <w:vAlign w:val="bottom"/>
          </w:tcPr>
          <w:p>
            <w:pPr>
              <w:spacing w:after="0"/>
              <w:rPr>
                <w:sz w:val="1"/>
                <w:szCs w:val="1"/>
                <w:color w:val="auto"/>
              </w:rPr>
            </w:pP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fees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1.3</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535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3.7</w:t>
            </w:r>
          </w:p>
        </w:tc>
        <w:tc>
          <w:tcPr>
            <w:tcW w:w="0" w:type="dxa"/>
            <w:vAlign w:val="bottom"/>
          </w:tcPr>
          <w:p>
            <w:pPr>
              <w:spacing w:after="0"/>
              <w:rPr>
                <w:sz w:val="1"/>
                <w:szCs w:val="1"/>
                <w:color w:val="auto"/>
              </w:rPr>
            </w:pPr>
          </w:p>
        </w:tc>
      </w:tr>
      <w:tr>
        <w:trPr>
          <w:trHeight w:val="158"/>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(187)</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(1.4)</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348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466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3.7</w:t>
            </w:r>
          </w:p>
        </w:tc>
        <w:tc>
          <w:tcPr>
            <w:tcW w:w="0" w:type="dxa"/>
            <w:vAlign w:val="bottom"/>
          </w:tcPr>
          <w:p>
            <w:pPr>
              <w:spacing w:after="0"/>
              <w:rPr>
                <w:sz w:val="1"/>
                <w:szCs w:val="1"/>
                <w:color w:val="auto"/>
              </w:rPr>
            </w:pPr>
          </w:p>
        </w:tc>
      </w:tr>
      <w:tr>
        <w:trPr>
          <w:trHeight w:val="158"/>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0.9</w:t>
            </w:r>
          </w:p>
        </w:tc>
        <w:tc>
          <w:tcPr>
            <w:tcW w:w="0" w:type="dxa"/>
            <w:vAlign w:val="bottom"/>
          </w:tcPr>
          <w:p>
            <w:pPr>
              <w:spacing w:after="0"/>
              <w:rPr>
                <w:sz w:val="1"/>
                <w:szCs w:val="1"/>
                <w:color w:val="auto"/>
              </w:rPr>
            </w:pP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(154)</w:t>
            </w:r>
          </w:p>
        </w:tc>
        <w:tc>
          <w:tcPr>
            <w:tcW w:w="80" w:type="dxa"/>
            <w:vAlign w:val="bottom"/>
          </w:tcPr>
          <w:p>
            <w:pPr>
              <w:spacing w:after="0"/>
              <w:rPr>
                <w:sz w:val="13"/>
                <w:szCs w:val="13"/>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(0.4)</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0.3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289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$ 558</w:t>
            </w: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30"/>
        </w:trPr>
        <w:tc>
          <w:tcPr>
            <w:tcW w:w="7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i w:val="1"/>
          <w:iCs w:val="1"/>
          <w:color w:val="auto"/>
        </w:rPr>
        <w:t xml:space="preserve">Base Business </w:t>
      </w:r>
      <w:r>
        <w:rPr>
          <w:rFonts w:ascii="Arial" w:cs="Arial" w:eastAsia="Arial" w:hAnsi="Arial"/>
          <w:sz w:val="12"/>
          <w:szCs w:val="12"/>
          <w:color w:val="auto"/>
        </w:rPr>
        <w:t>— Revenue growth from yield on base business reflects the effect on our revenue from the pricing activities of our collection, transfer, disposal and waste-to-energy</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exclusive of volume changes. Our revenue growth from base business yield includes not only price increases, but also (i) price decreases to retain customers; (ii) changes in average price from new and lost business; and (iii) certain average price changes related to the overall mix of services, which are due to both the types of services provided and the geographic locations where our services are provided. Our pricing excellence initiative continues to be the primary contributor to internal revenue growth.</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both 2005 and 2006, revenue growth from base business yield was primarily attributable to our collection operations, where we experienced substantial revenue growth in every geographic operating Group. Our base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business yield improvement resulted largely from our focus on pricing our business based on market-specific factors, including our costs. As discussed below, the significant collection revenue increases due to yield have been partially offset by revenue declines from lower collection volumes. In assessing the impact of higher collection yield on our volumes, we continue to find that, in spite of collection volume declines, revenue growth from base business yield and a focus on controlling variable costs are providing notable earnings, margin and cash flow improvements.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Throughout 2006, increases in revenue due to yield on base business at our transfer stations and for our construction and demolition and municipal solid waste streams at our landfills were also noteworthy. These improvements were due to the practices implemented as a result of our findings from our pricing studies. The increases in transfer station revenues in 2006 were the most significant in the Eastern and Western portions of the United States. At our landfills, construction and demolition revenue growth from yield was the most significant in the West and South and municipal solid waste revenue growth from yield was provided by the East, South and Midwest. In 2005, our transfer business in the East and municipal solid waste landfill disposal operations in the South provided the most significant revenue growth from base business yield in those lines of our business.</w:t>
      </w:r>
    </w:p>
    <w:p>
      <w:pPr>
        <w:spacing w:after="0" w:line="55"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also experienced substantial yield contributions to revenues from our waste-to-energy facilities in the second half of 2005 and through the third quarter of 2006. The revenue improvements at our waste-to-energy facilities were largely due to significant increases in the rates charged for electricity under our long-term contracts with electric utilities, which generally are indexed to natural gas prices.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environmental cost recovery fee, which is included in base business yield, increased revenues on a year-over-year basis by $43 million in 2006 and $33 million in 2005. Other fee programs, which were targeted at recovering the costs we incur for services that are included in base business yield, such as fees for the collection of past due balances, also contributed to yield improvement in 2006.</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2005 revenue improvements attributable to yield discussed above were partially offset by a general decline in yield in special waste landfill disposal operations, noted principally in our Midwest and Southern Groups.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Commodity </w:t>
      </w:r>
      <w:r>
        <w:rPr>
          <w:rFonts w:ascii="Arial" w:cs="Arial" w:eastAsia="Arial" w:hAnsi="Arial"/>
          <w:sz w:val="13"/>
          <w:szCs w:val="13"/>
          <w:color w:val="auto"/>
        </w:rPr>
        <w:t>— Our revenues in both 2005 and 2006 declined as compared with the prior year due to price decreases in recycling commodities. Average prices for old corrugated</w:t>
      </w:r>
      <w:r>
        <w:rPr>
          <w:rFonts w:ascii="Arial" w:cs="Arial" w:eastAsia="Arial" w:hAnsi="Arial"/>
          <w:sz w:val="13"/>
          <w:szCs w:val="13"/>
          <w:i w:val="1"/>
          <w:iCs w:val="1"/>
          <w:color w:val="auto"/>
        </w:rPr>
        <w:t xml:space="preserve"> </w:t>
      </w:r>
      <w:r>
        <w:rPr>
          <w:rFonts w:ascii="Arial" w:cs="Arial" w:eastAsia="Arial" w:hAnsi="Arial"/>
          <w:sz w:val="13"/>
          <w:szCs w:val="13"/>
          <w:color w:val="auto"/>
        </w:rPr>
        <w:t>cardboard dropped by 8% in both 2005 and 2006, from $85 per ton in 2004 to $78 per ton in 2005 and to $72 per ton in 2006. Average prices for old newsprint were also down by about 3% in 2005 and 7% in 2006, from $86 per ton in 2004 to $83 per ton in 2005 and to $77 per ton in 2006.</w:t>
      </w:r>
    </w:p>
    <w:p>
      <w:pPr>
        <w:spacing w:after="0" w:line="67"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A significant portion of revenues attributable to commodities is rebated to our suppliers of recyclable materials. Accordingly, changes in our revenues due to fluctuations in commodity prices have a corresponding impact on our cost of goods sold.</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Fuel surcharges and fees </w:t>
      </w:r>
      <w:r>
        <w:rPr>
          <w:rFonts w:ascii="Arial" w:cs="Arial" w:eastAsia="Arial" w:hAnsi="Arial"/>
          <w:sz w:val="12"/>
          <w:szCs w:val="12"/>
          <w:color w:val="auto"/>
        </w:rPr>
        <w:t>— Fuel surcharges increased revenues year-over-year by $117 million for 2006 and $157 million for 2005. These increases are due to our continued effort to</w:t>
      </w:r>
      <w:r>
        <w:rPr>
          <w:rFonts w:ascii="Arial" w:cs="Arial" w:eastAsia="Arial" w:hAnsi="Arial"/>
          <w:sz w:val="12"/>
          <w:szCs w:val="12"/>
          <w:i w:val="1"/>
          <w:iCs w:val="1"/>
          <w:color w:val="auto"/>
        </w:rPr>
        <w:t xml:space="preserve"> </w:t>
      </w:r>
      <w:r>
        <w:rPr>
          <w:rFonts w:ascii="Arial" w:cs="Arial" w:eastAsia="Arial" w:hAnsi="Arial"/>
          <w:sz w:val="12"/>
          <w:szCs w:val="12"/>
          <w:color w:val="auto"/>
        </w:rPr>
        <w:t>pass on higher fuel costs to our customers through fuel surcharges. The substantial increases in revenue provided by our fuel surcharge program can generally be attributed to (i) increases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and vendors.</w:t>
      </w:r>
    </w:p>
    <w:p>
      <w:pPr>
        <w:spacing w:after="0" w:line="53"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 xml:space="preserve">Increases in our operating expenses due to higher diesel fuel prices include our direct fuel costs for our operations, which are included in </w:t>
      </w:r>
      <w:r>
        <w:rPr>
          <w:rFonts w:ascii="Arial" w:cs="Arial" w:eastAsia="Arial" w:hAnsi="Arial"/>
          <w:sz w:val="12"/>
          <w:szCs w:val="12"/>
          <w:i w:val="1"/>
          <w:iCs w:val="1"/>
          <w:color w:val="auto"/>
        </w:rPr>
        <w:t>Operating Expenses — Fuel</w:t>
      </w:r>
      <w:r>
        <w:rPr>
          <w:rFonts w:ascii="Arial" w:cs="Arial" w:eastAsia="Arial" w:hAnsi="Arial"/>
          <w:sz w:val="12"/>
          <w:szCs w:val="12"/>
          <w:color w:val="auto"/>
        </w:rPr>
        <w:t xml:space="preserve">, as well as estimated indirect fuel costs, which are included primarily in </w:t>
      </w:r>
      <w:r>
        <w:rPr>
          <w:rFonts w:ascii="Arial" w:cs="Arial" w:eastAsia="Arial" w:hAnsi="Arial"/>
          <w:sz w:val="12"/>
          <w:szCs w:val="12"/>
          <w:i w:val="1"/>
          <w:iCs w:val="1"/>
          <w:color w:val="auto"/>
        </w:rPr>
        <w:t>Operating Expenses — Subcontractor Costs.</w:t>
      </w:r>
      <w:r>
        <w:rPr>
          <w:rFonts w:ascii="Arial" w:cs="Arial" w:eastAsia="Arial" w:hAnsi="Arial"/>
          <w:sz w:val="12"/>
          <w:szCs w:val="12"/>
          <w:color w:val="auto"/>
        </w:rPr>
        <w:t xml:space="preserve"> As discussed in the </w:t>
      </w:r>
      <w:r>
        <w:rPr>
          <w:rFonts w:ascii="Arial" w:cs="Arial" w:eastAsia="Arial" w:hAnsi="Arial"/>
          <w:sz w:val="12"/>
          <w:szCs w:val="12"/>
          <w:i w:val="1"/>
          <w:iCs w:val="1"/>
          <w:color w:val="auto"/>
        </w:rPr>
        <w:t>Operating Expenses</w:t>
      </w:r>
      <w:r>
        <w:rPr>
          <w:rFonts w:ascii="Arial" w:cs="Arial" w:eastAsia="Arial" w:hAnsi="Arial"/>
          <w:sz w:val="12"/>
          <w:szCs w:val="12"/>
          <w:color w:val="auto"/>
        </w:rPr>
        <w:t xml:space="preserve"> section below, during 2006 our fuel surcharge program recovered both components of our higher costs. Our fuel surcharge program substantially recovered these costs for the year ended December 31, 2005.</w:t>
      </w:r>
    </w:p>
    <w:p>
      <w:pPr>
        <w:spacing w:after="0" w:line="5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Declines in revenue due to lower volumes between 2006 and 2005 were driven by decreases in our collection volumes, due primarily to our focus on improving the</w:t>
      </w:r>
      <w:r>
        <w:rPr>
          <w:rFonts w:ascii="Arial" w:cs="Arial" w:eastAsia="Arial" w:hAnsi="Arial"/>
          <w:sz w:val="13"/>
          <w:szCs w:val="13"/>
          <w:i w:val="1"/>
          <w:iCs w:val="1"/>
          <w:color w:val="auto"/>
        </w:rPr>
        <w:t xml:space="preserve"> </w:t>
      </w:r>
      <w:r>
        <w:rPr>
          <w:rFonts w:ascii="Arial" w:cs="Arial" w:eastAsia="Arial" w:hAnsi="Arial"/>
          <w:sz w:val="13"/>
          <w:szCs w:val="13"/>
          <w:color w:val="auto"/>
        </w:rPr>
        <w:t>margins in this line of business through pricing.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These revenue declines were the most significant in our residential and industrial collection operations, with our Eastern, Southern and Midwestern Groups experiencing the most notable decreases. Our commercial collection operations also had declines in revenue due to lower volumes in 2006, principally in the Midwestern and Eastern Groups. The decline in revenue due to lower volumes for our collection operations was also due to a decrease in hurricane related revenues in the South.</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revenue declines in our collection businesses in 2006 were partially offset by increased disposal volumes in all of our geographic regions through the first nine months of the year. Our special waste, municipal solid waste and construction and demolition waste streams were the primary drivers of this growth in revenues due to higher volumes. We believe that the strength of the economy throughout most of the year and favorable weather in many parts of the country were the primary drivers of the higher disposal volumes. In the fourth quarter of 2006, we experienced a decline in disposal volumes as compared with the fourth quarter of 2005, which we believe is due to the lack of hurricane volumes in 2006, competition, impacts of our pricing initiatives and an economic softening in certain lines of our business in certain parts of the country.</w:t>
      </w:r>
    </w:p>
    <w:p>
      <w:pPr>
        <w:spacing w:after="0" w:line="5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Also contributing to the decline in our revenues due to lower volumes for 2006 were (i) the completion of the construction of an integrated waste facility on behalf of a municipality in Canada in early 2006; (ii) the deconsolidation of a variable interest entity during the second quarter of 2006; and (iii) decreased volumes from our transfer station and recycling operations.</w:t>
      </w:r>
    </w:p>
    <w:p>
      <w:pPr>
        <w:spacing w:after="0" w:line="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Revenues due to changes in volumes were relatively flat when comparing 2005 with 2004. This was generally because of the combined impacts of (i) a decline in revenues associated with hurricanes; (ii) increases in recycling and landfill disposal volumes; and (iii) lower revenue from residential, commercial and industrial collection volumes, particularly in the East and Midwest, which can generally be attributed to our focus on improving our margins by increasing yield.</w:t>
      </w:r>
    </w:p>
    <w:p>
      <w:pPr>
        <w:spacing w:after="0" w:line="67"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Our revenue due to volumes generated from hurricane related services were $56 million for the year ended December 31, 2005 as compared with $115 million for the year ended December 31, 2004. The $59 million decline was partially due to the temporary suspension of certain of our operations in the Gulf Coast region during 2005 as a result of the severe destruction caused by Hurricane Katrina. In addition, much of our 2004 hurricane related revenues was associated with subcontracted services, which generated comparatively lower margins. In 2005, we generally elected not to undertake hurricane related projects for which we could not support the required services with internal resources.</w:t>
      </w:r>
    </w:p>
    <w:p>
      <w:pPr>
        <w:spacing w:after="0" w:line="53"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When excluding the impacts of the hurricanes, revenue due to higher volumes increased $62 million, or 0.5% during 2005. This increase was largely due to (i) increased recycling volumes provided by several brokerage contracts; (ii) increased landfill disposal volumes in the Midwest, West and South; (iii) increased transfer station volumes in the West and the South; and (iv) increased residential collection volumes in the West. Also included as a component of revenue growth from volumes in 2005 was revenue generated from our construction of an integrated waste facility on behalf of a municipality in Canada. The revenue generated by this project was low margin and largely offset by a corresponding increase in cost of goods sold</w:t>
      </w:r>
      <w:r>
        <w:rPr>
          <w:rFonts w:ascii="Arial" w:cs="Arial" w:eastAsia="Arial" w:hAnsi="Arial"/>
          <w:sz w:val="11"/>
          <w:szCs w:val="11"/>
          <w:i w:val="1"/>
          <w:iCs w:val="1"/>
          <w:color w:val="auto"/>
        </w:rPr>
        <w:t>.</w:t>
      </w:r>
    </w:p>
    <w:p>
      <w:pPr>
        <w:spacing w:after="0" w:line="3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These revenue increases were largely offset by volume declines experienced in each line of business in the Eastern portion of the United States and significant volume declines in our collection business in the Midwest.</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The net impact of acquisitions and divestitures on our revenues was a decrease of $102 million in 2006 and an increase of $50 million in 2005. The</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change in these impacts is a result of our divestiture plan, which was initiated in the third quarter of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our waste to disposal facilities and are driven by transportation costs such as fuel prices;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7"/>
        <w:spacing w:after="0" w:line="303" w:lineRule="auto"/>
        <w:tabs>
          <w:tab w:leader="none" w:pos="866" w:val="left"/>
        </w:tabs>
        <w:numPr>
          <w:ilvl w:val="0"/>
          <w:numId w:val="24"/>
        </w:numPr>
        <w:rPr>
          <w:rFonts w:ascii="Arial" w:cs="Arial" w:eastAsia="Arial" w:hAnsi="Arial"/>
          <w:sz w:val="11"/>
          <w:szCs w:val="11"/>
          <w:color w:val="auto"/>
        </w:rPr>
      </w:pPr>
      <w:r>
        <w:rPr>
          <w:rFonts w:ascii="Arial" w:cs="Arial" w:eastAsia="Arial" w:hAnsi="Arial"/>
          <w:sz w:val="11"/>
          <w:szCs w:val="11"/>
          <w:color w:val="auto"/>
        </w:rPr>
        <w:t>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w:t>
      </w:r>
    </w:p>
    <w:p>
      <w:pPr>
        <w:ind w:left="680" w:right="60" w:firstLine="7"/>
        <w:spacing w:after="0" w:line="264" w:lineRule="auto"/>
        <w:tabs>
          <w:tab w:leader="none" w:pos="902" w:val="left"/>
        </w:tabs>
        <w:numPr>
          <w:ilvl w:val="0"/>
          <w:numId w:val="25"/>
        </w:numPr>
        <w:rPr>
          <w:rFonts w:ascii="Arial" w:cs="Arial" w:eastAsia="Arial" w:hAnsi="Arial"/>
          <w:sz w:val="13"/>
          <w:szCs w:val="13"/>
          <w:color w:val="auto"/>
        </w:rPr>
      </w:pPr>
      <w:r>
        <w:rPr>
          <w:rFonts w:ascii="Arial" w:cs="Arial" w:eastAsia="Arial" w:hAnsi="Arial"/>
          <w:sz w:val="13"/>
          <w:szCs w:val="13"/>
          <w:color w:val="auto"/>
        </w:rPr>
        <w:t>risk management costs, which include workers’ compensation and insurance and claim costs and (x) other operating costs, which include, among other costs, equipment and facility rent and property taxes.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our operating expenses, including the impact of foreign currency translation, for the years ended December 31 (in millions):</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b w:val="1"/>
                <w:bCs w:val="1"/>
                <w:color w:val="auto"/>
              </w:rPr>
              <w:t>Period-to-</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Period-to-</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$ 2,479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$ 2,471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84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$ 2,387</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3"/>
                <w:szCs w:val="13"/>
                <w:color w:val="auto"/>
              </w:rPr>
            </w:pPr>
          </w:p>
        </w:tc>
        <w:tc>
          <w:tcPr>
            <w:tcW w:w="780" w:type="dxa"/>
            <w:vAlign w:val="bottom"/>
            <w:gridSpan w:val="2"/>
          </w:tcPr>
          <w:p>
            <w:pPr>
              <w:jc w:val="right"/>
              <w:ind w:right="488"/>
              <w:spacing w:after="0"/>
              <w:rPr>
                <w:sz w:val="20"/>
                <w:szCs w:val="20"/>
                <w:color w:val="auto"/>
              </w:rPr>
            </w:pPr>
            <w:r>
              <w:rPr>
                <w:rFonts w:ascii="Arial" w:cs="Arial" w:eastAsia="Arial" w:hAnsi="Arial"/>
                <w:sz w:val="13"/>
                <w:szCs w:val="13"/>
                <w:color w:val="auto"/>
                <w:w w:val="94"/>
              </w:rPr>
              <w:t>(22)</w:t>
            </w:r>
          </w:p>
        </w:tc>
        <w:tc>
          <w:tcPr>
            <w:tcW w:w="740" w:type="dxa"/>
            <w:vAlign w:val="bottom"/>
            <w:gridSpan w:val="2"/>
          </w:tcPr>
          <w:p>
            <w:pPr>
              <w:jc w:val="right"/>
              <w:ind w:right="480"/>
              <w:spacing w:after="0"/>
              <w:rPr>
                <w:sz w:val="20"/>
                <w:szCs w:val="20"/>
                <w:color w:val="auto"/>
              </w:rPr>
            </w:pPr>
            <w:r>
              <w:rPr>
                <w:rFonts w:ascii="Arial" w:cs="Arial" w:eastAsia="Arial" w:hAnsi="Arial"/>
                <w:sz w:val="13"/>
                <w:szCs w:val="13"/>
                <w:color w:val="auto"/>
                <w:w w:val="89"/>
              </w:rPr>
              <w:t>(1.7)</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1,270</w:t>
            </w:r>
          </w:p>
        </w:tc>
        <w:tc>
          <w:tcPr>
            <w:tcW w:w="80" w:type="dxa"/>
            <w:vAlign w:val="bottom"/>
          </w:tcPr>
          <w:p>
            <w:pPr>
              <w:spacing w:after="0"/>
              <w:rPr>
                <w:sz w:val="13"/>
                <w:szCs w:val="13"/>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3"/>
                <w:szCs w:val="13"/>
                <w:color w:val="auto"/>
              </w:rPr>
              <w:t>(19)</w:t>
            </w:r>
          </w:p>
        </w:tc>
        <w:tc>
          <w:tcPr>
            <w:tcW w:w="760" w:type="dxa"/>
            <w:vAlign w:val="bottom"/>
            <w:gridSpan w:val="2"/>
          </w:tcPr>
          <w:p>
            <w:pPr>
              <w:jc w:val="right"/>
              <w:ind w:right="460"/>
              <w:spacing w:after="0"/>
              <w:rPr>
                <w:sz w:val="20"/>
                <w:szCs w:val="20"/>
                <w:color w:val="auto"/>
              </w:rPr>
            </w:pPr>
            <w:r>
              <w:rPr>
                <w:rFonts w:ascii="Arial" w:cs="Arial" w:eastAsia="Arial" w:hAnsi="Arial"/>
                <w:sz w:val="13"/>
                <w:szCs w:val="13"/>
                <w:color w:val="auto"/>
              </w:rPr>
              <w:t>(1.5)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1,289</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0.2</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35</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Subcontractor costs</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34</w:t>
            </w:r>
          </w:p>
        </w:tc>
        <w:tc>
          <w:tcPr>
            <w:tcW w:w="740" w:type="dxa"/>
            <w:vAlign w:val="bottom"/>
            <w:gridSpan w:val="2"/>
          </w:tcPr>
          <w:p>
            <w:pPr>
              <w:jc w:val="right"/>
              <w:ind w:right="520"/>
              <w:spacing w:after="0"/>
              <w:rPr>
                <w:sz w:val="20"/>
                <w:szCs w:val="20"/>
                <w:color w:val="auto"/>
              </w:rPr>
            </w:pPr>
            <w:r>
              <w:rPr>
                <w:rFonts w:ascii="Arial" w:cs="Arial" w:eastAsia="Arial" w:hAnsi="Arial"/>
                <w:sz w:val="13"/>
                <w:szCs w:val="13"/>
                <w:color w:val="auto"/>
              </w:rPr>
              <w:t>3.6</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937</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26</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rPr>
              <w:t>2.9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(56)</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89"/>
              </w:rPr>
              <w:t>(8.7)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49</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Fuel</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47</w:t>
            </w:r>
          </w:p>
        </w:tc>
        <w:tc>
          <w:tcPr>
            <w:tcW w:w="740" w:type="dxa"/>
            <w:vAlign w:val="bottom"/>
            <w:gridSpan w:val="2"/>
          </w:tcPr>
          <w:p>
            <w:pPr>
              <w:jc w:val="right"/>
              <w:ind w:right="520"/>
              <w:spacing w:after="0"/>
              <w:rPr>
                <w:sz w:val="20"/>
                <w:szCs w:val="20"/>
                <w:color w:val="auto"/>
              </w:rPr>
            </w:pPr>
            <w:r>
              <w:rPr>
                <w:rFonts w:ascii="Arial" w:cs="Arial" w:eastAsia="Arial" w:hAnsi="Arial"/>
                <w:sz w:val="13"/>
                <w:szCs w:val="13"/>
                <w:color w:val="auto"/>
              </w:rPr>
              <w:t>8.8</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532</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w w:val="92"/>
              </w:rPr>
              <w:t>131</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94"/>
              </w:rPr>
              <w:t>32.7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89"/>
              </w:rPr>
              <w:t>(0.2)</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22</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5</w:t>
            </w:r>
          </w:p>
        </w:tc>
        <w:tc>
          <w:tcPr>
            <w:tcW w:w="740" w:type="dxa"/>
            <w:vAlign w:val="bottom"/>
            <w:gridSpan w:val="2"/>
          </w:tcPr>
          <w:p>
            <w:pPr>
              <w:jc w:val="right"/>
              <w:ind w:right="520"/>
              <w:spacing w:after="0"/>
              <w:rPr>
                <w:sz w:val="20"/>
                <w:szCs w:val="20"/>
                <w:color w:val="auto"/>
              </w:rPr>
            </w:pPr>
            <w:r>
              <w:rPr>
                <w:rFonts w:ascii="Arial" w:cs="Arial" w:eastAsia="Arial" w:hAnsi="Arial"/>
                <w:sz w:val="13"/>
                <w:szCs w:val="13"/>
                <w:color w:val="auto"/>
              </w:rPr>
              <w:t>2.1</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14</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rPr>
              <w:t>6.4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(21)</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89"/>
              </w:rPr>
              <w:t>(6.7)</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Other</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3"/>
                <w:szCs w:val="13"/>
                <w:color w:val="auto"/>
              </w:rPr>
            </w:pPr>
          </w:p>
        </w:tc>
        <w:tc>
          <w:tcPr>
            <w:tcW w:w="780" w:type="dxa"/>
            <w:vAlign w:val="bottom"/>
            <w:gridSpan w:val="2"/>
          </w:tcPr>
          <w:p>
            <w:pPr>
              <w:jc w:val="right"/>
              <w:ind w:right="488"/>
              <w:spacing w:after="0"/>
              <w:rPr>
                <w:sz w:val="20"/>
                <w:szCs w:val="20"/>
                <w:color w:val="auto"/>
              </w:rPr>
            </w:pPr>
            <w:r>
              <w:rPr>
                <w:rFonts w:ascii="Arial" w:cs="Arial" w:eastAsia="Arial" w:hAnsi="Arial"/>
                <w:sz w:val="13"/>
                <w:szCs w:val="13"/>
                <w:color w:val="auto"/>
                <w:w w:val="94"/>
              </w:rPr>
              <w:t>(40)</w:t>
            </w:r>
          </w:p>
        </w:tc>
        <w:tc>
          <w:tcPr>
            <w:tcW w:w="740" w:type="dxa"/>
            <w:vAlign w:val="bottom"/>
            <w:gridSpan w:val="2"/>
          </w:tcPr>
          <w:p>
            <w:pPr>
              <w:jc w:val="right"/>
              <w:ind w:right="480"/>
              <w:spacing w:after="0"/>
              <w:rPr>
                <w:sz w:val="20"/>
                <w:szCs w:val="20"/>
                <w:color w:val="auto"/>
              </w:rPr>
            </w:pPr>
            <w:r>
              <w:rPr>
                <w:rFonts w:ascii="Arial" w:cs="Arial" w:eastAsia="Arial" w:hAnsi="Arial"/>
                <w:sz w:val="13"/>
                <w:szCs w:val="13"/>
                <w:color w:val="auto"/>
                <w:w w:val="89"/>
              </w:rPr>
              <w:t>(8.8)</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454</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68</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94"/>
              </w:rPr>
              <w:t>17.6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2"/>
              </w:rPr>
              <w:t>$ 8,587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(44)</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8"/>
              </w:rPr>
              <w:t>(0.5)%</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$ 8,631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2"/>
              </w:rPr>
              <w:t>403</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$ 8,228</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color w:val="auto"/>
        </w:rPr>
        <w:t>Our operating expense margin improved 1.7 percentage points, from 66.0% in 2005 to 64.3% in 2006. This improvement can be attributed to the fact that we experienced increased revenues while controlling our total operating costs. Our ability to manage operating costs demonstrates progress on our operational excellence initiatives such as improving productivity, reducing fleet maintenance costs, standardizing operating practices and improving safety. In addition, our operating expenses have declined when comparing 2006 with 2005 due in part to divestitures and reduced volumes. Divestitures and reduced volumes have contributed to reduced costs or have offset other cost increases in every category throughout 2006.</w:t>
      </w:r>
    </w:p>
    <w:p>
      <w:pPr>
        <w:spacing w:after="0" w:line="3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impact of our cost control initiatives, divestitures, volumes and other significant factors on the comparability of costs incurred for each operating expense category in 2006, 2005 and 2004 are summarized below.</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When comparing 2006 with 2005, these costs have increased due to annual merit increases and higher bonus expense due to the overall improvement in</w:t>
      </w:r>
      <w:r>
        <w:rPr>
          <w:rFonts w:ascii="Arial" w:cs="Arial" w:eastAsia="Arial" w:hAnsi="Arial"/>
          <w:sz w:val="13"/>
          <w:szCs w:val="13"/>
          <w:i w:val="1"/>
          <w:iCs w:val="1"/>
          <w:color w:val="auto"/>
        </w:rPr>
        <w:t xml:space="preserve"> </w:t>
      </w:r>
      <w:r>
        <w:rPr>
          <w:rFonts w:ascii="Arial" w:cs="Arial" w:eastAsia="Arial" w:hAnsi="Arial"/>
          <w:sz w:val="13"/>
          <w:szCs w:val="13"/>
          <w:color w:val="auto"/>
        </w:rPr>
        <w:t>our performance on a year-over-year basis. These cost increases were partially offset by (i) declines in health and welfare insurance expenses, due to our focus on controlling costs and reductions in operations personnel as a result of divestitures; (ii) reduced overtime generally associated with our reduced volumes; and (iii) reduced headcount due to divestitures and our focus on operating efficiencies. In 2005, the year-over-year increase in costs was generally due to higher salary and wage costs, general increases in health care and benefits costs, increased costs attributable to contract labor and increased payroll taxes.</w:t>
      </w:r>
    </w:p>
    <w:p>
      <w:pPr>
        <w:spacing w:after="0" w:line="71"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i w:val="1"/>
          <w:iCs w:val="1"/>
          <w:color w:val="auto"/>
        </w:rPr>
        <w:t xml:space="preserve">Transfer and disposal costs </w:t>
      </w:r>
      <w:r>
        <w:rPr>
          <w:rFonts w:ascii="Arial" w:cs="Arial" w:eastAsia="Arial" w:hAnsi="Arial"/>
          <w:sz w:val="12"/>
          <w:szCs w:val="12"/>
          <w:color w:val="auto"/>
        </w:rPr>
        <w:t>— In 2006 and 2005 the costs incurred by our collection operations to dispose of waste at third-party transfer stations or landfills declined due to our</w:t>
      </w:r>
      <w:r>
        <w:rPr>
          <w:rFonts w:ascii="Arial" w:cs="Arial" w:eastAsia="Arial" w:hAnsi="Arial"/>
          <w:sz w:val="12"/>
          <w:szCs w:val="12"/>
          <w:i w:val="1"/>
          <w:iCs w:val="1"/>
          <w:color w:val="auto"/>
        </w:rPr>
        <w:t xml:space="preserve"> </w:t>
      </w:r>
      <w:r>
        <w:rPr>
          <w:rFonts w:ascii="Arial" w:cs="Arial" w:eastAsia="Arial" w:hAnsi="Arial"/>
          <w:sz w:val="12"/>
          <w:szCs w:val="12"/>
          <w:color w:val="auto"/>
        </w:rPr>
        <w:t>focus on improving internalization. During 2006, declines in these costs are also attributable to the impact of divestitures and general volume declines.</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In 2006, these costs were relatively flat due to the offsetting impacts of increases in labor costs and decreases driven by (i) changes in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projects at our waste-to-energy facilities; (ii) the impact of divestitures and (iii) various fleet initiatives, all of which have favorably affected our maintenance, parts and supplies costs. The increases in these costs in 2005 were attributable to (i) higher parts and supplies costs, which were driven by changes in the scope of maintenance projects at our waste-to-energy facilities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increased volumes in our Southern and Western Groups; (ii) increases in the cost of lubes and oils and (iii) increases in the labor costs associated with our maintenance and repairs.</w:t>
      </w:r>
    </w:p>
    <w:p>
      <w:pPr>
        <w:spacing w:after="0" w:line="10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Subcontractor costs </w:t>
      </w:r>
      <w:r>
        <w:rPr>
          <w:rFonts w:ascii="Arial" w:cs="Arial" w:eastAsia="Arial" w:hAnsi="Arial"/>
          <w:sz w:val="13"/>
          <w:szCs w:val="13"/>
          <w:color w:val="auto"/>
        </w:rPr>
        <w:t xml:space="preserve">— Throughout 2006 and 2005 we experienced increases in subcontractor costs due to higher diesel fuel prices, which drive the fuel surcharges we pay to third-party subcontractors. Subcontractor cost increases attributable to higher fuel costs were offset by the revenue generated from our fuel surcharge program, which is reflected as fuel yield increases within </w:t>
      </w:r>
      <w:r>
        <w:rPr>
          <w:rFonts w:ascii="Arial" w:cs="Arial" w:eastAsia="Arial" w:hAnsi="Arial"/>
          <w:sz w:val="13"/>
          <w:szCs w:val="13"/>
          <w:i w:val="1"/>
          <w:iCs w:val="1"/>
          <w:color w:val="auto"/>
        </w:rPr>
        <w:t>Operating Revenues.</w:t>
      </w:r>
      <w:r>
        <w:rPr>
          <w:rFonts w:ascii="Arial" w:cs="Arial" w:eastAsia="Arial" w:hAnsi="Arial"/>
          <w:sz w:val="13"/>
          <w:szCs w:val="13"/>
          <w:color w:val="auto"/>
        </w:rPr>
        <w:t xml:space="preserve"> Additionally, in 2006, the increase in our subcontractor costs due to higher fuel costs was partially offset by a decrease attributable to our divestiture of under-performing and non-strategic operations and decreases in volumes.</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2005, we also incurred additional transportation costs due to increased volumes in subcontracted work, particularly in our National Accounts organization and our Western Group. This cost increase was partially offset by a year-over-year decline in the utilization of subcontractors to assist in providing hurricane related services, which were particularly significant during 2004.</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These costs are primarily for rebates paid to our recycling suppliers, which are driven by the market prices of recyclable commodities. In 2006, we experienced</w:t>
      </w:r>
      <w:r>
        <w:rPr>
          <w:rFonts w:ascii="Arial" w:cs="Arial" w:eastAsia="Arial" w:hAnsi="Arial"/>
          <w:sz w:val="13"/>
          <w:szCs w:val="13"/>
          <w:i w:val="1"/>
          <w:iCs w:val="1"/>
          <w:color w:val="auto"/>
        </w:rPr>
        <w:t xml:space="preserve"> </w:t>
      </w:r>
      <w:r>
        <w:rPr>
          <w:rFonts w:ascii="Arial" w:cs="Arial" w:eastAsia="Arial" w:hAnsi="Arial"/>
          <w:sz w:val="13"/>
          <w:szCs w:val="13"/>
          <w:color w:val="auto"/>
        </w:rPr>
        <w:t>lower market prices for recyclable commodities and reduced recycling volumes.</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Additionally, in 2006, the decrease in costs of goods sold was partially due to completion of the construction of an integrated waste facility in Canada in early 2006. The increase in cost of goods sold in 2005 was partially due to costs incurred to construct this integrated waste facility. Also in 2005, we experienced lower market prices for recyclable commodities than in prior years. This decrease in pricing was more than offset by increased recycling volumes in 2005 due to several new brokerage contracts and acquisitions.</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We experienced an estimated average increase of $0.31 per gallon for 2006 as compared with 2005 and of $0.59 per gallon for 2005 as compared with 2004. While our fuel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surcharge is designed to recover the cost increases incurred as a result of higher fuel prices, increased fuel costs continue to negatively affect our operating margin percentages. Revenues generated by our fuel surcharge program are reflected as fuel yield increases within </w:t>
      </w:r>
      <w:r>
        <w:rPr>
          <w:rFonts w:ascii="Arial" w:cs="Arial" w:eastAsia="Arial" w:hAnsi="Arial"/>
          <w:sz w:val="13"/>
          <w:szCs w:val="13"/>
          <w:i w:val="1"/>
          <w:iCs w:val="1"/>
          <w:color w:val="auto"/>
        </w:rPr>
        <w:t>Operating Revenues.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Disposal and franchise fees and taxes </w:t>
      </w:r>
      <w:r>
        <w:rPr>
          <w:rFonts w:ascii="Arial" w:cs="Arial" w:eastAsia="Arial" w:hAnsi="Arial"/>
          <w:sz w:val="12"/>
          <w:szCs w:val="12"/>
          <w:color w:val="auto"/>
        </w:rPr>
        <w:t>— In 2006, these costs have remained relatively flat primarily as a result of decreases associated with divestitures and general volume declines,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partially offset by increases in rates for mandated fees and taxes in certain markets. In 2005, these cost increases were the result of increased volumes and increased rates for mandated fees and taxes. Certain of these cost increases are passed through to our customers, and have been reflected as fee yield increases within </w:t>
      </w:r>
      <w:r>
        <w:rPr>
          <w:rFonts w:ascii="Arial" w:cs="Arial" w:eastAsia="Arial" w:hAnsi="Arial"/>
          <w:sz w:val="12"/>
          <w:szCs w:val="12"/>
          <w:i w:val="1"/>
          <w:iCs w:val="1"/>
          <w:color w:val="auto"/>
        </w:rPr>
        <w:t>Operating Revenues.</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For 2006 and 2005, these cost increases have generally been related to higher site maintenance, leachate collection, monitoring and testing, and closure</w:t>
      </w:r>
      <w:r>
        <w:rPr>
          <w:rFonts w:ascii="Arial" w:cs="Arial" w:eastAsia="Arial" w:hAnsi="Arial"/>
          <w:sz w:val="13"/>
          <w:szCs w:val="13"/>
          <w:i w:val="1"/>
          <w:iCs w:val="1"/>
          <w:color w:val="auto"/>
        </w:rPr>
        <w:t xml:space="preserve"> </w:t>
      </w:r>
      <w:r>
        <w:rPr>
          <w:rFonts w:ascii="Arial" w:cs="Arial" w:eastAsia="Arial" w:hAnsi="Arial"/>
          <w:sz w:val="13"/>
          <w:szCs w:val="13"/>
          <w:color w:val="auto"/>
        </w:rPr>
        <w:t>and post-closure expenses.</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i w:val="1"/>
          <w:iCs w:val="1"/>
          <w:color w:val="auto"/>
        </w:rPr>
        <w:t xml:space="preserve">Risk management </w:t>
      </w:r>
      <w:r>
        <w:rPr>
          <w:rFonts w:ascii="Arial" w:cs="Arial" w:eastAsia="Arial" w:hAnsi="Arial"/>
          <w:sz w:val="13"/>
          <w:szCs w:val="13"/>
          <w:color w:val="auto"/>
        </w:rPr>
        <w:t>— Over the last two years, we have been increasingly successful in reducing these costs largely due to reduced workers’ compensation costs, which can be</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attributed to our continued focus on safety and reduced accident and injury rates.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Other operating expenses </w:t>
      </w:r>
      <w:r>
        <w:rPr>
          <w:rFonts w:ascii="Arial" w:cs="Arial" w:eastAsia="Arial" w:hAnsi="Arial"/>
          <w:sz w:val="13"/>
          <w:szCs w:val="13"/>
          <w:color w:val="auto"/>
        </w:rPr>
        <w:t>— The lower costs in 2006 as compared with 2005 can be attributed to (i) Hurricane Katrina related support costs in 2005, particularly in Louisiana, where</w:t>
      </w:r>
      <w:r>
        <w:rPr>
          <w:rFonts w:ascii="Arial" w:cs="Arial" w:eastAsia="Arial" w:hAnsi="Arial"/>
          <w:sz w:val="13"/>
          <w:szCs w:val="13"/>
          <w:i w:val="1"/>
          <w:iCs w:val="1"/>
          <w:color w:val="auto"/>
        </w:rPr>
        <w:t xml:space="preserve"> </w:t>
      </w:r>
      <w:r>
        <w:rPr>
          <w:rFonts w:ascii="Arial" w:cs="Arial" w:eastAsia="Arial" w:hAnsi="Arial"/>
          <w:sz w:val="13"/>
          <w:szCs w:val="13"/>
          <w:color w:val="auto"/>
        </w:rPr>
        <w:t>we built Camp Waste Management to house and feed hundreds of our employees who worked in the New Orleans area to help with the cleanup efforts; (ii) higher rental expense in 2005; and (iii) a decrease related to the deconsolidation of a variable interest entity in early 2006.</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the 2005 items noted above, the increase in our other operating costs when comparing 2005 with 2004 can be attributed to (i) a year-over-year decrease in the realization of gains on sales of assets; (ii) costs incurred during 2005 attributable to labor strikes in New Jersey and Canada; and (iii) an increase in costs generated by the variable interest entity discussed above.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years ended December 31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4"/>
          </w:tcPr>
          <w:p>
            <w:pPr>
              <w:jc w:val="right"/>
              <w:ind w:right="5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37</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16</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57"/>
        </w:trPr>
        <w:tc>
          <w:tcPr>
            <w:tcW w:w="506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3"/>
                <w:szCs w:val="13"/>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3"/>
                <w:szCs w:val="13"/>
                <w:color w:val="auto"/>
              </w:rPr>
              <w:t>9</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3"/>
                <w:szCs w:val="13"/>
                <w:color w:val="auto"/>
              </w:rPr>
            </w:pPr>
          </w:p>
        </w:tc>
        <w:tc>
          <w:tcPr>
            <w:tcW w:w="660" w:type="dxa"/>
            <w:vAlign w:val="bottom"/>
            <w:gridSpan w:val="2"/>
          </w:tcPr>
          <w:p>
            <w:pPr>
              <w:jc w:val="right"/>
              <w:ind w:right="388"/>
              <w:spacing w:after="0"/>
              <w:rPr>
                <w:sz w:val="20"/>
                <w:szCs w:val="20"/>
                <w:color w:val="auto"/>
              </w:rPr>
            </w:pPr>
            <w:r>
              <w:rPr>
                <w:rFonts w:ascii="Arial" w:cs="Arial" w:eastAsia="Arial" w:hAnsi="Arial"/>
                <w:sz w:val="13"/>
                <w:szCs w:val="13"/>
                <w:color w:val="auto"/>
                <w:w w:val="86"/>
              </w:rPr>
              <w:t>(17)</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(10.1)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7"/>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506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13"/>
                <w:szCs w:val="13"/>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3"/>
                <w:szCs w:val="13"/>
                <w:color w:val="auto"/>
              </w:rPr>
              <w:t>69</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w w:val="86"/>
              </w:rPr>
              <w:t>21.9</w:t>
            </w:r>
          </w:p>
        </w:tc>
        <w:tc>
          <w:tcPr>
            <w:tcW w:w="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66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1,388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82"/>
              </w:rPr>
              <w:t>112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1,276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9</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1,267</w:t>
            </w: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professional fees and, to a lesser extent, our labor costs and other general and administrative costs, for the year ended December 31, 2006 were increased by $20 million for non-capitalizable costs incurred to support the planned implementation of our new revenue management system. This increase and other significant changes in our selling, general and administrative expenses are summarized below.</w:t>
      </w:r>
    </w:p>
    <w:p>
      <w:pPr>
        <w:spacing w:after="0" w:line="67"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i w:val="1"/>
          <w:iCs w:val="1"/>
          <w:color w:val="auto"/>
        </w:rPr>
        <w:t xml:space="preserve">Labor and related benefits </w:t>
      </w:r>
      <w:r>
        <w:rPr>
          <w:rFonts w:ascii="Arial" w:cs="Arial" w:eastAsia="Arial" w:hAnsi="Arial"/>
          <w:sz w:val="11"/>
          <w:szCs w:val="11"/>
          <w:color w:val="auto"/>
        </w:rPr>
        <w:t>— In both 2006 and 2005, these costs increased year-over-year due to higher bonus expense attributable to the overall improvement in our performance</w:t>
      </w:r>
      <w:r>
        <w:rPr>
          <w:rFonts w:ascii="Arial" w:cs="Arial" w:eastAsia="Arial" w:hAnsi="Arial"/>
          <w:sz w:val="11"/>
          <w:szCs w:val="11"/>
          <w:i w:val="1"/>
          <w:iCs w:val="1"/>
          <w:color w:val="auto"/>
        </w:rPr>
        <w:t xml:space="preserve"> </w:t>
      </w:r>
      <w:r>
        <w:rPr>
          <w:rFonts w:ascii="Arial" w:cs="Arial" w:eastAsia="Arial" w:hAnsi="Arial"/>
          <w:sz w:val="11"/>
          <w:szCs w:val="11"/>
          <w:color w:val="auto"/>
        </w:rPr>
        <w:t>and higher non-cash compensation costs associated with the equity-based compensation provided for by our long-term incentive plan. Also contributing to the increase in labor costs in 2006 and 2005 are higher salaries and hourly wages driven by annual merit raises and an increase in the size of our sales force. These increases were partially offset by savings associated with our 2005 restructuring. Fluctuations in our use of contract labor for corporate support functions caused an increase in 2006 and a decline in 2005 as compared with the prior year periods.</w:t>
      </w:r>
    </w:p>
    <w:p>
      <w:pPr>
        <w:spacing w:after="0" w:line="39"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Professional Fees </w:t>
      </w:r>
      <w:r>
        <w:rPr>
          <w:rFonts w:ascii="Arial" w:cs="Arial" w:eastAsia="Arial" w:hAnsi="Arial"/>
          <w:sz w:val="12"/>
          <w:szCs w:val="12"/>
          <w:color w:val="auto"/>
        </w:rPr>
        <w:t>— In 2006, our professional fees were higher than in 2005 due to higher consulting fees associated with our pricing initiatives and the development of our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system. However, the overall increase in consulting fees in 2006 was partially offset by costs incurred during 2005 for computer support costs related to a revenue management project for our Recycling Group. In 2005, we experienced a decline in professional fees as compared with the prior year as a result of lower litigation and defense costs and lower consulting costs associated with Section 404 of the Sarbanes-Oxley Act as we moved from the implementation phase in 2004 to continued monitoring and testing in 2005.</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are currently undergoing unclaimed property audits, which are being conducted by various state authorities. The property subject to review in this audit process</w:t>
      </w:r>
      <w:r>
        <w:rPr>
          <w:rFonts w:ascii="Arial" w:cs="Arial" w:eastAsia="Arial" w:hAnsi="Arial"/>
          <w:sz w:val="12"/>
          <w:szCs w:val="12"/>
          <w:i w:val="1"/>
          <w:iCs w:val="1"/>
          <w:color w:val="auto"/>
        </w:rPr>
        <w:t xml:space="preserve"> </w:t>
      </w:r>
      <w:r>
        <w:rPr>
          <w:rFonts w:ascii="Arial" w:cs="Arial" w:eastAsia="Arial" w:hAnsi="Arial"/>
          <w:sz w:val="12"/>
          <w:szCs w:val="12"/>
          <w:color w:val="auto"/>
        </w:rPr>
        <w:t>generally includes unclaimed wages, vendor payments and customer refunds. During 2006, we submitted unclaimed property filings with all states. As a result of our findings, we determined that we had unrecorded obligations associated with unclaimed property for escheatable items for various periods between 1980 and 2004. The increase in our expenses includes a $20 million charge to record these estimated unrecorded obligations. Refer to Note 10 of our Consolidated Financial Statements for additional information related to the nature of this charge. Additionally, in both 2006 and 2005, our other costs increased due to higher sales and marketing costs associated with our national advertising campaign and higher travel and entertainment costs due partially to the development of our revenue management system and our efforts to implement various initiatives.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Depreciation and amortization includes (i) depreciation of property and equipment, including assets recorded due to capital leases, on a straight-line basis from three to 50 years; (ii) amortization of landfill costs, including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those incurred and all estimated future costs for landfill development, construction, closure and post-closure, on a units-of-consumption method as landfill airspace is consumed over the remaining permitted and expansion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53"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Depreciation and amortization expense decreased by $27 million during 2006 when compared with 2005. The decrease was due in part to the suspension of depreciation on assets held-for-sale, divestitures and the discontinuation of depreciation on enterprise-wide software that is now fully depreciated.</w:t>
      </w:r>
    </w:p>
    <w:p>
      <w:pPr>
        <w:spacing w:after="0" w:line="59"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The comparability of our depreciation and amortization expense for the years ended December 31, 2006, 2005 and 2004 has also been significantly affected by (i) a $21 million charge to landfill amortization recognized in 2005 to adjust the amortization periods of nine of our leased landfills and (ii) adjustments to landfill airspace and landfill asset retirement cost amortization recorded in each year for changes in estimates related to our final capping, closure and post-closure obligations. During the years ended December 31, 2006, 2005 and 2004, landfill amortization expense was reduced by $1 million, $13 million and $18 million, respectively, for the effects of these changes in estimate. In each year, the majority of the reduced expense resulting from the revised estimates was associated with final capping changes.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Management continuously reviews our organization to determine if we are operating under the most advantageous structure. These reviews have highlighted efficiencies and cost savings we could capture by restructuring. The most significant cost savings we have obtained through our restructurings have been attributable to the labor and related benefits component of our “Selling, general and administrative” expenses.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has reduced costs at the Group and Corporate offices and increased the accountability of our Market Areas. We recorded $28 million of pre-tax charges for costs associated with the implementation of the new structure, principally for employee severance and benefit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(Income) expense from divestitures</w:t>
            </w:r>
          </w:p>
        </w:tc>
        <w:tc>
          <w:tcPr>
            <w:tcW w:w="10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2006</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and third quarters of 2006, we recorded impairment charges of $13 million and $5 million, respectively, for operations we intend to sell 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part of our divestiture program. The charges were required to reduce the carrying values of the operations to their estimated fair values less the cost to sell in accordance with the guidance provided by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for assets to be disposed of by sale.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During the third and fourth quarters of 2006, we recorded impairment charges of $10 million and $14 million, respectively, for assets and businesses associated with our continuing operations. The charges recognized during the third quarter of 2006 were related to operations in our Recycling and Southern Groups. The charges recognized during the fourth quarter of 2006 were primarily attributable to the impairment of a landfill in our Eastern Group as a result of a change in our expectations for future expansions.</w:t>
      </w:r>
    </w:p>
    <w:p>
      <w:pPr>
        <w:spacing w:after="0" w:line="50"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w:t>
      </w:r>
      <w:r>
        <w:rPr>
          <w:rFonts w:ascii="Arial" w:cs="Arial" w:eastAsia="Arial" w:hAnsi="Arial"/>
          <w:sz w:val="13"/>
          <w:szCs w:val="13"/>
          <w:color w:val="auto"/>
        </w:rPr>
        <w:t>— We recognized $44 million of net gains on divestitures during the year ended December 31, 2006, which were direct results of the execution of</w:t>
      </w:r>
      <w:r>
        <w:rPr>
          <w:rFonts w:ascii="Arial" w:cs="Arial" w:eastAsia="Arial" w:hAnsi="Arial"/>
          <w:sz w:val="13"/>
          <w:szCs w:val="13"/>
          <w:i w:val="1"/>
          <w:iCs w:val="1"/>
          <w:color w:val="auto"/>
        </w:rPr>
        <w:t xml:space="preserve"> </w:t>
      </w:r>
      <w:r>
        <w:rPr>
          <w:rFonts w:ascii="Arial" w:cs="Arial" w:eastAsia="Arial" w:hAnsi="Arial"/>
          <w:sz w:val="13"/>
          <w:szCs w:val="13"/>
          <w:color w:val="auto"/>
        </w:rPr>
        <w:t>our plan to review under-performing or non-strategic operations and to either improve their performance or dispose of the operations. The majority of these net gains was recognized during the second quarter of 2006 and relates to operations located in our Western Group. Total proceeds from divestitures completed during the year ended December 31, 2006 were $184 million, all of which were received in cash.</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the fourth quarter of 2006, we recognized a charge of approximately $26 million for the impact of an arbitration ruling against us related to the termination of a joint</w:t>
      </w:r>
      <w:r>
        <w:rPr>
          <w:rFonts w:ascii="Arial" w:cs="Arial" w:eastAsia="Arial" w:hAnsi="Arial"/>
          <w:sz w:val="13"/>
          <w:szCs w:val="13"/>
          <w:i w:val="1"/>
          <w:iCs w:val="1"/>
          <w:color w:val="auto"/>
        </w:rPr>
        <w:t xml:space="preserve"> </w:t>
      </w:r>
      <w:r>
        <w:rPr>
          <w:rFonts w:ascii="Arial" w:cs="Arial" w:eastAsia="Arial" w:hAnsi="Arial"/>
          <w:sz w:val="13"/>
          <w:szCs w:val="13"/>
          <w:color w:val="auto"/>
        </w:rPr>
        <w:t>venture relationship in 2000. The party that purchased our interest in the joint venture had sued us, seeking a variety of remedies ranging from monetary damages to unwinding the sale of assets. In the fourth quarter of 2006, the arbitration tribunal ruled in the other party’s favor, awarding them approximately $29 million, which includes monetary damages, interest, and certain fees and expenses. Prior to the ruling, the Company had recorded a reserve of $3 million. For additional information regarding this matter refer to Note 10 of our Consolidated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2005</w:t>
      </w:r>
    </w:p>
    <w:p>
      <w:pPr>
        <w:spacing w:after="0" w:line="96" w:lineRule="exact"/>
        <w:rPr>
          <w:sz w:val="20"/>
          <w:szCs w:val="20"/>
          <w:color w:val="auto"/>
        </w:rPr>
      </w:pPr>
    </w:p>
    <w:p>
      <w:pPr>
        <w:ind w:left="680" w:right="160" w:firstLine="399"/>
        <w:spacing w:after="0" w:line="256"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quarter of 2005, our Eastern Group recorded a $35 million charge for the impairment of the Pottstown Landfill located in West Pottsgrove</w:t>
      </w:r>
      <w:r>
        <w:rPr>
          <w:rFonts w:ascii="Arial" w:cs="Arial" w:eastAsia="Arial" w:hAnsi="Arial"/>
          <w:sz w:val="13"/>
          <w:szCs w:val="13"/>
          <w:i w:val="1"/>
          <w:iCs w:val="1"/>
          <w:color w:val="auto"/>
        </w:rPr>
        <w:t xml:space="preserve"> </w:t>
      </w:r>
      <w:r>
        <w:rPr>
          <w:rFonts w:ascii="Arial" w:cs="Arial" w:eastAsia="Arial" w:hAnsi="Arial"/>
          <w:sz w:val="13"/>
          <w:szCs w:val="13"/>
          <w:color w:val="auto"/>
        </w:rPr>
        <w:t>Township, Pennsylvania. We determined that an impairment was necessary after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w:t>
      </w:r>
    </w:p>
    <w:p>
      <w:pPr>
        <w:spacing w:after="0" w:line="7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Through June 30, 2005, our “Property and equipment” had included approximately $80 million of accumulated costs associated with a revenue management system.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our revenue management system were suspended in 2003. Since that time, there have been changes in the viable software alternatives available to address our current needs. During the third quarter of 2005, we concluded our assessment of potential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During the fourth quarter of 2005, we recognized an $18 million charge for asset impairments. This charge was primarily attributable to the impairment of a landfill in our Eastern Group, as a result of a change in our expectations for future expansions, and the impairment of capitalized software costs related to two applications we decided not to develop further.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w:t>
      </w:r>
      <w:r>
        <w:rPr>
          <w:rFonts w:ascii="Arial" w:cs="Arial" w:eastAsia="Arial" w:hAnsi="Arial"/>
          <w:sz w:val="13"/>
          <w:szCs w:val="13"/>
          <w:color w:val="auto"/>
        </w:rPr>
        <w:t>— During the first quarter of 2005, we recognized a $39 million gain as a result of the divestiture of a landfill in Ontario, Canada, which was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as a result of a Divestiture Order from the Canadian Competition Bureau. During the remainder of 2005, we recognized a total of $40 million in gains as a result of the divestiture of operations. With the exception of our divestiture of the Ontario, Canada landfill, our divestitures during 2005 were direct results of the execution of our plan to review under-performing or non-strategic operations and to either improve their performance or dispose of the operations.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Total proceeds from divestitures completed during the year ended December 31, 2005 were $172 million, of which $140 million was received in cash, $23 million was in the form of a note receivable and $9 million was in the form of non-monetary assets.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the first quarter of 2005, we recognized a charge of approximately $16 million for the impact of a litigation settlement reached with a group of stockholders that opted not</w:t>
      </w:r>
      <w:r>
        <w:rPr>
          <w:rFonts w:ascii="Arial" w:cs="Arial" w:eastAsia="Arial" w:hAnsi="Arial"/>
          <w:sz w:val="13"/>
          <w:szCs w:val="13"/>
          <w:i w:val="1"/>
          <w:iCs w:val="1"/>
          <w:color w:val="auto"/>
        </w:rPr>
        <w:t xml:space="preserve"> </w:t>
      </w:r>
      <w:r>
        <w:rPr>
          <w:rFonts w:ascii="Arial" w:cs="Arial" w:eastAsia="Arial" w:hAnsi="Arial"/>
          <w:sz w:val="13"/>
          <w:szCs w:val="13"/>
          <w:color w:val="auto"/>
        </w:rPr>
        <w:t>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 shareholders in settlement of the legacy litigation against the former officers. These charges were partially offset by the recognition of a $12 million net benefit recorded during the year ended December 31, 2005, which was primarily for adjustments to our receivables and estimated obligations for non-solid waste operations divested in 1999 and 2000.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2004</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For 2004, the significant items included within “(Income) expense from divestitures, asset impairments and unusual items” were (i) $17 million in impairment losses primarily due to the impairment of certain landfill assets and software development costs; (ii) $12 million in gains on divestitures that primarily related to certain Port-O-Let</w:t>
      </w:r>
      <w:r>
        <w:rPr>
          <w:rFonts w:ascii="Arial" w:cs="Arial" w:eastAsia="Arial" w:hAnsi="Arial"/>
          <w:sz w:val="10"/>
          <w:szCs w:val="10"/>
          <w:color w:val="auto"/>
        </w:rPr>
        <w:t>®</w:t>
      </w:r>
      <w:r>
        <w:rPr>
          <w:rFonts w:ascii="Arial" w:cs="Arial" w:eastAsia="Arial" w:hAnsi="Arial"/>
          <w:sz w:val="12"/>
          <w:szCs w:val="12"/>
          <w:color w:val="auto"/>
        </w:rPr>
        <w:t xml:space="preserve"> operations; and (iii) $18 million in miscellaneous net gains, which were primarily for adjustments to our estimated obligations associated with non-solid waste services, which were divested in 1999 and 2000.</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years ended December 31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Period-to-</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56</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7"/>
              </w:rPr>
              <w:t>15.5%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484</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58</w:t>
            </w:r>
          </w:p>
        </w:tc>
        <w:tc>
          <w:tcPr>
            <w:tcW w:w="680" w:type="dxa"/>
            <w:vAlign w:val="bottom"/>
            <w:gridSpan w:val="2"/>
          </w:tcPr>
          <w:p>
            <w:pPr>
              <w:jc w:val="right"/>
              <w:ind w:right="420"/>
              <w:spacing w:after="0"/>
              <w:rPr>
                <w:sz w:val="20"/>
                <w:szCs w:val="20"/>
                <w:color w:val="auto"/>
              </w:rPr>
            </w:pPr>
            <w:r>
              <w:rPr>
                <w:rFonts w:ascii="Arial" w:cs="Arial" w:eastAsia="Arial" w:hAnsi="Arial"/>
                <w:sz w:val="13"/>
                <w:szCs w:val="13"/>
                <w:color w:val="auto"/>
                <w:w w:val="94"/>
              </w:rPr>
              <w:t>13.6</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40</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2"/>
              </w:rPr>
              <w:t>105</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4"/>
              </w:rPr>
              <w:t>15.0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34</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561</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90</w:t>
            </w:r>
          </w:p>
        </w:tc>
        <w:tc>
          <w:tcPr>
            <w:tcW w:w="680" w:type="dxa"/>
            <w:vAlign w:val="bottom"/>
            <w:gridSpan w:val="2"/>
          </w:tcPr>
          <w:p>
            <w:pPr>
              <w:jc w:val="right"/>
              <w:ind w:right="420"/>
              <w:spacing w:after="0"/>
              <w:rPr>
                <w:sz w:val="20"/>
                <w:szCs w:val="20"/>
                <w:color w:val="auto"/>
              </w:rPr>
            </w:pPr>
            <w:r>
              <w:rPr>
                <w:rFonts w:ascii="Arial" w:cs="Arial" w:eastAsia="Arial" w:hAnsi="Arial"/>
                <w:sz w:val="13"/>
                <w:szCs w:val="13"/>
                <w:color w:val="auto"/>
                <w:w w:val="94"/>
              </w:rPr>
              <w:t>19.1</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56</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Recycling</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ind w:right="42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(40.0)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25</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(149)</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2,029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2"/>
              </w:rPr>
              <w:t>319</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7"/>
              </w:rPr>
              <w:t>18.7%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1,710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1,699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Percentage change does not provide a meaningful comparison.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Overview </w:t>
      </w:r>
      <w:r>
        <w:rPr>
          <w:rFonts w:ascii="Arial" w:cs="Arial" w:eastAsia="Arial" w:hAnsi="Arial"/>
          <w:sz w:val="12"/>
          <w:szCs w:val="12"/>
          <w:color w:val="auto"/>
        </w:rPr>
        <w:t>— Revenue growth from base business yield improvement, which is primarily the result of our continued focus on pricing, significantly contributed to the operating income</w:t>
      </w:r>
      <w:r>
        <w:rPr>
          <w:rFonts w:ascii="Arial" w:cs="Arial" w:eastAsia="Arial" w:hAnsi="Arial"/>
          <w:sz w:val="12"/>
          <w:szCs w:val="12"/>
          <w:i w:val="1"/>
          <w:iCs w:val="1"/>
          <w:color w:val="auto"/>
        </w:rPr>
        <w:t xml:space="preserve"> </w:t>
      </w:r>
      <w:r>
        <w:rPr>
          <w:rFonts w:ascii="Arial" w:cs="Arial" w:eastAsia="Arial" w:hAnsi="Arial"/>
          <w:sz w:val="12"/>
          <w:szCs w:val="12"/>
          <w:color w:val="auto"/>
        </w:rPr>
        <w:t>of each of our geographic Groups during the years ended December 31, 2006 and 2005. Base business yield provided revenue growth for each line of business in 2006, but was driven primarily by our collection operations, where we experienced substantial revenue growth in every geographic operating Group for the second consecutive year. The operating results of the Groups have also benefited from our focus on cost control and from increases in higher margin disposal volumes during</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 xml:space="preserve">both 2005 and 2006. These improvements were partially offset by declines in revenues due to lower volumes in the collection line of business, particularly in our Eastern Group. See the additional discussion in the </w:t>
      </w:r>
      <w:r>
        <w:rPr>
          <w:rFonts w:ascii="Arial" w:cs="Arial" w:eastAsia="Arial" w:hAnsi="Arial"/>
          <w:sz w:val="13"/>
          <w:szCs w:val="13"/>
          <w:i w:val="1"/>
          <w:iCs w:val="1"/>
          <w:color w:val="auto"/>
        </w:rPr>
        <w:t>Operating Revenues</w:t>
      </w:r>
      <w:r>
        <w:rPr>
          <w:rFonts w:ascii="Arial" w:cs="Arial" w:eastAsia="Arial" w:hAnsi="Arial"/>
          <w:sz w:val="13"/>
          <w:szCs w:val="13"/>
          <w:color w:val="auto"/>
        </w:rPr>
        <w:t xml:space="preserve"> section above.</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 xml:space="preserve">The operating results for the year ended December 31, 2006 also compare favorably with the prior years due to the $27 million restructuring charge recognized during the third quarter of 2005. “Corporate and other” reflects $10 million of this impact with the remaining $17 million allocated across the operating Groups. See additional discussion of these charges in the </w:t>
      </w:r>
      <w:r>
        <w:rPr>
          <w:rFonts w:ascii="Arial" w:cs="Arial" w:eastAsia="Arial" w:hAnsi="Arial"/>
          <w:sz w:val="13"/>
          <w:szCs w:val="13"/>
          <w:i w:val="1"/>
          <w:iCs w:val="1"/>
          <w:color w:val="auto"/>
        </w:rPr>
        <w:t>Restructuring</w:t>
      </w:r>
      <w:r>
        <w:rPr>
          <w:rFonts w:ascii="Arial" w:cs="Arial" w:eastAsia="Arial" w:hAnsi="Arial"/>
          <w:sz w:val="13"/>
          <w:szCs w:val="13"/>
          <w:color w:val="auto"/>
        </w:rPr>
        <w:t xml:space="preserve"> section above.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the operating segments’ results of operations for the years ended December 31, 2006, 2005 and 2004 are summarized below:</w:t>
      </w:r>
    </w:p>
    <w:p>
      <w:pPr>
        <w:spacing w:after="0" w:line="108" w:lineRule="exact"/>
        <w:rPr>
          <w:sz w:val="20"/>
          <w:szCs w:val="20"/>
          <w:color w:val="auto"/>
        </w:rPr>
      </w:pPr>
    </w:p>
    <w:p>
      <w:pPr>
        <w:ind w:left="1080" w:right="300" w:firstLine="383"/>
        <w:spacing w:after="0" w:line="305" w:lineRule="auto"/>
        <w:rPr>
          <w:sz w:val="20"/>
          <w:szCs w:val="20"/>
          <w:color w:val="auto"/>
        </w:rPr>
      </w:pPr>
      <w:r>
        <w:rPr>
          <w:rFonts w:ascii="Arial" w:cs="Arial" w:eastAsia="Arial" w:hAnsi="Arial"/>
          <w:sz w:val="11"/>
          <w:szCs w:val="11"/>
          <w:i w:val="1"/>
          <w:iCs w:val="1"/>
          <w:color w:val="auto"/>
        </w:rPr>
        <w:t xml:space="preserve">Eastern </w:t>
      </w:r>
      <w:r>
        <w:rPr>
          <w:rFonts w:ascii="Arial" w:cs="Arial" w:eastAsia="Arial" w:hAnsi="Arial"/>
          <w:sz w:val="11"/>
          <w:szCs w:val="11"/>
          <w:color w:val="auto"/>
        </w:rPr>
        <w:t>— The Group’s operating income for the year ended December 31, 2006 was negatively affected by $26 million in charges associated with (i) the impairment of</w:t>
      </w:r>
      <w:r>
        <w:rPr>
          <w:rFonts w:ascii="Arial" w:cs="Arial" w:eastAsia="Arial" w:hAnsi="Arial"/>
          <w:sz w:val="11"/>
          <w:szCs w:val="11"/>
          <w:i w:val="1"/>
          <w:iCs w:val="1"/>
          <w:color w:val="auto"/>
        </w:rPr>
        <w:t xml:space="preserve"> </w:t>
      </w:r>
      <w:r>
        <w:rPr>
          <w:rFonts w:ascii="Arial" w:cs="Arial" w:eastAsia="Arial" w:hAnsi="Arial"/>
          <w:sz w:val="11"/>
          <w:szCs w:val="11"/>
          <w:color w:val="auto"/>
        </w:rPr>
        <w:t>businesses being sold as part of our divestiture program and (ii) the impairment of a landfill. The year ended December 31, 2005 was negatively affected by the recognition of</w:t>
      </w:r>
    </w:p>
    <w:p>
      <w:pPr>
        <w:spacing w:after="0" w:line="1" w:lineRule="exact"/>
        <w:rPr>
          <w:sz w:val="20"/>
          <w:szCs w:val="20"/>
          <w:color w:val="auto"/>
        </w:rPr>
      </w:pPr>
    </w:p>
    <w:p>
      <w:pPr>
        <w:ind w:left="1080" w:right="40"/>
        <w:spacing w:after="0" w:line="256" w:lineRule="auto"/>
        <w:rPr>
          <w:sz w:val="20"/>
          <w:szCs w:val="20"/>
          <w:color w:val="auto"/>
        </w:rPr>
      </w:pPr>
      <w:r>
        <w:rPr>
          <w:rFonts w:ascii="Arial" w:cs="Arial" w:eastAsia="Arial" w:hAnsi="Arial"/>
          <w:sz w:val="13"/>
          <w:szCs w:val="13"/>
          <w:color w:val="auto"/>
        </w:rPr>
        <w:t>$44 million in impairment charges related primarily to the Pottstown landfill. Finally, the operating results of our Eastern Group for 2006 and 2005 were negatively affected by costs incurred in connection with labor strikes. For the year ended December 31, 2006, we incurred $14 million of costs related primarily to a strike in the New York City area. The Group incurred similar costs during the first quarter of 2005 for a labor strike in New Jersey, which decreased operating income for the year ended December 31, 2005 by approximately $9 million.</w:t>
      </w:r>
    </w:p>
    <w:p>
      <w:pPr>
        <w:spacing w:after="0" w:line="72" w:lineRule="exact"/>
        <w:rPr>
          <w:sz w:val="20"/>
          <w:szCs w:val="20"/>
          <w:color w:val="auto"/>
        </w:rPr>
      </w:pPr>
    </w:p>
    <w:p>
      <w:pPr>
        <w:ind w:left="1080" w:right="120" w:firstLine="383"/>
        <w:spacing w:after="0" w:line="276"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Positively affecting 2005 results compared with the prior year was a decline in landfill amortization expense generally as a result of changes in certain estimates</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our final capping, closure and post-closure obligations.</w:t>
      </w:r>
    </w:p>
    <w:p>
      <w:pPr>
        <w:spacing w:after="0" w:line="59" w:lineRule="exact"/>
        <w:rPr>
          <w:sz w:val="20"/>
          <w:szCs w:val="20"/>
          <w:color w:val="auto"/>
        </w:rPr>
      </w:pPr>
    </w:p>
    <w:p>
      <w:pPr>
        <w:jc w:val="both"/>
        <w:ind w:left="1080" w:right="80" w:firstLine="383"/>
        <w:spacing w:after="0" w:line="258"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During 2005, several large non-recurring type items were recognized, impacting comparisons to the other periods presented. These items include $13 million of</w:t>
      </w:r>
      <w:r>
        <w:rPr>
          <w:rFonts w:ascii="Arial" w:cs="Arial" w:eastAsia="Arial" w:hAnsi="Arial"/>
          <w:sz w:val="13"/>
          <w:szCs w:val="13"/>
          <w:i w:val="1"/>
          <w:iCs w:val="1"/>
          <w:color w:val="auto"/>
        </w:rPr>
        <w:t xml:space="preserve"> </w:t>
      </w:r>
      <w:r>
        <w:rPr>
          <w:rFonts w:ascii="Arial" w:cs="Arial" w:eastAsia="Arial" w:hAnsi="Arial"/>
          <w:sz w:val="13"/>
          <w:szCs w:val="13"/>
          <w:color w:val="auto"/>
        </w:rPr>
        <w:t>pre-tax gains recognized on the divestiture of operations during 2005 and declines in earnings related to (i) hurricanes, largely due to the temporary suspension of operations in the areas affected by Hurricane Katrina; (ii) the effects of higher landfill amortization costs, generally due to reductions in landfill amortization periods to align the lives of the landfills for amortization purposes with the terms of the underlying contractual agreements supporting their operations; and (iii) higher landfill amortization expense as a result of changes in certain estimates related to our final capping, closure and post-closure obligations.</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Western </w:t>
      </w:r>
      <w:r>
        <w:rPr>
          <w:rFonts w:ascii="Arial" w:cs="Arial" w:eastAsia="Arial" w:hAnsi="Arial"/>
          <w:sz w:val="12"/>
          <w:szCs w:val="12"/>
          <w:color w:val="auto"/>
        </w:rPr>
        <w:t>— Gains on divestitures of operations were $48 million for the year ended December 31, 2006 as compared with $24 million for 2005 and $10 million for 2004.</w:t>
      </w:r>
    </w:p>
    <w:p>
      <w:pPr>
        <w:spacing w:after="0" w:line="108" w:lineRule="exact"/>
        <w:rPr>
          <w:sz w:val="20"/>
          <w:szCs w:val="20"/>
          <w:color w:val="auto"/>
        </w:rPr>
      </w:pPr>
    </w:p>
    <w:p>
      <w:pPr>
        <w:ind w:left="1080" w:right="60" w:firstLine="383"/>
        <w:spacing w:after="0" w:line="258"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The electric rates we charge to our customers at our waste-to-energy facilities increased significantly during the latter portion of 2005 as a result of higher</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for natural gas. The rates we charge customers are indexed to natural gas prices, which increased significantly as a result of hurricane-related production disruptions, increased demand and increases in crude oil prices. This increase in rates was the principal reason for the 2005 increase in Wheelabrator’s income from operations as compared with 2004. The favorable impact of market prices for natural gas was partially offset by higher costs of goods sold and higher repair and maintenance costs due to the scope and timing of maintenance performed in 2005 as compared with 2004.</w:t>
      </w:r>
    </w:p>
    <w:p>
      <w:pPr>
        <w:spacing w:after="0" w:line="71" w:lineRule="exact"/>
        <w:rPr>
          <w:sz w:val="20"/>
          <w:szCs w:val="20"/>
          <w:color w:val="auto"/>
        </w:rPr>
      </w:pPr>
    </w:p>
    <w:p>
      <w:pPr>
        <w:ind w:left="1080" w:right="140" w:firstLine="383"/>
        <w:spacing w:after="0" w:line="260"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 During 2006, the Group recognized $10 million of charges for a loss on divestiture and an impairment of certain under-performing operations, which were</w:t>
      </w:r>
      <w:r>
        <w:rPr>
          <w:rFonts w:ascii="Arial" w:cs="Arial" w:eastAsia="Arial" w:hAnsi="Arial"/>
          <w:sz w:val="13"/>
          <w:szCs w:val="13"/>
          <w:i w:val="1"/>
          <w:iCs w:val="1"/>
          <w:color w:val="auto"/>
        </w:rPr>
        <w:t xml:space="preserve"> </w:t>
      </w:r>
      <w:r>
        <w:rPr>
          <w:rFonts w:ascii="Arial" w:cs="Arial" w:eastAsia="Arial" w:hAnsi="Arial"/>
          <w:sz w:val="13"/>
          <w:szCs w:val="13"/>
          <w:color w:val="auto"/>
        </w:rPr>
        <w:t>slightly more than offset by savings associated with the Group’s cost control efforts. The decrease in income from operations in our Recycling Group during 2005 when compared with 2004 can generally be attributed to (i) an increase in the rebates paid to our suppliers as a result of increased competition; (ii) costs related to the deployment of new software; and (iii) higher subcontractor costs primarily related to increased distances traveled by third-party haulers.</w:t>
      </w:r>
    </w:p>
    <w:p>
      <w:pPr>
        <w:spacing w:after="0" w:line="70"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color w:val="auto"/>
        </w:rPr>
        <w:t>The comparability of operating results for the Recycling Group for all of the periods presented has been affected by variances in the market prices for recyclable commodities. During the three years ended December 31, 2006, year-over-year changes in the quarterly average market prices of OCC and ONP have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300"/>
        <w:spacing w:after="0" w:line="264" w:lineRule="auto"/>
        <w:rPr>
          <w:sz w:val="20"/>
          <w:szCs w:val="20"/>
          <w:color w:val="auto"/>
        </w:rPr>
      </w:pPr>
      <w:r>
        <w:rPr>
          <w:rFonts w:ascii="Arial" w:cs="Arial" w:eastAsia="Arial" w:hAnsi="Arial"/>
          <w:sz w:val="13"/>
          <w:szCs w:val="13"/>
          <w:color w:val="auto"/>
        </w:rPr>
        <w:t>ranged from a decrease of as much as 33% to an increase of as much as 36%. However, declines in the market prices for recyclable commodities resulted in only marginal year-over-year decreases to our income from operations during 2006 and 2005 because a substantial portion of changes in market prices are generally passed on as rebates to our suppliers.</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changes in “Income from operations” attributed to our other operations is driven primarily by the 2005 recognition of a $39 million pre-tax gain resulting from the</w:t>
      </w:r>
      <w:r>
        <w:rPr>
          <w:rFonts w:ascii="Arial" w:cs="Arial" w:eastAsia="Arial" w:hAnsi="Arial"/>
          <w:sz w:val="13"/>
          <w:szCs w:val="13"/>
          <w:i w:val="1"/>
          <w:iCs w:val="1"/>
          <w:color w:val="auto"/>
        </w:rPr>
        <w:t xml:space="preserve"> </w:t>
      </w:r>
      <w:r>
        <w:rPr>
          <w:rFonts w:ascii="Arial" w:cs="Arial" w:eastAsia="Arial" w:hAnsi="Arial"/>
          <w:sz w:val="13"/>
          <w:szCs w:val="13"/>
          <w:color w:val="auto"/>
        </w:rPr>
        <w:t>divestiture of one of our landfills in Ontario, Canada. This impact is included in “(Income) expense from divestitures, asset impairments and unusual items” within our Consolidated Statement of Operations. As this landfill had been divested at the time of our 2005 reorganization, historical financial information associated with its operations has not been allocated to our remaining reportable segments. Accordingly, these impacts have been included in Other. The impact of this 2005 divestiture gain is partially offset by the effect of certain other quarter-end adjustments related to the operating segments that are recorded in consolidation and, due to timing, not included in the measure of segment income from operations used to assess their performance for the periods disclosed.</w:t>
      </w:r>
    </w:p>
    <w:p>
      <w:pPr>
        <w:spacing w:after="0" w:line="72"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i w:val="1"/>
          <w:iCs w:val="1"/>
          <w:color w:val="auto"/>
        </w:rPr>
        <w:t xml:space="preserve">Corporate </w:t>
      </w:r>
      <w:r>
        <w:rPr>
          <w:rFonts w:ascii="Arial" w:cs="Arial" w:eastAsia="Arial" w:hAnsi="Arial"/>
          <w:sz w:val="13"/>
          <w:szCs w:val="13"/>
          <w:color w:val="auto"/>
        </w:rPr>
        <w:t>— Expenses were higher in 2005 as compared with 2006 primarily due to impairment charges in 2005 of $68 million associated with capitalized software costs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$31 million of net charges associated with various legal and divestiture matters. In 2006, we recognized $37 million of net charges associated with various legal and divestiture matters. These items are discussed in the </w:t>
      </w:r>
      <w:r>
        <w:rPr>
          <w:rFonts w:ascii="Arial" w:cs="Arial" w:eastAsia="Arial" w:hAnsi="Arial"/>
          <w:sz w:val="13"/>
          <w:szCs w:val="13"/>
          <w:i w:val="1"/>
          <w:iCs w:val="1"/>
          <w:color w:val="auto"/>
        </w:rPr>
        <w:t>(Income) Expense from Divestitures, Asset Impairments and Unusual Items</w:t>
      </w:r>
      <w:r>
        <w:rPr>
          <w:rFonts w:ascii="Arial" w:cs="Arial" w:eastAsia="Arial" w:hAnsi="Arial"/>
          <w:sz w:val="13"/>
          <w:szCs w:val="13"/>
          <w:color w:val="auto"/>
        </w:rPr>
        <w:t xml:space="preserve"> section above.</w:t>
      </w:r>
    </w:p>
    <w:p>
      <w:pPr>
        <w:spacing w:after="0" w:line="67" w:lineRule="exact"/>
        <w:rPr>
          <w:sz w:val="20"/>
          <w:szCs w:val="20"/>
          <w:color w:val="auto"/>
        </w:rPr>
      </w:pPr>
    </w:p>
    <w:p>
      <w:pPr>
        <w:jc w:val="both"/>
        <w:ind w:left="680" w:right="140" w:firstLine="399"/>
        <w:spacing w:after="0" w:line="258" w:lineRule="auto"/>
        <w:rPr>
          <w:sz w:val="20"/>
          <w:szCs w:val="20"/>
          <w:color w:val="auto"/>
        </w:rPr>
      </w:pPr>
      <w:r>
        <w:rPr>
          <w:rFonts w:ascii="Arial" w:cs="Arial" w:eastAsia="Arial" w:hAnsi="Arial"/>
          <w:sz w:val="13"/>
          <w:szCs w:val="13"/>
          <w:color w:val="auto"/>
        </w:rPr>
        <w:t xml:space="preserve">In 2006, we experienced lower risk management and employee health and welfare plan costs largely due to our focus on safety and controlling costs. These cost savings have been largely offset by the following cost increases: (i) a $20 million charge recorded to recognize unrecorded obligations associated with unclaimed property, which is discussed in the </w:t>
      </w:r>
      <w:r>
        <w:rPr>
          <w:rFonts w:ascii="Arial" w:cs="Arial" w:eastAsia="Arial" w:hAnsi="Arial"/>
          <w:sz w:val="13"/>
          <w:szCs w:val="13"/>
          <w:i w:val="1"/>
          <w:iCs w:val="1"/>
          <w:color w:val="auto"/>
        </w:rPr>
        <w:t>Selling,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section above; (ii) increased incentive compensation expense associated with the Company’s current strong performance; (iii) higher consulting fees and sales</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primarily related to our pricing initiatives; (iv) an increase in our marketing costs due to our national advertising campaign; and (v) the centralization of support functions that were provided by our Group offices prior to our 2005 reorganization.</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higher expenses in 2005 as compared with 2004 were driven by the previously noted $99 million charged to “(Income) expense from divestitures, asset impairments and unusual items” during 2005. Also contributing to the increase in expenses during 2005 were (i) non-cash employee compensation costs associated with current year changes in equity-based compensation; (ii) inflation in employee health care costs; (iii) salary and wage annual merit increases; (iv) costs for sales and marketing programs; and (v) costs at Corporate associated with our July 2005 restructuring charge and organizational changes, which were partially offset by associated savings at Corporate.</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Income Before Cumulative Effect of Change in Accounting Principle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summarizes the other major components of our income before cumulative effect of change in accounting principle for the year ended December 31 for each respective period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  (545)</w:t>
            </w:r>
          </w:p>
        </w:tc>
        <w:tc>
          <w:tcPr>
            <w:tcW w:w="76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w w:val="94"/>
              </w:rPr>
              <w:t>$ (49)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3"/>
              </w:rPr>
              <w:t>$  (496)</w:t>
            </w:r>
          </w:p>
        </w:tc>
        <w:tc>
          <w:tcPr>
            <w:tcW w:w="84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rPr>
              <w:t>$   (41)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  (455)</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Interest income</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760" w:type="dxa"/>
            <w:vAlign w:val="bottom"/>
          </w:tcPr>
          <w:p>
            <w:pPr>
              <w:jc w:val="right"/>
              <w:ind w:right="398"/>
              <w:spacing w:after="0"/>
              <w:rPr>
                <w:sz w:val="20"/>
                <w:szCs w:val="20"/>
                <w:color w:val="auto"/>
              </w:rPr>
            </w:pPr>
            <w:r>
              <w:rPr>
                <w:rFonts w:ascii="Arial" w:cs="Arial" w:eastAsia="Arial" w:hAnsi="Arial"/>
                <w:sz w:val="13"/>
                <w:szCs w:val="13"/>
                <w:color w:val="auto"/>
              </w:rPr>
              <w:t>38</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w:t>
            </w:r>
          </w:p>
        </w:tc>
        <w:tc>
          <w:tcPr>
            <w:tcW w:w="840" w:type="dxa"/>
            <w:vAlign w:val="bottom"/>
          </w:tcPr>
          <w:p>
            <w:pPr>
              <w:jc w:val="right"/>
              <w:ind w:right="338"/>
              <w:spacing w:after="0"/>
              <w:rPr>
                <w:sz w:val="20"/>
                <w:szCs w:val="20"/>
                <w:color w:val="auto"/>
              </w:rPr>
            </w:pPr>
            <w:r>
              <w:rPr>
                <w:rFonts w:ascii="Arial" w:cs="Arial" w:eastAsia="Arial" w:hAnsi="Arial"/>
                <w:sz w:val="13"/>
                <w:szCs w:val="13"/>
                <w:color w:val="auto"/>
              </w:rPr>
              <w:t>(39)</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(55.7)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7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71</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84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rPr>
              <w:t>(9)</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20"/>
                <w:szCs w:val="20"/>
                <w:color w:val="auto"/>
              </w:rPr>
            </w:pPr>
            <w:r>
              <w:rPr>
                <w:rFonts w:ascii="Arial" w:cs="Arial" w:eastAsia="Arial" w:hAnsi="Arial"/>
                <w:sz w:val="13"/>
                <w:szCs w:val="13"/>
                <w:color w:val="auto"/>
              </w:rPr>
              <w:t>Minority interest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(44)</w:t>
            </w:r>
          </w:p>
        </w:tc>
        <w:tc>
          <w:tcPr>
            <w:tcW w:w="760" w:type="dxa"/>
            <w:vAlign w:val="bottom"/>
          </w:tcPr>
          <w:p>
            <w:pPr>
              <w:jc w:val="right"/>
              <w:ind w:right="398"/>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ind w:right="380"/>
              <w:spacing w:after="0"/>
              <w:rPr>
                <w:sz w:val="20"/>
                <w:szCs w:val="20"/>
                <w:color w:val="auto"/>
              </w:rPr>
            </w:pPr>
            <w:r>
              <w:rPr>
                <w:rFonts w:ascii="Arial" w:cs="Arial" w:eastAsia="Arial" w:hAnsi="Arial"/>
                <w:sz w:val="13"/>
                <w:szCs w:val="13"/>
                <w:color w:val="auto"/>
                <w:w w:val="97"/>
              </w:rPr>
              <w:t>(8.3)</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(48)</w:t>
            </w:r>
          </w:p>
        </w:tc>
        <w:tc>
          <w:tcPr>
            <w:tcW w:w="840" w:type="dxa"/>
            <w:vAlign w:val="bottom"/>
          </w:tcPr>
          <w:p>
            <w:pPr>
              <w:jc w:val="right"/>
              <w:ind w:right="338"/>
              <w:spacing w:after="0"/>
              <w:rPr>
                <w:sz w:val="20"/>
                <w:szCs w:val="20"/>
                <w:color w:val="auto"/>
              </w:rPr>
            </w:pPr>
            <w:r>
              <w:rPr>
                <w:rFonts w:ascii="Arial" w:cs="Arial" w:eastAsia="Arial" w:hAnsi="Arial"/>
                <w:sz w:val="13"/>
                <w:szCs w:val="13"/>
                <w:color w:val="auto"/>
              </w:rPr>
              <w:t>(12)</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33.3</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76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4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4</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494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760" w:type="dxa"/>
            <w:vAlign w:val="bottom"/>
          </w:tcPr>
          <w:p>
            <w:pPr>
              <w:jc w:val="right"/>
              <w:ind w:right="398"/>
              <w:spacing w:after="0"/>
              <w:rPr>
                <w:sz w:val="20"/>
                <w:szCs w:val="20"/>
                <w:color w:val="auto"/>
              </w:rPr>
            </w:pPr>
            <w:r>
              <w:rPr>
                <w:rFonts w:ascii="Arial" w:cs="Arial" w:eastAsia="Arial" w:hAnsi="Arial"/>
                <w:sz w:val="13"/>
                <w:szCs w:val="13"/>
                <w:color w:val="auto"/>
              </w:rPr>
              <w:t>415</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(90)</w:t>
            </w:r>
          </w:p>
        </w:tc>
        <w:tc>
          <w:tcPr>
            <w:tcW w:w="840" w:type="dxa"/>
            <w:vAlign w:val="bottom"/>
          </w:tcPr>
          <w:p>
            <w:pPr>
              <w:jc w:val="right"/>
              <w:ind w:right="338"/>
              <w:spacing w:after="0"/>
              <w:rPr>
                <w:sz w:val="20"/>
                <w:szCs w:val="20"/>
                <w:color w:val="auto"/>
              </w:rPr>
            </w:pPr>
            <w:r>
              <w:rPr>
                <w:rFonts w:ascii="Arial" w:cs="Arial" w:eastAsia="Arial" w:hAnsi="Arial"/>
                <w:sz w:val="13"/>
                <w:szCs w:val="13"/>
                <w:color w:val="auto"/>
              </w:rPr>
              <w:t>(337)</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right="280" w:hanging="170"/>
        <w:spacing w:after="0" w:line="276" w:lineRule="auto"/>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 Refer to the explanations of these items below for a discussion of the relationship between current year and prior year activity.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increase in interest expense in 2006 and 2005 is generally related to higher market interest rates, which have resulted in a decrease in the benefit of our interest rate swaps and an increase in the interest rates of our variable rate debt. The increase in our interest expense in 2006 due to higher market interest rates was partially offset by the impact of a decrease in our outstanding debt, which is due to our repayment of borrowings throughout the year.</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We use interest rate derivative contracts to manage our exposure to changes in market interest rates. The combined impact of active and terminated interest rate swap agreements resulted in a net interest expense increase of $4 million for 2006 and net interest expense reductions of $39 million and $90 million for 2005 and 2004, respectively. The significant decline in the benefit recognized as a result of our active interest rate swap agreements is attributable to the increase in short-term market interest rates. Our periodic interest obligations under our active interest rate swap agreements are based on a spread from the three-month LIBOR, which has increased from 2.56% at December 31, 2004 to 4.54% at December 31, 2005 and to</w:t>
      </w:r>
    </w:p>
    <w:p>
      <w:pPr>
        <w:spacing w:after="0" w:line="2"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5.36% at December 31, 2006. Included in the $4 million net increase in interest expense realized in 2006 for terminated and active interest rate swap agreements is a $41 million reduction in interest expense related to the amortization of terminated swaps. Our terminated interest rate swaps are expected to reduce interest expense by $37 million in 2007, $33 million in 2008 and $19 million in 2009.</w:t>
      </w:r>
    </w:p>
    <w:p>
      <w:pPr>
        <w:spacing w:after="0" w:line="71"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In addition, we have $652 million of tax-exempt borrowings remarketed either daily or weekly to effectively maintain a variable yield. The interest rates of these borrowings increased over the last two years due to higher market rates.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increase in interest income when comparing 2006 with 2005 is due to an increase in our investments in variable rate demand notes and auction rate securities throughout the year. Interest income for 2006 and 2004 includes interest income of $14 million and $46 million, respectively, realized on tax refunds received from the IRS for the settlement of several federal audits.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the first and second quarters of 2004, we acquired an equity interest in two coal-based synthetic fuel production facilities. The activities of these facilities drive our “Equity in net losses of unconsolidated entities”. The significant decrease in the equity losses attributable to these facilities when comparing 2006 with prior years is due to (i) the estimated effect of a 36% phase-out of Section 45K (formerly Section 29) credits generated during 2006 on our contractual obligations associated with funding the facilities’ losses as a result of a substantial increase in market prices of crude oil; (ii) the suspension of operations at the facilities from May to September of 2006; and (iii) a cumulative adjustment necessary to appropriately reflect our life-to-date obligations to fund the costs of operating the facilities and the value of our investment. The increase in these losses from 2004 to 2005 is due to the timing of our initial investments in 2004.</w:t>
      </w:r>
    </w:p>
    <w:p>
      <w:pPr>
        <w:spacing w:after="0" w:line="72"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 xml:space="preserve">These equity losses are more than offset by the tax benefit realized as a result of these investments. The impact of these facilities on our provision for taxes is discussed below within </w:t>
      </w:r>
      <w:r>
        <w:rPr>
          <w:rFonts w:ascii="Arial" w:cs="Arial" w:eastAsia="Arial" w:hAnsi="Arial"/>
          <w:sz w:val="12"/>
          <w:szCs w:val="12"/>
          <w:i w:val="1"/>
          <w:iCs w:val="1"/>
          <w:color w:val="auto"/>
        </w:rPr>
        <w:t xml:space="preserve">Provision for (Benefit from) Income Taxes. </w:t>
      </w:r>
      <w:r>
        <w:rPr>
          <w:rFonts w:ascii="Arial" w:cs="Arial" w:eastAsia="Arial" w:hAnsi="Arial"/>
          <w:sz w:val="12"/>
          <w:szCs w:val="12"/>
          <w:color w:val="auto"/>
        </w:rPr>
        <w:t>Additional information related to these investments is included in Note 8 to the Consolidated Financial Statements.</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On December 31, 2003, we consolidated two special purpose type variable interest entities as a result of our implementation of FIN 46(R). Our minority interest expense for 2006, 2005 and 2004 is primarily related to the other members’ equity interest in the earnings of these entities. Additional information related to these investments is included in Note 19 to the Consolidated Financial Statements.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income and expense is primarily attributable to the impact of foreign currency translation on our Canadian operations.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recorded a provision for income taxes of $325 million in 2006, a benefit from income taxes of $90 million in 2005, and a provision for income taxes of $247 million in 2004 resulting in an effective income tax rate of approximately 22.1%, (8.2)%, and 21.0% for each of the three years, respectively. When excluding the effect of interest income related to audit settlements, the settlement of various federal and state tax audit matters during 2006, 2005 and 2004 resulted in a reduction in our provision for income taxes of $149 million, (representing a 10.1 percentage point reduction in our effective tax rate), $398 million, (representing a 36.4 percentage point reduction in our effective tax rate) and $101 million, (representing an 8.5 percentage point reduction in our effective tax rate), respectively.</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The benefit of non-conventional fuel tax credits is derived from methane gas projects at our landfills and our investments in two coal-based synthetic fuel production facilities, which are discussed in the </w:t>
      </w:r>
      <w:r>
        <w:rPr>
          <w:rFonts w:ascii="Arial" w:cs="Arial" w:eastAsia="Arial" w:hAnsi="Arial"/>
          <w:sz w:val="13"/>
          <w:szCs w:val="13"/>
          <w:i w:val="1"/>
          <w:iCs w:val="1"/>
          <w:color w:val="auto"/>
        </w:rPr>
        <w:t>Equity in Net Losses of Unconsolidated Entities</w:t>
      </w:r>
      <w:r>
        <w:rPr>
          <w:rFonts w:ascii="Arial" w:cs="Arial" w:eastAsia="Arial" w:hAnsi="Arial"/>
          <w:sz w:val="13"/>
          <w:szCs w:val="13"/>
          <w:color w:val="auto"/>
        </w:rPr>
        <w:t xml:space="preserve"> section above. These tax credits are available through 2007 pursuant to Section 45K of the Internal Revenue Code, and are phased-out if the price of crude oil exceeds a threshold annual average price determined by the IRS. Our effective tax rate for 2006 reflects a phase-out of 36% of Section 45K tax credits generated during 2006 and a temporary shut down of the synthetic fuel production facilities. We have developed our estimate of the phase-out using market information for crude oil prices as of December 31, 2006. Our synthetic fuel production facility investments resulted in a decrease in our tax provision of $64 million for 2006, $145 million for 2005 and $131 million for 2004, which more than offset the related equity losses and interest expense for those entities. Refer to Note 8 of our Consolidated Financial Statements for additional information regarding the impact of these investments on our provision for taxes.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all periods, a portion of the difference in income taxes computed at the federal statutory rate and reported income taxes is due to state and local income taxes.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Additionally, in 2006, we recorded reductions to income tax expense related to (i) a decrease in our effective state tax rate resulting in a $9 million benefit related to the revaluation of net accumulated deferred tax liabilities; (ii) a $20 million tax benefit due to scheduled tax rate reductions in Canada and the resulting revaluation of related net accumulated deferred tax liabilities; and (iii) an $11 million state tax benefit arising from the reduction in the valuation allowance related to the expected utilization of state net operating loss and credit carryforwards.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2005, we recorded additional income tax expense related to (i) the accrual of $4 million to increase net accumulated deferred tax liabilities resulting from a change in the provincial tax rate in Quebec and (ii) the accrual of $34 million of taxes associated with our plan to repatriate $496 million of accumulated earnings and capital from certain of our Canadian subsidiaries under the American Jobs Creation Act of 2004. These amounts were offset in part by a change in our estimated state effective tax rate causing us to realize a benefit of $16 million related to the revaluation of net accumulated deferred tax liabilities.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Cumulative Effect of Change in Accounting Principle</w:t>
      </w:r>
    </w:p>
    <w:p>
      <w:pPr>
        <w:spacing w:after="0" w:line="96" w:lineRule="exact"/>
        <w:rPr>
          <w:sz w:val="20"/>
          <w:szCs w:val="20"/>
          <w:color w:val="auto"/>
        </w:rPr>
      </w:pPr>
    </w:p>
    <w:p>
      <w:pPr>
        <w:ind w:left="680" w:right="680" w:firstLine="399"/>
        <w:spacing w:after="0" w:line="320" w:lineRule="auto"/>
        <w:rPr>
          <w:sz w:val="20"/>
          <w:szCs w:val="20"/>
          <w:color w:val="auto"/>
        </w:rPr>
      </w:pPr>
      <w:r>
        <w:rPr>
          <w:rFonts w:ascii="Arial" w:cs="Arial" w:eastAsia="Arial" w:hAnsi="Arial"/>
          <w:sz w:val="12"/>
          <w:szCs w:val="12"/>
          <w:color w:val="auto"/>
        </w:rPr>
        <w:t>On March 31, 2004, we recorded a credit of $8 million, net of taxes, or $0.01 per diluted share, to “Cumulative effect of change in accounting principle” as a result of the consolidation of previously unrecorded trusts as required by FIN 46(R). See Notes 2 and 19 to the Consolidated Financial Statements for further discussion.</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5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consistently generated cash flows from operations in excess of our reinvestment needs.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70" w:lineRule="exact"/>
        <w:rPr>
          <w:sz w:val="20"/>
          <w:szCs w:val="20"/>
          <w:color w:val="auto"/>
        </w:rPr>
      </w:pPr>
    </w:p>
    <w:p>
      <w:pPr>
        <w:ind w:left="5620" w:right="4800" w:hanging="4530"/>
        <w:spacing w:after="0" w:line="585" w:lineRule="auto"/>
        <w:tabs>
          <w:tab w:leader="none" w:pos="1295"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essential nature of the services we provide and our large and diverse customer base;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ability to generate strong and consistent cash flows despite the economic environment;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liquidity profile;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asset base;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commitment to maintaining a moderate financial profile and disciplined capital allocation.</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 (iv) the container and equipment needs of our operations; (v) capping, closure and post-closure activities at our landfills; and (vi) repaying debt and discharging other obligations. We also are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October 22, 2004, the American Jobs Creation Act of 2004 (the “Act”) became law. A provision of the Act allowed U.S. companies to repatriate earnings from their foreign subsidiaries at a reduced tax rate during 2005. Our Chief Executive Officer and Board of Directors approved a domestic reinvestment plan under which we repatriated $496 million of our accumulated foreign earnings and capital in 2005. The repatriation was funded with cash on hand and bank borrowings. For a discussion of the tax impact and bank borrowings see Notes 7 and 8 to the Consolidated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Short-Term Investments,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is a summary of our cash, short-term investments available for use, restricted trust and escrow accounts and debt balances as of December 31, 2006 and December 31,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2005 (in millions):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Short-term investments available for use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short-term investments available for use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8,165</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8,687</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Cash and cash equivalents consist primarily of cash on deposit, certificates of deposit, money market accounts, and investment grade commercial paper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with original maturities of three months or less.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Short-term investments available for use </w:t>
      </w:r>
      <w:r>
        <w:rPr>
          <w:rFonts w:ascii="Arial" w:cs="Arial" w:eastAsia="Arial" w:hAnsi="Arial"/>
          <w:sz w:val="13"/>
          <w:szCs w:val="13"/>
          <w:color w:val="auto"/>
        </w:rPr>
        <w:t>— These investments include auction rate securities and variable rate demand notes, which are debt instruments with long-term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Consolidated Balance Sheets.</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Restricted trust and escrow accounts </w:t>
      </w:r>
      <w:r>
        <w:rPr>
          <w:rFonts w:ascii="Arial" w:cs="Arial" w:eastAsia="Arial" w:hAnsi="Arial"/>
          <w:sz w:val="13"/>
          <w:szCs w:val="13"/>
          <w:color w:val="auto"/>
        </w:rPr>
        <w:t>— Restricted trust and escrow accounts consist primarily of funds held in trust for the construction of various facilities or repayment of debt</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funds deposited in connection with landfill closure, post-closure and remediation obligations and insurance escrow deposits. These balances are primarily included within long-term “Other assets” in our Consolidated Balance Sheets. See Note 3 to the Consolidated Financial Statements for additional discussion.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Revolving credit and letter of credit facilities </w:t>
      </w:r>
      <w:r>
        <w:rPr>
          <w:rFonts w:ascii="Arial" w:cs="Arial" w:eastAsia="Arial" w:hAnsi="Arial"/>
          <w:sz w:val="13"/>
          <w:szCs w:val="13"/>
          <w:color w:val="auto"/>
        </w:rPr>
        <w:t>— The table below summarizes the credit capacity, maturity and outstanding letters of credit under our revolving credit facility,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letter of credit facilities and other credit arrangements as of December 31, 2006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Total Credit</w:t>
            </w: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Outstanding</w:t>
            </w: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acility</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740" w:type="dxa"/>
            <w:vAlign w:val="bottom"/>
            <w:vMerge w:val="restart"/>
          </w:tcPr>
          <w:p>
            <w:pPr>
              <w:ind w:left="760"/>
              <w:spacing w:after="0"/>
              <w:rPr>
                <w:sz w:val="20"/>
                <w:szCs w:val="20"/>
                <w:color w:val="auto"/>
              </w:rPr>
            </w:pPr>
            <w:r>
              <w:rPr>
                <w:rFonts w:ascii="Arial" w:cs="Arial" w:eastAsia="Arial" w:hAnsi="Arial"/>
                <w:sz w:val="10"/>
                <w:szCs w:val="10"/>
                <w:b w:val="1"/>
                <w:bCs w:val="1"/>
                <w:color w:val="auto"/>
              </w:rPr>
              <w:t>Maturity</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Letters</w:t>
            </w:r>
          </w:p>
        </w:tc>
        <w:tc>
          <w:tcPr>
            <w:tcW w:w="0" w:type="dxa"/>
            <w:vAlign w:val="bottom"/>
          </w:tcPr>
          <w:p>
            <w:pPr>
              <w:spacing w:after="0"/>
              <w:rPr>
                <w:sz w:val="1"/>
                <w:szCs w:val="1"/>
                <w:color w:val="auto"/>
              </w:rPr>
            </w:pPr>
          </w:p>
        </w:tc>
      </w:tr>
      <w:tr>
        <w:trPr>
          <w:trHeight w:val="125"/>
        </w:trPr>
        <w:tc>
          <w:tcPr>
            <w:tcW w:w="6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1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of Credit</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Five-year 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2,400</w:t>
            </w:r>
          </w:p>
        </w:tc>
        <w:tc>
          <w:tcPr>
            <w:tcW w:w="1740" w:type="dxa"/>
            <w:vAlign w:val="bottom"/>
            <w:shd w:val="clear" w:color="auto" w:fill="CCEEFF"/>
          </w:tcPr>
          <w:p>
            <w:pPr>
              <w:jc w:val="center"/>
              <w:ind w:right="156"/>
              <w:spacing w:after="0"/>
              <w:rPr>
                <w:sz w:val="20"/>
                <w:szCs w:val="20"/>
                <w:color w:val="auto"/>
              </w:rPr>
            </w:pPr>
            <w:r>
              <w:rPr>
                <w:rFonts w:ascii="Arial" w:cs="Arial" w:eastAsia="Arial" w:hAnsi="Arial"/>
                <w:sz w:val="13"/>
                <w:szCs w:val="13"/>
                <w:color w:val="auto"/>
                <w:w w:val="93"/>
              </w:rPr>
              <w:t>August 2011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157"/>
        </w:trPr>
        <w:tc>
          <w:tcPr>
            <w:tcW w:w="6200" w:type="dxa"/>
            <w:vAlign w:val="bottom"/>
            <w:gridSpan w:val="2"/>
          </w:tcPr>
          <w:p>
            <w:pPr>
              <w:spacing w:after="0"/>
              <w:rPr>
                <w:sz w:val="20"/>
                <w:szCs w:val="20"/>
                <w:color w:val="auto"/>
              </w:rPr>
            </w:pPr>
            <w:r>
              <w:rPr>
                <w:rFonts w:ascii="Arial" w:cs="Arial" w:eastAsia="Arial" w:hAnsi="Arial"/>
                <w:sz w:val="13"/>
                <w:szCs w:val="13"/>
                <w:color w:val="auto"/>
              </w:rPr>
              <w:t>Five-year letter of credit and term loan agreement(b)</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1740" w:type="dxa"/>
            <w:vAlign w:val="bottom"/>
          </w:tcPr>
          <w:p>
            <w:pPr>
              <w:jc w:val="center"/>
              <w:ind w:right="156"/>
              <w:spacing w:after="0"/>
              <w:rPr>
                <w:sz w:val="20"/>
                <w:szCs w:val="20"/>
                <w:color w:val="auto"/>
              </w:rPr>
            </w:pPr>
            <w:r>
              <w:rPr>
                <w:rFonts w:ascii="Arial" w:cs="Arial" w:eastAsia="Arial" w:hAnsi="Arial"/>
                <w:sz w:val="13"/>
                <w:szCs w:val="13"/>
                <w:color w:val="auto"/>
                <w:w w:val="85"/>
              </w:rPr>
              <w:t>June 2008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Five-year letter of credit facility(b)</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1740" w:type="dxa"/>
            <w:vAlign w:val="bottom"/>
            <w:shd w:val="clear" w:color="auto" w:fill="CCEEFF"/>
          </w:tcPr>
          <w:p>
            <w:pPr>
              <w:jc w:val="center"/>
              <w:ind w:right="156"/>
              <w:spacing w:after="0"/>
              <w:rPr>
                <w:sz w:val="20"/>
                <w:szCs w:val="20"/>
                <w:color w:val="auto"/>
              </w:rPr>
            </w:pPr>
            <w:r>
              <w:rPr>
                <w:rFonts w:ascii="Arial" w:cs="Arial" w:eastAsia="Arial" w:hAnsi="Arial"/>
                <w:sz w:val="13"/>
                <w:szCs w:val="13"/>
                <w:color w:val="auto"/>
                <w:w w:val="90"/>
              </w:rPr>
              <w:t>December 2008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57"/>
        </w:trPr>
        <w:tc>
          <w:tcPr>
            <w:tcW w:w="6200" w:type="dxa"/>
            <w:vAlign w:val="bottom"/>
            <w:gridSpan w:val="2"/>
          </w:tcPr>
          <w:p>
            <w:pPr>
              <w:spacing w:after="0"/>
              <w:rPr>
                <w:sz w:val="20"/>
                <w:szCs w:val="20"/>
                <w:color w:val="auto"/>
              </w:rPr>
            </w:pPr>
            <w:r>
              <w:rPr>
                <w:rFonts w:ascii="Arial" w:cs="Arial" w:eastAsia="Arial" w:hAnsi="Arial"/>
                <w:sz w:val="13"/>
                <w:szCs w:val="13"/>
                <w:color w:val="auto"/>
              </w:rPr>
              <w:t>Seven-year letter of credit and term loan agreement(b)</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175</w:t>
            </w:r>
          </w:p>
        </w:tc>
        <w:tc>
          <w:tcPr>
            <w:tcW w:w="1740" w:type="dxa"/>
            <w:vAlign w:val="bottom"/>
          </w:tcPr>
          <w:p>
            <w:pPr>
              <w:jc w:val="center"/>
              <w:ind w:right="156"/>
              <w:spacing w:after="0"/>
              <w:rPr>
                <w:sz w:val="20"/>
                <w:szCs w:val="20"/>
                <w:color w:val="auto"/>
              </w:rPr>
            </w:pPr>
            <w:r>
              <w:rPr>
                <w:rFonts w:ascii="Arial" w:cs="Arial" w:eastAsia="Arial" w:hAnsi="Arial"/>
                <w:sz w:val="13"/>
                <w:szCs w:val="13"/>
                <w:color w:val="auto"/>
                <w:w w:val="85"/>
              </w:rPr>
              <w:t>June 2010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7"/>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Ten-year letter of credit and term loan agreement(b)</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w:t>
            </w:r>
          </w:p>
        </w:tc>
        <w:tc>
          <w:tcPr>
            <w:tcW w:w="1740" w:type="dxa"/>
            <w:vAlign w:val="bottom"/>
            <w:shd w:val="clear" w:color="auto" w:fill="CCEEFF"/>
          </w:tcPr>
          <w:p>
            <w:pPr>
              <w:jc w:val="center"/>
              <w:ind w:right="156"/>
              <w:spacing w:after="0"/>
              <w:rPr>
                <w:sz w:val="20"/>
                <w:szCs w:val="20"/>
                <w:color w:val="auto"/>
              </w:rPr>
            </w:pPr>
            <w:r>
              <w:rPr>
                <w:rFonts w:ascii="Arial" w:cs="Arial" w:eastAsia="Arial" w:hAnsi="Arial"/>
                <w:sz w:val="13"/>
                <w:szCs w:val="13"/>
                <w:color w:val="auto"/>
                <w:w w:val="85"/>
              </w:rPr>
              <w:t>June 2013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6200" w:type="dxa"/>
            <w:vAlign w:val="bottom"/>
            <w:gridSpan w:val="2"/>
          </w:tcPr>
          <w:p>
            <w:pPr>
              <w:spacing w:after="0"/>
              <w:rPr>
                <w:sz w:val="20"/>
                <w:szCs w:val="20"/>
                <w:color w:val="auto"/>
              </w:rPr>
            </w:pPr>
            <w:r>
              <w:rPr>
                <w:rFonts w:ascii="Arial" w:cs="Arial" w:eastAsia="Arial" w:hAnsi="Arial"/>
                <w:sz w:val="13"/>
                <w:szCs w:val="13"/>
                <w:color w:val="auto"/>
              </w:rPr>
              <w:t>Other(c)</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right="156"/>
              <w:spacing w:after="0"/>
              <w:rPr>
                <w:sz w:val="20"/>
                <w:szCs w:val="20"/>
                <w:color w:val="auto"/>
              </w:rPr>
            </w:pPr>
            <w:r>
              <w:rPr>
                <w:rFonts w:ascii="Arial" w:cs="Arial" w:eastAsia="Arial" w:hAnsi="Arial"/>
                <w:sz w:val="13"/>
                <w:szCs w:val="13"/>
                <w:color w:val="auto"/>
                <w:w w:val="90"/>
              </w:rPr>
              <w:t>Various</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3,045</w:t>
            </w: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-835660</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p>
    <w:p>
      <w:pPr>
        <w:ind w:left="1180" w:right="200" w:hanging="235"/>
        <w:spacing w:after="0" w:line="264"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August 17, 2006, WMI entered into a five-year, $2.4 billion revolving credit facility, replacing the $2.4 billion syndicated revolving credit facility that would have expired in October 2009. This facility provides us with credit capacity that could be used for either cash borrowings or letters of credit. At December 31, 2006, no borrowings were outstanding under the facility, and we had unused and available credit capacity of $1,099 million.</w:t>
      </w:r>
    </w:p>
    <w:p>
      <w:pPr>
        <w:spacing w:after="0" w:line="17" w:lineRule="exact"/>
        <w:rPr>
          <w:rFonts w:ascii="Arial" w:cs="Arial" w:eastAsia="Arial" w:hAnsi="Arial"/>
          <w:sz w:val="13"/>
          <w:szCs w:val="13"/>
          <w:color w:val="auto"/>
        </w:rPr>
      </w:pPr>
    </w:p>
    <w:p>
      <w:pPr>
        <w:ind w:left="1180" w:right="20" w:hanging="243"/>
        <w:spacing w:after="0" w:line="264"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December 31, 2006 we had not experienced any unreimbursed draws on our letters of credit.</w:t>
      </w:r>
    </w:p>
    <w:p>
      <w:pPr>
        <w:spacing w:after="0" w:line="17" w:lineRule="exact"/>
        <w:rPr>
          <w:rFonts w:ascii="Arial" w:cs="Arial" w:eastAsia="Arial" w:hAnsi="Arial"/>
          <w:sz w:val="13"/>
          <w:szCs w:val="13"/>
          <w:color w:val="auto"/>
        </w:rPr>
      </w:pPr>
    </w:p>
    <w:p>
      <w:pPr>
        <w:ind w:left="1180" w:right="40" w:hanging="235"/>
        <w:spacing w:after="0" w:line="276"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have letters of credit outstanding under various arrangements that do not provide for a committed capacity. Accordingly, the total credit capacity of these arrangements has been noted as zero.</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financial institutions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In November 2005, Waste Management of Canada Corporation, one of our wholly-owned subsidiaries, entered into a three-year credit facility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under which we could borrow up to Canadian $410 million. The agreement was entered into to facilitate WMI’s repatriation of accumulated earnings and capital from its Canadian subsidiaries as discussed above.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As of December 31, 2006, we had $313 million of principal ($308 million net of discount) outstanding under this credit facility. Advances under the facility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4.8% at December 31, 2006, which is being amortized to interest expense with a corresponding increase in our recorded debt obligation using the effective interest method. During the year ended December 31, 2006, we increased the carrying value of the debt for the recognition of $15 million of interest expense. A total of $47 million of advances under the facility matured during 2006 and were repaid with available cash. Accounting for changes in the Canadian currency translation rate did not significantly affect the carrying value of these borrowings during 2006.</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outstanding advances mature less than one year from the date of issuance, but may be renewed under the terms of the facility. While we may elect to renew portions of our outstanding advances under the terms of the facility, we currently expect to repay our borrowings under the facility within one year with available cash. Accordingly, these borrowings are classified as current in our December 31, 2006 Consolidated Balance Sheet. As of December 31, 2005, we had expected to repay $86 million of outstanding advances with available cash and renew the remaining borrowings under the terms of the facility. Based on our expectations at that time, we classified $86 million as current and $254 million as long-term in our December 31, 2005 Consolidated Balance Sheet.</w:t>
      </w:r>
    </w:p>
    <w:p>
      <w:pPr>
        <w:spacing w:after="0" w:line="71"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Senior notes </w:t>
      </w:r>
      <w:r>
        <w:rPr>
          <w:rFonts w:ascii="Arial" w:cs="Arial" w:eastAsia="Arial" w:hAnsi="Arial"/>
          <w:sz w:val="12"/>
          <w:szCs w:val="12"/>
          <w:color w:val="auto"/>
        </w:rPr>
        <w:t>— As of December 31, 2006, we had $4.8 billion of outstanding senior notes. The notes have various maturities ranging from October 2007 to May 2032, and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rates ranging from 5.00% to 8.75%. On October 15, 2006, $300 million of 7.0% senior notes matured and were repaid with cash on hand. We have $300 million of 7.125% senior notes that mature in October 2007 that we currently expect to repay with available cash. Accordingly, this borrowing is classified as current as of December 31, 2006.</w:t>
      </w:r>
    </w:p>
    <w:p>
      <w:pPr>
        <w:spacing w:after="0" w:line="5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actively issue tax-exempt bonds as a means of accessing low-cost financing for capital expenditures. As of December 31, 2006, we had $2.4 billion of</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tax-exempt bonds. We issued $159 million of tax-exempt bonds during 2006. The proceeds from these debt issuances were deposited directly into a trust fund and may only be used for the specific purpose for which the money was raised, which is generally the construction of collection and disposal facilities and for the equipment necessary to provide waste management services. Accordingly, the restricted funds provided by these financing activities have not been included in “New borrowings” in our Consolidated Statement of Cash Flows for the year ended December 31, 2006. As we spend monies on the specific projects being financed, we are able to requisition cash from the trust funds. As discussed in the restricted trusts and escrow accounts section above, we have $94 million held in trust for future spending as of December 31, 2006. During 2006, we received $258 million from these funds for approved capital expenditures.</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31, 2006, $606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have been classified as long-term in our December 31, 2006 Consolidated Balance Sheet.</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Additionally, as of December 31, 2006, we have $255 million of fixed rate tax-exempt bonds subject to repricing within the next twelve months, which is prior to their scheduled maturities. If the re-offerings of the bonds are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for financial reporting purposes. However, these bonds have been classified as long-term in our Consolidated Balance Sheet as of December 31, 2006.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As of December 31, 2006, we had $352 million of outstanding tax-exempt project bonds. These debt instruments are primarily used by our Wheelabrator</w:t>
      </w:r>
      <w:r>
        <w:rPr>
          <w:rFonts w:ascii="Arial" w:cs="Arial" w:eastAsia="Arial" w:hAnsi="Arial"/>
          <w:sz w:val="13"/>
          <w:szCs w:val="13"/>
          <w:i w:val="1"/>
          <w:iCs w:val="1"/>
          <w:color w:val="auto"/>
        </w:rPr>
        <w:t xml:space="preserve"> </w:t>
      </w:r>
      <w:r>
        <w:rPr>
          <w:rFonts w:ascii="Arial" w:cs="Arial" w:eastAsia="Arial" w:hAnsi="Arial"/>
          <w:sz w:val="13"/>
          <w:szCs w:val="13"/>
          <w:color w:val="auto"/>
        </w:rPr>
        <w:t>Group to finance the development of waste-to-energy facilities. The bonds generally require periodic principal installment payments. As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December 31, 2006,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Accordingly, these obligations have been classified as long-term in our December 31, 2006 Consolidated Balance Sheet. Approximately $61 million of our tax-exempt project bonds will be repaid with either available cash or debt service funds within the next twelve months.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Interest rate swaps </w:t>
      </w:r>
      <w:r>
        <w:rPr>
          <w:rFonts w:ascii="Arial" w:cs="Arial" w:eastAsia="Arial" w:hAnsi="Arial"/>
          <w:sz w:val="13"/>
          <w:szCs w:val="13"/>
          <w:color w:val="auto"/>
        </w:rPr>
        <w:t>— We manage the interest rate risk of our debt portfolio principally by using interest rate derivatives to achieve a desired position of fixed and floating rate debt.</w:t>
      </w:r>
      <w:r>
        <w:rPr>
          <w:rFonts w:ascii="Arial" w:cs="Arial" w:eastAsia="Arial" w:hAnsi="Arial"/>
          <w:sz w:val="13"/>
          <w:szCs w:val="13"/>
          <w:i w:val="1"/>
          <w:iCs w:val="1"/>
          <w:color w:val="auto"/>
        </w:rPr>
        <w:t xml:space="preserve"> </w:t>
      </w:r>
      <w:r>
        <w:rPr>
          <w:rFonts w:ascii="Arial" w:cs="Arial" w:eastAsia="Arial" w:hAnsi="Arial"/>
          <w:sz w:val="13"/>
          <w:szCs w:val="13"/>
          <w:color w:val="auto"/>
        </w:rPr>
        <w:t>As of December 31, 2006, the interest payments on $2.4 billion of our fixed rate debt have been swapped to variable rates, allowing us to maintain approximately 64% of our debt at fixed interest rates and approximately 36% of our debt at variable interest rates. Fair value hedge accounting for interest rate swap contracts increased the carrying value of debt instruments by $19 million as of December 31, 2006 and $47 million at December 31, 2005.</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year ended December 31 for each respective period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2,218</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(788)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(1,130)</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During 2006 and 2005, our cash flows from operating activities increased $149 million and $173 million, respectively,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 In both years, the increases were due to growth in our operating income and comparative changes in our receivables and accounts payable and accrued liabilities, and were partially offset by increases in cash paid for income taxes.</w:t>
      </w:r>
    </w:p>
    <w:p>
      <w:pPr>
        <w:spacing w:after="0" w:line="67"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change in our receivables balances, net of effects of acquisitions and divestitures, provided a source of cash of $12 million in 2006, compared to a use of cash in both 2005 and 2004 of $102 million and $223 million, respectively. In 2006, our receivables balances declined in part due to a decrease in fourth quarter revenues as compared with the prior year, but also due to improved efficiency of collections. We have created and implemented new processes to assist our Market Areas with collections. The increases in our receivables balances, and resulting uses of cash in the Consolidated Statements of Cash Flows, in 2005 and 2004 were primarily related to increased revenues. However, the significant year-over-year change can partially be attributed to 2004 receivable balances associated with significant revenues generated from hurricane related services provided in the second half of 2004.</w:t>
      </w:r>
    </w:p>
    <w:p>
      <w:pPr>
        <w:spacing w:after="0" w:line="55"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made income tax payments of $475 million in 2006, $233 million in 2005 and $136 million in 2004. The increase in 2006 is primarily the result of improved earnings, a 36% phase-out of Section 45K tax credits and the temporary shutdown of our two coal-based synthetic fuel production facilities. There was no phase-out of Section 45K tax credits or temporary shutdown of the coal-based synthetic fuel production facilities in either 2005 or 2004. The increase from 2004 to 2005 is the combined result of increased earnings and the expiration of first-year bonus depreciation on property acquired after September 1, 2001 and before January 1, 2005, which favorably impacted taxes paid in 2004.</w:t>
      </w:r>
    </w:p>
    <w:p>
      <w:pPr>
        <w:spacing w:after="0" w:line="53"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Our provision for income taxes has been significantly affected by tax audit settlements in each period presented. Tax audit settlements and related interest positively affected our net income by $158 million in 2006, $398 million in 2005 and $129 million in 2004. Additionally, we received cash refunds of $62 million in 2006 and $71 million in 2005 related to these tax audit settlements. The remaining impact of these settlements has been reflected as changes in our “Accounts payable and accrued liabilities” for the related periods.</w:t>
      </w:r>
    </w:p>
    <w:p>
      <w:pPr>
        <w:spacing w:after="0" w:line="50"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The comparability of our operating cash flows for the periods presented is also affected by our adoption of SFAS No. 123(R) on January 1, 2006. SFAS No. 123(R) requires reductions in income taxes payable attributable to excess tax benefits associated with equity-based compensation to be included in cash flows from financing</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activities, which are discussed below. Prior to adopting SFAS No. 123(R), our excess tax benefits associated with equity-based compensation were included within cash flows from operating activities as a change in “Accounts payable and accrued liabilities.” During 2005 and 2004, these excess tax benefits improved our operating cash flows by approximately $17 million and $37 million, respectively.</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We used $788 million of our cash resources for investing activities during 2006, a decrease of $274 million compared with 2005. This</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is primarily due to (i) a $417 million increase in net cash flows provided by purchases and sales of short-term investments; (ii) a $110 million decline in spending for acquisitions of businesses; and (iii) a $46 million increase in proceeds from divestitures of businesses (net of cash divested) and other sales of assets. The effect of these items on our cash used in investing activities was partially offset by a $149 million increase in capital spending and a $142 million decline in net receipts from restricted trust and escrow accounts.</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Net sales of short-term investments provided $122 million of cash in 2006, compared with net purchases of short-term investments of $295 million during 2005. In 2006, we experienced net sales of short-term investments as we utilized our short-term investments and available cash to fund our common stock repurchases, dividend payments and debt repayments, which are discussed below.</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Our spending on acquisitions decreased from $142 million during 2005 to $32 million in 2006. As we make progress on our divestiture program, we plan to increase our focus on accretive acquisitions and other investments that will contribute to improved future results of operations and enhance and expand our existing service offerings.</w:t>
      </w:r>
    </w:p>
    <w:p>
      <w:pPr>
        <w:spacing w:after="0" w:line="3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Proceeds from divestitures (net of cash divested) and other sales of assets were $240 million in 2006 compared with $194 million in 2005, an increase of $46 million. Approximately $89 million of our 2005 proceeds were related to the sale of one of our landfills in Ontario, Canada as required by a Divestiture Order from the Canadian Competition Tribunal. When excluding the cash proceeds generated by this transaction, proceeds from divestitures have increased by $135 million during 2006 when compared with 2005. This increase is primarily a result of the execution of our plan to divest of certain under-performing and non-strategic operations.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Net funds received from our restricted trust and escrow accounts, which are largely generated from the issuance of tax-exempt bonds for our capital needs, contributed $253 million to our investing activities in 2006 compared with $395 million in 2005. The decrease is due to a decline in new tax-exempt borrowings.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used $1,329 million during 2006 for capital expenditures, compared with $1,180 million in 2005. The increase occurred across all asset categories. However, our landfill and vehicles asset categories were the most significantly affected.</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used $1,062 million of our cash resources for investing activities during 2005, an increase of $180 million compared with 2004. This increase is primarily due to a $266 million change in net cash flows associated with purchases and sales of short-term investments. Net purchases of short-term investments during 2005 were $295 million compared with net purchases of $29 million during 2004. The increase in our short-term investments available for use as of December 31, 2005 can generally be attributed to an increase in our available cash, which we used to fund, among other things, a $275 million accelerated share repurchase agreement that became effective in January 2006 and our first quarter 2006 dividend that was paid in March 2006. Our share repurchases and dividends are discussed in our </w:t>
      </w:r>
      <w:r>
        <w:rPr>
          <w:rFonts w:ascii="Arial" w:cs="Arial" w:eastAsia="Arial" w:hAnsi="Arial"/>
          <w:sz w:val="12"/>
          <w:szCs w:val="12"/>
          <w:i w:val="1"/>
          <w:iCs w:val="1"/>
          <w:color w:val="auto"/>
        </w:rPr>
        <w:t>Net Cash Used in Financing Activities</w:t>
      </w:r>
      <w:r>
        <w:rPr>
          <w:rFonts w:ascii="Arial" w:cs="Arial" w:eastAsia="Arial" w:hAnsi="Arial"/>
          <w:sz w:val="12"/>
          <w:szCs w:val="12"/>
          <w:color w:val="auto"/>
        </w:rPr>
        <w:t xml:space="preserve"> section below.</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increase in net cash outflows from investing activities as a result of our short-term investments was partially offset by (i) an increase in proceeds from divestitures of businesses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(net of cash divested) and other sales of assets and (ii) a decrease in capital expenditures. Proceeds from divestitures of businesses (net of cash divested) and other sales of assets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$194 million in 2005 and $96 million in 2004. The $98 million increase from 2004 to 2005 is largely attributable to the sale of one of our landfills in Ontario, Canada. Capital expenditures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$1,180 million in 2005, which is $78 million less than we invested in capital in 2004.</w:t>
      </w:r>
    </w:p>
    <w:p>
      <w:pPr>
        <w:spacing w:after="0" w:line="8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changes in our financing cash flows during the three years ended December 31, 2006 are related to (i) increases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paid for our repurchases of common stock and cash dividends; (ii) variances in our net debt repayments, which can generally be attributed to scheduled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maturities; and (iii) variances in proceeds from the exercise of common stock options and warrants. These financing activities are discussed below.</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Our 2006 and 2005 share repurchases and dividend payments have been made in accordance with a three-year capital allocation program that was approved by our Board of Directors. This capital allocation program authorizes up to $1.2 billion of combined share repurchases and dividend payments each year during 2005, 2006 and 2007. In June 2006, the Board of Directors authorized up to $350 million of additional share repurchases in 2006, increasing the total of capital authorized for share repurchases and dividends in 2006 to $1.55 billion.</w:t>
      </w:r>
    </w:p>
    <w:p>
      <w:pPr>
        <w:spacing w:after="0" w:line="32"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We paid $1,072 million for share repurchases in 2006, as compared with $706 million in 2005 and $496 million in 2004. We repurchased approximately 31 million, 25 million and 17 million shares of our common stock in 2006, 2005 and 2004, respectively. We currently expect to continue repurchasing common stock under the capital allocation program discussed above.</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paid an aggregate of $476 million in cash dividends during 2006 compared with $449 million in 2005 and $432 million in 2004. The increase in dividend payments is due to annual increases in our per share dividend payment, which increased from a quarterly per share dividend of $0.1875 in 2004, to $0.20 in 2005 and to $0.22 in 2006. The impact of the year-over-year increases in the per share dividend has been partially offset by a reduction in the number of our outstanding shares as a result of our share repurchase program. In December 2006, the Board of Directors announced that it expects future quarterly dividend payments will be $0.24 per share. All future dividend declarations are at the discretion of the Board of Directors, and depend on various factors, including our net earnings, financial condition, cash required for future prospects and other factors the Board may deem relevant.</w:t>
      </w:r>
    </w:p>
    <w:p>
      <w:pPr>
        <w:spacing w:after="0" w:line="5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Net debt repayments were $500 million in 2006, $11 million in 2005 and $386 million in 2004. The following summarizes our most significant cash borrowings and debt repayments made during each year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center"/>
              <w:ind w:left="256"/>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432</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 debt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i w:val="1"/>
                <w:iCs w:val="1"/>
                <w:color w:val="auto"/>
              </w:rPr>
              <w:t>Repayments: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bonds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Tax exempt project bonds</w:t>
            </w: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Convertible subordinated notes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i w:val="1"/>
                <w:iCs w:val="1"/>
                <w:color w:val="auto"/>
              </w:rPr>
              <w:t>Net repayments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(500)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exercise of common stock options and warrants and the related excess tax benefits generated a total of $340 million of financing cash inflows during 2006, compared with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$129 million in 2005 and $193 million in 2004. We believe the significant increase in stock option and warrant exercises in 2006 is due to the substantial increase in the market value of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common stock during 2006. The accelerated vesting of all outstanding stock options in December 2005 also resulted in increased cash proceeds from stock option exercises because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acceleration made additional options available for exercise. As discussed above, the adoption of SFAS No. 123(R) on January 1, 2006 resulted in the classification of tax savings provided by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equity-based compensation as a financing cash inflow rather than an operating cash inflow beginning in the first quarter of 2006. This change in accounting increased cash flows from</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financing activities by $45 million in 2006.</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our contractual obligations as of December 31, 2006 and the anticipated effect of these obligations on our liquidity in future years (in millions):</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ind w:right="48"/>
              <w:spacing w:after="0"/>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9"/>
                <w:szCs w:val="9"/>
                <w:color w:val="auto"/>
              </w:rPr>
            </w:pPr>
          </w:p>
        </w:tc>
        <w:tc>
          <w:tcPr>
            <w:tcW w:w="240" w:type="dxa"/>
            <w:vAlign w:val="bottom"/>
            <w:gridSpan w:val="2"/>
          </w:tcPr>
          <w:p>
            <w:pPr>
              <w:jc w:val="right"/>
              <w:spacing w:after="0"/>
              <w:rPr>
                <w:sz w:val="20"/>
                <w:szCs w:val="20"/>
                <w:color w:val="auto"/>
              </w:rPr>
            </w:pPr>
            <w:r>
              <w:rPr>
                <w:rFonts w:ascii="Arial" w:cs="Arial" w:eastAsia="Arial" w:hAnsi="Arial"/>
                <w:sz w:val="9"/>
                <w:szCs w:val="9"/>
                <w:b w:val="1"/>
                <w:bCs w:val="1"/>
                <w:color w:val="auto"/>
                <w:w w:val="99"/>
              </w:rPr>
              <w:t>2008</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ind w:right="48"/>
              <w:spacing w:after="0"/>
              <w:rPr>
                <w:sz w:val="20"/>
                <w:szCs w:val="20"/>
                <w:color w:val="auto"/>
              </w:rPr>
            </w:pPr>
            <w:r>
              <w:rPr>
                <w:rFonts w:ascii="Arial" w:cs="Arial" w:eastAsia="Arial" w:hAnsi="Arial"/>
                <w:sz w:val="9"/>
                <w:szCs w:val="9"/>
                <w:b w:val="1"/>
                <w:bCs w:val="1"/>
                <w:color w:val="auto"/>
                <w:w w:val="99"/>
              </w:rPr>
              <w:t>2009</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ind w:right="48"/>
              <w:spacing w:after="0"/>
              <w:rPr>
                <w:sz w:val="20"/>
                <w:szCs w:val="20"/>
                <w:color w:val="auto"/>
              </w:rPr>
            </w:pPr>
            <w:r>
              <w:rPr>
                <w:rFonts w:ascii="Arial" w:cs="Arial" w:eastAsia="Arial" w:hAnsi="Arial"/>
                <w:sz w:val="9"/>
                <w:szCs w:val="9"/>
                <w:b w:val="1"/>
                <w:bCs w:val="1"/>
                <w:color w:val="auto"/>
                <w:w w:val="89"/>
              </w:rPr>
              <w:t>2010</w:t>
            </w:r>
          </w:p>
        </w:tc>
        <w:tc>
          <w:tcPr>
            <w:tcW w:w="300" w:type="dxa"/>
            <w:vAlign w:val="bottom"/>
          </w:tcPr>
          <w:p>
            <w:pPr>
              <w:spacing w:after="0"/>
              <w:rPr>
                <w:sz w:val="9"/>
                <w:szCs w:val="9"/>
                <w:color w:val="auto"/>
              </w:rPr>
            </w:pPr>
          </w:p>
        </w:tc>
        <w:tc>
          <w:tcPr>
            <w:tcW w:w="260" w:type="dxa"/>
            <w:vAlign w:val="bottom"/>
            <w:gridSpan w:val="2"/>
          </w:tcPr>
          <w:p>
            <w:pPr>
              <w:jc w:val="right"/>
              <w:spacing w:after="0"/>
              <w:rPr>
                <w:sz w:val="20"/>
                <w:szCs w:val="20"/>
                <w:color w:val="auto"/>
              </w:rPr>
            </w:pPr>
            <w:r>
              <w:rPr>
                <w:rFonts w:ascii="Arial" w:cs="Arial" w:eastAsia="Arial" w:hAnsi="Arial"/>
                <w:sz w:val="9"/>
                <w:szCs w:val="9"/>
                <w:b w:val="1"/>
                <w:bCs w:val="1"/>
                <w:color w:val="auto"/>
                <w:w w:val="99"/>
              </w:rPr>
              <w:t>2011</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w w:val="95"/>
              </w:rPr>
              <w:t>Thereafter</w:t>
            </w:r>
          </w:p>
        </w:tc>
        <w:tc>
          <w:tcPr>
            <w:tcW w:w="100" w:type="dxa"/>
            <w:vAlign w:val="bottom"/>
          </w:tcPr>
          <w:p>
            <w:pPr>
              <w:spacing w:after="0"/>
              <w:rPr>
                <w:sz w:val="9"/>
                <w:szCs w:val="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3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Recorded Obligations: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34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Expected environmental liabilities(a)</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34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Final capping, closure and post-closure</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5"/>
              </w:rPr>
              <w:t>112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1,566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2,067</w:t>
            </w:r>
          </w:p>
        </w:tc>
      </w:tr>
      <w:tr>
        <w:trPr>
          <w:trHeight w:val="108"/>
        </w:trPr>
        <w:tc>
          <w:tcPr>
            <w:tcW w:w="534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Environmental remediation</w:t>
            </w: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44</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41</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w:t>
            </w:r>
          </w:p>
        </w:tc>
        <w:tc>
          <w:tcPr>
            <w:tcW w:w="80" w:type="dxa"/>
            <w:vAlign w:val="bottom"/>
          </w:tcPr>
          <w:p>
            <w:pPr>
              <w:spacing w:after="0"/>
              <w:rPr>
                <w:sz w:val="9"/>
                <w:szCs w:val="9"/>
                <w:color w:val="auto"/>
              </w:rPr>
            </w:pPr>
          </w:p>
        </w:tc>
        <w:tc>
          <w:tcPr>
            <w:tcW w:w="6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w:t>
            </w:r>
          </w:p>
        </w:tc>
        <w:tc>
          <w:tcPr>
            <w:tcW w:w="80" w:type="dxa"/>
            <w:vAlign w:val="bottom"/>
          </w:tcPr>
          <w:p>
            <w:pPr>
              <w:spacing w:after="0"/>
              <w:rPr>
                <w:sz w:val="9"/>
                <w:szCs w:val="9"/>
                <w:color w:val="auto"/>
              </w:rPr>
            </w:pPr>
          </w:p>
        </w:tc>
        <w:tc>
          <w:tcPr>
            <w:tcW w:w="4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179</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327</w:t>
            </w:r>
          </w:p>
        </w:tc>
      </w:tr>
      <w:tr>
        <w:trPr>
          <w:trHeight w:val="20"/>
        </w:trPr>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130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5"/>
              </w:rPr>
              <w:t>153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132</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70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1,745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2,394</w:t>
            </w:r>
          </w:p>
        </w:tc>
      </w:tr>
      <w:tr>
        <w:trPr>
          <w:trHeight w:val="108"/>
        </w:trPr>
        <w:tc>
          <w:tcPr>
            <w:tcW w:w="534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Debt payments(b),(c)</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815</w:t>
            </w:r>
          </w:p>
        </w:tc>
        <w:tc>
          <w:tcPr>
            <w:tcW w:w="6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w w:val="95"/>
              </w:rPr>
              <w:t>539</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681</w:t>
            </w:r>
          </w:p>
        </w:tc>
        <w:tc>
          <w:tcPr>
            <w:tcW w:w="80" w:type="dxa"/>
            <w:vAlign w:val="bottom"/>
          </w:tcPr>
          <w:p>
            <w:pPr>
              <w:spacing w:after="0"/>
              <w:rPr>
                <w:sz w:val="9"/>
                <w:szCs w:val="9"/>
                <w:color w:val="auto"/>
              </w:rPr>
            </w:pPr>
          </w:p>
        </w:tc>
        <w:tc>
          <w:tcPr>
            <w:tcW w:w="6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713</w:t>
            </w:r>
          </w:p>
        </w:tc>
        <w:tc>
          <w:tcPr>
            <w:tcW w:w="80" w:type="dxa"/>
            <w:vAlign w:val="bottom"/>
          </w:tcPr>
          <w:p>
            <w:pPr>
              <w:spacing w:after="0"/>
              <w:rPr>
                <w:sz w:val="9"/>
                <w:szCs w:val="9"/>
                <w:color w:val="auto"/>
              </w:rPr>
            </w:pPr>
          </w:p>
        </w:tc>
        <w:tc>
          <w:tcPr>
            <w:tcW w:w="4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w w:val="95"/>
              </w:rPr>
              <w:t>247</w:t>
            </w: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5,305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8,300</w:t>
            </w:r>
          </w:p>
        </w:tc>
      </w:tr>
      <w:tr>
        <w:trPr>
          <w:trHeight w:val="108"/>
        </w:trPr>
        <w:tc>
          <w:tcPr>
            <w:tcW w:w="53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Unrecorded Obligations:(d)</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34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Share repurchases(e)</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70</w:t>
            </w:r>
          </w:p>
        </w:tc>
        <w:tc>
          <w:tcPr>
            <w:tcW w:w="6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w:t>
            </w:r>
          </w:p>
        </w:tc>
      </w:tr>
      <w:tr>
        <w:trPr>
          <w:trHeight w:val="108"/>
        </w:trPr>
        <w:tc>
          <w:tcPr>
            <w:tcW w:w="53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Non-cancelable operating lease obligations</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34</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456</w:t>
            </w:r>
          </w:p>
        </w:tc>
      </w:tr>
      <w:tr>
        <w:trPr>
          <w:trHeight w:val="108"/>
        </w:trPr>
        <w:tc>
          <w:tcPr>
            <w:tcW w:w="534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Estimated unconditional purchase obligations(f)</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150</w:t>
            </w:r>
          </w:p>
        </w:tc>
        <w:tc>
          <w:tcPr>
            <w:tcW w:w="6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w w:val="95"/>
              </w:rPr>
              <w:t>133</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127</w:t>
            </w:r>
          </w:p>
        </w:tc>
        <w:tc>
          <w:tcPr>
            <w:tcW w:w="80" w:type="dxa"/>
            <w:vAlign w:val="bottom"/>
          </w:tcPr>
          <w:p>
            <w:pPr>
              <w:spacing w:after="0"/>
              <w:rPr>
                <w:sz w:val="9"/>
                <w:szCs w:val="9"/>
                <w:color w:val="auto"/>
              </w:rPr>
            </w:pPr>
          </w:p>
        </w:tc>
        <w:tc>
          <w:tcPr>
            <w:tcW w:w="6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114</w:t>
            </w:r>
          </w:p>
        </w:tc>
        <w:tc>
          <w:tcPr>
            <w:tcW w:w="80" w:type="dxa"/>
            <w:vAlign w:val="bottom"/>
          </w:tcPr>
          <w:p>
            <w:pPr>
              <w:spacing w:after="0"/>
              <w:rPr>
                <w:sz w:val="9"/>
                <w:szCs w:val="9"/>
                <w:color w:val="auto"/>
              </w:rPr>
            </w:pPr>
          </w:p>
        </w:tc>
        <w:tc>
          <w:tcPr>
            <w:tcW w:w="4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70</w:t>
            </w: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357</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951</w:t>
            </w:r>
          </w:p>
        </w:tc>
      </w:tr>
      <w:tr>
        <w:trPr>
          <w:trHeight w:val="95"/>
        </w:trPr>
        <w:tc>
          <w:tcPr>
            <w:tcW w:w="5340" w:type="dxa"/>
            <w:vAlign w:val="bottom"/>
            <w:gridSpan w:val="2"/>
            <w:shd w:val="clear" w:color="auto" w:fill="CCEEFF"/>
          </w:tcPr>
          <w:p>
            <w:pPr>
              <w:ind w:left="220"/>
              <w:spacing w:after="0" w:line="95" w:lineRule="exact"/>
              <w:rPr>
                <w:sz w:val="20"/>
                <w:szCs w:val="20"/>
                <w:color w:val="auto"/>
              </w:rPr>
            </w:pPr>
            <w:r>
              <w:rPr>
                <w:rFonts w:ascii="Arial" w:cs="Arial" w:eastAsia="Arial" w:hAnsi="Arial"/>
                <w:sz w:val="10"/>
                <w:szCs w:val="10"/>
                <w:color w:val="auto"/>
              </w:rPr>
              <w:t>Anticipated liquidity impact as of</w:t>
            </w: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31"/>
        </w:trPr>
        <w:tc>
          <w:tcPr>
            <w:tcW w:w="53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December 31, 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1,279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w w:val="95"/>
              </w:rPr>
              <w:t>896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1,006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1,010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w w:val="95"/>
              </w:rPr>
              <w:t>421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7,559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12,171</w:t>
            </w:r>
          </w:p>
        </w:tc>
      </w:tr>
      <w:tr>
        <w:trPr>
          <w:trHeight w:val="108"/>
        </w:trPr>
        <w:tc>
          <w:tcPr>
            <w:tcW w:w="13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120" w:hanging="493"/>
        <w:spacing w:after="0" w:line="264"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Environmental liabilities include final capping, closure, post-closure and environmental remediation costs. The amounts included here reflect environmental liabilities recorded in our Consolidated Balance Sheet as of December 31, 2006 without the impact of discounting and inflation. Our recorded environmental liabilities will increase as we continue to place additional tons within the permitted airspace at our landfills.</w:t>
      </w:r>
    </w:p>
    <w:p>
      <w:pPr>
        <w:spacing w:after="0" w:line="17" w:lineRule="exact"/>
        <w:rPr>
          <w:rFonts w:ascii="Arial" w:cs="Arial" w:eastAsia="Arial" w:hAnsi="Arial"/>
          <w:sz w:val="13"/>
          <w:szCs w:val="13"/>
          <w:color w:val="auto"/>
        </w:rPr>
      </w:pPr>
    </w:p>
    <w:p>
      <w:pPr>
        <w:ind w:left="1180" w:right="160" w:hanging="493"/>
        <w:spacing w:after="0" w:line="289" w:lineRule="auto"/>
        <w:tabs>
          <w:tab w:leader="none" w:pos="1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debt obligations as of December 31, 2006 include $255 million of fixed rate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2006, refer to Note 7 to the Consolidated Financial Statements.</w:t>
      </w:r>
    </w:p>
    <w:p>
      <w:pPr>
        <w:spacing w:after="0" w:line="3" w:lineRule="exact"/>
        <w:rPr>
          <w:rFonts w:ascii="Arial" w:cs="Arial" w:eastAsia="Arial" w:hAnsi="Arial"/>
          <w:sz w:val="12"/>
          <w:szCs w:val="12"/>
          <w:color w:val="auto"/>
        </w:rPr>
      </w:pPr>
    </w:p>
    <w:p>
      <w:pPr>
        <w:ind w:left="1180" w:right="20" w:hanging="493"/>
        <w:spacing w:after="0" w:line="296" w:lineRule="auto"/>
        <w:tabs>
          <w:tab w:leader="none" w:pos="1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 In addition, $45 million of our future debt payments and related interest obligations will be made with debt service funds held in trust and included as long-term “Other assets” within our December 31, 2006 Consolidated Balance Sheet.</w:t>
      </w:r>
    </w:p>
    <w:p>
      <w:pPr>
        <w:ind w:left="1180" w:right="60" w:hanging="493"/>
        <w:spacing w:after="0" w:line="264"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unrecorded obligations represent operating lease obligations and purchase commitments from which we expect to realize an economic benefit in future periods. We have also made certain guarantees, as discussed in Note 10 to the Consolidated Financial Statements, that we do not expect to materially affect our current or future financial position, results of operations or liquidity.</w:t>
      </w:r>
    </w:p>
    <w:p>
      <w:pPr>
        <w:spacing w:after="0" w:line="17" w:lineRule="exact"/>
        <w:rPr>
          <w:rFonts w:ascii="Arial" w:cs="Arial" w:eastAsia="Arial" w:hAnsi="Arial"/>
          <w:sz w:val="13"/>
          <w:szCs w:val="13"/>
          <w:color w:val="auto"/>
        </w:rPr>
      </w:pPr>
    </w:p>
    <w:p>
      <w:pPr>
        <w:ind w:left="1180" w:right="20" w:hanging="493"/>
        <w:spacing w:after="0" w:line="260"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December 2006, we entered into a plan under SEC Rule 10b5-1 to effect market purchases of our common stock. The $70 million disclosed here represents the minimum amount of common stock that could be repurchased under the terms of the plan. These common stock repurchases were made in accordance with our Board of Directors approved capital allocation program which authorizes up to $1.2 billion in share repurchases and dividends in 2007. We repurchased $72 million of our common stock pursuant to the plan, which was completed on February 9, 2007.</w:t>
      </w:r>
    </w:p>
    <w:p>
      <w:pPr>
        <w:spacing w:after="0" w:line="20" w:lineRule="exact"/>
        <w:rPr>
          <w:rFonts w:ascii="Arial" w:cs="Arial" w:eastAsia="Arial" w:hAnsi="Arial"/>
          <w:sz w:val="13"/>
          <w:szCs w:val="13"/>
          <w:color w:val="auto"/>
        </w:rPr>
      </w:pPr>
    </w:p>
    <w:p>
      <w:pPr>
        <w:ind w:left="1180" w:right="60" w:hanging="493"/>
        <w:spacing w:after="0" w:line="264"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See Note 10 to the Consolidated Financial Statements for discussion of the nature and terms of our unconditional purchase obligations.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have contingencies that are not considered reasonably likely. As a result, the impact of these contingencies have not been included in the above table. See Note 10 to the Consolidated Financial Statements for further discussion of these contingencies.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 xml:space="preserve">We are party to guarantee arrangements with unconsolidated entities as discussed in the </w:t>
      </w:r>
      <w:r>
        <w:rPr>
          <w:rFonts w:ascii="Arial" w:cs="Arial" w:eastAsia="Arial" w:hAnsi="Arial"/>
          <w:sz w:val="11"/>
          <w:szCs w:val="11"/>
          <w:i w:val="1"/>
          <w:iCs w:val="1"/>
          <w:color w:val="auto"/>
        </w:rPr>
        <w:t>Guarantees</w:t>
      </w:r>
      <w:r>
        <w:rPr>
          <w:rFonts w:ascii="Arial" w:cs="Arial" w:eastAsia="Arial" w:hAnsi="Arial"/>
          <w:sz w:val="11"/>
          <w:szCs w:val="11"/>
          <w:color w:val="auto"/>
        </w:rPr>
        <w:t xml:space="preserve"> section of Note 10 to the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year ended December 31, 2006 nor are they expected to have a material impact on our future financial position, results of operations or liquidity.</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7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48 — Accounting for Uncertainty in Income Taxes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In June 2006, the FASB issued Interpretation No. 48, </w:t>
      </w:r>
      <w:r>
        <w:rPr>
          <w:rFonts w:ascii="Arial" w:cs="Arial" w:eastAsia="Arial" w:hAnsi="Arial"/>
          <w:sz w:val="13"/>
          <w:szCs w:val="13"/>
          <w:i w:val="1"/>
          <w:iCs w:val="1"/>
          <w:color w:val="auto"/>
        </w:rPr>
        <w:t>Accounting for Uncertainty in Income Taxes (an interpretation of FASB Statement No. 109)</w:t>
      </w:r>
      <w:r>
        <w:rPr>
          <w:rFonts w:ascii="Arial" w:cs="Arial" w:eastAsia="Arial" w:hAnsi="Arial"/>
          <w:sz w:val="13"/>
          <w:szCs w:val="13"/>
          <w:color w:val="auto"/>
        </w:rPr>
        <w:t xml:space="preserve"> (“FIN 48”), which clarifies the relevant criteria and approach for the recognition, de-recognition and measurement of uncertain tax positions. FIN 48 will be effective for the Company beginning January 1, 2007. We do not expect the adoption of FIN 48 to have a material impact on our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this framework for measuring fair value will affect our current accounting policies and procedures and our financial statements. We have not determined whether the adoption of SFAS No. 157 will have a material impact on our consolidated financial statements.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2006, all of our derivative transactions were related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actual or anticipated economic exposures although certain transactions did not qualify for hedge accounting.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performed sensitivity analyses to determine how market rate changes might affect the fair value of our market risk sensitive derivatives and related positions. These analyses are inherently limited because they reflect a singular, hypothetical set of assumptions. Actual market movements may vary significantly from our assumptions. The effects of market movements may also directly or indirectly affect our assumptions and our rights and obligations not covered by the sensitivity analyses. Fair value sensitivity is not necessarily indicative of the ultimate cash flow or the earnings effect from the assumed market rate movements.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Rate Exposure. </w:t>
      </w:r>
      <w:r>
        <w:rPr>
          <w:rFonts w:ascii="Arial" w:cs="Arial" w:eastAsia="Arial" w:hAnsi="Arial"/>
          <w:sz w:val="12"/>
          <w:szCs w:val="12"/>
          <w:color w:val="auto"/>
        </w:rPr>
        <w:t>Our exposure to market risk for changes in interest rates relates primarily to our debt obligations, which are primarily denominated in U.S. dollars.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 we use interest rate swaps to manage the mix of fixed and floating rate debt obligations, which directly impacts variability in interest costs. An instantaneous, one percentage point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 in interest rates across all maturities and applicable yield curves would have decreased the fair value of our combined debt and interest rate swap positions by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$460 million at December 31, 2006 and $480 million at December 31, 2005. This analysis does not reflect the effect that increasing interest rates would have on other items, such as new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borrowings, nor the unfavorable impact they would have on interest expense and cash payments for interest.</w:t>
      </w:r>
    </w:p>
    <w:p>
      <w:pPr>
        <w:spacing w:after="0" w:line="89" w:lineRule="exact"/>
        <w:rPr>
          <w:sz w:val="20"/>
          <w:szCs w:val="20"/>
          <w:color w:val="auto"/>
        </w:rPr>
      </w:pPr>
    </w:p>
    <w:p>
      <w:pPr>
        <w:ind w:left="680" w:right="40" w:firstLine="399"/>
        <w:spacing w:after="0" w:line="303" w:lineRule="auto"/>
        <w:rPr>
          <w:sz w:val="20"/>
          <w:szCs w:val="20"/>
          <w:color w:val="auto"/>
        </w:rPr>
      </w:pPr>
      <w:r>
        <w:rPr>
          <w:rFonts w:ascii="Arial" w:cs="Arial" w:eastAsia="Arial" w:hAnsi="Arial"/>
          <w:sz w:val="11"/>
          <w:szCs w:val="11"/>
          <w:color w:val="auto"/>
        </w:rPr>
        <w:t>We are also exposed to interest rate market risk because we have $377 million and $460 million of assets held in restricted trust funds and escrow accounts primarily included within long-term “Other assets” in our Consolidated Balance Sheets at December 31, 2006 and 2005, respectively. These assets are generally restricted for future capital expenditures and closure, post-closure and environmental remediation activities at our disposal facilities and are, therefore, invested in high quality, liquid instruments including money market accounts and</w:t>
      </w:r>
    </w:p>
    <w:p>
      <w:pPr>
        <w:ind w:left="680" w:right="80"/>
        <w:spacing w:after="0" w:line="264" w:lineRule="auto"/>
        <w:rPr>
          <w:sz w:val="20"/>
          <w:szCs w:val="20"/>
          <w:color w:val="auto"/>
        </w:rPr>
      </w:pPr>
      <w:r>
        <w:rPr>
          <w:rFonts w:ascii="Arial" w:cs="Arial" w:eastAsia="Arial" w:hAnsi="Arial"/>
          <w:sz w:val="13"/>
          <w:szCs w:val="13"/>
          <w:color w:val="auto"/>
        </w:rPr>
        <w:t>U.S. government agency debt securities. Because of the short terms to maturity of these investments, we believe that our exposure to changes in fair value due to interest rate fluctuations is insignificant.</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Currency Rate Exposure. </w:t>
      </w:r>
      <w:r>
        <w:rPr>
          <w:rFonts w:ascii="Arial" w:cs="Arial" w:eastAsia="Arial" w:hAnsi="Arial"/>
          <w:sz w:val="13"/>
          <w:szCs w:val="13"/>
          <w:color w:val="auto"/>
        </w:rPr>
        <w:t>From time to time, we have used currency derivatives to mitigate the impact of currency translation on cash flows of intercompany Canadian-currency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denominated debt transactions. Our foreign currency derivatives have not materially affected our financial position or results of operations for the periods presented. In addition, a change in foreign currency rates would not significantly affect our fair value positions.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Commodities Price Exposure. </w:t>
      </w:r>
      <w:r>
        <w:rPr>
          <w:rFonts w:ascii="Arial" w:cs="Arial" w:eastAsia="Arial" w:hAnsi="Arial"/>
          <w:sz w:val="13"/>
          <w:szCs w:val="13"/>
          <w:color w:val="auto"/>
        </w:rPr>
        <w:t>We market recycled products such as wastepaper, aluminum and glass from our material recovery facilities. We have entered into commodity swaps</w:t>
      </w:r>
      <w:r>
        <w:rPr>
          <w:rFonts w:ascii="Arial" w:cs="Arial" w:eastAsia="Arial" w:hAnsi="Arial"/>
          <w:sz w:val="13"/>
          <w:szCs w:val="13"/>
          <w:i w:val="1"/>
          <w:iCs w:val="1"/>
          <w:color w:val="auto"/>
        </w:rPr>
        <w:t xml:space="preserve"> </w:t>
      </w:r>
      <w:r>
        <w:rPr>
          <w:rFonts w:ascii="Arial" w:cs="Arial" w:eastAsia="Arial" w:hAnsi="Arial"/>
          <w:sz w:val="13"/>
          <w:szCs w:val="13"/>
          <w:color w:val="auto"/>
        </w:rPr>
        <w:t>and options to mitigate the variability in cash flows from a portion of these sales. Under the swap agreements, we pay a floating index price and receive a fixed price for a fixed period of time. With regard to our option agreements, we have purchased price protection on certain wastepaper sales via synthetic floors (put options) and price protection on certain wastepaper purchases via synthetic ceilings (call options). Additionally, we have entered into collars (combination of a put and call option) with financial institutions in which we receive the market price for our wastepaper and aluminum sales within a specified floor and ceiling. We record changes in the fair value of commodity derivatives not designated as hedges to earnings, as required. All derivative transactions are subject to our risk management policy, which governs the type of instruments that may be used. The fair value position of our commodity derivatives would decrease by approximately $5 million at December 31, 2006 and by approximately $10 million at December 31, 2005 if there were an instantaneous 10% increase across all commodities and applicable yield curves.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Notes 3 and 7 to the Consolidated Financial Statements for further discussion of the use of and accounting for derivative instruments.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2"/>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9040" w:type="dxa"/>
            <w:vAlign w:val="bottom"/>
            <w:gridSpan w:val="9"/>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60" w:type="dxa"/>
            <w:vAlign w:val="bottom"/>
            <w:gridSpan w:val="5"/>
          </w:tcPr>
          <w:p>
            <w:pPr>
              <w:jc w:val="center"/>
              <w:ind w:right="3220"/>
              <w:spacing w:after="0"/>
              <w:rPr>
                <w:sz w:val="20"/>
                <w:szCs w:val="20"/>
                <w:color w:val="auto"/>
              </w:rPr>
            </w:pPr>
            <w:r>
              <w:rPr>
                <w:rFonts w:ascii="Arial" w:cs="Arial" w:eastAsia="Arial" w:hAnsi="Arial"/>
                <w:sz w:val="13"/>
                <w:szCs w:val="13"/>
                <w:b w:val="1"/>
                <w:bCs w:val="1"/>
                <w:color w:val="auto"/>
              </w:rPr>
              <w:t>INDEX TO</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60" w:type="dxa"/>
            <w:vAlign w:val="bottom"/>
            <w:gridSpan w:val="5"/>
          </w:tcPr>
          <w:p>
            <w:pPr>
              <w:jc w:val="center"/>
              <w:ind w:right="3240"/>
              <w:spacing w:after="0"/>
              <w:rPr>
                <w:sz w:val="20"/>
                <w:szCs w:val="20"/>
                <w:color w:val="auto"/>
              </w:rPr>
            </w:pPr>
            <w:r>
              <w:rPr>
                <w:rFonts w:ascii="Arial" w:cs="Arial" w:eastAsia="Arial" w:hAnsi="Arial"/>
                <w:sz w:val="13"/>
                <w:szCs w:val="13"/>
                <w:b w:val="1"/>
                <w:bCs w:val="1"/>
                <w:color w:val="auto"/>
              </w:rPr>
              <w:t>CONSOLIDATED FINANCIAL STATEMENTS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Page</w:t>
            </w:r>
          </w:p>
        </w:tc>
        <w:tc>
          <w:tcPr>
            <w:tcW w:w="800" w:type="dxa"/>
            <w:vAlign w:val="bottom"/>
          </w:tcPr>
          <w:p>
            <w:pPr>
              <w:spacing w:after="0"/>
              <w:rPr>
                <w:sz w:val="18"/>
                <w:szCs w:val="18"/>
                <w:color w:val="auto"/>
              </w:rPr>
            </w:pPr>
          </w:p>
        </w:tc>
      </w:tr>
      <w:tr>
        <w:trPr>
          <w:trHeight w:val="157"/>
        </w:trPr>
        <w:tc>
          <w:tcPr>
            <w:tcW w:w="680" w:type="dxa"/>
            <w:vAlign w:val="bottom"/>
          </w:tcPr>
          <w:p>
            <w:pPr>
              <w:spacing w:after="0"/>
              <w:rPr>
                <w:sz w:val="13"/>
                <w:szCs w:val="13"/>
                <w:color w:val="auto"/>
              </w:rPr>
            </w:pPr>
          </w:p>
        </w:tc>
        <w:tc>
          <w:tcPr>
            <w:tcW w:w="3580" w:type="dxa"/>
            <w:vAlign w:val="bottom"/>
            <w:tcBorders>
              <w:bottom w:val="single" w:sz="8" w:color="0000EE"/>
            </w:tcBorders>
            <w:gridSpan w:val="6"/>
          </w:tcPr>
          <w:p>
            <w:pPr>
              <w:spacing w:after="0"/>
              <w:rPr>
                <w:rFonts w:ascii="Arial" w:cs="Arial" w:eastAsia="Arial" w:hAnsi="Arial"/>
                <w:sz w:val="13"/>
                <w:szCs w:val="13"/>
                <w:color w:val="0000EE"/>
                <w:w w:val="92"/>
              </w:rPr>
            </w:pPr>
            <w:hyperlink w:anchor="page58">
              <w:r>
                <w:rPr>
                  <w:rFonts w:ascii="Arial" w:cs="Arial" w:eastAsia="Arial" w:hAnsi="Arial"/>
                  <w:sz w:val="13"/>
                  <w:szCs w:val="13"/>
                  <w:color w:val="0000EE"/>
                  <w:w w:val="92"/>
                </w:rPr>
                <w:t>Management’s Report on Internal Control Over Financial Reporting</w:t>
              </w:r>
            </w:hyperlink>
          </w:p>
        </w:tc>
        <w:tc>
          <w:tcPr>
            <w:tcW w:w="6060" w:type="dxa"/>
            <w:vAlign w:val="bottom"/>
            <w:gridSpan w:val="5"/>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55</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08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59">
              <w:r>
                <w:rPr>
                  <w:rFonts w:ascii="Arial" w:cs="Arial" w:eastAsia="Arial" w:hAnsi="Arial"/>
                  <w:sz w:val="13"/>
                  <w:szCs w:val="13"/>
                  <w:color w:val="0000EE"/>
                  <w:w w:val="92"/>
                </w:rPr>
                <w:t>Report of Independent Registered Public Accounting Firm</w:t>
              </w:r>
            </w:hyperlink>
          </w:p>
        </w:tc>
        <w:tc>
          <w:tcPr>
            <w:tcW w:w="6560" w:type="dxa"/>
            <w:vAlign w:val="bottom"/>
            <w:gridSpan w:val="7"/>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56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460" w:type="dxa"/>
            <w:vAlign w:val="bottom"/>
            <w:tcBorders>
              <w:bottom w:val="single" w:sz="8" w:color="0000EE"/>
            </w:tcBorders>
            <w:gridSpan w:val="9"/>
          </w:tcPr>
          <w:p>
            <w:pPr>
              <w:spacing w:after="0" w:line="138" w:lineRule="exact"/>
              <w:rPr>
                <w:rFonts w:ascii="Arial" w:cs="Arial" w:eastAsia="Arial" w:hAnsi="Arial"/>
                <w:sz w:val="13"/>
                <w:szCs w:val="13"/>
                <w:color w:val="0000EE"/>
                <w:w w:val="92"/>
              </w:rPr>
            </w:pPr>
            <w:hyperlink w:anchor="page60">
              <w:r>
                <w:rPr>
                  <w:rFonts w:ascii="Arial" w:cs="Arial" w:eastAsia="Arial" w:hAnsi="Arial"/>
                  <w:sz w:val="13"/>
                  <w:szCs w:val="13"/>
                  <w:color w:val="0000EE"/>
                  <w:w w:val="92"/>
                </w:rPr>
                <w:t>Report of Independent Registered Public Accounting Firm on Internal Control over Financial Reporting</w:t>
              </w:r>
            </w:hyperlink>
          </w:p>
        </w:tc>
        <w:tc>
          <w:tcPr>
            <w:tcW w:w="4180" w:type="dxa"/>
            <w:vAlign w:val="bottom"/>
            <w:gridSpan w:val="2"/>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57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61">
              <w:r>
                <w:rPr>
                  <w:rFonts w:ascii="Arial" w:cs="Arial" w:eastAsia="Arial" w:hAnsi="Arial"/>
                  <w:sz w:val="13"/>
                  <w:szCs w:val="13"/>
                  <w:color w:val="0000EE"/>
                  <w:w w:val="89"/>
                </w:rPr>
                <w:t>Consolidated Balance Sheets as of December 31, 2006 and 2005</w:t>
              </w:r>
            </w:hyperlink>
          </w:p>
        </w:tc>
        <w:tc>
          <w:tcPr>
            <w:tcW w:w="6240" w:type="dxa"/>
            <w:vAlign w:val="bottom"/>
            <w:gridSpan w:val="6"/>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58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4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Operations for the Years Ended December 31, 2006, 2005 and 2004</w:t>
              </w:r>
            </w:hyperlink>
          </w:p>
        </w:tc>
        <w:tc>
          <w:tcPr>
            <w:tcW w:w="4600" w:type="dxa"/>
            <w:vAlign w:val="bottom"/>
            <w:gridSpan w:val="4"/>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80" w:type="dxa"/>
            <w:vAlign w:val="bottom"/>
            <w:tcBorders>
              <w:bottom w:val="single" w:sz="8" w:color="0000EE"/>
            </w:tcBorders>
            <w:gridSpan w:val="8"/>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Consolidated Statements of Cash Flows for the Years Ended December 31, 2006, 2005 and 2004</w:t>
              </w:r>
            </w:hyperlink>
          </w:p>
        </w:tc>
        <w:tc>
          <w:tcPr>
            <w:tcW w:w="4560" w:type="dxa"/>
            <w:vAlign w:val="bottom"/>
            <w:gridSpan w:val="3"/>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60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40" w:type="dxa"/>
            <w:vAlign w:val="bottom"/>
            <w:gridSpan w:val="11"/>
          </w:tcPr>
          <w:p>
            <w:pPr>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Consolidated Statements of Stockholders’ Equity for the Years Ended December 31, 2006, 2005 and 2004</w:t>
              </w:r>
            </w:hyperlink>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61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560" w:type="dxa"/>
            <w:vAlign w:val="bottom"/>
            <w:tcBorders>
              <w:top w:val="single" w:sz="8" w:color="0000EE"/>
            </w:tcBorders>
            <w:gridSpan w:val="10"/>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Notes to Consolidated Financial Statements</w:t>
              </w:r>
            </w:hyperlink>
          </w:p>
        </w:tc>
        <w:tc>
          <w:tcPr>
            <w:tcW w:w="4080" w:type="dxa"/>
            <w:vAlign w:val="bottom"/>
          </w:tcPr>
          <w:p>
            <w:pPr>
              <w:spacing w:after="0"/>
              <w:rPr>
                <w:sz w:val="11"/>
                <w:szCs w:val="11"/>
                <w:color w:val="auto"/>
              </w:rPr>
            </w:pPr>
          </w:p>
        </w:tc>
        <w:tc>
          <w:tcPr>
            <w:tcW w:w="340" w:type="dxa"/>
            <w:vAlign w:val="bottom"/>
          </w:tcPr>
          <w:p>
            <w:pPr>
              <w:jc w:val="center"/>
              <w:spacing w:after="0" w:line="138" w:lineRule="exact"/>
              <w:rPr>
                <w:sz w:val="20"/>
                <w:szCs w:val="20"/>
                <w:color w:val="auto"/>
              </w:rPr>
            </w:pPr>
            <w:r>
              <w:rPr>
                <w:rFonts w:ascii="Arial" w:cs="Arial" w:eastAsia="Arial" w:hAnsi="Arial"/>
                <w:sz w:val="13"/>
                <w:szCs w:val="13"/>
                <w:color w:val="auto"/>
                <w:w w:val="82"/>
              </w:rPr>
              <w:t>62</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780" w:type="dxa"/>
            <w:vAlign w:val="bottom"/>
            <w:gridSpan w:val="5"/>
          </w:tcPr>
          <w:p>
            <w:pPr>
              <w:jc w:val="center"/>
              <w:ind w:left="2554"/>
              <w:spacing w:after="0"/>
              <w:rPr>
                <w:sz w:val="20"/>
                <w:szCs w:val="20"/>
                <w:color w:val="auto"/>
              </w:rPr>
            </w:pPr>
            <w:r>
              <w:rPr>
                <w:rFonts w:ascii="Arial" w:cs="Arial" w:eastAsia="Arial" w:hAnsi="Arial"/>
                <w:sz w:val="13"/>
                <w:szCs w:val="13"/>
                <w:color w:val="auto"/>
                <w:w w:val="82"/>
              </w:rPr>
              <w:t>54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MANAGEMENT’S REPORT ON INTERNAL CONTROL</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OVER FINANCIAL REPORTING</w:t>
      </w:r>
    </w:p>
    <w:p>
      <w:pPr>
        <w:spacing w:after="0" w:line="8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5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conducted an evaluation of the effectiveness of our internal control over financial reporting as of December 31, 2006 based on the framework in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2006.</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Ernst &amp; Young LLP, an independent registered public accounting firm, has issued an attestation report on management’s assessment of internal control over financial reporting,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Waste Management, Inc. (the “Company”) as of December 31, 2006 and 2005, and the related consolidated statements of operations,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Waste Management, Inc. at December 31, 2006 and 2005, and the consolidated results of its operations and its cash flows for each of the three years in the period ended December 31, 2006, in conformity with U.S. generally accepted accounting principles.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discussed in Note 2 to the consolidated financial statements, effective January 1, 2006, the Company adopted Statement of Financial Accounting Standards No. 123 (revised 2004), “Share-Based Payment” and, effective March 31, 2004, the Company adopted the remaining portion of Financial Accounting Standard Board Interpretation No. 46(R), “Consolidation of Variable Interest Entities (revised December 2003) — an Interpretation of ARB No. 51.”</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effectiveness of the Company’s internal control over financial reporting as of December 31, 2006, based on criteria established in Internal Control-Integrated Framework issued by the Committee of Sponsoring Organizations of the Treadway Commission and our report dated February 14, 2007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14, 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REPORT OF INDEPENDENT REGISTERED PUBLIC ACCOUNTING FIRM ON</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audited management’s assessment, included in the accompanying Management’s Report on Internal Control Over Financial Reporting, that Waste Management, Inc. maintained effective internal control over financial reporting as of December 31, 2006, based on criteria established in Internal Control – 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53"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our opinion, management’s assessment that Waste Management, Inc. maintained effective internal control over financial reporting as of December 31, 2006, is fairly stated, in all material respects, based on the COSO criteria. Also, in our opinion, Waste Management, Inc. maintained, in all material respects, effective internal control over financial reporting as of December 31, 2006, based on the COSO criteria.</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Waste Management, Inc. as of December 2006 and 2005, and the related consolidated statements of operations, stockholders’ equity and cash flows for each of the three years in the period ended December 31, 2006 and our report dated February 14, 2007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14, 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(In millions, except share and par value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$51 and $61, respectively</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1,650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Parts and supplies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527</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 of accumulated depreciation and amortization of $11,993 and $11,287, respectively</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11,179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11,221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intangible assets, net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121</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20,600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21,135</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1,298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822</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 less current portion</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7,495</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8,165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1,234</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14,103</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14,733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4,513</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4,410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Restricted stock unearned compensation</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96,598,567 and 78,029,452 shares, respectively</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(2,836)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6,222</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6,121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21,135</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8,587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8,631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1,388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1,276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11,334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11,364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10,817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69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(555)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(618)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and cumulative effect of change in accounting principle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1,474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325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cumulative effect of change in accounting principle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net of income tax expense of $5</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Basic income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cumulative effect of change in accounting principle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Diluted income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cumulative effect of change in accounting principle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 (2005 includes $0.22 paid in 2006)</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0.66</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0.75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300" w:type="dxa"/>
            <w:vAlign w:val="bottom"/>
          </w:tcPr>
          <w:p>
            <w:pPr>
              <w:ind w:left="3740"/>
              <w:spacing w:after="0"/>
              <w:rPr>
                <w:sz w:val="20"/>
                <w:szCs w:val="20"/>
                <w:color w:val="auto"/>
              </w:rPr>
            </w:pPr>
            <w:r>
              <w:rPr>
                <w:rFonts w:ascii="Arial" w:cs="Arial" w:eastAsia="Arial" w:hAnsi="Arial"/>
                <w:sz w:val="13"/>
                <w:szCs w:val="13"/>
                <w:color w:val="auto"/>
              </w:rPr>
              <w:t>See notes to Consolidated Financial Statements.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center"/>
              <w:ind w:left="201"/>
              <w:spacing w:after="0"/>
              <w:rPr>
                <w:sz w:val="20"/>
                <w:szCs w:val="20"/>
                <w:color w:val="auto"/>
              </w:rPr>
            </w:pPr>
            <w:r>
              <w:rPr>
                <w:rFonts w:ascii="Arial" w:cs="Arial" w:eastAsia="Arial" w:hAnsi="Arial"/>
                <w:sz w:val="10"/>
                <w:szCs w:val="10"/>
                <w:b w:val="1"/>
                <w:bCs w:val="1"/>
                <w:color w:val="auto"/>
                <w:w w:val="94"/>
              </w:rPr>
              <w:t>Years Ended December 31,</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1,182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939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Cumulative effect of change in accounting principle</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bad debts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1,334</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1,361</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1,336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tax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Minority interest</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net losses of unconsolidated entities, net of distributions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Excess tax benefits associated with equity-based compensation</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2,391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2,218</w:t>
            </w:r>
          </w:p>
        </w:tc>
        <w:tc>
          <w:tcPr>
            <w:tcW w:w="0" w:type="dxa"/>
            <w:vAlign w:val="bottom"/>
          </w:tcPr>
          <w:p>
            <w:pPr>
              <w:spacing w:after="0"/>
              <w:rPr>
                <w:sz w:val="1"/>
                <w:szCs w:val="1"/>
                <w:color w:val="auto"/>
              </w:rPr>
            </w:pPr>
          </w:p>
        </w:tc>
      </w:tr>
      <w:tr>
        <w:trPr>
          <w:trHeight w:val="144"/>
        </w:trPr>
        <w:tc>
          <w:tcPr>
            <w:tcW w:w="78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(1,329)</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(1,180)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(1,258)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(3,001)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(1,079)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(1,348)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3,123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784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1,319</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395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(788)</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(1,062)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432</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(932)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(376)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(801)</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(1,072)</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(706)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(476)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(449)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compensation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Minority interest distributions paid</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(1,803)</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(1,090)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(1,130)</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424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614</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666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55"/>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 information:</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Cash paid during the year for:</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net of capitalized interest and periodic settlements from interest rate swap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548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w:t>
            </w:r>
          </w:p>
        </w:tc>
        <w:tc>
          <w:tcPr>
            <w:tcW w:w="0" w:type="dxa"/>
            <w:vAlign w:val="bottom"/>
          </w:tcPr>
          <w:p>
            <w:pPr>
              <w:spacing w:after="0"/>
              <w:rPr>
                <w:sz w:val="1"/>
                <w:szCs w:val="1"/>
                <w:color w:val="auto"/>
              </w:rPr>
            </w:pPr>
          </w:p>
        </w:tc>
      </w:tr>
      <w:tr>
        <w:trPr>
          <w:trHeight w:val="149"/>
        </w:trPr>
        <w:tc>
          <w:tcPr>
            <w:tcW w:w="7880" w:type="dxa"/>
            <w:vAlign w:val="bottom"/>
          </w:tcPr>
          <w:p>
            <w:pPr>
              <w:ind w:left="240"/>
              <w:spacing w:after="0"/>
              <w:rPr>
                <w:sz w:val="20"/>
                <w:szCs w:val="20"/>
                <w:color w:val="auto"/>
              </w:rPr>
            </w:pPr>
            <w:r>
              <w:rPr>
                <w:rFonts w:ascii="Arial" w:cs="Arial" w:eastAsia="Arial" w:hAnsi="Arial"/>
                <w:sz w:val="12"/>
                <w:szCs w:val="12"/>
                <w:color w:val="auto"/>
              </w:rPr>
              <w:t>Income taxes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475</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Restricted</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320" w:type="dxa"/>
            <w:vAlign w:val="bottom"/>
            <w:gridSpan w:val="5"/>
            <w:vMerge w:val="restart"/>
          </w:tcPr>
          <w:p>
            <w:pPr>
              <w:jc w:val="right"/>
              <w:ind w:right="460"/>
              <w:spacing w:after="0"/>
              <w:rPr>
                <w:sz w:val="20"/>
                <w:szCs w:val="20"/>
                <w:color w:val="auto"/>
              </w:rPr>
            </w:pPr>
            <w:r>
              <w:rPr>
                <w:rFonts w:ascii="Arial" w:cs="Arial" w:eastAsia="Arial" w:hAnsi="Arial"/>
                <w:sz w:val="9"/>
                <w:szCs w:val="9"/>
                <w:b w:val="1"/>
                <w:bCs w:val="1"/>
                <w:color w:val="auto"/>
              </w:rPr>
              <w:t>Common Stock</w:t>
            </w:r>
          </w:p>
        </w:tc>
        <w:tc>
          <w:tcPr>
            <w:tcW w:w="70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1"/>
              </w:rPr>
              <w:t>Stock</w:t>
            </w:r>
          </w:p>
        </w:tc>
        <w:tc>
          <w:tcPr>
            <w:tcW w:w="1300" w:type="dxa"/>
            <w:vAlign w:val="bottom"/>
            <w:gridSpan w:val="5"/>
            <w:vMerge w:val="restart"/>
          </w:tcPr>
          <w:p>
            <w:pPr>
              <w:jc w:val="right"/>
              <w:ind w:right="46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9"/>
              </w:rPr>
              <w:t>Paid-In</w:t>
            </w:r>
          </w:p>
        </w:tc>
        <w:tc>
          <w:tcPr>
            <w:tcW w:w="6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w w:val="89"/>
              </w:rPr>
              <w:t>Retained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88"/>
              </w:rPr>
              <w:t>Income</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6"/>
              </w:rPr>
              <w:t>Unearned</w:t>
            </w:r>
          </w:p>
        </w:tc>
        <w:tc>
          <w:tcPr>
            <w:tcW w:w="13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24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88"/>
        </w:trPr>
        <w:tc>
          <w:tcPr>
            <w:tcW w:w="2920" w:type="dxa"/>
            <w:vAlign w:val="bottom"/>
          </w:tcPr>
          <w:p>
            <w:pPr>
              <w:spacing w:after="0"/>
              <w:rPr>
                <w:sz w:val="7"/>
                <w:szCs w:val="7"/>
                <w:color w:val="auto"/>
              </w:rPr>
            </w:pPr>
          </w:p>
        </w:tc>
        <w:tc>
          <w:tcPr>
            <w:tcW w:w="64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9"/>
              </w:rPr>
              <w:t>Capital</w:t>
            </w:r>
          </w:p>
        </w:tc>
        <w:tc>
          <w:tcPr>
            <w:tcW w:w="60" w:type="dxa"/>
            <w:vAlign w:val="bottom"/>
          </w:tcPr>
          <w:p>
            <w:pPr>
              <w:spacing w:after="0"/>
              <w:rPr>
                <w:sz w:val="7"/>
                <w:szCs w:val="7"/>
                <w:color w:val="auto"/>
              </w:rPr>
            </w:pPr>
          </w:p>
        </w:tc>
        <w:tc>
          <w:tcPr>
            <w:tcW w:w="62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88"/>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9"/>
              </w:rPr>
              <w:t>Compensation</w:t>
            </w:r>
          </w:p>
        </w:tc>
        <w:tc>
          <w:tcPr>
            <w:tcW w:w="62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400"/>
              <w:spacing w:after="0" w:line="88"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2003</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630,282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4,501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2,497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(54,164)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(1,388)</w:t>
            </w: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939</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939</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(432)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Equity-based compensation transactions, net of taxes</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10,060</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260</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Common stock repurchases</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(16,541)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(472)</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920" w:type="dxa"/>
            <w:vAlign w:val="bottom"/>
          </w:tcPr>
          <w:p>
            <w:pPr>
              <w:spacing w:after="0" w:line="95" w:lineRule="exact"/>
              <w:rPr>
                <w:sz w:val="20"/>
                <w:szCs w:val="20"/>
                <w:color w:val="auto"/>
              </w:rPr>
            </w:pPr>
            <w:r>
              <w:rPr>
                <w:rFonts w:ascii="Arial" w:cs="Arial" w:eastAsia="Arial" w:hAnsi="Arial"/>
                <w:sz w:val="10"/>
                <w:szCs w:val="10"/>
                <w:color w:val="auto"/>
              </w:rPr>
              <w:t>Unrealized loss resulting from changes in fair values of derivative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100"/>
              <w:spacing w:after="0"/>
              <w:rPr>
                <w:sz w:val="20"/>
                <w:szCs w:val="20"/>
                <w:color w:val="auto"/>
              </w:rPr>
            </w:pPr>
            <w:r>
              <w:rPr>
                <w:rFonts w:ascii="Arial" w:cs="Arial" w:eastAsia="Arial" w:hAnsi="Arial"/>
                <w:sz w:val="10"/>
                <w:szCs w:val="10"/>
                <w:color w:val="auto"/>
              </w:rPr>
              <w:t>instruments, net of taxes of $11</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95"/>
        </w:trPr>
        <w:tc>
          <w:tcPr>
            <w:tcW w:w="29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Realized losses on derivative instruments reclassified into</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earnings, net of taxes of $6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Unrealized gain on marketable securities, net of taxes of $2</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Translation adjustment of foreign currency statements</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575</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2004</w:t>
            </w:r>
          </w:p>
        </w:tc>
        <w:tc>
          <w:tcPr>
            <w:tcW w:w="4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630,282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4,481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3,004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(60,070)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(1,585)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1,022</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Net income</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1,182</w:t>
            </w:r>
          </w:p>
        </w:tc>
        <w:tc>
          <w:tcPr>
            <w:tcW w:w="10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Equity-based compensation transactions, net of taxes</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6,573</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176</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Common stock repurchases</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(24,727)</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(706)</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920" w:type="dxa"/>
            <w:vAlign w:val="bottom"/>
          </w:tcPr>
          <w:p>
            <w:pPr>
              <w:spacing w:after="0" w:line="95" w:lineRule="exact"/>
              <w:rPr>
                <w:sz w:val="20"/>
                <w:szCs w:val="20"/>
                <w:color w:val="auto"/>
              </w:rPr>
            </w:pPr>
            <w:r>
              <w:rPr>
                <w:rFonts w:ascii="Arial" w:cs="Arial" w:eastAsia="Arial" w:hAnsi="Arial"/>
                <w:sz w:val="10"/>
                <w:szCs w:val="10"/>
                <w:color w:val="auto"/>
              </w:rPr>
              <w:t>Unrealized gain resulting from changes in fair values of derivative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100"/>
              <w:spacing w:after="0"/>
              <w:rPr>
                <w:sz w:val="20"/>
                <w:szCs w:val="20"/>
                <w:color w:val="auto"/>
              </w:rPr>
            </w:pPr>
            <w:r>
              <w:rPr>
                <w:rFonts w:ascii="Arial" w:cs="Arial" w:eastAsia="Arial" w:hAnsi="Arial"/>
                <w:sz w:val="10"/>
                <w:szCs w:val="10"/>
                <w:color w:val="auto"/>
              </w:rPr>
              <w:t>instruments, net of taxes of $11</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95"/>
        </w:trPr>
        <w:tc>
          <w:tcPr>
            <w:tcW w:w="29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Realized losses on derivative instruments reclassified into</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earnings, net of taxes of $4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Unrealized gain on marketable securities, net of taxes of $1</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Translation adjustment of foreign currency statements</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195</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2005</w:t>
            </w:r>
          </w:p>
        </w:tc>
        <w:tc>
          <w:tcPr>
            <w:tcW w:w="4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630,282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4,486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3,615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(78,029)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(2,110)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1,239</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20"/>
                <w:szCs w:val="20"/>
                <w:color w:val="auto"/>
              </w:rPr>
            </w:pPr>
            <w:r>
              <w:rPr>
                <w:rFonts w:ascii="Arial" w:cs="Arial" w:eastAsia="Arial" w:hAnsi="Arial"/>
                <w:sz w:val="10"/>
                <w:szCs w:val="10"/>
                <w:color w:val="auto"/>
              </w:rPr>
              <w:t>Net income</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1,149</w:t>
            </w:r>
          </w:p>
        </w:tc>
        <w:tc>
          <w:tcPr>
            <w:tcW w:w="10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dividends declared</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(355)</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Cash dividends adjustment</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Equity-based compensation transactions, net of taxes</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11,483</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321</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Common stock repurchases</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(30,965)</w:t>
            </w:r>
          </w:p>
        </w:tc>
        <w:tc>
          <w:tcPr>
            <w:tcW w:w="6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(1,073)</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9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Unrealized loss resulting from changes in fair values of derivative</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instruments, net of taxes of $7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95"/>
        </w:trPr>
        <w:tc>
          <w:tcPr>
            <w:tcW w:w="2920" w:type="dxa"/>
            <w:vAlign w:val="bottom"/>
          </w:tcPr>
          <w:p>
            <w:pPr>
              <w:spacing w:after="0" w:line="95" w:lineRule="exact"/>
              <w:rPr>
                <w:sz w:val="20"/>
                <w:szCs w:val="20"/>
                <w:color w:val="auto"/>
              </w:rPr>
            </w:pPr>
            <w:r>
              <w:rPr>
                <w:rFonts w:ascii="Arial" w:cs="Arial" w:eastAsia="Arial" w:hAnsi="Arial"/>
                <w:sz w:val="10"/>
                <w:szCs w:val="10"/>
                <w:color w:val="auto"/>
              </w:rPr>
              <w:t>Realized losses on derivative instruments reclassified into</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920" w:type="dxa"/>
            <w:vAlign w:val="bottom"/>
          </w:tcPr>
          <w:p>
            <w:pPr>
              <w:ind w:left="100"/>
              <w:spacing w:after="0"/>
              <w:rPr>
                <w:sz w:val="20"/>
                <w:szCs w:val="20"/>
                <w:color w:val="auto"/>
              </w:rPr>
            </w:pPr>
            <w:r>
              <w:rPr>
                <w:rFonts w:ascii="Arial" w:cs="Arial" w:eastAsia="Arial" w:hAnsi="Arial"/>
                <w:sz w:val="10"/>
                <w:szCs w:val="10"/>
                <w:color w:val="auto"/>
              </w:rPr>
              <w:t>earnings, net of taxes of $3</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Unrealized gain on marketable securities, net of taxes of $3</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Translation adjustment of foreign currency statements</w:t>
            </w:r>
          </w:p>
        </w:tc>
        <w:tc>
          <w:tcPr>
            <w:tcW w:w="6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98"/>
              </w:rPr>
              <w:t>Underfunded post-retirement benefit obligations, net of taxes of $3</w:t>
            </w:r>
          </w:p>
        </w:tc>
        <w:tc>
          <w:tcPr>
            <w:tcW w:w="6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8"/>
        </w:trPr>
        <w:tc>
          <w:tcPr>
            <w:tcW w:w="29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912</w:t>
            </w:r>
          </w:p>
        </w:tc>
        <w:tc>
          <w:tcPr>
            <w:tcW w:w="6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w:t>
            </w:r>
          </w:p>
        </w:tc>
        <w:tc>
          <w:tcPr>
            <w:tcW w:w="100" w:type="dxa"/>
            <w:vAlign w:val="bottom"/>
          </w:tcPr>
          <w:p>
            <w:pPr>
              <w:spacing w:after="0"/>
              <w:rPr>
                <w:sz w:val="9"/>
                <w:szCs w:val="9"/>
                <w:color w:val="auto"/>
              </w:rPr>
            </w:pPr>
          </w:p>
        </w:tc>
        <w:tc>
          <w:tcPr>
            <w:tcW w:w="8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2006</w:t>
            </w:r>
          </w:p>
        </w:tc>
        <w:tc>
          <w:tcPr>
            <w:tcW w:w="4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630,282</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4,513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4,410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(96,599)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(2,836)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1,152</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Years Ended December 31, 2006, 2005 and 2004</w:t>
      </w:r>
    </w:p>
    <w:p>
      <w:pPr>
        <w:spacing w:after="0" w:line="163"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(See Note 19).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14"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4"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Recycling Group. We also provide additional waste management services that are not managed through our six Groups, which are presented in this report as “Other.” Refer to Note 20 for additional information related to our operating segments.</w:t>
      </w:r>
    </w:p>
    <w:p>
      <w:pPr>
        <w:spacing w:after="0" w:line="144"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Changes and Reclassifications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123(R) — Share-Based Payment</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 xml:space="preserve">On January 1, 2006, we adopted Statement of Financial Accounting Standards (“SFAS”) No. 123 (revised 2004), </w:t>
      </w:r>
      <w:r>
        <w:rPr>
          <w:rFonts w:ascii="Arial" w:cs="Arial" w:eastAsia="Arial" w:hAnsi="Arial"/>
          <w:sz w:val="11"/>
          <w:szCs w:val="11"/>
          <w:i w:val="1"/>
          <w:iCs w:val="1"/>
          <w:color w:val="auto"/>
        </w:rPr>
        <w:t>Share-Based Payment</w:t>
      </w:r>
      <w:r>
        <w:rPr>
          <w:rFonts w:ascii="Arial" w:cs="Arial" w:eastAsia="Arial" w:hAnsi="Arial"/>
          <w:sz w:val="11"/>
          <w:szCs w:val="11"/>
          <w:color w:val="auto"/>
        </w:rPr>
        <w:t xml:space="preserve"> (“SFAS No. 123(R)”), which requires compensation expense to be recognized for all share-based payments made to employees based on the fair value of the award at the date of grant. We adopted 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1"/>
          <w:szCs w:val="11"/>
          <w:i w:val="1"/>
          <w:iCs w:val="1"/>
          <w:color w:val="auto"/>
        </w:rPr>
        <w:t>Accounting for Stock-Based Compensation</w:t>
      </w:r>
      <w:r>
        <w:rPr>
          <w:rFonts w:ascii="Arial" w:cs="Arial" w:eastAsia="Arial" w:hAnsi="Arial"/>
          <w:sz w:val="11"/>
          <w:szCs w:val="11"/>
          <w:color w:val="auto"/>
        </w:rPr>
        <w:t xml:space="preserve"> (“SFAS No. 123”) for all unvested awards outstanding at the date of adoption. Under this transition method, the results of operations of prior periods have not been restated. Accordingly, we will continue to provide pro forma financial information for periods prior to January 1, 2006 to illustrate the effect on net income and earnings per share of applying the fair value recognition provisions of SFAS No. 123.</w:t>
      </w:r>
    </w:p>
    <w:p>
      <w:pPr>
        <w:spacing w:after="0" w:line="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 xml:space="preserve">Through December 31, 2005, as permitted by SFAS No. 123, we accounted for equity-based compensation in accordance with Accounting Principles Board (“APB”) Opinion No. 25, </w:t>
      </w:r>
      <w:r>
        <w:rPr>
          <w:rFonts w:ascii="Arial" w:cs="Arial" w:eastAsia="Arial" w:hAnsi="Arial"/>
          <w:sz w:val="11"/>
          <w:szCs w:val="11"/>
          <w:i w:val="1"/>
          <w:iCs w:val="1"/>
          <w:color w:val="auto"/>
        </w:rPr>
        <w:t>Accounting for Stock Issued to Employees</w:t>
      </w:r>
      <w:r>
        <w:rPr>
          <w:rFonts w:ascii="Arial" w:cs="Arial" w:eastAsia="Arial" w:hAnsi="Arial"/>
          <w:sz w:val="11"/>
          <w:szCs w:val="11"/>
          <w:color w:val="auto"/>
        </w:rPr>
        <w:t>, as amended (“APB No. 25”). Under APB No. 25, we recognized compensation expense based on an award’s intrinsic value. For stock options,</w:t>
      </w:r>
      <w:r>
        <w:rPr>
          <w:rFonts w:ascii="Arial" w:cs="Arial" w:eastAsia="Arial" w:hAnsi="Arial"/>
          <w:sz w:val="11"/>
          <w:szCs w:val="11"/>
          <w:i w:val="1"/>
          <w:iCs w:val="1"/>
          <w:color w:val="auto"/>
        </w:rPr>
        <w:t xml:space="preserve"> </w:t>
      </w:r>
      <w:r>
        <w:rPr>
          <w:rFonts w:ascii="Arial" w:cs="Arial" w:eastAsia="Arial" w:hAnsi="Arial"/>
          <w:sz w:val="11"/>
          <w:szCs w:val="11"/>
          <w:color w:val="auto"/>
        </w:rPr>
        <w:t>which were the primary form of equity-based awards we granted through December 31, 2004, this meant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 until such time that the number of shares to be issued and all other provisions are fixed.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The most significant difference between the fair value approaches prescribed by SFAS No. 123 and SFAS No. 123(R) and the intrinsic value method prescribed by APB No. 25 relates to the recognition of compensation expense for stock option awards based on their grant date fair value. Under SFAS No. 123, we estimated the fair value of stock option grants using the Black-Scholes-Merton option-pricing model. The following table reflects the pro forma impact on net income and earnings per common share for the years ended December 31, 2005 and</w:t>
      </w:r>
    </w:p>
    <w:p>
      <w:pPr>
        <w:ind w:left="680"/>
        <w:spacing w:after="0"/>
        <w:rPr>
          <w:sz w:val="20"/>
          <w:szCs w:val="20"/>
          <w:color w:val="auto"/>
        </w:rPr>
      </w:pPr>
      <w:r>
        <w:rPr>
          <w:rFonts w:ascii="Arial" w:cs="Arial" w:eastAsia="Arial" w:hAnsi="Arial"/>
          <w:sz w:val="13"/>
          <w:szCs w:val="13"/>
          <w:color w:val="auto"/>
        </w:rPr>
        <w:t>2004 of accounting for our equity-based compensation using SFAS No. 123 (in millions, except per share amounts):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3"/>
              </w:rPr>
              <w:t>Years Ended December 31,</w:t>
            </w: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5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1,095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earnings per common share:</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Reported 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(0.17)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r>
              <w:rPr>
                <w:rFonts w:ascii="Arial" w:cs="Arial" w:eastAsia="Arial" w:hAnsi="Arial"/>
                <w:sz w:val="13"/>
                <w:szCs w:val="13"/>
                <w:u w:val="single" w:color="auto"/>
                <w:color w:val="auto"/>
              </w:rPr>
              <w:t>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fair value per share of stock options granted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2005, the Management Development and Compensation Committee of our Board of Directors approved the acceleration of the vesting of all unvested stock options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awarded under our stock incentive plans, effective December 28, 2005. The decision to accelerate the vesting of outstanding stock options was made primarily to reduce the non-cash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expense that we would have otherwise recorded in future periods as a result of adopting SFAS No. 123(R). We estimated that the acceleration eliminated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$55 million of cumulative pre-tax compensation charges that would have been recognized during 2006, 2007 and 2008 as the stock options would have continued to vest. We recognized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 million pre-tax charge to compensation expense during the fourth quarter of 2005 as a result of the acceleration, but do not expect to recognize future compensation expense for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accelerated options under SFAS No. 123(R). Total equity-based compensation expense per SFAS No. 123, net of tax benefit as presented in the table above, includes a pro forma charge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$41 million, net of tax benefit, for the December 2005 accelerated vesting of outstanding stock options.</w:t>
      </w:r>
    </w:p>
    <w:p>
      <w:pPr>
        <w:spacing w:after="0" w:line="8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Additionally, as a result of changes in accounting required by SFAS No. 123(R) and a desire to design our long-term incentive plans in a manner that creates a stronger link to operating and market performance, the Management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and Compensation Committee approved a substantial change in the form of awards that we grant. Beginning in 2005, annual stock option grants were replaced with either</w:t>
      </w:r>
    </w:p>
    <w:p>
      <w:pPr>
        <w:spacing w:after="0" w:line="27" w:lineRule="exact"/>
        <w:rPr>
          <w:sz w:val="20"/>
          <w:szCs w:val="20"/>
          <w:color w:val="auto"/>
        </w:rPr>
      </w:pPr>
    </w:p>
    <w:p>
      <w:pPr>
        <w:ind w:left="680" w:right="80" w:firstLine="7"/>
        <w:spacing w:after="0" w:line="307" w:lineRule="auto"/>
        <w:tabs>
          <w:tab w:leader="none" w:pos="836" w:val="left"/>
        </w:tabs>
        <w:numPr>
          <w:ilvl w:val="0"/>
          <w:numId w:val="33"/>
        </w:numPr>
        <w:rPr>
          <w:rFonts w:ascii="Arial" w:cs="Arial" w:eastAsia="Arial" w:hAnsi="Arial"/>
          <w:sz w:val="12"/>
          <w:szCs w:val="12"/>
          <w:color w:val="auto"/>
        </w:rPr>
      </w:pPr>
      <w:r>
        <w:rPr>
          <w:rFonts w:ascii="Arial" w:cs="Arial" w:eastAsia="Arial" w:hAnsi="Arial"/>
          <w:sz w:val="12"/>
          <w:szCs w:val="12"/>
          <w:color w:val="auto"/>
        </w:rPr>
        <w:t>grants of restricted stock units and performance share units or (ii) an enhanced cash compensation award. Stock option grants in connection with new hires and promotions were replaced with grants of restricted stock units. The terms of restricted stock units and performance share units granted during 2006 are summarized in Note 15.</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result of the acceleration of the vesting of stock options and the replacement of future awards of stock options with other forms of equity awards, the adoption of</w:t>
      </w:r>
    </w:p>
    <w:p>
      <w:pPr>
        <w:spacing w:after="0" w:line="15"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SFAS No. 123(R) on January 1, 2006 did not significantly affect our accounting for equity-based compensation or our net income for the year ended December 31, 2006. We do not currently expect this change in accounting to significantly impact our future results of operations. However, we do expect equity-based compensation expense to increase over the next three years because of the incremental expense that will be recognized each year as additional awards are granted.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the adoption of SFAS No. 123(R), we included all tax benefits associated with equity-based compensation as operating cash flows in the Statement of Cash Flows.</w:t>
      </w:r>
    </w:p>
    <w:p>
      <w:pPr>
        <w:spacing w:after="0" w:line="27" w:lineRule="exact"/>
        <w:rPr>
          <w:sz w:val="20"/>
          <w:szCs w:val="20"/>
          <w:color w:val="auto"/>
        </w:rPr>
      </w:pPr>
    </w:p>
    <w:p>
      <w:pPr>
        <w:jc w:val="both"/>
        <w:ind w:left="680" w:right="40"/>
        <w:spacing w:after="0" w:line="256" w:lineRule="auto"/>
        <w:rPr>
          <w:sz w:val="20"/>
          <w:szCs w:val="20"/>
          <w:color w:val="auto"/>
        </w:rPr>
      </w:pPr>
      <w:r>
        <w:rPr>
          <w:rFonts w:ascii="Arial" w:cs="Arial" w:eastAsia="Arial" w:hAnsi="Arial"/>
          <w:sz w:val="13"/>
          <w:szCs w:val="13"/>
          <w:color w:val="auto"/>
        </w:rPr>
        <w:t>SFAS No. 123(R) requires any reduction in taxes payable resulting from tax deductions that exceed the recognized tax benefit associated with compensation expense (excess tax benefits) to be classified as financing cash flows. We included $45 million of excess tax benefits in our cash flows from financing activities for the year ended December 31, 2006 that would have been classified as an operating cash flow if we had not been required to adopt SFAS No. 123(R). During the years ended December 31, 2005 and 2004, excess tax benefits improved our operating cash flows by approximately $17 million and $37 million, respectively.</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158 — Employers’ Accounting for Defined Benefit Pension and Other Postretirement Plans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In September 2006, the Financial Accounting Standards Board (“FASB”) issued SFAS No. 158, </w:t>
      </w:r>
      <w:r>
        <w:rPr>
          <w:rFonts w:ascii="Arial" w:cs="Arial" w:eastAsia="Arial" w:hAnsi="Arial"/>
          <w:sz w:val="13"/>
          <w:szCs w:val="13"/>
          <w:i w:val="1"/>
          <w:iCs w:val="1"/>
          <w:color w:val="auto"/>
        </w:rPr>
        <w:t>Employers’ Accounting for Defined Benefit Pension and Other Postretirement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Plans — an amendment of FASB Statements No. 87, 88, 106, and 132(R) </w:t>
      </w:r>
      <w:r>
        <w:rPr>
          <w:rFonts w:ascii="Arial" w:cs="Arial" w:eastAsia="Arial" w:hAnsi="Arial"/>
          <w:sz w:val="13"/>
          <w:szCs w:val="13"/>
          <w:color w:val="auto"/>
        </w:rPr>
        <w:t>(“SFAS No. 158”). SFAS No. 158 requires companies to recognize the overfunded or underfunded status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benefit pension and other post-retirement plans as an asset or liability and to recognize changes in that funded status through comprehensive income in the year in which the changes occur. As required, the Company adopted SFAS No. 158 on December 31, 2006.</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With the adoption of SFAS No. 158 on December 31, 2006, we recorded a liability and a corresponding deferred loss adjustment to “Accumulated other comprehensive income”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 million related to the previously unaccrued liability balance associated with our defined benefit pension and other post-retirement plans. The December 31, 2006 net increase of $1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“Accumulated other comprehensive income” attributable to the underfunded status of our post-retirement plans is associated with the net impact of adjustments to increase deferred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assets by $3 million, partially offset by the additional $2 million related to liabilities recorded.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46(R) — Consolidation of Variable Interest Entities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Non-special purpose variable interest entities </w:t>
      </w:r>
      <w:r>
        <w:rPr>
          <w:rFonts w:ascii="Arial" w:cs="Arial" w:eastAsia="Arial" w:hAnsi="Arial"/>
          <w:sz w:val="13"/>
          <w:szCs w:val="13"/>
          <w:color w:val="auto"/>
        </w:rPr>
        <w:t>— On March 31, 2004, our application of the FASB’s Interpretation No. 46(R),</w:t>
      </w:r>
      <w:r>
        <w:rPr>
          <w:rFonts w:ascii="Arial" w:cs="Arial" w:eastAsia="Arial" w:hAnsi="Arial"/>
          <w:sz w:val="13"/>
          <w:szCs w:val="13"/>
          <w:i w:val="1"/>
          <w:iCs w:val="1"/>
          <w:color w:val="auto"/>
        </w:rPr>
        <w:t xml:space="preserve"> Consolidation of Variable Interest Entities (revised December 2003) — an Interpretation of ARB No. 51</w:t>
      </w:r>
      <w:r>
        <w:rPr>
          <w:rFonts w:ascii="Arial" w:cs="Arial" w:eastAsia="Arial" w:hAnsi="Arial"/>
          <w:sz w:val="13"/>
          <w:szCs w:val="13"/>
          <w:color w:val="auto"/>
        </w:rPr>
        <w:t>, (“FIN 46(R)”) to non-special purpose type variable interest entities resulted in the consolidation of certain trusts established to support</w:t>
      </w:r>
      <w:r>
        <w:rPr>
          <w:rFonts w:ascii="Arial" w:cs="Arial" w:eastAsia="Arial" w:hAnsi="Arial"/>
          <w:sz w:val="13"/>
          <w:szCs w:val="13"/>
          <w:i w:val="1"/>
          <w:iCs w:val="1"/>
          <w:color w:val="auto"/>
        </w:rPr>
        <w:t xml:space="preserve"> </w:t>
      </w:r>
      <w:r>
        <w:rPr>
          <w:rFonts w:ascii="Arial" w:cs="Arial" w:eastAsia="Arial" w:hAnsi="Arial"/>
          <w:sz w:val="13"/>
          <w:szCs w:val="13"/>
          <w:color w:val="auto"/>
        </w:rPr>
        <w:t>the performance of closure, post-closure and environmental remediation activities. Upon consolidating these entities, we recorded an increase in our net assets and a credit of $8 million, net of taxes, or $0.01 per diluted share, to “Cumulative effect of change in accounting principle.”</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Reconsideration of a Variable Interest </w:t>
      </w:r>
      <w:r>
        <w:rPr>
          <w:rFonts w:ascii="Arial" w:cs="Arial" w:eastAsia="Arial" w:hAnsi="Arial"/>
          <w:sz w:val="13"/>
          <w:szCs w:val="13"/>
          <w:color w:val="auto"/>
        </w:rPr>
        <w:t>— During 2006, the debt of a previously consolidated variable interest entity was refinanced. As a result of the refinancing, our guarantee</w:t>
      </w:r>
      <w:r>
        <w:rPr>
          <w:rFonts w:ascii="Arial" w:cs="Arial" w:eastAsia="Arial" w:hAnsi="Arial"/>
          <w:sz w:val="13"/>
          <w:szCs w:val="13"/>
          <w:i w:val="1"/>
          <w:iCs w:val="1"/>
          <w:color w:val="auto"/>
        </w:rPr>
        <w:t xml:space="preserve"> </w:t>
      </w:r>
      <w:r>
        <w:rPr>
          <w:rFonts w:ascii="Arial" w:cs="Arial" w:eastAsia="Arial" w:hAnsi="Arial"/>
          <w:sz w:val="13"/>
          <w:szCs w:val="13"/>
          <w:color w:val="auto"/>
        </w:rPr>
        <w:t>arrangement was also renegotiated, significantly reducing the value of our guarantee. We determined that the refinancing of the entity’s debt obligations and corresponding renegotiation of our guarantee represented significant changes in the entity that required reconsideration of the applicability of FIN 46(R). As a result of the reconsideration of our interest in this variable interest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entity, we concluded that we are no longer the primary beneficiary of this entity. Accordingly, in April 2006, we deconsolidated the entity. The deconsolidation of this entity did not materially impact our Consolidated Financial Statements for the periods presented.</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19 for further discussion of variable interest entities.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5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As a result of the increase in the significance of the impact of equity-based compensation on our financial statements, we have elected to separately identify the effects of these transactions within our Consolidated Statements of Stockholders’ Equity. We have made reclassifications in our Statements of Stockholders’ Equity to conform prior year information with our current period presentation. The supplementary financial information included in this section has also been updated to reflect these changes. Certain other minor reclassifications have also been made to our prior period consolidated financial information in order to conform to the current year presentation.</w:t>
      </w:r>
    </w:p>
    <w:p>
      <w:pPr>
        <w:spacing w:after="0" w:line="49" w:lineRule="exact"/>
        <w:rPr>
          <w:sz w:val="20"/>
          <w:szCs w:val="20"/>
          <w:color w:val="auto"/>
        </w:rPr>
      </w:pPr>
    </w:p>
    <w:p>
      <w:pPr>
        <w:ind w:left="880" w:right="7200" w:hanging="193"/>
        <w:spacing w:after="0" w:line="334" w:lineRule="auto"/>
        <w:tabs>
          <w:tab w:leader="none" w:pos="985"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Summary of Significant Accounting Policies </w:t>
      </w:r>
      <w:r>
        <w:rPr>
          <w:rFonts w:ascii="Arial" w:cs="Arial" w:eastAsia="Arial" w:hAnsi="Arial"/>
          <w:sz w:val="13"/>
          <w:szCs w:val="13"/>
          <w:b w:val="1"/>
          <w:bCs w:val="1"/>
          <w:i w:val="1"/>
          <w:iCs w:val="1"/>
          <w:color w:val="auto"/>
        </w:rPr>
        <w:t>Principles of consolidation</w:t>
      </w:r>
    </w:p>
    <w:p>
      <w:pPr>
        <w:spacing w:after="0" w:line="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Estimates and assumptions</w:t>
      </w:r>
    </w:p>
    <w:p>
      <w:pPr>
        <w:spacing w:after="0" w:line="5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Each of these items is discussed in additional detail below. Actual results could differ materially from the estimates and assumptions that we use in the preparation of our financial statements.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5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Cash and cash equivalents consist primarily of cash on deposit, certificates of deposit, money market accounts, and investment grade commercial paper purchased with original maturities of three months or less.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 available for use</w:t>
      </w:r>
    </w:p>
    <w:p>
      <w:pPr>
        <w:spacing w:after="0" w:line="57"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invest in auction rate securities and variable rate demand notes, which are debt instruments with long-term scheduled 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Consolidated Balance Sheets. As of December 31, 2006 and 2005, $184 million and $300 million of investments in auction rate securities and variable rate demand notes have been included as a component of current “Other assets.” Gross purchases and sales of these investments are presented within “Cash flows from investing activities” in our Statements of Cash Flows.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jc w:val="both"/>
        <w:ind w:left="680" w:right="120" w:firstLine="399"/>
        <w:spacing w:after="0" w:line="277" w:lineRule="auto"/>
        <w:rPr>
          <w:sz w:val="20"/>
          <w:szCs w:val="20"/>
          <w:color w:val="auto"/>
        </w:rPr>
      </w:pPr>
      <w:r>
        <w:rPr>
          <w:rFonts w:ascii="Arial" w:cs="Arial" w:eastAsia="Arial" w:hAnsi="Arial"/>
          <w:sz w:val="12"/>
          <w:szCs w:val="12"/>
          <w:color w:val="auto"/>
        </w:rPr>
        <w:t>Financial instruments that potentially subject us to concentrations of credit risk consist primarily of cash and cash equivalents, short-term investments, investments held within our trust funds and escrow accounts, accounts receivable and derivative instruments. We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w:t>
      </w:r>
    </w:p>
    <w:p>
      <w:pPr>
        <w:spacing w:after="0" w:line="1" w:lineRule="exact"/>
        <w:rPr>
          <w:sz w:val="20"/>
          <w:szCs w:val="20"/>
          <w:color w:val="auto"/>
        </w:rPr>
      </w:pPr>
    </w:p>
    <w:p>
      <w:pPr>
        <w:ind w:left="680" w:right="200" w:firstLine="7"/>
        <w:spacing w:after="0" w:line="258" w:lineRule="auto"/>
        <w:tabs>
          <w:tab w:leader="none" w:pos="909" w:val="left"/>
        </w:tabs>
        <w:numPr>
          <w:ilvl w:val="0"/>
          <w:numId w:val="35"/>
        </w:numPr>
        <w:rPr>
          <w:rFonts w:ascii="Arial" w:cs="Arial" w:eastAsia="Arial" w:hAnsi="Arial"/>
          <w:sz w:val="13"/>
          <w:szCs w:val="13"/>
          <w:color w:val="auto"/>
        </w:rPr>
      </w:pPr>
      <w:r>
        <w:rPr>
          <w:rFonts w:ascii="Arial" w:cs="Arial" w:eastAsia="Arial" w:hAnsi="Arial"/>
          <w:sz w:val="13"/>
          <w:szCs w:val="13"/>
          <w:color w:val="auto"/>
        </w:rPr>
        <w:t>maintaining strict policies over credit extension that include credit evaluations, credit limits and monitoring procedures, although generally we do not have collateral requirements. In addition, our overall credit risk associated with trade receivables is limited due to the large number of geographically diverse customers we service. At December 31, 2006 and 2005, no single customer represented greater than 5% of total accounts receivable.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other receivables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receivables are recorded when billed or advanced and represent claims against third parties that will be settled in cash. The carrying value of our receivables, net of the allowance for doubtful accounts, represents their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written-off when our internal collection efforts have been unsuccessful in collecting the amount due. Also, we recognize interest income on long-term interest-bearing notes receivable as the interest accrues under the terms of the notes.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accounting</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Cost Basis of Landfill Assets </w:t>
      </w:r>
      <w:r>
        <w:rPr>
          <w:rFonts w:ascii="Arial" w:cs="Arial" w:eastAsia="Arial" w:hAnsi="Arial"/>
          <w:sz w:val="12"/>
          <w:szCs w:val="12"/>
          <w:color w:val="auto"/>
        </w:rPr>
        <w:t>— We capitalize various costs that we incur to make a landfill ready to accept waste. These costs generally include expenditures for land (including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in accordance with SFAS No. 143, </w:t>
      </w:r>
      <w:r>
        <w:rPr>
          <w:rFonts w:ascii="Arial" w:cs="Arial" w:eastAsia="Arial" w:hAnsi="Arial"/>
          <w:sz w:val="12"/>
          <w:szCs w:val="12"/>
          <w:i w:val="1"/>
          <w:iCs w:val="1"/>
          <w:color w:val="auto"/>
        </w:rPr>
        <w:t xml:space="preserve">Accounting for Asset Retirement Obligations </w:t>
      </w:r>
      <w:r>
        <w:rPr>
          <w:rFonts w:ascii="Arial" w:cs="Arial" w:eastAsia="Arial" w:hAnsi="Arial"/>
          <w:sz w:val="12"/>
          <w:szCs w:val="12"/>
          <w:color w:val="auto"/>
        </w:rPr>
        <w:t>(“SFAS No. 143”) and its Interpretations. These costs are discussed below.</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Final 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1280" w:right="40" w:hanging="190"/>
        <w:spacing w:after="0" w:line="260"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Final 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w:t>
      </w:r>
      <w:r>
        <w:rPr>
          <w:rFonts w:ascii="Arial" w:cs="Arial" w:eastAsia="Arial" w:hAnsi="Arial"/>
          <w:sz w:val="13"/>
          <w:szCs w:val="13"/>
          <w:i w:val="1"/>
          <w:iCs w:val="1"/>
          <w:color w:val="auto"/>
        </w:rPr>
        <w:t xml:space="preserve"> </w:t>
      </w:r>
      <w:r>
        <w:rPr>
          <w:rFonts w:ascii="Arial" w:cs="Arial" w:eastAsia="Arial" w:hAnsi="Arial"/>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59"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280" w:right="180" w:hanging="190"/>
        <w:spacing w:after="0" w:line="260"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closed by the applicable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59"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Once we have determined the final capping, closure and post-closure costs, we inflate those costs to the expected time of payment and discount those expected future costs back to present value. During the years ended December 31, 2006 and 2005,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2006 is between 6.00% and 7.25%, the range of the credit-adjusted, risk-free discount rates effective since adopting SFAS No. 143 in 2003.</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2"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the years ended December 31, 2006, 2005 and 2004, adjustments associated with changes in our expectations for the timing and cost of future final capping, closure and post-closure of fully utilized airspace resulted in $1 million, $13 million and $18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Most of the benefit recognized in these years was the result of concerted efforts to improve the operating efficiencies of our landfills allowing us to delay spending for final capping activities, landfill expansions that resulted in reduced or deferred final capping costs, or completed final capping construction that cost less than anticipated.</w:t>
      </w:r>
    </w:p>
    <w:p>
      <w:pPr>
        <w:spacing w:after="0" w:line="55"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Amortization of Landfill Assets </w:t>
      </w:r>
      <w:r>
        <w:rPr>
          <w:rFonts w:ascii="Arial" w:cs="Arial" w:eastAsia="Arial" w:hAnsi="Arial"/>
          <w:sz w:val="13"/>
          <w:szCs w:val="13"/>
          <w:color w:val="auto"/>
        </w:rPr>
        <w:t>— The amortizable basis of a landfill includes (i) amounts previously expended and capitalized; (ii) capitalized landfill final capping, closure and</w:t>
      </w:r>
      <w:r>
        <w:rPr>
          <w:rFonts w:ascii="Arial" w:cs="Arial" w:eastAsia="Arial" w:hAnsi="Arial"/>
          <w:sz w:val="13"/>
          <w:szCs w:val="13"/>
          <w:i w:val="1"/>
          <w:iCs w:val="1"/>
          <w:color w:val="auto"/>
        </w:rPr>
        <w:t xml:space="preserve"> </w:t>
      </w:r>
      <w:r>
        <w:rPr>
          <w:rFonts w:ascii="Arial" w:cs="Arial" w:eastAsia="Arial" w:hAnsi="Arial"/>
          <w:sz w:val="13"/>
          <w:szCs w:val="13"/>
          <w:color w:val="auto"/>
        </w:rPr>
        <w:t>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67"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Amortization is recorded on a units-of-consumption basis, applying cost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the lesser of the contractual term of the underlying agreement or the life of the landfill.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apply the following guidelines in determining a landfill’s remaining permitted and expansion airspace:</w:t>
      </w:r>
    </w:p>
    <w:p>
      <w:pPr>
        <w:spacing w:after="0" w:line="96" w:lineRule="exact"/>
        <w:rPr>
          <w:sz w:val="20"/>
          <w:szCs w:val="20"/>
          <w:color w:val="auto"/>
        </w:rPr>
      </w:pPr>
    </w:p>
    <w:p>
      <w:pPr>
        <w:ind w:left="1280" w:right="20" w:hanging="190"/>
        <w:spacing w:after="0" w:line="264"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Remaining Permitted Airspace </w:t>
      </w:r>
      <w:r>
        <w:rPr>
          <w:rFonts w:ascii="Arial" w:cs="Arial" w:eastAsia="Arial" w:hAnsi="Arial"/>
          <w:sz w:val="13"/>
          <w:szCs w:val="13"/>
          <w:color w:val="auto"/>
        </w:rPr>
        <w:t>— Our engineers, in consultation with third-party engineering consultants and surveyors, are responsible for determining remaining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at our landfills. The remaining permitted airspace is determined by an annual survey, which is then used to compare the existing landfill topography to the expected final landfill topography.</w:t>
      </w:r>
    </w:p>
    <w:p>
      <w:pPr>
        <w:spacing w:after="0" w:line="57" w:lineRule="exact"/>
        <w:rPr>
          <w:rFonts w:ascii="Arial" w:cs="Arial" w:eastAsia="Arial" w:hAnsi="Arial"/>
          <w:sz w:val="13"/>
          <w:szCs w:val="13"/>
          <w:color w:val="auto"/>
        </w:rPr>
      </w:pPr>
    </w:p>
    <w:p>
      <w:pPr>
        <w:ind w:left="1280" w:right="60" w:hanging="190"/>
        <w:spacing w:after="0" w:line="296" w:lineRule="auto"/>
        <w:tabs>
          <w:tab w:leader="none" w:pos="128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Expansion Airspace </w:t>
      </w:r>
      <w:r>
        <w:rPr>
          <w:rFonts w:ascii="Arial" w:cs="Arial" w:eastAsia="Arial" w:hAnsi="Arial"/>
          <w:sz w:val="12"/>
          <w:szCs w:val="12"/>
          <w:color w:val="auto"/>
        </w:rPr>
        <w:t>— We also include currently unpermitted airspace in our estimate of remaining permitted and expansion airspace in certain circumstances. First, to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49" w:lineRule="exact"/>
        <w:rPr>
          <w:rFonts w:ascii="Arial" w:cs="Arial" w:eastAsia="Arial" w:hAnsi="Arial"/>
          <w:sz w:val="12"/>
          <w:szCs w:val="12"/>
          <w:color w:val="auto"/>
        </w:rPr>
      </w:pPr>
    </w:p>
    <w:p>
      <w:pPr>
        <w:ind w:left="1500" w:hanging="214"/>
        <w:spacing w:after="0"/>
        <w:tabs>
          <w:tab w:leader="none" w:pos="15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38"/>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500" w:hanging="214"/>
        <w:spacing w:after="0"/>
        <w:tabs>
          <w:tab w:leader="none" w:pos="15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500" w:hanging="214"/>
        <w:spacing w:after="0"/>
        <w:tabs>
          <w:tab w:leader="none" w:pos="1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the Chief Financial Officer and a review by the Audit Committee of the Board of Directors on a quarterly basis. Of the 62 landfill sites with expansions at December 31, 2006, 14 landfills required the Chief Financial Officer to approve the inclusion of the unpermitted airspace. Eight of these landfills required approval by the Chief Financial Officer because of a lack of community or political support that could impede the expansion process. The remaining six landfills required approval mainly due to local zoning restrictions or because the permit application processes would not meet the one or five year requirements, generally due to state-specific permitting procedures.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Once the remaining permitted and expansion airspace is determined, an airspace utilization factor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 initial selection of the AUF is subject to a subsequent multi-level review by our engineering group. Our historical experience generally indicates that the impact of settlement at a landfill is greater later in the life of the landfill when the waste placed at the landfill approaches its highest point under the permit requirements.</w:t>
      </w:r>
    </w:p>
    <w:p>
      <w:pPr>
        <w:spacing w:after="0" w:line="72"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costs related to final capping, and closure and post-closure of the expansion in the amortization basis of the landfill.</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After determining the costs and remaining permitted and expansion capacity at each of our landfills, we determine the per ton rates that will be expensed through landfill amortization. We look at factors such as the waste stream, geography and rate of compaction, among others, to determine the number of tons necessary to fill the remaining permitted and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55"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recoverability of the landfill asset, we may be required to recognize an asset impairment. If it is determined that the likelihood of receiving the expansion permit has become remote, the capitalized costs related to the expansion effort are expensed immediately.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typical allocation of costs among PRPs.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3"/>
          <w:szCs w:val="13"/>
          <w:i w:val="1"/>
          <w:iCs w:val="1"/>
          <w:color w:val="auto"/>
        </w:rPr>
        <w:t>Accounting for Contingencies</w:t>
      </w:r>
      <w:r>
        <w:rPr>
          <w:rFonts w:ascii="Arial" w:cs="Arial" w:eastAsia="Arial" w:hAnsi="Arial"/>
          <w:sz w:val="13"/>
          <w:szCs w:val="13"/>
          <w:color w:val="auto"/>
        </w:rPr>
        <w:t>, (“SFAS No. 5”) and its Interpretations. If we used the high ends of such ranges, our aggregate potential liability would be approximately $190 million higher</w:t>
      </w:r>
      <w:r>
        <w:rPr>
          <w:rFonts w:ascii="Arial" w:cs="Arial" w:eastAsia="Arial" w:hAnsi="Arial"/>
          <w:sz w:val="13"/>
          <w:szCs w:val="13"/>
          <w:i w:val="1"/>
          <w:iCs w:val="1"/>
          <w:color w:val="auto"/>
        </w:rPr>
        <w:t xml:space="preserve"> </w:t>
      </w:r>
      <w:r>
        <w:rPr>
          <w:rFonts w:ascii="Arial" w:cs="Arial" w:eastAsia="Arial" w:hAnsi="Arial"/>
          <w:sz w:val="13"/>
          <w:szCs w:val="13"/>
          <w:color w:val="auto"/>
        </w:rPr>
        <w:t>on a discounted basis than the $268 million recorded in the Consolidated Financial Statements as of December 31, 2006.</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Where we believe that both the amount of a particular environmental remediation liability and the timing of the payments are reliably determinable, we inflate the cost in current dollars (by 2.5% at both December 31, 2006 and December 31, 2005)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As a result of an increase in our risk-free discount rate, which increased from 4.25% for 2005 to 4.75% for 2006, we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recorded a $6 million reduction in “Operating” expenses during the first quarter of 2006 and a corresponding decrease in environmental remediation liabilities. For remedial liabilities that have been discounted, we include interest accretion, based on the effective interest method, in “Operating” costs and expenses in our Consolidated Statements of Operations. The portion of our recorded environmental remediation liabilities that has never been subject to inflation or discounting as the amounts and timing of payments are not readily determinable was $55 million and $57 million at December 31, 2006 and 2005, respectively. Had we not discounted any portion of our environmental remediation liability, the amount recorded would have been increased by $41 million at December 31, 2006 and $36 million at December 31, 2005.</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(Exclusive of landfills discussed above)</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Property and equipment are recorded at cost. Expenditures for major additions and improvements are capitalized. Depreciation is provided over the estimated useful lives of these assets using the straight-line method. We assume no salvage value for our depreciable property and equipment. The estimated useful lives for significant property and equipment categories are as follows (in years):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r>
      <w:tr>
        <w:trPr>
          <w:trHeight w:val="29"/>
        </w:trPr>
        <w:tc>
          <w:tcPr>
            <w:tcW w:w="9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Vehicles — excluding rail haul cars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10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Vehicles — rail haul cars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 to 20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30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Buildings and improvements — excluding waste-to-energy facilities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 to 40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 and related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up to 50</w:t>
            </w:r>
          </w:p>
        </w:tc>
      </w:tr>
      <w:tr>
        <w:trPr>
          <w:trHeight w:val="165"/>
        </w:trPr>
        <w:tc>
          <w:tcPr>
            <w:tcW w:w="9000" w:type="dxa"/>
            <w:vAlign w:val="bottom"/>
          </w:tcPr>
          <w:p>
            <w:pPr>
              <w:spacing w:after="0"/>
              <w:rPr>
                <w:sz w:val="20"/>
                <w:szCs w:val="20"/>
                <w:color w:val="auto"/>
              </w:rPr>
            </w:pPr>
            <w:r>
              <w:rPr>
                <w:rFonts w:ascii="Arial" w:cs="Arial" w:eastAsia="Arial" w:hAnsi="Arial"/>
                <w:sz w:val="13"/>
                <w:szCs w:val="13"/>
                <w:color w:val="auto"/>
              </w:rPr>
              <w:t>Furniture, fixtures and office equipment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 to 10</w:t>
            </w:r>
          </w:p>
        </w:tc>
      </w:tr>
    </w:tbl>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include capitalized costs associated with developing or obtaining internal-use software within furniture, fixtures and office equipment. These costs include external direct costs of materials and services used in developing or obtaining the software and payroll and payroll-related costs for employees directly associated with the software development project. As of December 31, 2006, capitalized costs for software placed in service, net of accumulated depreciation, were $68 million. In addition, our furniture, fixtures and office equipment as of December 31, 2006 includes $62 million for costs incurred for software under development.</w:t>
      </w:r>
    </w:p>
    <w:p>
      <w:pPr>
        <w:spacing w:after="0" w:line="7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When property and equipment are retired, sold or otherwise disposed of, the cost and accumulated depreciation are removed from our accounts and any resulting gain or loss is included in results of operations as offsets or increases to operating expense for the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and equipment such as compactors.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 majority of our leases are operating leases. This classification generally can be attributed to either (i) relatively low fixed minimum lease payments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2006, are disclosed in Note 10.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 Assets under capital leases are capitalized using interest rates appropriate at the inception of each lease and are amortized over either the useful life of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account for the assets acquired and liabilities assumed in a business combination based on fair value estimates as of the date of acquisition.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certain business combinations,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Refer to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10 for additional information related to these contingent obligations.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held-for-sale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our operations review processes, we, from time to time, identify under-performing operations. We assess these operations for opportunities to improve their performance. A possible conclusion of this review may be that offering the related assets for sale to others is in our best interests. Additionally, we continually review our real estate portfolio and identify any surplus property.</w:t>
      </w:r>
    </w:p>
    <w:p>
      <w:pPr>
        <w:spacing w:after="0" w:line="67" w:lineRule="exact"/>
        <w:rPr>
          <w:sz w:val="20"/>
          <w:szCs w:val="20"/>
          <w:color w:val="auto"/>
        </w:rPr>
      </w:pPr>
    </w:p>
    <w:p>
      <w:pPr>
        <w:jc w:val="both"/>
        <w:ind w:left="680" w:right="40" w:firstLine="399"/>
        <w:spacing w:after="0" w:line="305" w:lineRule="auto"/>
        <w:rPr>
          <w:sz w:val="20"/>
          <w:szCs w:val="20"/>
          <w:color w:val="auto"/>
        </w:rPr>
      </w:pPr>
      <w:r>
        <w:rPr>
          <w:rFonts w:ascii="Arial" w:cs="Arial" w:eastAsia="Arial" w:hAnsi="Arial"/>
          <w:sz w:val="11"/>
          <w:szCs w:val="11"/>
          <w:color w:val="auto"/>
        </w:rPr>
        <w:t>We classify these assets as held-for-sale when they meet the following criteria: (i) management, having the authority to approve the action, commits to a plan to sell the assets; (ii) the assets are available for immediate sale in their present condition, subject only to conditions that are usual and customary for the sale of such assets; (iii) we are actively searching for a buyer;</w:t>
      </w:r>
    </w:p>
    <w:p>
      <w:pPr>
        <w:spacing w:after="0" w:line="1" w:lineRule="exact"/>
        <w:rPr>
          <w:sz w:val="20"/>
          <w:szCs w:val="20"/>
          <w:color w:val="auto"/>
        </w:rPr>
      </w:pPr>
    </w:p>
    <w:p>
      <w:pPr>
        <w:jc w:val="both"/>
        <w:ind w:left="680" w:right="400" w:firstLine="7"/>
        <w:spacing w:after="0" w:line="356" w:lineRule="auto"/>
        <w:tabs>
          <w:tab w:leader="none" w:pos="902"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assets are being marketed at a price that is reasonable in relation to their current fair value; (v) actions necessary to complete the plan indicate that it is unlikely that significant changes to the plan will be made or the plan will be withdrawn; and (vi) the sale is probable and the transfer is expected to qualify for recognition as a completed sale within one year.</w:t>
      </w:r>
    </w:p>
    <w:p>
      <w:pPr>
        <w:spacing w:after="0" w:line="2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These assets are recorded at the lower of their carrying amount or their fair value less the estimated cost to sell and are included within current “Other assets” within our Consolidated Balance Sheets. We continue to review our classification of assets held-for-sale to ensure they meet our held-for-sale criteria.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Quarterly, we analyze our operations that have been divested or classified as held-for-sale in order to determine if they qualify for discontinued operations accounting. Only operations that qualify as a component of an entity (“Component”) under generally accepted accounting principles can be included in discontinued operations. Only Components where we do not have significant continuing involvement with the divested operations would qualify for discontinued operations accounting. For our purposes, continuing involvement would include continuing to receive waste at our landfill, waste-to-energy facility or recycling facility from a divested hauling operation or transfer station or continuing to dispose of waste at a divested landfill or transfer station. After completing our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analysis at December 31, 2006, we determined that the operations that qualify for discontinued operations accounting are not material to our Consolidated Statements of Operations.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Goodwill is the excess of our purchase cost over the fair value of the net assets of acquired businesses. In accordance with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we do not amortize goodwill. As discussed in the </w:t>
      </w:r>
      <w:r>
        <w:rPr>
          <w:rFonts w:ascii="Arial" w:cs="Arial" w:eastAsia="Arial" w:hAnsi="Arial"/>
          <w:sz w:val="13"/>
          <w:szCs w:val="13"/>
          <w:i w:val="1"/>
          <w:iCs w:val="1"/>
          <w:color w:val="auto"/>
        </w:rPr>
        <w:t>Asset impairments</w:t>
      </w:r>
      <w:r>
        <w:rPr>
          <w:rFonts w:ascii="Arial" w:cs="Arial" w:eastAsia="Arial" w:hAnsi="Arial"/>
          <w:sz w:val="13"/>
          <w:szCs w:val="13"/>
          <w:color w:val="auto"/>
        </w:rPr>
        <w:t xml:space="preserve"> section below, we assess our goodwill for impairment at least annually.</w:t>
      </w:r>
    </w:p>
    <w:p>
      <w:pPr>
        <w:spacing w:after="0" w:line="59" w:lineRule="exact"/>
        <w:rPr>
          <w:sz w:val="20"/>
          <w:szCs w:val="20"/>
          <w:color w:val="auto"/>
        </w:rPr>
      </w:pPr>
    </w:p>
    <w:p>
      <w:pPr>
        <w:jc w:val="both"/>
        <w:ind w:left="680" w:right="20" w:firstLine="399"/>
        <w:spacing w:after="0" w:line="303" w:lineRule="auto"/>
        <w:rPr>
          <w:sz w:val="20"/>
          <w:szCs w:val="20"/>
          <w:color w:val="auto"/>
        </w:rPr>
      </w:pPr>
      <w:r>
        <w:rPr>
          <w:rFonts w:ascii="Arial" w:cs="Arial" w:eastAsia="Arial" w:hAnsi="Arial"/>
          <w:sz w:val="11"/>
          <w:szCs w:val="11"/>
          <w:color w:val="auto"/>
        </w:rPr>
        <w:t>Other intangible assets consist primarily of customer contracts, customer lists, covenants not-to-compete, licenses, permits (other than landfill permits, as all landfill related intangible assets are combined with landfill tangible assets and amortized using our landfill amortization policy) and other contracts. Other intangible assets are recorded at cost and are amortized using either a 150% declining balance approach or on a straight-line basis as we determine appropriate. Customer contracts and customer lists are generally amortized over seven to ten years.</w:t>
      </w:r>
    </w:p>
    <w:p>
      <w:pPr>
        <w:ind w:left="680" w:right="400"/>
        <w:spacing w:after="0" w:line="356" w:lineRule="auto"/>
        <w:rPr>
          <w:sz w:val="20"/>
          <w:szCs w:val="20"/>
          <w:color w:val="auto"/>
        </w:rPr>
      </w:pPr>
      <w:r>
        <w:rPr>
          <w:rFonts w:ascii="Arial" w:cs="Arial" w:eastAsia="Arial" w:hAnsi="Arial"/>
          <w:sz w:val="11"/>
          <w:szCs w:val="11"/>
          <w:color w:val="auto"/>
        </w:rPr>
        <w:t>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monitor the carrying value of our long-lived assets for potential impairment and test the recoverability of such assets whenever events or changes in circumstances indicate that their carrying amounts may not be recoverable. Typical indicators that an asset may be impaired include:</w:t>
      </w:r>
    </w:p>
    <w:p>
      <w:pPr>
        <w:spacing w:after="0" w:line="59"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significant decrease in the market price of an asset or asset group;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significant adverse change in the extent or manner in which an asset or asset group is being used or in its physical condition;</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significant adverse change in legal factors or in the business climate that could affect the value of an asset or asset group, including an adverse action or assessment by a regulator;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accumulation of costs significantly in excess of the amount originally expected for the acquisition or construction of a long-lived asset;</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49"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current expectation that, more likely than not, a long-lived asset or asset group will be sold or otherwise disposed of significantly before the end of its previously estimated useful life.</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If any of these or other indicators occur, the asset is reviewed to determine whether there has been an impairment. An impairment loss is recorded as the difference between the carrying amount and fair value of the asset. If significant events or 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determined by either an internally developed discounted projected cash flow analysis of the asset or asset group or an actual third-party valuation. If the fair value of an asset or asset group is determined to be less than the carrying amount of the asset or asset group, an impairment in the amount of the difference is recorded in the period that the impairment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indicator occurs and is included in the “(Income) expense from divestitures, asset impairments and unusual items” line item in our Consolidated Statement of Operations. Estimating future cash flows requires significant judgment and projections may vary from cash flows eventually realized. There are other considerations for impairments of landfills and goodwill, as described below.</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of the indicators listed above require significant judgment and understanding of the waste industry when applied to landfill development or expansion projects.</w:t>
      </w:r>
      <w:r>
        <w:rPr>
          <w:rFonts w:ascii="Arial" w:cs="Arial" w:eastAsia="Arial" w:hAnsi="Arial"/>
          <w:sz w:val="13"/>
          <w:szCs w:val="13"/>
          <w:i w:val="1"/>
          <w:iCs w:val="1"/>
          <w:color w:val="auto"/>
        </w:rPr>
        <w:t xml:space="preserve"> </w:t>
      </w:r>
      <w:r>
        <w:rPr>
          <w:rFonts w:ascii="Arial" w:cs="Arial" w:eastAsia="Arial" w:hAnsi="Arial"/>
          <w:sz w:val="13"/>
          <w:szCs w:val="13"/>
          <w:color w:val="auto"/>
        </w:rPr>
        <w:t>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 At least annually, we assess whether goodwill is impaired. We assess whether an impairment exists by comparing the book value of goodwill to its implied fair value.</w:t>
      </w:r>
      <w:r>
        <w:rPr>
          <w:rFonts w:ascii="Arial" w:cs="Arial" w:eastAsia="Arial" w:hAnsi="Arial"/>
          <w:sz w:val="12"/>
          <w:szCs w:val="12"/>
          <w:i w:val="1"/>
          <w:iCs w:val="1"/>
          <w:color w:val="auto"/>
        </w:rPr>
        <w:t xml:space="preserve"> </w:t>
      </w:r>
      <w:r>
        <w:rPr>
          <w:rFonts w:ascii="Arial" w:cs="Arial" w:eastAsia="Arial" w:hAnsi="Arial"/>
          <w:sz w:val="12"/>
          <w:szCs w:val="12"/>
          <w:color w:val="auto"/>
        </w:rPr>
        <w:t>The implied fair value of goodwill is determined by deducting the fair value of each of our reporting unit’s (Group’s)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trust and escrow accounts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As of December 31, 2006, our restricted trust and escrow accounts consist principally of (i) funds deposited in connection with landfill closure, post-closure and environmental remediation obligations; (ii) funds held in trust for the construction of various facilities; and (iii) funds held in trust for the repayment of our debt obligations. As of December 31, 2006 and 2005, we had $377 million and $460 million, respectively, of restricted trust and escrow accounts, which are generally included in long-term “Other assets” in our Consolidated Balance Sheets.</w:t>
      </w:r>
    </w:p>
    <w:p>
      <w:pPr>
        <w:spacing w:after="0" w:line="70" w:lineRule="exact"/>
        <w:rPr>
          <w:sz w:val="20"/>
          <w:szCs w:val="20"/>
          <w:color w:val="auto"/>
        </w:rPr>
      </w:pPr>
    </w:p>
    <w:p>
      <w:pPr>
        <w:ind w:left="680" w:right="160" w:firstLine="399"/>
        <w:spacing w:after="0" w:line="305" w:lineRule="auto"/>
        <w:rPr>
          <w:sz w:val="20"/>
          <w:szCs w:val="20"/>
          <w:color w:val="auto"/>
        </w:rPr>
      </w:pPr>
      <w:r>
        <w:rPr>
          <w:rFonts w:ascii="Arial" w:cs="Arial" w:eastAsia="Arial" w:hAnsi="Arial"/>
          <w:sz w:val="11"/>
          <w:szCs w:val="11"/>
          <w:i w:val="1"/>
          <w:iCs w:val="1"/>
          <w:color w:val="auto"/>
        </w:rPr>
        <w:t xml:space="preserve">Closure, post-closure and environmental remediation funds </w:t>
      </w:r>
      <w:r>
        <w:rPr>
          <w:rFonts w:ascii="Arial" w:cs="Arial" w:eastAsia="Arial" w:hAnsi="Arial"/>
          <w:sz w:val="11"/>
          <w:szCs w:val="11"/>
          <w:color w:val="auto"/>
        </w:rPr>
        <w:t>— At several of our landfills, we provide financial assurance by depositing cash into restricted escrow accounts or trust</w:t>
      </w:r>
      <w:r>
        <w:rPr>
          <w:rFonts w:ascii="Arial" w:cs="Arial" w:eastAsia="Arial" w:hAnsi="Arial"/>
          <w:sz w:val="11"/>
          <w:szCs w:val="11"/>
          <w:i w:val="1"/>
          <w:iCs w:val="1"/>
          <w:color w:val="auto"/>
        </w:rPr>
        <w:t xml:space="preserve"> </w:t>
      </w:r>
      <w:r>
        <w:rPr>
          <w:rFonts w:ascii="Arial" w:cs="Arial" w:eastAsia="Arial" w:hAnsi="Arial"/>
          <w:sz w:val="11"/>
          <w:szCs w:val="11"/>
          <w:color w:val="auto"/>
        </w:rPr>
        <w:t>funds for purposes of settling closure, post-closure and environmental remediation obligations. Balances maintained in these trust funds and escrow accounts will fluctuate based on</w:t>
      </w:r>
    </w:p>
    <w:p>
      <w:pPr>
        <w:spacing w:after="0" w:line="1" w:lineRule="exact"/>
        <w:rPr>
          <w:sz w:val="20"/>
          <w:szCs w:val="20"/>
          <w:color w:val="auto"/>
        </w:rPr>
      </w:pPr>
    </w:p>
    <w:p>
      <w:pPr>
        <w:ind w:left="680" w:right="20" w:firstLine="7"/>
        <w:spacing w:after="0" w:line="307" w:lineRule="auto"/>
        <w:tabs>
          <w:tab w:leader="none" w:pos="836" w:val="left"/>
        </w:tabs>
        <w:numPr>
          <w:ilvl w:val="0"/>
          <w:numId w:val="43"/>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w:t>
      </w:r>
    </w:p>
    <w:p>
      <w:pPr>
        <w:spacing w:after="0" w:line="4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 xml:space="preserve">Tax-exempt bond funds </w:t>
      </w:r>
      <w:r>
        <w:rPr>
          <w:rFonts w:ascii="Arial" w:cs="Arial" w:eastAsia="Arial" w:hAnsi="Arial"/>
          <w:sz w:val="13"/>
          <w:szCs w:val="13"/>
          <w:color w:val="auto"/>
        </w:rPr>
        <w:t>— We obtain funds from the issuance of industrial revenue bonds for the construction of collection and disposal facilities and for equipment necessary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waste management services. Proceeds from these arrangements are directly deposited into trust accounts, and we do not have the ability to use the funds in regular operating activities. Accordingly, these borrowings are excluded from financing activities in our Statement of Cash Flows. At the time our construction and equipment expenditures have been documented and approved by the applicable bond trustee, the funds are released and we receive cash. These amounts are reported in the Statement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Statement of Cash Flows.</w:t>
      </w:r>
    </w:p>
    <w:p>
      <w:pPr>
        <w:spacing w:after="0" w:line="7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trust fund assets funded by industrial revenue bonds and held for future capital expenditures are invested in U.S. government agency debt securities with maturities ranging from less than one year to three years. For the years ended December 31, 2006 and 2005, our realized and unrealized gains on these investments have not been material to our results of operations and financial position.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Debt service funds </w:t>
      </w:r>
      <w:r>
        <w:rPr>
          <w:rFonts w:ascii="Arial" w:cs="Arial" w:eastAsia="Arial" w:hAnsi="Arial"/>
          <w:sz w:val="13"/>
          <w:szCs w:val="13"/>
          <w:color w:val="auto"/>
        </w:rPr>
        <w:t>— Funds are held in trust to meet future principal and interest payments required under certain of our tax-exempt project bonds.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use derivative financial instruments to manage our risk associated with fluctuations in interest rates, commodity prices and foreign currency exchange rates. We use interest rate swaps to maintain a strategic portion of our debt obligations at variable, market-driven interest rates. In prior periods, we have entered into interest rate derivatives in anticipation of our senior note issuances to effectively lock in a fixed interest rate. We have entered into commodity derivatives, including swaps and options, to mitigate some of the risk associated with our Recycling Group’s transactions, which can be significantly affected by market prices for recyclable commodities. Foreign currency exchange rate derivatives are often used to hedge our exposure to changes in exchange rates for anticipated cash transactions between us and our Canadian subsidiaries.</w:t>
      </w:r>
    </w:p>
    <w:p>
      <w:pPr>
        <w:spacing w:after="0" w:line="55"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obtain current valuations of our interest rate hedging instruments from third-party pricing models to account for the fair value of outstanding interest rate derivatives. We estimate the future prices of commodity fiber products based upon traded exchange market prices and broker price quotations to derive the current fair value of commodity derivatives. The fair value of our foreign currency exchange rate derivatives is based on quoted market prices.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2006, 2005 or 2004.</w:t>
      </w:r>
    </w:p>
    <w:p>
      <w:pPr>
        <w:spacing w:after="0" w:line="59" w:lineRule="exact"/>
        <w:rPr>
          <w:sz w:val="20"/>
          <w:szCs w:val="20"/>
          <w:color w:val="auto"/>
        </w:rPr>
      </w:pPr>
    </w:p>
    <w:p>
      <w:pPr>
        <w:ind w:left="1280" w:right="16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Cash flow hedges </w:t>
      </w:r>
      <w:r>
        <w:rPr>
          <w:rFonts w:ascii="Arial" w:cs="Arial" w:eastAsia="Arial" w:hAnsi="Arial"/>
          <w:sz w:val="13"/>
          <w:szCs w:val="13"/>
          <w:color w:val="auto"/>
        </w:rPr>
        <w:t>— The effective portion of those derivatives designated as cash flow hedges for accounting purposes is recorded in “Accumulated other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income” within the equity section of our Consolidated Balance Sheets. Upon termination, the associated balance in other comprehensive income is amortized to earnings as the hedged cash flows occur.</w:t>
      </w:r>
    </w:p>
    <w:p>
      <w:pPr>
        <w:spacing w:after="0" w:line="57"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Fair value hedges </w:t>
      </w:r>
      <w:r>
        <w:rPr>
          <w:rFonts w:ascii="Arial" w:cs="Arial" w:eastAsia="Arial" w:hAnsi="Arial"/>
          <w:sz w:val="13"/>
          <w:szCs w:val="13"/>
          <w:color w:val="auto"/>
        </w:rPr>
        <w:t>— The offsetting amounts for those derivatives designated as fair value hedges for accounting purposes are recorded as adjustments to the carrying values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hedged items. Upon termination, this carrying value adjustment is amortized to earnings over the remaining life of the hedged item.</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As of December 31, 2006, 2005 and 2004, the net fair value and earnings impact of our commodity and foreign currency derivatives were immaterial to our financial position and results of operations. As further discussed in Note 7, our use of interest rate derivatives to manage our fixed to floating rate position has had a material impact on our operating cash flows, carrying value of debt and interest expense during these periods.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reserves and recoveries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retained a portion of the risks related to our health and welfare, automobile, general liability and workers’ compensation insurance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significant operations in Canada. The functional currency of our Canadian subsidiaries is Canadian dollars. The assets and liabilities of our foreign operations are translated to U.S. dollars using the exchange rate 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balance sheet date. Revenues and expenses are translated to U.S. dollars using the average exchange rate during the period. The resulting translation difference is reflected as a component of comprehensive income.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 specific terms such as frequency of service, weight, volume and the general market factors influencing a region’s rates.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interest</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We capitalize interest on certain projects under development, including remaining permitted landfill projects and landfill expansion projects, and on certain assets under construction, including internal-use software, operating landfills and waste-to-energy facilities. During 2006, 2005 and 2004, total interest costs were $563 million, $505 million and $477 million, respectively, of which $18 million for 2006, $9 million for 2005 and $22 million for 2004, were capitalized, primarily for landfill construction costs. The capitalization of interest for operating landfills is based on the costs incurred on discrete landfill cell construction projects that are expected to exceed $500,000 and require over 60 days to construct. In addition to the direct cost of the cell construction project, the calculation of capitalized interest includes an allocated portion of the common landfill site costs. The common landfill site costs include the development costs of a landfill project or the purchase price of an operating landfill, and the ongoing infrastructure costs benefiting the landfill over its useful life. These costs are amortized to expense in a manner consistent with other landfill site costs. The decline in the amount of interest capitalized in 2005 results from fewer projects on which interest was capitalized and an adjustment in the second quarter of 2005 reducing amounts previously capitalized to a large capital project.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estimate the amount of potential exposure we may have with respect to claims, assessments and litigation in accordance with SFAS No. 5. We are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Non-cash investing and financing activities are excluded from the Consolidated Statements of Cash Flows. For the years ended December 31, 2006, 2005 and 2004, non-cash activities included proceeds from tax-exempt borrowings, net of principal payments made directly from trust funds, of $157 million, $201 million and $283 million, respectively. In 2004, non-cash financing activities also included the issuance of $118.5 million of debt in return for our equity investment in two coal-based synthetic fuel production facilities. These investments are discussed in detail in Note 8.</w:t>
      </w:r>
    </w:p>
    <w:p>
      <w:pPr>
        <w:spacing w:after="0" w:line="7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On December 15, 2005, we declared our first quarterly cash dividend for 2006. The first quarter 2006 dividend was $0.22 per common share and was paid on March 24, 2006 to stockholders of record on March 6, 2006. As of December 31, 2005, $122 million had been accrued for this dividend declaration. As the dividend payments did not occur until March 2006 they were excluded from our “Net cash used in financing activities” in our Consolidated Statement of Cash Flows for the year ended December 31, 2005. This dividend payment was reflected as “Cash dividends” in our Consolidated Statement of Cash Flows for the year ended December 31, 2006.</w:t>
      </w:r>
    </w:p>
    <w:p>
      <w:pPr>
        <w:spacing w:after="0" w:line="128"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December 31, 2006</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2005</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3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1,234</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1,341</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to landfill and environmental remediation liabilities for the years ended December 31, 2005 and 2006 are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recorded liabilities as of December 31, 2006 include the impacts of inflating certain of these costs based on our expectations for the timing of cash settlement and of discounting certain of these costs to present value.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Anticipated payments of currently identified environmental remediation liabilities for the next five years and thereafter as measured in current dollars are reflected below (in millions):</w:t>
      </w:r>
    </w:p>
    <w:p>
      <w:pPr>
        <w:spacing w:after="0" w:line="109" w:lineRule="exact"/>
        <w:rPr>
          <w:sz w:val="20"/>
          <w:szCs w:val="20"/>
          <w:color w:val="auto"/>
        </w:rPr>
      </w:pPr>
    </w:p>
    <w:tbl>
      <w:tblPr>
        <w:tblLayout w:type="fixed"/>
        <w:tblInd w:w="1060" w:type="dxa"/>
        <w:tblCellMar>
          <w:top w:w="0" w:type="dxa"/>
          <w:left w:w="0" w:type="dxa"/>
          <w:bottom w:w="0" w:type="dxa"/>
          <w:right w:w="0" w:type="dxa"/>
        </w:tblCellMar>
      </w:tblPr>
      <w:tr>
        <w:trPr>
          <w:trHeight w:val="135"/>
        </w:trPr>
        <w:tc>
          <w:tcPr>
            <w:tcW w:w="1960" w:type="dxa"/>
            <w:vAlign w:val="bottom"/>
          </w:tcPr>
          <w:p>
            <w:pPr>
              <w:jc w:val="right"/>
              <w:ind w:right="1581"/>
              <w:spacing w:after="0"/>
              <w:rPr>
                <w:sz w:val="20"/>
                <w:szCs w:val="20"/>
                <w:color w:val="auto"/>
              </w:rPr>
            </w:pPr>
            <w:r>
              <w:rPr>
                <w:rFonts w:ascii="Arial" w:cs="Arial" w:eastAsia="Arial" w:hAnsi="Arial"/>
                <w:sz w:val="10"/>
                <w:szCs w:val="10"/>
                <w:b w:val="1"/>
                <w:bCs w:val="1"/>
                <w:color w:val="auto"/>
              </w:rPr>
              <w:t>2007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2008</w:t>
            </w:r>
          </w:p>
        </w:tc>
        <w:tc>
          <w:tcPr>
            <w:tcW w:w="146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46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2010</w:t>
            </w:r>
          </w:p>
        </w:tc>
        <w:tc>
          <w:tcPr>
            <w:tcW w:w="148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2011</w:t>
            </w:r>
          </w:p>
        </w:tc>
        <w:tc>
          <w:tcPr>
            <w:tcW w:w="1460" w:type="dxa"/>
            <w:vAlign w:val="bottom"/>
          </w:tcPr>
          <w:p>
            <w:pPr>
              <w:spacing w:after="0"/>
              <w:rPr>
                <w:sz w:val="11"/>
                <w:szCs w:val="11"/>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w w:val="93"/>
              </w:rPr>
              <w:t>Thereafter</w:t>
            </w:r>
          </w:p>
        </w:tc>
      </w:tr>
      <w:tr>
        <w:trPr>
          <w:trHeight w:val="185"/>
        </w:trPr>
        <w:tc>
          <w:tcPr>
            <w:tcW w:w="1960" w:type="dxa"/>
            <w:vAlign w:val="bottom"/>
          </w:tcPr>
          <w:p>
            <w:pPr>
              <w:jc w:val="right"/>
              <w:ind w:right="1681"/>
              <w:spacing w:after="0"/>
              <w:rPr>
                <w:sz w:val="20"/>
                <w:szCs w:val="20"/>
                <w:color w:val="auto"/>
              </w:rPr>
            </w:pPr>
            <w:r>
              <w:rPr>
                <w:rFonts w:ascii="Arial" w:cs="Arial" w:eastAsia="Arial" w:hAnsi="Arial"/>
                <w:sz w:val="13"/>
                <w:szCs w:val="13"/>
                <w:color w:val="auto"/>
                <w:w w:val="78"/>
              </w:rPr>
              <w:t>$ 44</w:t>
            </w:r>
          </w:p>
        </w:tc>
        <w:tc>
          <w:tcPr>
            <w:tcW w:w="1700" w:type="dxa"/>
            <w:vAlign w:val="bottom"/>
            <w:gridSpan w:val="2"/>
          </w:tcPr>
          <w:p>
            <w:pPr>
              <w:jc w:val="right"/>
              <w:ind w:right="1460"/>
              <w:spacing w:after="0"/>
              <w:rPr>
                <w:sz w:val="20"/>
                <w:szCs w:val="20"/>
                <w:color w:val="auto"/>
              </w:rPr>
            </w:pPr>
            <w:r>
              <w:rPr>
                <w:rFonts w:ascii="Arial" w:cs="Arial" w:eastAsia="Arial" w:hAnsi="Arial"/>
                <w:sz w:val="13"/>
                <w:szCs w:val="13"/>
                <w:color w:val="auto"/>
                <w:w w:val="86"/>
              </w:rPr>
              <w:t>$ 41</w:t>
            </w:r>
          </w:p>
        </w:tc>
        <w:tc>
          <w:tcPr>
            <w:tcW w:w="1720" w:type="dxa"/>
            <w:vAlign w:val="bottom"/>
            <w:gridSpan w:val="2"/>
          </w:tcPr>
          <w:p>
            <w:pPr>
              <w:jc w:val="right"/>
              <w:ind w:right="1460"/>
              <w:spacing w:after="0"/>
              <w:rPr>
                <w:sz w:val="20"/>
                <w:szCs w:val="20"/>
                <w:color w:val="auto"/>
              </w:rPr>
            </w:pPr>
            <w:r>
              <w:rPr>
                <w:rFonts w:ascii="Arial" w:cs="Arial" w:eastAsia="Arial" w:hAnsi="Arial"/>
                <w:sz w:val="13"/>
                <w:szCs w:val="13"/>
                <w:color w:val="auto"/>
                <w:w w:val="94"/>
              </w:rPr>
              <w:t>$ 29</w:t>
            </w:r>
          </w:p>
        </w:tc>
        <w:tc>
          <w:tcPr>
            <w:tcW w:w="1720" w:type="dxa"/>
            <w:vAlign w:val="bottom"/>
            <w:gridSpan w:val="2"/>
          </w:tcPr>
          <w:p>
            <w:pPr>
              <w:jc w:val="right"/>
              <w:ind w:right="1480"/>
              <w:spacing w:after="0"/>
              <w:rPr>
                <w:sz w:val="20"/>
                <w:szCs w:val="20"/>
                <w:color w:val="auto"/>
              </w:rPr>
            </w:pPr>
            <w:r>
              <w:rPr>
                <w:rFonts w:ascii="Arial" w:cs="Arial" w:eastAsia="Arial" w:hAnsi="Arial"/>
                <w:sz w:val="13"/>
                <w:szCs w:val="13"/>
                <w:color w:val="auto"/>
                <w:w w:val="86"/>
              </w:rPr>
              <w:t>$ 22</w:t>
            </w:r>
          </w:p>
        </w:tc>
        <w:tc>
          <w:tcPr>
            <w:tcW w:w="1700" w:type="dxa"/>
            <w:vAlign w:val="bottom"/>
            <w:gridSpan w:val="2"/>
          </w:tcPr>
          <w:p>
            <w:pPr>
              <w:jc w:val="right"/>
              <w:ind w:right="1460"/>
              <w:spacing w:after="0"/>
              <w:rPr>
                <w:sz w:val="20"/>
                <w:szCs w:val="20"/>
                <w:color w:val="auto"/>
              </w:rPr>
            </w:pPr>
            <w:r>
              <w:rPr>
                <w:rFonts w:ascii="Arial" w:cs="Arial" w:eastAsia="Arial" w:hAnsi="Arial"/>
                <w:sz w:val="13"/>
                <w:szCs w:val="13"/>
                <w:color w:val="auto"/>
                <w:w w:val="86"/>
              </w:rPr>
              <w:t>$ 12</w:t>
            </w:r>
          </w:p>
        </w:tc>
        <w:tc>
          <w:tcPr>
            <w:tcW w:w="800" w:type="dxa"/>
            <w:vAlign w:val="bottom"/>
          </w:tcPr>
          <w:p>
            <w:pPr>
              <w:jc w:val="right"/>
              <w:ind w:right="201"/>
              <w:spacing w:after="0"/>
              <w:rPr>
                <w:sz w:val="20"/>
                <w:szCs w:val="20"/>
                <w:color w:val="auto"/>
              </w:rPr>
            </w:pPr>
            <w:r>
              <w:rPr>
                <w:rFonts w:ascii="Arial" w:cs="Arial" w:eastAsia="Arial" w:hAnsi="Arial"/>
                <w:sz w:val="13"/>
                <w:szCs w:val="13"/>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-129540</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right="360" w:firstLine="399"/>
        <w:spacing w:after="0" w:line="277"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$219 million at December 31, 2006 and $205 million at December 31, 2005, and is primarily included as long-term “Other assets” in our Consolidated Balance Sheets. Balances maintained in these restricted trust funds and escrow accounts will fluctuate based on</w:t>
      </w:r>
    </w:p>
    <w:p>
      <w:pPr>
        <w:spacing w:after="0" w:line="1" w:lineRule="exact"/>
        <w:rPr>
          <w:sz w:val="20"/>
          <w:szCs w:val="20"/>
          <w:color w:val="auto"/>
        </w:rPr>
      </w:pPr>
    </w:p>
    <w:p>
      <w:pPr>
        <w:ind w:left="680" w:right="40" w:firstLine="7"/>
        <w:spacing w:after="0" w:line="307" w:lineRule="auto"/>
        <w:tabs>
          <w:tab w:leader="none" w:pos="836"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w:t>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40" w:type="dxa"/>
            <w:vAlign w:val="bottom"/>
            <w:gridSpan w:val="2"/>
          </w:tcPr>
          <w:p>
            <w:pPr>
              <w:jc w:val="right"/>
              <w:ind w:right="6671"/>
              <w:spacing w:after="0"/>
              <w:rPr>
                <w:sz w:val="20"/>
                <w:szCs w:val="20"/>
                <w:color w:val="auto"/>
              </w:rPr>
            </w:pPr>
            <w:r>
              <w:rPr>
                <w:rFonts w:ascii="Arial" w:cs="Arial" w:eastAsia="Arial" w:hAnsi="Arial"/>
                <w:sz w:val="13"/>
                <w:szCs w:val="13"/>
                <w:b w:val="1"/>
                <w:bCs w:val="1"/>
                <w:color w:val="auto"/>
                <w:w w:val="92"/>
              </w:rPr>
              <w:t>Property and Equipment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140" w:type="dxa"/>
            <w:vAlign w:val="bottom"/>
            <w:gridSpan w:val="2"/>
          </w:tcPr>
          <w:p>
            <w:pPr>
              <w:jc w:val="right"/>
              <w:ind w:right="3751"/>
              <w:spacing w:after="0"/>
              <w:rPr>
                <w:sz w:val="20"/>
                <w:szCs w:val="20"/>
                <w:color w:val="auto"/>
              </w:rPr>
            </w:pPr>
            <w:r>
              <w:rPr>
                <w:rFonts w:ascii="Arial" w:cs="Arial" w:eastAsia="Arial" w:hAnsi="Arial"/>
                <w:sz w:val="13"/>
                <w:szCs w:val="13"/>
                <w:color w:val="auto"/>
                <w:w w:val="94"/>
              </w:rPr>
              <w:t>Property and equipment at December 31 consisted of the following (in millions):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8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Landfills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10,866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10,349</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Vehicles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3,648</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2,829</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2,276</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Buildings and improvements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2,385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2,325</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23,172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22,508</w:t>
            </w:r>
          </w:p>
        </w:tc>
      </w:tr>
      <w:tr>
        <w:trPr>
          <w:trHeight w:val="158"/>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accumulated depreciation on tangible property and equipment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(6,390)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landfill airspace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(5,348)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(4,897)</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11,221</w:t>
            </w: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expense, including amortization expense for assets recorded as capital leases, was comprised of the following for the years ended December 31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10"/>
                <w:szCs w:val="10"/>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458</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1,298</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We incurred no impairment of goodwill as a result of our annual goodwill impairment tests in 2006, 2005 or 2004. Additionally, we did not encounter any events or changes in circumstances that indicated that an impairment was more likely than not during interim periods in 2006, 2005 or 2004. However, there can be no assurance that goodwill will not be impaired at any time in the future.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20 for a summary of changes in our goodwill during 2006 and 2005 by reportable segment.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intangible assets as of December 31, 2006 and 2005 were comprised of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4"/>
              </w:rPr>
              <w:t>Contracts</w:t>
            </w:r>
          </w:p>
        </w:tc>
        <w:tc>
          <w:tcPr>
            <w:tcW w:w="100" w:type="dxa"/>
            <w:vAlign w:val="bottom"/>
          </w:tcPr>
          <w:p>
            <w:pPr>
              <w:spacing w:after="0"/>
              <w:rPr>
                <w:sz w:val="9"/>
                <w:szCs w:val="9"/>
                <w:color w:val="auto"/>
              </w:rPr>
            </w:pPr>
          </w:p>
        </w:tc>
        <w:tc>
          <w:tcPr>
            <w:tcW w:w="100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3"/>
              </w:rPr>
              <w:t>Covenants</w:t>
            </w:r>
          </w:p>
        </w:tc>
        <w:tc>
          <w:tcPr>
            <w:tcW w:w="80" w:type="dxa"/>
            <w:vAlign w:val="bottom"/>
          </w:tcPr>
          <w:p>
            <w:pPr>
              <w:spacing w:after="0"/>
              <w:rPr>
                <w:sz w:val="9"/>
                <w:szCs w:val="9"/>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7"/>
              </w:rPr>
              <w:t>Licenses,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and</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Not-to-</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Permits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Lists</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Compete</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5"/>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Landfill operating permits are not presented above and are recognized on a combined basis with other landfill assets and amortized using our landfill amortization method. Amortization expense for other intangible assets was $26 million for 2006, $31 million for 2005 and $38 million for 2004. At December 31, 2006, we had $5 million of other intangible assets that are not subject to amortization. The intangible asset amortization expense estimated as of December 31, 2006, for the next five years is as follows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20" w:type="dxa"/>
            <w:vAlign w:val="bottom"/>
          </w:tcPr>
          <w:p>
            <w:pPr>
              <w:spacing w:after="0"/>
              <w:rPr>
                <w:sz w:val="11"/>
                <w:szCs w:val="11"/>
                <w:color w:val="auto"/>
              </w:rPr>
            </w:pPr>
          </w:p>
        </w:tc>
        <w:tc>
          <w:tcPr>
            <w:tcW w:w="2620" w:type="dxa"/>
            <w:vAlign w:val="bottom"/>
          </w:tcPr>
          <w:p>
            <w:pPr>
              <w:ind w:left="280"/>
              <w:spacing w:after="0"/>
              <w:rPr>
                <w:sz w:val="20"/>
                <w:szCs w:val="20"/>
                <w:color w:val="auto"/>
              </w:rPr>
            </w:pPr>
            <w:r>
              <w:rPr>
                <w:rFonts w:ascii="Arial" w:cs="Arial" w:eastAsia="Arial" w:hAnsi="Arial"/>
                <w:sz w:val="10"/>
                <w:szCs w:val="10"/>
                <w:b w:val="1"/>
                <w:bCs w:val="1"/>
                <w:color w:val="auto"/>
              </w:rPr>
              <w:t>2007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2008</w:t>
            </w:r>
          </w:p>
        </w:tc>
        <w:tc>
          <w:tcPr>
            <w:tcW w:w="206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206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2011</w:t>
            </w:r>
          </w:p>
        </w:tc>
        <w:tc>
          <w:tcPr>
            <w:tcW w:w="100" w:type="dxa"/>
            <w:vAlign w:val="bottom"/>
          </w:tcPr>
          <w:p>
            <w:pPr>
              <w:spacing w:after="0"/>
              <w:rPr>
                <w:sz w:val="11"/>
                <w:szCs w:val="11"/>
                <w:color w:val="auto"/>
              </w:rPr>
            </w:pPr>
          </w:p>
        </w:tc>
      </w:tr>
      <w:tr>
        <w:trPr>
          <w:trHeight w:val="185"/>
        </w:trPr>
        <w:tc>
          <w:tcPr>
            <w:tcW w:w="120" w:type="dxa"/>
            <w:vAlign w:val="bottom"/>
          </w:tcPr>
          <w:p>
            <w:pPr>
              <w:spacing w:after="0"/>
              <w:rPr>
                <w:sz w:val="16"/>
                <w:szCs w:val="16"/>
                <w:color w:val="auto"/>
              </w:rPr>
            </w:pPr>
          </w:p>
        </w:tc>
        <w:tc>
          <w:tcPr>
            <w:tcW w:w="2620" w:type="dxa"/>
            <w:vAlign w:val="bottom"/>
          </w:tcPr>
          <w:p>
            <w:pPr>
              <w:ind w:left="160"/>
              <w:spacing w:after="0"/>
              <w:rPr>
                <w:sz w:val="20"/>
                <w:szCs w:val="20"/>
                <w:color w:val="auto"/>
              </w:rPr>
            </w:pPr>
            <w:r>
              <w:rPr>
                <w:rFonts w:ascii="Arial" w:cs="Arial" w:eastAsia="Arial" w:hAnsi="Arial"/>
                <w:sz w:val="13"/>
                <w:szCs w:val="13"/>
                <w:color w:val="auto"/>
              </w:rPr>
              <w:t>$ 22</w:t>
            </w:r>
          </w:p>
        </w:tc>
        <w:tc>
          <w:tcPr>
            <w:tcW w:w="2300" w:type="dxa"/>
            <w:vAlign w:val="bottom"/>
            <w:gridSpan w:val="2"/>
          </w:tcPr>
          <w:p>
            <w:pPr>
              <w:jc w:val="right"/>
              <w:ind w:right="2060"/>
              <w:spacing w:after="0"/>
              <w:rPr>
                <w:sz w:val="20"/>
                <w:szCs w:val="20"/>
                <w:color w:val="auto"/>
              </w:rPr>
            </w:pPr>
            <w:r>
              <w:rPr>
                <w:rFonts w:ascii="Arial" w:cs="Arial" w:eastAsia="Arial" w:hAnsi="Arial"/>
                <w:sz w:val="13"/>
                <w:szCs w:val="13"/>
                <w:color w:val="auto"/>
                <w:w w:val="86"/>
              </w:rPr>
              <w:t>$ 18</w:t>
            </w:r>
          </w:p>
        </w:tc>
        <w:tc>
          <w:tcPr>
            <w:tcW w:w="2300" w:type="dxa"/>
            <w:vAlign w:val="bottom"/>
            <w:gridSpan w:val="2"/>
          </w:tcPr>
          <w:p>
            <w:pPr>
              <w:jc w:val="right"/>
              <w:ind w:right="2060"/>
              <w:spacing w:after="0"/>
              <w:rPr>
                <w:sz w:val="20"/>
                <w:szCs w:val="20"/>
                <w:color w:val="auto"/>
              </w:rPr>
            </w:pPr>
            <w:r>
              <w:rPr>
                <w:rFonts w:ascii="Arial" w:cs="Arial" w:eastAsia="Arial" w:hAnsi="Arial"/>
                <w:sz w:val="13"/>
                <w:szCs w:val="13"/>
                <w:color w:val="auto"/>
                <w:w w:val="86"/>
              </w:rPr>
              <w:t>$ 14</w:t>
            </w:r>
          </w:p>
        </w:tc>
        <w:tc>
          <w:tcPr>
            <w:tcW w:w="1160" w:type="dxa"/>
            <w:vAlign w:val="bottom"/>
            <w:gridSpan w:val="2"/>
          </w:tcPr>
          <w:p>
            <w:pPr>
              <w:jc w:val="right"/>
              <w:ind w:right="900"/>
              <w:spacing w:after="0"/>
              <w:rPr>
                <w:sz w:val="20"/>
                <w:szCs w:val="20"/>
                <w:color w:val="auto"/>
              </w:rPr>
            </w:pPr>
            <w:r>
              <w:rPr>
                <w:rFonts w:ascii="Arial" w:cs="Arial" w:eastAsia="Arial" w:hAnsi="Arial"/>
                <w:sz w:val="13"/>
                <w:szCs w:val="13"/>
                <w:color w:val="auto"/>
                <w:w w:val="94"/>
              </w:rPr>
              <w:t>$ 12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$ 11</w:t>
            </w:r>
          </w:p>
        </w:tc>
      </w:tr>
      <w:tr>
        <w:trPr>
          <w:trHeight w:val="32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2620" w:type="dxa"/>
            <w:vAlign w:val="bottom"/>
          </w:tcPr>
          <w:p>
            <w:pPr>
              <w:ind w:left="200"/>
              <w:spacing w:after="0"/>
              <w:rPr>
                <w:sz w:val="20"/>
                <w:szCs w:val="20"/>
                <w:color w:val="auto"/>
              </w:rPr>
            </w:pPr>
            <w:r>
              <w:rPr>
                <w:rFonts w:ascii="Arial" w:cs="Arial" w:eastAsia="Arial" w:hAnsi="Arial"/>
                <w:sz w:val="13"/>
                <w:szCs w:val="13"/>
                <w:b w:val="1"/>
                <w:bCs w:val="1"/>
                <w:color w:val="auto"/>
              </w:rPr>
              <w:t>Debt and Interest Rate Derivatives</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20" w:type="dxa"/>
            <w:vAlign w:val="bottom"/>
          </w:tcPr>
          <w:p>
            <w:pPr>
              <w:spacing w:after="0"/>
              <w:rPr>
                <w:sz w:val="21"/>
                <w:szCs w:val="21"/>
                <w:color w:val="auto"/>
              </w:rPr>
            </w:pPr>
          </w:p>
        </w:tc>
        <w:tc>
          <w:tcPr>
            <w:tcW w:w="262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Debt</w:t>
            </w: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7220" w:type="dxa"/>
            <w:vAlign w:val="bottom"/>
            <w:gridSpan w:val="5"/>
          </w:tcPr>
          <w:p>
            <w:pPr>
              <w:ind w:left="280"/>
              <w:spacing w:after="0"/>
              <w:rPr>
                <w:sz w:val="20"/>
                <w:szCs w:val="20"/>
                <w:color w:val="auto"/>
              </w:rPr>
            </w:pPr>
            <w:r>
              <w:rPr>
                <w:rFonts w:ascii="Arial" w:cs="Arial" w:eastAsia="Arial" w:hAnsi="Arial"/>
                <w:sz w:val="13"/>
                <w:szCs w:val="13"/>
                <w:color w:val="auto"/>
              </w:rPr>
              <w:t>The following table summarizes the major components of debt at December 31 (in millions):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8"/>
                <w:szCs w:val="18"/>
                <w:color w:val="auto"/>
              </w:rPr>
            </w:pPr>
          </w:p>
        </w:tc>
      </w:tr>
      <w:tr>
        <w:trPr>
          <w:trHeight w:val="29"/>
        </w:trPr>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and letter of credit facilities</w:t>
            </w:r>
          </w:p>
        </w:tc>
        <w:tc>
          <w:tcPr>
            <w:tcW w:w="2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340" w:type="dxa"/>
            <w:vAlign w:val="bottom"/>
            <w:gridSpan w:val="6"/>
          </w:tcPr>
          <w:p>
            <w:pPr>
              <w:spacing w:after="0"/>
              <w:rPr>
                <w:sz w:val="20"/>
                <w:szCs w:val="20"/>
                <w:color w:val="auto"/>
              </w:rPr>
            </w:pPr>
            <w:r>
              <w:rPr>
                <w:rFonts w:ascii="Arial" w:cs="Arial" w:eastAsia="Arial" w:hAnsi="Arial"/>
                <w:sz w:val="13"/>
                <w:szCs w:val="13"/>
                <w:color w:val="auto"/>
              </w:rPr>
              <w:t>Canadian credit facility (weighted average interest rate of 4.8% at December 31, 2006 and 4.4% at December 31, 2005)</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340</w:t>
            </w:r>
          </w:p>
        </w:tc>
      </w:tr>
      <w:tr>
        <w:trPr>
          <w:trHeight w:val="148"/>
        </w:trPr>
        <w:tc>
          <w:tcPr>
            <w:tcW w:w="8600" w:type="dxa"/>
            <w:vAlign w:val="bottom"/>
            <w:gridSpan w:val="9"/>
            <w:shd w:val="clear" w:color="auto" w:fill="CCEEFF"/>
          </w:tcPr>
          <w:p>
            <w:pPr>
              <w:spacing w:after="0" w:line="149" w:lineRule="exact"/>
              <w:rPr>
                <w:sz w:val="20"/>
                <w:szCs w:val="20"/>
                <w:color w:val="auto"/>
              </w:rPr>
            </w:pPr>
            <w:r>
              <w:rPr>
                <w:rFonts w:ascii="Arial" w:cs="Arial" w:eastAsia="Arial" w:hAnsi="Arial"/>
                <w:sz w:val="13"/>
                <w:szCs w:val="13"/>
                <w:color w:val="auto"/>
                <w:w w:val="97"/>
              </w:rPr>
              <w:t>Senior notes and debentures, maturing through 2032, interest rates ranging from 5.0% to 8.75% (weighted average interest rate of 7.0% at December 31,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2006 and 2005)</w:t>
            </w:r>
          </w:p>
        </w:tc>
        <w:tc>
          <w:tcPr>
            <w:tcW w:w="2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4,829</w:t>
            </w: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5,155</w:t>
            </w:r>
          </w:p>
        </w:tc>
      </w:tr>
      <w:tr>
        <w:trPr>
          <w:trHeight w:val="148"/>
        </w:trPr>
        <w:tc>
          <w:tcPr>
            <w:tcW w:w="8600" w:type="dxa"/>
            <w:vAlign w:val="bottom"/>
            <w:gridSpan w:val="9"/>
          </w:tcPr>
          <w:p>
            <w:pPr>
              <w:spacing w:after="0" w:line="149" w:lineRule="exact"/>
              <w:rPr>
                <w:sz w:val="20"/>
                <w:szCs w:val="20"/>
                <w:color w:val="auto"/>
              </w:rPr>
            </w:pPr>
            <w:r>
              <w:rPr>
                <w:rFonts w:ascii="Arial" w:cs="Arial" w:eastAsia="Arial" w:hAnsi="Arial"/>
                <w:sz w:val="13"/>
                <w:szCs w:val="13"/>
                <w:color w:val="auto"/>
              </w:rPr>
              <w:t>Tax-exempt bonds maturing through 2039, fixed and variable interest rates ranging from 2.9% to 7.4% (weighted average interest rate of 4.5% at</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4920" w:type="dxa"/>
            <w:vAlign w:val="bottom"/>
            <w:gridSpan w:val="3"/>
          </w:tcPr>
          <w:p>
            <w:pPr>
              <w:ind w:left="20"/>
              <w:spacing w:after="0"/>
              <w:rPr>
                <w:sz w:val="20"/>
                <w:szCs w:val="20"/>
                <w:color w:val="auto"/>
              </w:rPr>
            </w:pPr>
            <w:r>
              <w:rPr>
                <w:rFonts w:ascii="Arial" w:cs="Arial" w:eastAsia="Arial" w:hAnsi="Arial"/>
                <w:sz w:val="13"/>
                <w:szCs w:val="13"/>
                <w:color w:val="auto"/>
              </w:rPr>
              <w:t>December 31, 2006 and 4.2% at December 31, 2005)</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2,440</w:t>
            </w:r>
          </w:p>
        </w:tc>
        <w:tc>
          <w:tcPr>
            <w:tcW w:w="10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2,291</w:t>
            </w:r>
          </w:p>
        </w:tc>
      </w:tr>
      <w:tr>
        <w:trPr>
          <w:trHeight w:val="149"/>
        </w:trPr>
        <w:tc>
          <w:tcPr>
            <w:tcW w:w="860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98"/>
              </w:rPr>
              <w:t>Tax-exempt project bonds, principal payable in periodic installments, maturing through 2027, fixed and variable interest rates ranging from 3.9% to 9.3%</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72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(weighted average interest rate of 5.4% at December 31, 2006 and 5.3% at December 31, 2005)</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404</w:t>
            </w:r>
          </w:p>
        </w:tc>
      </w:tr>
      <w:tr>
        <w:trPr>
          <w:trHeight w:val="157"/>
        </w:trPr>
        <w:tc>
          <w:tcPr>
            <w:tcW w:w="5040" w:type="dxa"/>
            <w:vAlign w:val="bottom"/>
            <w:gridSpan w:val="4"/>
          </w:tcPr>
          <w:p>
            <w:pPr>
              <w:spacing w:after="0"/>
              <w:rPr>
                <w:sz w:val="20"/>
                <w:szCs w:val="20"/>
                <w:color w:val="auto"/>
              </w:rPr>
            </w:pPr>
            <w:r>
              <w:rPr>
                <w:rFonts w:ascii="Arial" w:cs="Arial" w:eastAsia="Arial" w:hAnsi="Arial"/>
                <w:sz w:val="13"/>
                <w:szCs w:val="13"/>
                <w:color w:val="auto"/>
              </w:rPr>
              <w:t>Capital leases and other, maturing through 2036, interest rates up to 12%</w:t>
            </w:r>
          </w:p>
        </w:tc>
        <w:tc>
          <w:tcPr>
            <w:tcW w:w="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497</w:t>
            </w:r>
          </w:p>
        </w:tc>
      </w:tr>
      <w:tr>
        <w:trPr>
          <w:trHeight w:val="20"/>
        </w:trPr>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8,687</w:t>
            </w:r>
          </w:p>
        </w:tc>
      </w:tr>
      <w:tr>
        <w:trPr>
          <w:trHeight w:val="29"/>
        </w:trPr>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-1840865</wp:posOffset>
            </wp:positionV>
            <wp:extent cx="63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Revolving credit and letter of credit facilities </w:t>
      </w:r>
      <w:r>
        <w:rPr>
          <w:rFonts w:ascii="Arial" w:cs="Arial" w:eastAsia="Arial" w:hAnsi="Arial"/>
          <w:sz w:val="13"/>
          <w:szCs w:val="13"/>
          <w:color w:val="auto"/>
        </w:rPr>
        <w:t>— On August 17, 2006, WMI entered into a five-year, $2.4 billion revolving credit facility, replacing the $2.4 billion syndicated</w:t>
      </w:r>
      <w:r>
        <w:rPr>
          <w:rFonts w:ascii="Arial" w:cs="Arial" w:eastAsia="Arial" w:hAnsi="Arial"/>
          <w:sz w:val="13"/>
          <w:szCs w:val="13"/>
          <w:i w:val="1"/>
          <w:iCs w:val="1"/>
          <w:color w:val="auto"/>
        </w:rPr>
        <w:t xml:space="preserve"> </w:t>
      </w:r>
      <w:r>
        <w:rPr>
          <w:rFonts w:ascii="Arial" w:cs="Arial" w:eastAsia="Arial" w:hAnsi="Arial"/>
          <w:sz w:val="13"/>
          <w:szCs w:val="13"/>
          <w:color w:val="auto"/>
        </w:rPr>
        <w:t>revolving credit facility that would have expired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October 2009. We also have a $350 million letter of credit facility that matures in December 2008 and three letter of credit and term loan agreements for an aggregate of $295 million maturing at various points from 2008 through 2013. Our revolving credit and letter of credit facilities are currently being used to support letters of credit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agreement or facility. Through December 31, 2006, we had not experienced any unreimbursed draws on letters of credit.</w:t>
      </w:r>
    </w:p>
    <w:p>
      <w:pPr>
        <w:spacing w:after="0" w:line="71"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As of December 31, 2006, no borrowings were outstanding under our revolving credit or letter of credit facilities, and we had unused and available credit capacity of $1,103 million under the facilities discussed above. The following table summarizes our outstanding letters of credit (in millions) categorized by each major facility outstanding at December 31:</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Letter of credit facility</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328</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Letter of credit and term loan agreements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2,151</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In November 2005, Waste Management of Canada Corporation, one of our wholly-owned subsidiaries, entered into a three-year credit facility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under which we could borrow up to Canadian $410 million. The agreement was entered into to facilitate WMI’s repatriation of accumulated earnings and capital from its Canadian subsidiaries (See Note 8).</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As of December 31, 2006, we had $313 million of principal ($308 million net of discount) outstanding under this credit facility. Advances under the facility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4.8%, which is being amortized to interest expense with a corresponding increase in our recorded debt obligation using the effective interest method. During the year ended December 31, 2006, we increased the carrying value of the debt for the recognition of $15 million of interest expense. A total of $47 million of advances under the facility matured during 2006 and were repaid with available cash. Accounting for changes in the Canadian currency translation rate did not significantly affect the carrying value of these borrowings during 2006.</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outstanding advances mature less than one year from the date of issuance, but may be renewed under the terms of the facility. While we may elect to renew portions of our outstanding advances under the terms of the facility, we currently expect to repay our borrowings under the facility within one year with available cash. Accordingly, these borrowings are classified as current in our December 31, 2006 Consolidated Balance Sheet. As of December 31, 2005, we had expected to repay $86 million of outstanding advances with available cash and renew the remaining borrowings under the terms of the facility. Based on our expectations at that time, we classified $86 million as current and $254 million as long-term in our December 31, 2005 Consolidated Balance Sheet.</w:t>
      </w:r>
    </w:p>
    <w:p>
      <w:pPr>
        <w:spacing w:after="0" w:line="71"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On October 15, 2006, $300 million of 7% senior notes matured and were repaid with cash on hand. We have $300 million of 7.125% senior notes that mature in</w:t>
      </w:r>
      <w:r>
        <w:rPr>
          <w:rFonts w:ascii="Arial" w:cs="Arial" w:eastAsia="Arial" w:hAnsi="Arial"/>
          <w:sz w:val="13"/>
          <w:szCs w:val="13"/>
          <w:i w:val="1"/>
          <w:iCs w:val="1"/>
          <w:color w:val="auto"/>
        </w:rPr>
        <w:t xml:space="preserve"> </w:t>
      </w:r>
      <w:r>
        <w:rPr>
          <w:rFonts w:ascii="Arial" w:cs="Arial" w:eastAsia="Arial" w:hAnsi="Arial"/>
          <w:sz w:val="13"/>
          <w:szCs w:val="13"/>
          <w:color w:val="auto"/>
        </w:rPr>
        <w:t>October 2007 that we currently expect to repay with available cash. Accordingly, this borrowing is classified as current as of December 31, 2006.</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actively issue tax-exempt bonds as a means of accessing low-cost financing. We issued $159 million of tax-exempt bonds during 2006. The proceeds from</w:t>
      </w:r>
      <w:r>
        <w:rPr>
          <w:rFonts w:ascii="Arial" w:cs="Arial" w:eastAsia="Arial" w:hAnsi="Arial"/>
          <w:sz w:val="13"/>
          <w:szCs w:val="13"/>
          <w:i w:val="1"/>
          <w:iCs w:val="1"/>
          <w:color w:val="auto"/>
        </w:rPr>
        <w:t xml:space="preserve"> </w:t>
      </w:r>
      <w:r>
        <w:rPr>
          <w:rFonts w:ascii="Arial" w:cs="Arial" w:eastAsia="Arial" w:hAnsi="Arial"/>
          <w:sz w:val="13"/>
          <w:szCs w:val="13"/>
          <w:color w:val="auto"/>
        </w:rPr>
        <w:t>these debt issuances may only be used for the specific purpose for which the money was raised, which is generally to finance expenditures for landfill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construction and development, equipment, vehicles and facilities in support of our operations. Proceeds from bond issues are held in trust until such time as we incur qualified expenditures, at which time we are reimbursed from the trust funds. We issue both fixed and floating rate obligations. Interest rates on floating rate bonds are re-set on a weekly basis and the underlying bonds are supported by letters of credit. During the year ended December 31, 2006, $9 million of our tax-exempt bonds matured and were repaid with either available cash or debt service funds.</w:t>
      </w:r>
    </w:p>
    <w:p>
      <w:pPr>
        <w:spacing w:after="0" w:line="7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As of December 31, 2006, $255 million of fixed rate tax-exempt bonds are subject to repricing within the next twelve months, which is prior to their scheduled maturities. If the re-offerings of the bonds are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for financial reporting purposes. However, these bonds have been classified as long-term in our Consolidated Balance Sheet as of December 31, 2006.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7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addition, as of December 31, 2006, we have $606 million of tax-exempt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2006 because the borrowings are supported by letters of credit primarily issued under our five-year revolving credit facility, which is long-term.</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Tax-exempt project bonds </w:t>
      </w:r>
      <w:r>
        <w:rPr>
          <w:rFonts w:ascii="Arial" w:cs="Arial" w:eastAsia="Arial" w:hAnsi="Arial"/>
          <w:sz w:val="12"/>
          <w:szCs w:val="12"/>
          <w:color w:val="auto"/>
        </w:rPr>
        <w:t>— Tax-exempt project bonds have been used by our Wheelabrator Group to finance the development of waste-to-energy facilities. These facilities are</w:t>
      </w:r>
      <w:r>
        <w:rPr>
          <w:rFonts w:ascii="Arial" w:cs="Arial" w:eastAsia="Arial" w:hAnsi="Arial"/>
          <w:sz w:val="12"/>
          <w:szCs w:val="12"/>
          <w:i w:val="1"/>
          <w:iCs w:val="1"/>
          <w:color w:val="auto"/>
        </w:rPr>
        <w:t xml:space="preserve"> </w:t>
      </w:r>
      <w:r>
        <w:rPr>
          <w:rFonts w:ascii="Arial" w:cs="Arial" w:eastAsia="Arial" w:hAnsi="Arial"/>
          <w:sz w:val="12"/>
          <w:szCs w:val="12"/>
          <w:color w:val="auto"/>
        </w:rPr>
        <w:t>integral to the local communities they serve, and, as such, are supported by long-term contracts with multiple municipalities. The bonds generally have periodic amortizations that are supported by the cash flow of each specific facility being financed. As of December 31, 2006, we had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2006 because the borrowings are supported by letters of credit primarily issued under our five-year revolving credit facility, which is long-term. During the year ended December 31, 2006, we repaid $51 million of our tax-exempt project bonds with either available cash or debt service funds.</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decrease in our capital leases and other debt obligations in 2006 is primarily related to (i) the repayment of various borrowings upon their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 and (ii) the deconsolidation of a variable interest entity during the second quarter of 2006.</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Scheduled debt and capital lease payments </w:t>
      </w:r>
      <w:r>
        <w:rPr>
          <w:rFonts w:ascii="Arial" w:cs="Arial" w:eastAsia="Arial" w:hAnsi="Arial"/>
          <w:sz w:val="13"/>
          <w:szCs w:val="13"/>
          <w:color w:val="auto"/>
        </w:rPr>
        <w:t>— The schedule of anticipated debt and capital lease payments (including the current portion) for the next five years is presented below (in</w:t>
      </w:r>
      <w:r>
        <w:rPr>
          <w:rFonts w:ascii="Arial" w:cs="Arial" w:eastAsia="Arial" w:hAnsi="Arial"/>
          <w:sz w:val="13"/>
          <w:szCs w:val="13"/>
          <w:i w:val="1"/>
          <w:iCs w:val="1"/>
          <w:color w:val="auto"/>
        </w:rPr>
        <w:t xml:space="preserve"> </w:t>
      </w:r>
      <w:r>
        <w:rPr>
          <w:rFonts w:ascii="Arial" w:cs="Arial" w:eastAsia="Arial" w:hAnsi="Arial"/>
          <w:sz w:val="13"/>
          <w:szCs w:val="13"/>
          <w:color w:val="auto"/>
        </w:rPr>
        <w:t>millions). Our recorded debt and capital lease obligations include non-cash adjustments associated with discounts, premiums and fair value adjustments for interest rate hedging activities, which have been excluded here because they will not result in cash payments.</w:t>
      </w:r>
    </w:p>
    <w:p>
      <w:pPr>
        <w:spacing w:after="0" w:line="69" w:lineRule="exact"/>
        <w:rPr>
          <w:sz w:val="20"/>
          <w:szCs w:val="20"/>
          <w:color w:val="auto"/>
        </w:rPr>
      </w:pPr>
    </w:p>
    <w:tbl>
      <w:tblPr>
        <w:tblLayout w:type="fixed"/>
        <w:tblInd w:w="1160" w:type="dxa"/>
        <w:tblCellMar>
          <w:top w:w="0" w:type="dxa"/>
          <w:left w:w="0" w:type="dxa"/>
          <w:bottom w:w="0" w:type="dxa"/>
          <w:right w:w="0" w:type="dxa"/>
        </w:tblCellMar>
      </w:tblPr>
      <w:tr>
        <w:trPr>
          <w:trHeight w:val="135"/>
        </w:trPr>
        <w:tc>
          <w:tcPr>
            <w:tcW w:w="2520" w:type="dxa"/>
            <w:vAlign w:val="bottom"/>
          </w:tcPr>
          <w:p>
            <w:pPr>
              <w:jc w:val="right"/>
              <w:ind w:right="2121"/>
              <w:spacing w:after="0"/>
              <w:rPr>
                <w:sz w:val="20"/>
                <w:szCs w:val="20"/>
                <w:color w:val="auto"/>
              </w:rPr>
            </w:pPr>
            <w:r>
              <w:rPr>
                <w:rFonts w:ascii="Arial" w:cs="Arial" w:eastAsia="Arial" w:hAnsi="Arial"/>
                <w:sz w:val="10"/>
                <w:szCs w:val="10"/>
                <w:b w:val="1"/>
                <w:bCs w:val="1"/>
                <w:color w:val="auto"/>
              </w:rPr>
              <w:t>2007</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2008</w:t>
            </w:r>
          </w:p>
        </w:tc>
        <w:tc>
          <w:tcPr>
            <w:tcW w:w="19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188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90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2011</w:t>
            </w:r>
          </w:p>
        </w:tc>
      </w:tr>
      <w:tr>
        <w:trPr>
          <w:trHeight w:val="185"/>
        </w:trPr>
        <w:tc>
          <w:tcPr>
            <w:tcW w:w="2520" w:type="dxa"/>
            <w:vAlign w:val="bottom"/>
          </w:tcPr>
          <w:p>
            <w:pPr>
              <w:jc w:val="right"/>
              <w:ind w:right="2201"/>
              <w:spacing w:after="0"/>
              <w:rPr>
                <w:sz w:val="20"/>
                <w:szCs w:val="20"/>
                <w:color w:val="auto"/>
              </w:rPr>
            </w:pPr>
            <w:r>
              <w:rPr>
                <w:rFonts w:ascii="Arial" w:cs="Arial" w:eastAsia="Arial" w:hAnsi="Arial"/>
                <w:sz w:val="13"/>
                <w:szCs w:val="13"/>
                <w:color w:val="auto"/>
                <w:w w:val="82"/>
              </w:rPr>
              <w:t>$815</w:t>
            </w:r>
          </w:p>
        </w:tc>
        <w:tc>
          <w:tcPr>
            <w:tcW w:w="2220" w:type="dxa"/>
            <w:vAlign w:val="bottom"/>
            <w:gridSpan w:val="2"/>
          </w:tcPr>
          <w:p>
            <w:pPr>
              <w:jc w:val="right"/>
              <w:ind w:right="1900"/>
              <w:spacing w:after="0"/>
              <w:rPr>
                <w:sz w:val="20"/>
                <w:szCs w:val="20"/>
                <w:color w:val="auto"/>
              </w:rPr>
            </w:pPr>
            <w:r>
              <w:rPr>
                <w:rFonts w:ascii="Arial" w:cs="Arial" w:eastAsia="Arial" w:hAnsi="Arial"/>
                <w:sz w:val="13"/>
                <w:szCs w:val="13"/>
                <w:color w:val="auto"/>
                <w:w w:val="92"/>
              </w:rPr>
              <w:t>$ 539</w:t>
            </w:r>
          </w:p>
        </w:tc>
        <w:tc>
          <w:tcPr>
            <w:tcW w:w="2180" w:type="dxa"/>
            <w:vAlign w:val="bottom"/>
            <w:gridSpan w:val="2"/>
          </w:tcPr>
          <w:p>
            <w:pPr>
              <w:jc w:val="right"/>
              <w:ind w:right="1880"/>
              <w:spacing w:after="0"/>
              <w:rPr>
                <w:sz w:val="20"/>
                <w:szCs w:val="20"/>
                <w:color w:val="auto"/>
              </w:rPr>
            </w:pPr>
            <w:r>
              <w:rPr>
                <w:rFonts w:ascii="Arial" w:cs="Arial" w:eastAsia="Arial" w:hAnsi="Arial"/>
                <w:sz w:val="13"/>
                <w:szCs w:val="13"/>
                <w:color w:val="auto"/>
                <w:w w:val="85"/>
              </w:rPr>
              <w:t>$ 681</w:t>
            </w:r>
          </w:p>
        </w:tc>
        <w:tc>
          <w:tcPr>
            <w:tcW w:w="2200" w:type="dxa"/>
            <w:vAlign w:val="bottom"/>
            <w:gridSpan w:val="2"/>
          </w:tcPr>
          <w:p>
            <w:pPr>
              <w:jc w:val="right"/>
              <w:ind w:right="1900"/>
              <w:spacing w:after="0"/>
              <w:rPr>
                <w:sz w:val="20"/>
                <w:szCs w:val="20"/>
                <w:color w:val="auto"/>
              </w:rPr>
            </w:pPr>
            <w:r>
              <w:rPr>
                <w:rFonts w:ascii="Arial" w:cs="Arial" w:eastAsia="Arial" w:hAnsi="Arial"/>
                <w:sz w:val="13"/>
                <w:szCs w:val="13"/>
                <w:color w:val="auto"/>
                <w:w w:val="85"/>
              </w:rPr>
              <w:t>$ 713</w:t>
            </w: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-129540</wp:posOffset>
            </wp:positionV>
            <wp:extent cx="63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i w:val="1"/>
          <w:iCs w:val="1"/>
          <w:color w:val="auto"/>
        </w:rPr>
        <w:t xml:space="preserve">Secured debt </w:t>
      </w:r>
      <w:r>
        <w:rPr>
          <w:rFonts w:ascii="Arial" w:cs="Arial" w:eastAsia="Arial" w:hAnsi="Arial"/>
          <w:sz w:val="13"/>
          <w:szCs w:val="13"/>
          <w:color w:val="auto"/>
        </w:rPr>
        <w:t>— Our debt balances are generally unsecured, except for $262 million of the tax-exempt project bonds outstanding at December 31, 2006 that were issued by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within our Wheelabrator Group. These bonds are secured by the related subsidiaries’ assets that have a carrying value of $473 million and the related subsidiaries’ future revenue. Additionally, our consolidated variable interest entities have $43 million of outstanding borrowings that are collateralized by certain of their assets. These assets have a carrying value of $380 million as of December 31, 2006. See Note 19 for further discussion.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Requirement</w:t>
            </w: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2"/>
              </w:rPr>
              <w:t>December 31,</w:t>
            </w:r>
          </w:p>
        </w:tc>
        <w:tc>
          <w:tcPr>
            <w:tcW w:w="9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ovenant</w:t>
            </w: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per</w:t>
            </w:r>
          </w:p>
        </w:tc>
        <w:tc>
          <w:tcPr>
            <w:tcW w:w="140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Facility</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2005</w:t>
            </w:r>
          </w:p>
        </w:tc>
        <w:tc>
          <w:tcPr>
            <w:tcW w:w="0" w:type="dxa"/>
            <w:vAlign w:val="bottom"/>
          </w:tcPr>
          <w:p>
            <w:pPr>
              <w:spacing w:after="0"/>
              <w:rPr>
                <w:sz w:val="1"/>
                <w:szCs w:val="1"/>
                <w:color w:val="auto"/>
              </w:rPr>
            </w:pPr>
          </w:p>
        </w:tc>
      </w:tr>
      <w:tr>
        <w:trPr>
          <w:trHeight w:val="178"/>
        </w:trPr>
        <w:tc>
          <w:tcPr>
            <w:tcW w:w="6100" w:type="dxa"/>
            <w:vAlign w:val="bottom"/>
          </w:tcPr>
          <w:p>
            <w:pPr>
              <w:spacing w:after="0"/>
              <w:rPr>
                <w:sz w:val="20"/>
                <w:szCs w:val="20"/>
                <w:color w:val="auto"/>
              </w:rPr>
            </w:pPr>
            <w:r>
              <w:rPr>
                <w:rFonts w:ascii="Arial" w:cs="Arial" w:eastAsia="Arial" w:hAnsi="Arial"/>
                <w:sz w:val="13"/>
                <w:szCs w:val="13"/>
                <w:color w:val="auto"/>
              </w:rPr>
              <w:t>Interest coverage ratio</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&gt; 2.75 to 1</w:t>
            </w:r>
          </w:p>
        </w:tc>
        <w:tc>
          <w:tcPr>
            <w:tcW w:w="1400" w:type="dxa"/>
            <w:vAlign w:val="bottom"/>
            <w:gridSpan w:val="2"/>
          </w:tcPr>
          <w:p>
            <w:pPr>
              <w:ind w:left="600"/>
              <w:spacing w:after="0"/>
              <w:rPr>
                <w:sz w:val="20"/>
                <w:szCs w:val="20"/>
                <w:color w:val="auto"/>
              </w:rPr>
            </w:pPr>
            <w:r>
              <w:rPr>
                <w:rFonts w:ascii="Arial" w:cs="Arial" w:eastAsia="Arial" w:hAnsi="Arial"/>
                <w:sz w:val="13"/>
                <w:szCs w:val="13"/>
                <w:color w:val="auto"/>
              </w:rPr>
              <w:t>3.6 to 1</w:t>
            </w:r>
          </w:p>
        </w:tc>
        <w:tc>
          <w:tcPr>
            <w:tcW w:w="980" w:type="dxa"/>
            <w:vAlign w:val="bottom"/>
          </w:tcPr>
          <w:p>
            <w:pPr>
              <w:ind w:left="600"/>
              <w:spacing w:after="0"/>
              <w:rPr>
                <w:sz w:val="20"/>
                <w:szCs w:val="20"/>
                <w:color w:val="auto"/>
              </w:rPr>
            </w:pPr>
            <w:r>
              <w:rPr>
                <w:rFonts w:ascii="Arial" w:cs="Arial" w:eastAsia="Arial" w:hAnsi="Arial"/>
                <w:sz w:val="13"/>
                <w:szCs w:val="13"/>
                <w:color w:val="auto"/>
                <w:w w:val="82"/>
              </w:rPr>
              <w:t>3.7 to 1</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Total debt to EBITDA</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&lt; 3.5 to 1</w:t>
            </w:r>
          </w:p>
        </w:tc>
        <w:tc>
          <w:tcPr>
            <w:tcW w:w="1400" w:type="dxa"/>
            <w:vAlign w:val="bottom"/>
            <w:gridSpan w:val="2"/>
          </w:tcPr>
          <w:p>
            <w:pPr>
              <w:ind w:left="600"/>
              <w:spacing w:after="0"/>
              <w:rPr>
                <w:sz w:val="20"/>
                <w:szCs w:val="20"/>
                <w:color w:val="auto"/>
              </w:rPr>
            </w:pPr>
            <w:r>
              <w:rPr>
                <w:rFonts w:ascii="Arial" w:cs="Arial" w:eastAsia="Arial" w:hAnsi="Arial"/>
                <w:sz w:val="13"/>
                <w:szCs w:val="13"/>
                <w:color w:val="auto"/>
              </w:rPr>
              <w:t>2.5 to 1</w:t>
            </w:r>
          </w:p>
        </w:tc>
        <w:tc>
          <w:tcPr>
            <w:tcW w:w="980" w:type="dxa"/>
            <w:vAlign w:val="bottom"/>
          </w:tcPr>
          <w:p>
            <w:pPr>
              <w:ind w:left="600"/>
              <w:spacing w:after="0"/>
              <w:rPr>
                <w:sz w:val="20"/>
                <w:szCs w:val="20"/>
                <w:color w:val="auto"/>
              </w:rPr>
            </w:pPr>
            <w:r>
              <w:rPr>
                <w:rFonts w:ascii="Arial" w:cs="Arial" w:eastAsia="Arial" w:hAnsi="Arial"/>
                <w:sz w:val="13"/>
                <w:szCs w:val="13"/>
                <w:color w:val="auto"/>
                <w:w w:val="82"/>
              </w:rPr>
              <w:t>2.7 to 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2006, we were in compliance with the covenants and restrictions under all of our debt agreements.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manage the interest rate risk of our debt portfolio principally by using interest rate derivatives to achieve a desired position of fixed and floating rate debt. As of December 31, 2006, the interest payments on $2.4 billion of our fixed rate debt have been swapped to variable rates, allowing us to maintain approximately 64% of our debt at fixed interest rates and approximately 36% of our debt at variable interest rates. We do not use interest rate derivatives for trading or speculative purposes. Our significant interest rate swap agreements that were outstanding as of December 31, 2006 and 2005 are set forth in the table below (dollars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Notional</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08"/>
        </w:trPr>
        <w:tc>
          <w:tcPr>
            <w:tcW w:w="2460" w:type="dxa"/>
            <w:vAlign w:val="bottom"/>
            <w:vMerge w:val="restart"/>
          </w:tcPr>
          <w:p>
            <w:pPr>
              <w:ind w:left="1120"/>
              <w:spacing w:after="0"/>
              <w:rPr>
                <w:sz w:val="20"/>
                <w:szCs w:val="20"/>
                <w:color w:val="auto"/>
              </w:rPr>
            </w:pPr>
            <w:r>
              <w:rPr>
                <w:rFonts w:ascii="Arial" w:cs="Arial" w:eastAsia="Arial" w:hAnsi="Arial"/>
                <w:sz w:val="10"/>
                <w:szCs w:val="10"/>
                <w:b w:val="1"/>
                <w:bCs w:val="1"/>
                <w:color w:val="auto"/>
              </w:rPr>
              <w:t>As of</w:t>
            </w: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Receive</w:t>
            </w:r>
          </w:p>
        </w:tc>
        <w:tc>
          <w:tcPr>
            <w:tcW w:w="10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Pay</w:t>
            </w:r>
          </w:p>
        </w:tc>
        <w:tc>
          <w:tcPr>
            <w:tcW w:w="80" w:type="dxa"/>
            <w:vAlign w:val="bottom"/>
          </w:tcPr>
          <w:p>
            <w:pPr>
              <w:spacing w:after="0"/>
              <w:rPr>
                <w:sz w:val="9"/>
                <w:szCs w:val="9"/>
                <w:color w:val="auto"/>
              </w:rPr>
            </w:pPr>
          </w:p>
        </w:tc>
        <w:tc>
          <w:tcPr>
            <w:tcW w:w="23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Maturity Date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5"/>
        </w:trPr>
        <w:tc>
          <w:tcPr>
            <w:tcW w:w="24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95"/>
              </w:rPr>
              <w:t>Amount</w:t>
            </w:r>
          </w:p>
        </w:tc>
        <w:tc>
          <w:tcPr>
            <w:tcW w:w="200" w:type="dxa"/>
            <w:vAlign w:val="bottom"/>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0"/>
                <w:szCs w:val="10"/>
                <w:b w:val="1"/>
                <w:bCs w:val="1"/>
                <w:color w:val="auto"/>
                <w:w w:val="99"/>
              </w:rPr>
              <w:t>Liability(a)</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20"/>
                <w:szCs w:val="20"/>
                <w:color w:val="auto"/>
              </w:rPr>
            </w:pPr>
            <w:r>
              <w:rPr>
                <w:rFonts w:ascii="Arial" w:cs="Arial" w:eastAsia="Arial" w:hAnsi="Arial"/>
                <w:sz w:val="12"/>
                <w:szCs w:val="12"/>
                <w:color w:val="auto"/>
              </w:rPr>
              <w:t>December 31, 2006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2,350</w:t>
            </w:r>
          </w:p>
        </w:tc>
        <w:tc>
          <w:tcPr>
            <w:tcW w:w="1480" w:type="dxa"/>
            <w:vAlign w:val="bottom"/>
          </w:tcPr>
          <w:p>
            <w:pPr>
              <w:jc w:val="center"/>
              <w:spacing w:after="0"/>
              <w:rPr>
                <w:sz w:val="20"/>
                <w:szCs w:val="20"/>
                <w:color w:val="auto"/>
              </w:rPr>
            </w:pPr>
            <w:r>
              <w:rPr>
                <w:rFonts w:ascii="Arial" w:cs="Arial" w:eastAsia="Arial" w:hAnsi="Arial"/>
                <w:sz w:val="12"/>
                <w:szCs w:val="12"/>
                <w:color w:val="auto"/>
                <w:w w:val="91"/>
              </w:rPr>
              <w:t>Fixed 5.00%-7.65%</w:t>
            </w: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91"/>
              </w:rPr>
              <w:t>Floating 5.16%-9.75%</w:t>
            </w:r>
          </w:p>
        </w:tc>
        <w:tc>
          <w:tcPr>
            <w:tcW w:w="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2"/>
                <w:szCs w:val="12"/>
                <w:color w:val="auto"/>
                <w:w w:val="88"/>
              </w:rPr>
              <w:t>Through December 15, 2017</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tcPr>
          <w:p>
            <w:pPr>
              <w:ind w:left="400"/>
              <w:spacing w:after="0"/>
              <w:rPr>
                <w:sz w:val="20"/>
                <w:szCs w:val="20"/>
                <w:color w:val="auto"/>
              </w:rPr>
            </w:pPr>
            <w:r>
              <w:rPr>
                <w:rFonts w:ascii="Arial" w:cs="Arial" w:eastAsia="Arial" w:hAnsi="Arial"/>
                <w:sz w:val="12"/>
                <w:szCs w:val="12"/>
                <w:color w:val="auto"/>
                <w:w w:val="84"/>
              </w:rPr>
              <w:t>(118)(b)</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20"/>
                <w:szCs w:val="20"/>
                <w:color w:val="auto"/>
              </w:rPr>
            </w:pPr>
            <w:r>
              <w:rPr>
                <w:rFonts w:ascii="Arial" w:cs="Arial" w:eastAsia="Arial" w:hAnsi="Arial"/>
                <w:sz w:val="12"/>
                <w:szCs w:val="12"/>
                <w:color w:val="auto"/>
              </w:rPr>
              <w:t>December 31, 2005</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2,350</w:t>
            </w:r>
          </w:p>
        </w:tc>
        <w:tc>
          <w:tcPr>
            <w:tcW w:w="1480" w:type="dxa"/>
            <w:vAlign w:val="bottom"/>
          </w:tcPr>
          <w:p>
            <w:pPr>
              <w:jc w:val="center"/>
              <w:spacing w:after="0"/>
              <w:rPr>
                <w:sz w:val="20"/>
                <w:szCs w:val="20"/>
                <w:color w:val="auto"/>
              </w:rPr>
            </w:pPr>
            <w:r>
              <w:rPr>
                <w:rFonts w:ascii="Arial" w:cs="Arial" w:eastAsia="Arial" w:hAnsi="Arial"/>
                <w:sz w:val="12"/>
                <w:szCs w:val="12"/>
                <w:color w:val="auto"/>
                <w:w w:val="91"/>
              </w:rPr>
              <w:t>Fixed 5.00%-7.65%</w:t>
            </w:r>
          </w:p>
        </w:tc>
        <w:tc>
          <w:tcPr>
            <w:tcW w:w="10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91"/>
              </w:rPr>
              <w:t>Floating 4.33%-8.93%</w:t>
            </w:r>
          </w:p>
        </w:tc>
        <w:tc>
          <w:tcPr>
            <w:tcW w:w="8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color w:val="auto"/>
                <w:w w:val="88"/>
              </w:rPr>
              <w:t>Through December 15, 2017</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tcPr>
          <w:p>
            <w:pPr>
              <w:ind w:left="400"/>
              <w:spacing w:after="0"/>
              <w:rPr>
                <w:sz w:val="20"/>
                <w:szCs w:val="20"/>
                <w:color w:val="auto"/>
              </w:rPr>
            </w:pPr>
            <w:r>
              <w:rPr>
                <w:rFonts w:ascii="Arial" w:cs="Arial" w:eastAsia="Arial" w:hAnsi="Arial"/>
                <w:sz w:val="12"/>
                <w:szCs w:val="12"/>
                <w:color w:val="auto"/>
                <w:w w:val="85"/>
              </w:rPr>
              <w:t>(131)(c)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82359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1180" w:right="220" w:hanging="493"/>
        <w:spacing w:after="0" w:line="276" w:lineRule="auto"/>
        <w:tabs>
          <w:tab w:leader="none" w:pos="11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These interest rate derivatives qualify for hedge accounting. Therefore, the fair value adjustments to the underlying debt are deferred and recognized as an adjustment to interest expense over the remaining term of the hedged instrument.</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$3 million of current liabilities and $115 million of long-term liabilities.</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$2 million of long-term assets and $133 million of long-term liabilities.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Fair value hedge accounting for interest rate swap contracts increased the carrying value of debt instruments by $19 million as of December 31, 2006 and $47 million as of December 31, 2005. The following table summarizes the accumulated fair value adjustments from interest rate swap agreements by underlying debt instrument category at December 31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Increase (decrease) in carrying value of debt due to hedge accounting for interest rate swaps</w:t>
            </w:r>
          </w:p>
        </w:tc>
        <w:tc>
          <w:tcPr>
            <w:tcW w:w="80" w:type="dxa"/>
            <w:vAlign w:val="bottom"/>
          </w:tcPr>
          <w:p>
            <w:pPr>
              <w:spacing w:after="0"/>
              <w:rPr>
                <w:sz w:val="11"/>
                <w:szCs w:val="11"/>
                <w:color w:val="auto"/>
              </w:rPr>
            </w:pPr>
          </w:p>
        </w:tc>
        <w:tc>
          <w:tcPr>
            <w:tcW w:w="320" w:type="dxa"/>
            <w:vAlign w:val="bottom"/>
          </w:tcPr>
          <w:p>
            <w:pPr>
              <w:jc w:val="right"/>
              <w:ind w:right="37"/>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ind w:right="17"/>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1"/>
                <w:szCs w:val="1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Senior notes and debentures: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3"/>
          </w:tcPr>
          <w:p>
            <w:pPr>
              <w:spacing w:after="0"/>
              <w:rPr>
                <w:sz w:val="20"/>
                <w:szCs w:val="20"/>
                <w:color w:val="auto"/>
              </w:rPr>
            </w:pPr>
            <w:r>
              <w:rPr>
                <w:rFonts w:ascii="Arial" w:cs="Arial" w:eastAsia="Arial" w:hAnsi="Arial"/>
                <w:sz w:val="13"/>
                <w:szCs w:val="13"/>
                <w:color w:val="auto"/>
              </w:rPr>
              <w:t>Active swap agreements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r>
      <w:tr>
        <w:trPr>
          <w:trHeight w:val="157"/>
        </w:trPr>
        <w:tc>
          <w:tcPr>
            <w:tcW w:w="8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Terminated swap agreements(a)</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r>
      <w:tr>
        <w:trPr>
          <w:trHeight w:val="20"/>
        </w:trPr>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r>
      <w:tr>
        <w:trPr>
          <w:trHeight w:val="158"/>
        </w:trPr>
        <w:tc>
          <w:tcPr>
            <w:tcW w:w="8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Tax-exempt and project bonds: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3"/>
          </w:tcPr>
          <w:p>
            <w:pPr>
              <w:spacing w:after="0"/>
              <w:rPr>
                <w:sz w:val="20"/>
                <w:szCs w:val="20"/>
                <w:color w:val="auto"/>
              </w:rPr>
            </w:pPr>
            <w:r>
              <w:rPr>
                <w:rFonts w:ascii="Arial" w:cs="Arial" w:eastAsia="Arial" w:hAnsi="Arial"/>
                <w:sz w:val="13"/>
                <w:szCs w:val="13"/>
                <w:color w:val="auto"/>
              </w:rPr>
              <w:t>Terminated swap agreements(a)</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r>
      <w:tr>
        <w:trPr>
          <w:trHeight w:val="20"/>
        </w:trPr>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r>
      <w:tr>
        <w:trPr>
          <w:trHeight w:val="108"/>
        </w:trPr>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380" w:hanging="493"/>
        <w:spacing w:after="0" w:line="371" w:lineRule="auto"/>
        <w:tabs>
          <w:tab w:leader="none" w:pos="11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At December 31, 2006, $37 million (on a pre-tax basis) of the carrying value of debt associated with terminated swap agreements is scheduled to be reclassified as a credit to interest expense over the next twelve months. Approximately $41 million (on a pre-tax basis) of the December 31, 2005 balance was reclassified into earnings during 2006.</w:t>
      </w:r>
    </w:p>
    <w:p>
      <w:pPr>
        <w:spacing w:after="0" w:line="1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Interest rate swap agreements increased net interest expense by $4 million for the year ended December 31, 2006 and reduced net interest expense by $39 million for the year ended December 31, 2005 and $90 million for the year ended December 31, 2004. The significant decline in the benefit recognized as a result of our interest rate swap agreements is largely attributable to the increase in short-term market interest rates, which drive our periodic interest obligations under these agreements. The significant terms of the interest rate contracts and the underlying debt instruments are identical and therefore no ineffectiveness has been realized.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locks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have entered into cash flow hedges to secure underlying interest rates in anticipation of senior note issuances. These hedging agreements resulted in a deferred loss, net of taxes, of $28 million at December 31, 2006 and $32 million at December 31, 2005, which is included in “Accumulated other comprehensive income.” As of December 31, 2006, $6 million (on a pre-tax basis) is scheduled to be reclassified into interest expense over the next twelve months.</w:t>
      </w:r>
    </w:p>
    <w:p>
      <w:pPr>
        <w:spacing w:after="0" w:line="142" w:lineRule="exact"/>
        <w:rPr>
          <w:sz w:val="20"/>
          <w:szCs w:val="20"/>
          <w:color w:val="auto"/>
        </w:rPr>
      </w:pPr>
    </w:p>
    <w:p>
      <w:pPr>
        <w:ind w:left="1000" w:hanging="313"/>
        <w:spacing w:after="0"/>
        <w:tabs>
          <w:tab w:leader="none" w:pos="100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For financial reporting purposes, income before income taxes and cumulative effect of change in accounting principle, showing domestic and foreign sources, was as follows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1,088</w:t>
            </w: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Foreign(a)</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84</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 and cumulative effect of change in accounting principle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1,178</w:t>
            </w:r>
          </w:p>
        </w:tc>
      </w:tr>
      <w:tr>
        <w:trPr>
          <w:trHeight w:val="98"/>
        </w:trPr>
        <w:tc>
          <w:tcPr>
            <w:tcW w:w="130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Foreign income was higher in 2005 as compared with both 2006 and 2004 due to a gain on the divestiture of a landfill in Ontario, Canada, which is discussed in Note 12.</w:t>
      </w:r>
    </w:p>
    <w:p>
      <w:pPr>
        <w:spacing w:after="0" w:line="304"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for taxes on income before cumulative effect of change in accounting principle consisted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rPr>
              <w:t>Years Ended December 31,</w:t>
            </w:r>
          </w:p>
        </w:tc>
        <w:tc>
          <w:tcPr>
            <w:tcW w:w="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20" w:type="dxa"/>
            <w:vAlign w:val="bottom"/>
          </w:tcPr>
          <w:p>
            <w:pPr>
              <w:spacing w:after="0"/>
              <w:rPr>
                <w:sz w:val="8"/>
                <w:szCs w:val="8"/>
                <w:color w:val="auto"/>
              </w:rPr>
            </w:pPr>
          </w:p>
        </w:tc>
        <w:tc>
          <w:tcPr>
            <w:tcW w:w="660" w:type="dxa"/>
            <w:vAlign w:val="bottom"/>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8"/>
                <w:szCs w:val="8"/>
                <w:color w:val="auto"/>
              </w:rPr>
            </w:pPr>
          </w:p>
        </w:tc>
        <w:tc>
          <w:tcPr>
            <w:tcW w:w="48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8"/>
                <w:szCs w:val="8"/>
                <w:color w:val="auto"/>
              </w:rPr>
            </w:pPr>
          </w:p>
        </w:tc>
      </w:tr>
      <w:tr>
        <w:trPr>
          <w:trHeight w:val="29"/>
        </w:trPr>
        <w:tc>
          <w:tcPr>
            <w:tcW w:w="7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6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4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7620" w:type="dxa"/>
            <w:vAlign w:val="bottom"/>
          </w:tcPr>
          <w:p>
            <w:pPr>
              <w:ind w:left="140"/>
              <w:spacing w:after="0"/>
              <w:rPr>
                <w:sz w:val="20"/>
                <w:szCs w:val="20"/>
                <w:color w:val="auto"/>
              </w:rPr>
            </w:pPr>
            <w:r>
              <w:rPr>
                <w:rFonts w:ascii="Arial" w:cs="Arial" w:eastAsia="Arial" w:hAnsi="Arial"/>
                <w:sz w:val="13"/>
                <w:szCs w:val="13"/>
                <w:color w:val="auto"/>
              </w:rPr>
              <w:t>Federal</w:t>
            </w:r>
          </w:p>
        </w:tc>
        <w:tc>
          <w:tcPr>
            <w:tcW w:w="820" w:type="dxa"/>
            <w:vAlign w:val="bottom"/>
            <w:gridSpan w:val="3"/>
          </w:tcPr>
          <w:p>
            <w:pPr>
              <w:jc w:val="right"/>
              <w:ind w:right="68"/>
              <w:spacing w:after="0"/>
              <w:rPr>
                <w:sz w:val="20"/>
                <w:szCs w:val="20"/>
                <w:color w:val="auto"/>
              </w:rPr>
            </w:pPr>
            <w:r>
              <w:rPr>
                <w:rFonts w:ascii="Arial" w:cs="Arial" w:eastAsia="Arial" w:hAnsi="Arial"/>
                <w:sz w:val="13"/>
                <w:szCs w:val="13"/>
                <w:color w:val="auto"/>
              </w:rPr>
              <w:t>$ 283</w:t>
            </w:r>
          </w:p>
        </w:tc>
        <w:tc>
          <w:tcPr>
            <w:tcW w:w="940" w:type="dxa"/>
            <w:vAlign w:val="bottom"/>
            <w:gridSpan w:val="4"/>
          </w:tcPr>
          <w:p>
            <w:pPr>
              <w:jc w:val="right"/>
              <w:ind w:right="240"/>
              <w:spacing w:after="0"/>
              <w:rPr>
                <w:sz w:val="20"/>
                <w:szCs w:val="20"/>
                <w:color w:val="auto"/>
              </w:rPr>
            </w:pPr>
            <w:r>
              <w:rPr>
                <w:rFonts w:ascii="Arial" w:cs="Arial" w:eastAsia="Arial" w:hAnsi="Arial"/>
                <w:sz w:val="13"/>
                <w:szCs w:val="13"/>
                <w:color w:val="auto"/>
              </w:rPr>
              <w:t>$ (80)</w:t>
            </w:r>
          </w:p>
        </w:tc>
        <w:tc>
          <w:tcPr>
            <w:tcW w:w="300" w:type="dxa"/>
            <w:vAlign w:val="bottom"/>
            <w:gridSpan w:val="2"/>
          </w:tcPr>
          <w:p>
            <w:pPr>
              <w:jc w:val="center"/>
              <w:ind w:left="137"/>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r>
      <w:tr>
        <w:trPr>
          <w:trHeight w:val="157"/>
        </w:trPr>
        <w:tc>
          <w:tcPr>
            <w:tcW w:w="7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82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55</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r>
      <w:tr>
        <w:trPr>
          <w:trHeight w:val="157"/>
        </w:trPr>
        <w:tc>
          <w:tcPr>
            <w:tcW w:w="7620" w:type="dxa"/>
            <w:vAlign w:val="bottom"/>
          </w:tcPr>
          <w:p>
            <w:pPr>
              <w:ind w:left="140"/>
              <w:spacing w:after="0"/>
              <w:rPr>
                <w:sz w:val="20"/>
                <w:szCs w:val="20"/>
                <w:color w:val="auto"/>
              </w:rPr>
            </w:pPr>
            <w:r>
              <w:rPr>
                <w:rFonts w:ascii="Arial" w:cs="Arial" w:eastAsia="Arial" w:hAnsi="Arial"/>
                <w:sz w:val="13"/>
                <w:szCs w:val="13"/>
                <w:color w:val="auto"/>
              </w:rPr>
              <w:t>Foreign</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r>
      <w:tr>
        <w:trPr>
          <w:trHeight w:val="20"/>
        </w:trPr>
        <w:tc>
          <w:tcPr>
            <w:tcW w:w="7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57"/>
        </w:trPr>
        <w:tc>
          <w:tcPr>
            <w:tcW w:w="76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r>
      <w:tr>
        <w:trPr>
          <w:trHeight w:val="156"/>
        </w:trPr>
        <w:tc>
          <w:tcPr>
            <w:tcW w:w="7620" w:type="dxa"/>
            <w:vAlign w:val="bottom"/>
          </w:tcPr>
          <w:p>
            <w:pPr>
              <w:spacing w:after="0"/>
              <w:rPr>
                <w:sz w:val="20"/>
                <w:szCs w:val="20"/>
                <w:color w:val="auto"/>
              </w:rPr>
            </w:pPr>
            <w:r>
              <w:rPr>
                <w:rFonts w:ascii="Arial" w:cs="Arial" w:eastAsia="Arial" w:hAnsi="Arial"/>
                <w:sz w:val="13"/>
                <w:szCs w:val="13"/>
                <w:color w:val="auto"/>
              </w:rPr>
              <w:t>Deferred:</w:t>
            </w: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7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82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(14)</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(63)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136</w:t>
            </w:r>
          </w:p>
        </w:tc>
      </w:tr>
      <w:tr>
        <w:trPr>
          <w:trHeight w:val="157"/>
        </w:trPr>
        <w:tc>
          <w:tcPr>
            <w:tcW w:w="7620" w:type="dxa"/>
            <w:vAlign w:val="bottom"/>
          </w:tcPr>
          <w:p>
            <w:pPr>
              <w:ind w:left="140"/>
              <w:spacing w:after="0"/>
              <w:rPr>
                <w:sz w:val="20"/>
                <w:szCs w:val="20"/>
                <w:color w:val="auto"/>
              </w:rPr>
            </w:pPr>
            <w:r>
              <w:rPr>
                <w:rFonts w:ascii="Arial" w:cs="Arial" w:eastAsia="Arial" w:hAnsi="Arial"/>
                <w:sz w:val="13"/>
                <w:szCs w:val="13"/>
                <w:color w:val="auto"/>
              </w:rPr>
              <w:t>State</w:t>
            </w:r>
          </w:p>
        </w:tc>
        <w:tc>
          <w:tcPr>
            <w:tcW w:w="820" w:type="dxa"/>
            <w:vAlign w:val="bottom"/>
            <w:gridSpan w:val="3"/>
          </w:tcPr>
          <w:p>
            <w:pPr>
              <w:jc w:val="right"/>
              <w:ind w:right="28"/>
              <w:spacing w:after="0"/>
              <w:rPr>
                <w:sz w:val="20"/>
                <w:szCs w:val="20"/>
                <w:color w:val="auto"/>
              </w:rPr>
            </w:pPr>
            <w:r>
              <w:rPr>
                <w:rFonts w:ascii="Arial" w:cs="Arial" w:eastAsia="Arial" w:hAnsi="Arial"/>
                <w:sz w:val="13"/>
                <w:szCs w:val="13"/>
                <w:color w:val="auto"/>
              </w:rPr>
              <w:t>(14)</w:t>
            </w:r>
          </w:p>
        </w:tc>
        <w:tc>
          <w:tcPr>
            <w:tcW w:w="940" w:type="dxa"/>
            <w:vAlign w:val="bottom"/>
            <w:gridSpan w:val="4"/>
          </w:tcPr>
          <w:p>
            <w:pPr>
              <w:jc w:val="right"/>
              <w:ind w:right="240"/>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7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4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r>
        <w:trPr>
          <w:trHeight w:val="20"/>
        </w:trPr>
        <w:tc>
          <w:tcPr>
            <w:tcW w:w="7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56"/>
        </w:trPr>
        <w:tc>
          <w:tcPr>
            <w:tcW w:w="7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(23)</w:t>
            </w:r>
          </w:p>
        </w:tc>
        <w:tc>
          <w:tcPr>
            <w:tcW w:w="940" w:type="dxa"/>
            <w:vAlign w:val="bottom"/>
            <w:gridSpan w:val="4"/>
          </w:tcPr>
          <w:p>
            <w:pPr>
              <w:jc w:val="right"/>
              <w:ind w:right="240"/>
              <w:spacing w:after="0"/>
              <w:rPr>
                <w:sz w:val="20"/>
                <w:szCs w:val="20"/>
                <w:color w:val="auto"/>
              </w:rPr>
            </w:pPr>
            <w:r>
              <w:rPr>
                <w:rFonts w:ascii="Arial" w:cs="Arial" w:eastAsia="Arial" w:hAnsi="Arial"/>
                <w:sz w:val="13"/>
                <w:szCs w:val="13"/>
                <w:color w:val="auto"/>
              </w:rPr>
              <w:t>(61)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156</w:t>
            </w:r>
          </w:p>
        </w:tc>
      </w:tr>
      <w:tr>
        <w:trPr>
          <w:trHeight w:val="20"/>
        </w:trPr>
        <w:tc>
          <w:tcPr>
            <w:tcW w:w="7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67"/>
        </w:trPr>
        <w:tc>
          <w:tcPr>
            <w:tcW w:w="76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Provision for income taxes</w:t>
            </w:r>
          </w:p>
        </w:tc>
        <w:tc>
          <w:tcPr>
            <w:tcW w:w="82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$ 325</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 (90)</w:t>
            </w:r>
          </w:p>
        </w:tc>
        <w:tc>
          <w:tcPr>
            <w:tcW w:w="300" w:type="dxa"/>
            <w:vAlign w:val="bottom"/>
            <w:gridSpan w:val="2"/>
            <w:shd w:val="clear" w:color="auto" w:fill="CCEEFF"/>
          </w:tcPr>
          <w:p>
            <w:pPr>
              <w:jc w:val="center"/>
              <w:ind w:left="137"/>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247</w:t>
            </w:r>
          </w:p>
        </w:tc>
      </w:tr>
      <w:tr>
        <w:trPr>
          <w:trHeight w:val="254"/>
        </w:trPr>
        <w:tc>
          <w:tcPr>
            <w:tcW w:w="7620" w:type="dxa"/>
            <w:vAlign w:val="bottom"/>
          </w:tcPr>
          <w:p>
            <w:pPr>
              <w:ind w:left="400"/>
              <w:spacing w:after="0"/>
              <w:rPr>
                <w:sz w:val="20"/>
                <w:szCs w:val="20"/>
                <w:color w:val="auto"/>
              </w:rPr>
            </w:pPr>
            <w:r>
              <w:rPr>
                <w:rFonts w:ascii="Arial" w:cs="Arial" w:eastAsia="Arial" w:hAnsi="Arial"/>
                <w:sz w:val="13"/>
                <w:szCs w:val="13"/>
                <w:color w:val="auto"/>
              </w:rPr>
              <w:t>The U.S. federal statutory income tax rate is reconciled to the effective rate as follows:</w:t>
            </w:r>
          </w:p>
        </w:tc>
        <w:tc>
          <w:tcPr>
            <w:tcW w:w="4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08"/>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0"/>
                <w:szCs w:val="10"/>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98"/>
        </w:trPr>
        <w:tc>
          <w:tcPr>
            <w:tcW w:w="762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gridSpan w:val="3"/>
          </w:tcPr>
          <w:p>
            <w:pPr>
              <w:jc w:val="center"/>
              <w:spacing w:after="0" w:line="98" w:lineRule="exact"/>
              <w:rPr>
                <w:sz w:val="20"/>
                <w:szCs w:val="20"/>
                <w:color w:val="auto"/>
              </w:rPr>
            </w:pPr>
            <w:r>
              <w:rPr>
                <w:rFonts w:ascii="Arial" w:cs="Arial" w:eastAsia="Arial" w:hAnsi="Arial"/>
                <w:sz w:val="10"/>
                <w:szCs w:val="10"/>
                <w:b w:val="1"/>
                <w:bCs w:val="1"/>
                <w:color w:val="auto"/>
                <w:w w:val="89"/>
              </w:rPr>
              <w:t>2004</w:t>
            </w:r>
          </w:p>
        </w:tc>
        <w:tc>
          <w:tcPr>
            <w:tcW w:w="120" w:type="dxa"/>
            <w:vAlign w:val="bottom"/>
          </w:tcPr>
          <w:p>
            <w:pPr>
              <w:spacing w:after="0"/>
              <w:rPr>
                <w:sz w:val="8"/>
                <w:szCs w:val="8"/>
                <w:color w:val="auto"/>
              </w:rPr>
            </w:pPr>
          </w:p>
        </w:tc>
      </w:tr>
      <w:tr>
        <w:trPr>
          <w:trHeight w:val="29"/>
        </w:trPr>
        <w:tc>
          <w:tcPr>
            <w:tcW w:w="7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6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at U.S. federal statutory rate</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3"/>
                <w:szCs w:val="13"/>
                <w:color w:val="auto"/>
              </w:rPr>
              <w:t>35.00%</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35.00%</w:t>
            </w:r>
          </w:p>
        </w:tc>
        <w:tc>
          <w:tcPr>
            <w:tcW w:w="28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35.00%</w:t>
            </w:r>
          </w:p>
        </w:tc>
      </w:tr>
      <w:tr>
        <w:trPr>
          <w:trHeight w:val="157"/>
        </w:trPr>
        <w:tc>
          <w:tcPr>
            <w:tcW w:w="7620" w:type="dxa"/>
            <w:vAlign w:val="bottom"/>
          </w:tcPr>
          <w:p>
            <w:pPr>
              <w:spacing w:after="0"/>
              <w:rPr>
                <w:sz w:val="20"/>
                <w:szCs w:val="20"/>
                <w:color w:val="auto"/>
              </w:rPr>
            </w:pPr>
            <w:r>
              <w:rPr>
                <w:rFonts w:ascii="Arial" w:cs="Arial" w:eastAsia="Arial" w:hAnsi="Arial"/>
                <w:sz w:val="13"/>
                <w:szCs w:val="13"/>
                <w:color w:val="auto"/>
              </w:rPr>
              <w:t>State and local income taxes, net of federal income tax benefit</w:t>
            </w:r>
          </w:p>
        </w:tc>
        <w:tc>
          <w:tcPr>
            <w:tcW w:w="700" w:type="dxa"/>
            <w:vAlign w:val="bottom"/>
            <w:gridSpan w:val="2"/>
          </w:tcPr>
          <w:p>
            <w:pPr>
              <w:jc w:val="right"/>
              <w:ind w:right="239"/>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3.15</w:t>
            </w:r>
          </w:p>
        </w:tc>
        <w:tc>
          <w:tcPr>
            <w:tcW w:w="2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13"/>
                <w:szCs w:val="13"/>
                <w:color w:val="auto"/>
              </w:rPr>
            </w:pPr>
          </w:p>
        </w:tc>
      </w:tr>
      <w:tr>
        <w:trPr>
          <w:trHeight w:val="157"/>
        </w:trPr>
        <w:tc>
          <w:tcPr>
            <w:tcW w:w="7620" w:type="dxa"/>
            <w:vAlign w:val="bottom"/>
            <w:shd w:val="clear" w:color="auto" w:fill="CCEEFF"/>
          </w:tcPr>
          <w:p>
            <w:pPr>
              <w:spacing w:after="0"/>
              <w:rPr>
                <w:sz w:val="20"/>
                <w:szCs w:val="20"/>
                <w:color w:val="auto"/>
              </w:rPr>
            </w:pPr>
            <w:r>
              <w:rPr>
                <w:rFonts w:ascii="Arial" w:cs="Arial" w:eastAsia="Arial" w:hAnsi="Arial"/>
                <w:sz w:val="13"/>
                <w:szCs w:val="13"/>
                <w:color w:val="auto"/>
              </w:rPr>
              <w:t>Non-conventional fuel tax credits</w:t>
            </w:r>
          </w:p>
        </w:tc>
        <w:tc>
          <w:tcPr>
            <w:tcW w:w="700" w:type="dxa"/>
            <w:vAlign w:val="bottom"/>
            <w:gridSpan w:val="2"/>
            <w:shd w:val="clear" w:color="auto" w:fill="CCEEFF"/>
          </w:tcPr>
          <w:p>
            <w:pPr>
              <w:jc w:val="right"/>
              <w:ind w:right="199"/>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(12.20)</w:t>
            </w:r>
          </w:p>
        </w:tc>
        <w:tc>
          <w:tcPr>
            <w:tcW w:w="28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(10.21)</w:t>
            </w:r>
          </w:p>
        </w:tc>
      </w:tr>
      <w:tr>
        <w:trPr>
          <w:trHeight w:val="157"/>
        </w:trPr>
        <w:tc>
          <w:tcPr>
            <w:tcW w:w="7620" w:type="dxa"/>
            <w:vAlign w:val="bottom"/>
          </w:tcPr>
          <w:p>
            <w:pPr>
              <w:spacing w:after="0"/>
              <w:rPr>
                <w:sz w:val="20"/>
                <w:szCs w:val="20"/>
                <w:color w:val="auto"/>
              </w:rPr>
            </w:pPr>
            <w:r>
              <w:rPr>
                <w:rFonts w:ascii="Arial" w:cs="Arial" w:eastAsia="Arial" w:hAnsi="Arial"/>
                <w:sz w:val="13"/>
                <w:szCs w:val="13"/>
                <w:color w:val="auto"/>
              </w:rPr>
              <w:t>Taxing authority audit settlements and other tax adjustments</w:t>
            </w:r>
          </w:p>
        </w:tc>
        <w:tc>
          <w:tcPr>
            <w:tcW w:w="700" w:type="dxa"/>
            <w:vAlign w:val="bottom"/>
            <w:gridSpan w:val="2"/>
          </w:tcPr>
          <w:p>
            <w:pPr>
              <w:jc w:val="right"/>
              <w:ind w:right="199"/>
              <w:spacing w:after="0"/>
              <w:rPr>
                <w:sz w:val="20"/>
                <w:szCs w:val="20"/>
                <w:color w:val="auto"/>
              </w:rPr>
            </w:pPr>
            <w:r>
              <w:rPr>
                <w:rFonts w:ascii="Arial" w:cs="Arial" w:eastAsia="Arial" w:hAnsi="Arial"/>
                <w:sz w:val="13"/>
                <w:szCs w:val="13"/>
                <w:color w:val="auto"/>
              </w:rPr>
              <w:t>(9.34)</w:t>
            </w:r>
          </w:p>
        </w:tc>
        <w:tc>
          <w:tcPr>
            <w:tcW w:w="12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(33.92)</w:t>
            </w:r>
          </w:p>
        </w:tc>
        <w:tc>
          <w:tcPr>
            <w:tcW w:w="28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(7.05)</w:t>
            </w:r>
          </w:p>
        </w:tc>
      </w:tr>
      <w:tr>
        <w:trPr>
          <w:trHeight w:val="157"/>
        </w:trPr>
        <w:tc>
          <w:tcPr>
            <w:tcW w:w="7620" w:type="dxa"/>
            <w:vAlign w:val="bottom"/>
            <w:shd w:val="clear" w:color="auto" w:fill="CCEEFF"/>
          </w:tcPr>
          <w:p>
            <w:pPr>
              <w:spacing w:after="0"/>
              <w:rPr>
                <w:sz w:val="20"/>
                <w:szCs w:val="20"/>
                <w:color w:val="auto"/>
              </w:rPr>
            </w:pPr>
            <w:r>
              <w:rPr>
                <w:rFonts w:ascii="Arial" w:cs="Arial" w:eastAsia="Arial" w:hAnsi="Arial"/>
                <w:sz w:val="13"/>
                <w:szCs w:val="13"/>
                <w:color w:val="auto"/>
              </w:rPr>
              <w:t>Nondeductible costs relating to acquired intangibles</w:t>
            </w:r>
          </w:p>
        </w:tc>
        <w:tc>
          <w:tcPr>
            <w:tcW w:w="700" w:type="dxa"/>
            <w:vAlign w:val="bottom"/>
            <w:gridSpan w:val="2"/>
            <w:shd w:val="clear" w:color="auto" w:fill="CCEEFF"/>
          </w:tcPr>
          <w:p>
            <w:pPr>
              <w:jc w:val="right"/>
              <w:ind w:right="239"/>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0.90</w:t>
            </w:r>
          </w:p>
        </w:tc>
        <w:tc>
          <w:tcPr>
            <w:tcW w:w="2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7620" w:type="dxa"/>
            <w:vAlign w:val="bottom"/>
          </w:tcPr>
          <w:p>
            <w:pPr>
              <w:spacing w:after="0"/>
              <w:rPr>
                <w:sz w:val="20"/>
                <w:szCs w:val="20"/>
                <w:color w:val="auto"/>
              </w:rPr>
            </w:pPr>
            <w:r>
              <w:rPr>
                <w:rFonts w:ascii="Arial" w:cs="Arial" w:eastAsia="Arial" w:hAnsi="Arial"/>
                <w:sz w:val="13"/>
                <w:szCs w:val="13"/>
                <w:color w:val="auto"/>
              </w:rPr>
              <w:t>Tax rate differential on foreign income</w:t>
            </w:r>
          </w:p>
        </w:tc>
        <w:tc>
          <w:tcPr>
            <w:tcW w:w="820" w:type="dxa"/>
            <w:vAlign w:val="bottom"/>
            <w:gridSpan w:val="3"/>
          </w:tcPr>
          <w:p>
            <w:pPr>
              <w:jc w:val="right"/>
              <w:ind w:right="368"/>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1.80</w:t>
            </w:r>
          </w:p>
        </w:tc>
        <w:tc>
          <w:tcPr>
            <w:tcW w:w="28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(1.39)</w:t>
            </w:r>
          </w:p>
        </w:tc>
      </w:tr>
      <w:tr>
        <w:trPr>
          <w:trHeight w:val="157"/>
        </w:trPr>
        <w:tc>
          <w:tcPr>
            <w:tcW w:w="762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tax rates</w:t>
            </w:r>
          </w:p>
        </w:tc>
        <w:tc>
          <w:tcPr>
            <w:tcW w:w="700" w:type="dxa"/>
            <w:vAlign w:val="bottom"/>
            <w:gridSpan w:val="2"/>
            <w:shd w:val="clear" w:color="auto" w:fill="CCEEFF"/>
          </w:tcPr>
          <w:p>
            <w:pPr>
              <w:jc w:val="right"/>
              <w:ind w:right="199"/>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7620" w:type="dxa"/>
            <w:vAlign w:val="bottom"/>
          </w:tcPr>
          <w:p>
            <w:pPr>
              <w:spacing w:after="0"/>
              <w:rPr>
                <w:sz w:val="20"/>
                <w:szCs w:val="20"/>
                <w:color w:val="auto"/>
              </w:rPr>
            </w:pPr>
            <w:r>
              <w:rPr>
                <w:rFonts w:ascii="Arial" w:cs="Arial" w:eastAsia="Arial" w:hAnsi="Arial"/>
                <w:sz w:val="13"/>
                <w:szCs w:val="13"/>
                <w:color w:val="auto"/>
              </w:rPr>
              <w:t>Other</w:t>
            </w:r>
          </w:p>
        </w:tc>
        <w:tc>
          <w:tcPr>
            <w:tcW w:w="700" w:type="dxa"/>
            <w:vAlign w:val="bottom"/>
            <w:gridSpan w:val="2"/>
          </w:tcPr>
          <w:p>
            <w:pPr>
              <w:jc w:val="right"/>
              <w:ind w:right="199"/>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(1.79)</w:t>
            </w:r>
          </w:p>
        </w:tc>
        <w:tc>
          <w:tcPr>
            <w:tcW w:w="2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0.55</w:t>
            </w:r>
          </w:p>
        </w:tc>
        <w:tc>
          <w:tcPr>
            <w:tcW w:w="120" w:type="dxa"/>
            <w:vAlign w:val="bottom"/>
          </w:tcPr>
          <w:p>
            <w:pPr>
              <w:spacing w:after="0"/>
              <w:rPr>
                <w:sz w:val="13"/>
                <w:szCs w:val="13"/>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3"/>
                <w:szCs w:val="13"/>
                <w:color w:val="auto"/>
              </w:rPr>
              <w:t>22.05%</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(8.24)%</w:t>
            </w:r>
          </w:p>
        </w:tc>
        <w:tc>
          <w:tcPr>
            <w:tcW w:w="28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20.97%</w:t>
            </w:r>
          </w:p>
        </w:tc>
      </w:tr>
      <w:tr>
        <w:trPr>
          <w:trHeight w:val="29"/>
        </w:trPr>
        <w:tc>
          <w:tcPr>
            <w:tcW w:w="762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Non-conventional fuel tax credits </w:t>
      </w:r>
      <w:r>
        <w:rPr>
          <w:rFonts w:ascii="Arial" w:cs="Arial" w:eastAsia="Arial" w:hAnsi="Arial"/>
          <w:sz w:val="12"/>
          <w:szCs w:val="12"/>
          <w:color w:val="auto"/>
        </w:rPr>
        <w:t>— The impact of non-conventional fuel tax credits has been derived from methane gas projects at our landfills and our investments in two coal-based, synthetic fuel production facilities (the “Facilities”), which are discussed in more detail below. The fuel generated from our landfills and the Facilities qualifies for tax credits through 2007 pursuant to Section 45K (formerly Section 29, but re-designated as Section 45K effective for years ending after December 31, 2005) of the Internal Revenue Code. These tax credits are phased-out if the price of crude oil exceeds an annual average price threshold determined by the U.S. Internal Revenue Service. In 2006, we have developed our estimate of the phase out of 36% of Section 45K credits using market information for crude oil prices as of December 31, 2006. We did not experience any phase-out of Section 45K tax credits in 2005 or 2004.</w:t>
      </w:r>
    </w:p>
    <w:p>
      <w:pPr>
        <w:spacing w:after="0" w:line="5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2004, we acquired minority ownership interests in the Facilities, which results in the recognition of our pro-rata share of the Facilities’ losses, the amortization of our investments, and additional expense associated with other estimated obligations all being recorded as “Equity in net losses of unconsolidated entities” within our Consolidated Statements of Operations. We recognize these losses in the period in which the tax credits are generated. As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discussed above, our effective tax rate and equity losses associated with our investments in these unconsolidated entities for the year ended December 31, 2006 include the effects of a partial phase-out of Section 45K credits generated during 2006. Although we currently project that we will not be able to recognize 36% of the tax credits generated during 2006, we have been required to fund 100% of our pro-rata portion of the Facilities’ losses and production costs for 2006 operations. Amounts paid to the Facilities for which we do not ultimately realize a tax benefit are refundable to us, subject to certain limitations. Our 2006 effective tax rate and equity losses also reflect the impact of the temporary suspension of operations at the Facilities, which occurred from May 2006 to late September 2006. The operations of the Facilities were suspended in order to minimize operating losses as a result of the expected phase-out of tax credits generated during 2006. For quarterly periods that the Facilities’ operations are producing below established production levels, our obligations associated with funding the entities’ operations may be deferred for a period of up to four quarters.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impact of our investments in the Facilities on our Consolidated Statements of Operations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3"/>
              </w:rPr>
              <w:t>Years Ended December 31,</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w:t>
            </w: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r>
      <w:tr>
        <w:trPr>
          <w:trHeight w:val="20"/>
        </w:trPr>
        <w:tc>
          <w:tcPr>
            <w:tcW w:w="1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before income taxes(a)</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taxes(b)</w:t>
            </w:r>
          </w:p>
        </w:tc>
        <w:tc>
          <w:tcPr>
            <w:tcW w:w="100" w:type="dxa"/>
            <w:vAlign w:val="bottom"/>
          </w:tcPr>
          <w:p>
            <w:pPr>
              <w:spacing w:after="0"/>
              <w:rPr>
                <w:sz w:val="13"/>
                <w:szCs w:val="13"/>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r>
      <w:tr>
        <w:trPr>
          <w:trHeight w:val="20"/>
        </w:trPr>
        <w:tc>
          <w:tcPr>
            <w:tcW w:w="1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r>
      <w:tr>
        <w:trPr>
          <w:trHeight w:val="108"/>
        </w:trPr>
        <w:tc>
          <w:tcPr>
            <w:tcW w:w="1300" w:type="dxa"/>
            <w:vAlign w:val="bottom"/>
            <w:tcBorders>
              <w:bottom w:val="single" w:sz="8" w:color="auto"/>
            </w:tcBorders>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60" w:hanging="493"/>
        <w:spacing w:after="0" w:line="258" w:lineRule="auto"/>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For the year ended December 31, 2006, our “Equity in net losses of unconsolidated entities” includes (i) the recognition of expense for our estimate of contractual obligations associated with the Facilities’ operations during 2006 based on a 36% phase-out of Section 45K credits and the temporary suspension of operations discussed above, which was partially offset by (ii) a cumulative adjustment necessary to appropriately reflect our life-to-date obligations to fund the costs of operating the Facilities and the value of our investment. This cumulative adjustment was recorded during the second quarter of 2006. We have determined that the recognition of the cumulative adjustment was not material to our financial statements presented herein.</w:t>
      </w:r>
    </w:p>
    <w:p>
      <w:pPr>
        <w:spacing w:after="0" w:line="22" w:lineRule="exact"/>
        <w:rPr>
          <w:rFonts w:ascii="Arial" w:cs="Arial" w:eastAsia="Arial" w:hAnsi="Arial"/>
          <w:sz w:val="13"/>
          <w:szCs w:val="13"/>
          <w:color w:val="auto"/>
        </w:rPr>
      </w:pPr>
    </w:p>
    <w:p>
      <w:pPr>
        <w:ind w:left="1180" w:right="60" w:hanging="493"/>
        <w:spacing w:after="0" w:line="276" w:lineRule="auto"/>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benefit from income taxes attributable to the Facilities includes tax credits of $47 million, $99 million and $88 million for the years ended December 31, 2006, 2005 and 2004, respectively.</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equity losses and associated tax benefits would not have been incurred if we had not acquired the minority ownership interests in the Facilities. If the tax credits generated by the Facilities were no longer allowable under Section 45K of the Internal Revenue Code, we could cease making payments in the period in which that determination is made and not incur additional losses.</w:t>
      </w:r>
    </w:p>
    <w:p>
      <w:pPr>
        <w:spacing w:after="0" w:line="67"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tax credits generated by our landfills are provided by our Renewable Energy Program, under which we develop, operate and promote the beneficial use of landfill gas. Our recorded taxes include benefits of $24 million, $34 million, and $32 million for the years ended December 31, 2006, 2005 and 2004, respectively, from tax credits generated by our landfill gas-to-energy projects. The tax benefits from our landfills were reduced in 2006 due to the estimated phase-out of 36% of Section 45K credits.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Tax audit settlements </w:t>
      </w:r>
      <w:r>
        <w:rPr>
          <w:rFonts w:ascii="Arial" w:cs="Arial" w:eastAsia="Arial" w:hAnsi="Arial"/>
          <w:sz w:val="12"/>
          <w:szCs w:val="12"/>
          <w:color w:val="auto"/>
        </w:rPr>
        <w:t>— During 2006 we completed the IRS audit for the years 2002 and 2003. The settlement of the IRS audit, as well as other state and foreign tax audit matters,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resulted in a reduction in income tax expense (excluding the effects of related interest income) of $149 million, or $0.27 per diluted share, for 2006. Our 2006 income also increased by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 million, or $9 million net of tax, principally due to interest income from these settlements. The IRS audits for the tax years 1989 to 2001 were completed during 2005, resulting in net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benefits of $398 million, or $0.70 per diluted share. During 2004, we realized $101 million in tax benefits, or $0.17 per</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diluted share, related to audit settlements as well as $46 million in interest income, or $28 million net of tax, as a result of those settlements.</w:t>
      </w:r>
    </w:p>
    <w:p>
      <w:pPr>
        <w:spacing w:after="0" w:line="96"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reduction in income taxes recognized is primarily attributable to the associated reduction in our accrued tax and related accrued interest liabilities. For information regarding the status of current audit activity, refer to Note 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Repatriation of earnings in foreign subsidiaries </w:t>
      </w:r>
      <w:r>
        <w:rPr>
          <w:rFonts w:ascii="Arial" w:cs="Arial" w:eastAsia="Arial" w:hAnsi="Arial"/>
          <w:sz w:val="13"/>
          <w:szCs w:val="13"/>
          <w:color w:val="auto"/>
        </w:rPr>
        <w:t>— On October 22, 2004, the American Jobs Creation Act of 2004 (the “Act”) became law. A provision of the Act allowed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U.S. companies to repatriate earnings from their foreign subsidiaries at a reduced tax rate during 2005. We repatriated net accumulated earnings and capital from certain of our Canadian</w:t>
      </w:r>
    </w:p>
    <w:p>
      <w:pPr>
        <w:spacing w:after="0" w:line="8" w:lineRule="exact"/>
        <w:rPr>
          <w:sz w:val="20"/>
          <w:szCs w:val="20"/>
          <w:color w:val="auto"/>
        </w:rPr>
      </w:pPr>
    </w:p>
    <w:p>
      <w:pPr>
        <w:ind w:left="680" w:right="860"/>
        <w:spacing w:after="0" w:line="254" w:lineRule="auto"/>
        <w:rPr>
          <w:sz w:val="20"/>
          <w:szCs w:val="20"/>
          <w:color w:val="auto"/>
        </w:rPr>
      </w:pPr>
      <w:r>
        <w:rPr>
          <w:rFonts w:ascii="Arial" w:cs="Arial" w:eastAsia="Arial" w:hAnsi="Arial"/>
          <w:sz w:val="13"/>
          <w:szCs w:val="13"/>
          <w:color w:val="auto"/>
        </w:rPr>
        <w:t xml:space="preserve">subsidiaries in accordance with this provision, which were previously accounted for as permanently reinvested in accordance with APB Opinion No. 23, </w:t>
      </w:r>
      <w:r>
        <w:rPr>
          <w:rFonts w:ascii="Arial" w:cs="Arial" w:eastAsia="Arial" w:hAnsi="Arial"/>
          <w:sz w:val="13"/>
          <w:szCs w:val="13"/>
          <w:i w:val="1"/>
          <w:iCs w:val="1"/>
          <w:color w:val="auto"/>
        </w:rPr>
        <w:t>Accounting for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Taxes — Special Areas. </w:t>
      </w:r>
      <w:r>
        <w:rPr>
          <w:rFonts w:ascii="Arial" w:cs="Arial" w:eastAsia="Arial" w:hAnsi="Arial"/>
          <w:sz w:val="13"/>
          <w:szCs w:val="13"/>
          <w:color w:val="auto"/>
        </w:rPr>
        <w:t>During 2005, our Chief Executive Officer and Board of Directors approved a domestic reinvestment plan under which we repatriated $496 million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accumulated foreign earnings and capital through cash on hand as well as debt borrowings. Refer to Note 7 for discussion on the related debt issuance. During 2005, we accrued $34 million in tax expense for these repatriations. The repatriation of earnings from our Canadian subsidiaries increased our 2005 effective tax rate by approximately 3.1%, which has been reflected as a component of the “Tax rate differential on foreign income” line item of the effective tax rate reconciliation provided above. During 2006, we repatriated an additional $12 million of our accumulated foreign earnings resulting in an increase in tax expense of $3 million.</w:t>
      </w:r>
    </w:p>
    <w:p>
      <w:pPr>
        <w:spacing w:after="0" w:line="75"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At December 31, 2006, remaining unremitted earnings in foreign operations was approximately $300 million, which is considered permanently invested and, therefore, no provision for U.S. income taxes has been accrued for these unremitted earnings.</w:t>
      </w:r>
    </w:p>
    <w:p>
      <w:pPr>
        <w:spacing w:after="0" w:line="59"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i w:val="1"/>
          <w:iCs w:val="1"/>
          <w:color w:val="auto"/>
        </w:rPr>
        <w:t xml:space="preserve">Effective state tax rate change </w:t>
      </w:r>
      <w:r>
        <w:rPr>
          <w:rFonts w:ascii="Arial" w:cs="Arial" w:eastAsia="Arial" w:hAnsi="Arial"/>
          <w:sz w:val="13"/>
          <w:szCs w:val="13"/>
          <w:color w:val="auto"/>
        </w:rPr>
        <w:t>— Our estimated effective state tax rate declined during 2006 and 2005, resulting in a net benefit of $9 million and $16 million, respectively,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the revaluation of net accumulated deferred tax liabilities.</w:t>
      </w:r>
    </w:p>
    <w:p>
      <w:pPr>
        <w:spacing w:after="0" w:line="59" w:lineRule="exact"/>
        <w:rPr>
          <w:sz w:val="20"/>
          <w:szCs w:val="20"/>
          <w:color w:val="auto"/>
        </w:rPr>
      </w:pPr>
    </w:p>
    <w:p>
      <w:pPr>
        <w:jc w:val="both"/>
        <w:ind w:left="680" w:right="980" w:firstLine="399"/>
        <w:spacing w:after="0" w:line="296" w:lineRule="auto"/>
        <w:rPr>
          <w:sz w:val="20"/>
          <w:szCs w:val="20"/>
          <w:color w:val="auto"/>
        </w:rPr>
      </w:pPr>
      <w:r>
        <w:rPr>
          <w:rFonts w:ascii="Arial" w:cs="Arial" w:eastAsia="Arial" w:hAnsi="Arial"/>
          <w:sz w:val="12"/>
          <w:szCs w:val="12"/>
          <w:i w:val="1"/>
          <w:iCs w:val="1"/>
          <w:color w:val="auto"/>
        </w:rPr>
        <w:t xml:space="preserve">Canada statutory tax rate change </w:t>
      </w:r>
      <w:r>
        <w:rPr>
          <w:rFonts w:ascii="Arial" w:cs="Arial" w:eastAsia="Arial" w:hAnsi="Arial"/>
          <w:sz w:val="12"/>
          <w:szCs w:val="12"/>
          <w:color w:val="auto"/>
        </w:rPr>
        <w:t>— During 2006, both the Canadian federal government and several provinces enacted tax rate reductions. SFAS No. 109,</w:t>
      </w:r>
      <w:r>
        <w:rPr>
          <w:rFonts w:ascii="Arial" w:cs="Arial" w:eastAsia="Arial" w:hAnsi="Arial"/>
          <w:sz w:val="12"/>
          <w:szCs w:val="12"/>
          <w:i w:val="1"/>
          <w:iCs w:val="1"/>
          <w:color w:val="auto"/>
        </w:rPr>
        <w:t xml:space="preserve"> Accounting for Income Taxes</w:t>
      </w:r>
      <w:r>
        <w:rPr>
          <w:rFonts w:ascii="Arial" w:cs="Arial" w:eastAsia="Arial" w:hAnsi="Arial"/>
          <w:sz w:val="12"/>
          <w:szCs w:val="12"/>
          <w:color w:val="auto"/>
        </w:rPr>
        <w:t>, requires that deferred tax balances be revalued to reflect such tax rate changes. The revaluation resulted in a $20 million tax benefit for the year ended December 31, 2006. During</w:t>
      </w:r>
      <w:r>
        <w:rPr>
          <w:rFonts w:ascii="Arial" w:cs="Arial" w:eastAsia="Arial" w:hAnsi="Arial"/>
          <w:sz w:val="12"/>
          <w:szCs w:val="12"/>
          <w:i w:val="1"/>
          <w:iCs w:val="1"/>
          <w:color w:val="auto"/>
        </w:rPr>
        <w:t xml:space="preserve"> </w:t>
      </w:r>
      <w:r>
        <w:rPr>
          <w:rFonts w:ascii="Arial" w:cs="Arial" w:eastAsia="Arial" w:hAnsi="Arial"/>
          <w:sz w:val="12"/>
          <w:szCs w:val="12"/>
          <w:color w:val="auto"/>
        </w:rPr>
        <w:t>2005, a provincial tax rate change in Quebec resulted in additional income tax expense of $4 million related to the revaluation of net accumulated deferred tax balances.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net deferred tax assets (liabilities) at December 31 are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4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Net operating loss, capital loss and tax credit carryforwards</w:t>
            </w:r>
          </w:p>
        </w:tc>
        <w:tc>
          <w:tcPr>
            <w:tcW w:w="442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Landfill and environmental remediation liabilities</w:t>
            </w:r>
          </w:p>
        </w:tc>
        <w:tc>
          <w:tcPr>
            <w:tcW w:w="4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Miscellaneous and other reserves</w:t>
            </w:r>
          </w:p>
        </w:tc>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243</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w:t>
            </w:r>
          </w:p>
        </w:tc>
        <w:tc>
          <w:tcPr>
            <w:tcW w:w="4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630</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Valuation allowance</w:t>
            </w:r>
          </w:p>
        </w:tc>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(288)</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4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(1,011)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 and other intangibles</w:t>
            </w:r>
          </w:p>
        </w:tc>
        <w:tc>
          <w:tcPr>
            <w:tcW w:w="4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vMerge w:val="restart"/>
          </w:tcPr>
          <w:p>
            <w:pPr>
              <w:ind w:left="280"/>
              <w:spacing w:after="0"/>
              <w:rPr>
                <w:sz w:val="20"/>
                <w:szCs w:val="20"/>
                <w:color w:val="auto"/>
              </w:rPr>
            </w:pPr>
            <w:r>
              <w:rPr>
                <w:rFonts w:ascii="Arial" w:cs="Arial" w:eastAsia="Arial" w:hAnsi="Arial"/>
                <w:sz w:val="13"/>
                <w:szCs w:val="13"/>
                <w:color w:val="auto"/>
              </w:rPr>
              <w:t>Net deferred tax liabilities</w:t>
            </w:r>
          </w:p>
        </w:tc>
        <w:tc>
          <w:tcPr>
            <w:tcW w:w="4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(1,283)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80" w:type="dxa"/>
            <w:vAlign w:val="bottom"/>
          </w:tcPr>
          <w:p>
            <w:pPr>
              <w:jc w:val="right"/>
              <w:ind w:right="3174"/>
              <w:spacing w:after="0"/>
              <w:rPr>
                <w:sz w:val="20"/>
                <w:szCs w:val="20"/>
                <w:color w:val="auto"/>
              </w:rPr>
            </w:pPr>
            <w:r>
              <w:rPr>
                <w:rFonts w:ascii="Arial" w:cs="Arial" w:eastAsia="Arial" w:hAnsi="Arial"/>
                <w:sz w:val="13"/>
                <w:szCs w:val="13"/>
                <w:color w:val="auto"/>
              </w:rPr>
              <w:t>86</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At December 31, 2006 we had $27 million of federal net operating loss (“NOL”) carryforwards, $3.5 billion of state NOL carryforwards, and $19 million of Canadian NOL carryforwards. The federal and state NOL carryforwards have expiration dates through the year 2026. The Canadian NOL carryforwards have the following expiry: $12 million in 2009, $1 million in 2010, $1 million in 2011 and $5 million in 2012. We have $21 million of alternative minimum tax credit carryforwards that may be used indefinitely and state tax credit carryforwards of $11 million.</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decreased $47 million in 2006. We realized an $11 million state tax benefit due to a reduction in the valuation allowance related to the expected utilization of state NOL and credit carryforwards. The remaining reduction in our valuation allowance was offset by changes in our gross deferred tax assets due to changes in state NOL and credit carryforwards.</w:t>
      </w:r>
    </w:p>
    <w:p>
      <w:pPr>
        <w:spacing w:after="0" w:line="128" w:lineRule="exact"/>
        <w:rPr>
          <w:sz w:val="20"/>
          <w:szCs w:val="20"/>
          <w:color w:val="auto"/>
        </w:rPr>
      </w:pPr>
    </w:p>
    <w:p>
      <w:pPr>
        <w:ind w:left="1000" w:hanging="313"/>
        <w:spacing w:after="0"/>
        <w:tabs>
          <w:tab w:leader="none" w:pos="10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Defined contribution plans </w:t>
      </w:r>
      <w:r>
        <w:rPr>
          <w:rFonts w:ascii="Arial" w:cs="Arial" w:eastAsia="Arial" w:hAnsi="Arial"/>
          <w:sz w:val="13"/>
          <w:szCs w:val="13"/>
          <w:color w:val="auto"/>
        </w:rPr>
        <w:t>— Our Waste Management Retirement Savings Plan (“Savings Plan”) covers employees (except those working subject to collective bargaining</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agreements, which do not provide for coverage under such plans) following a 90-day waiting period after hire. Through December 31, 2004 eligible employees were allowed to contribute up to 15% of their annual compensation. Effective January 1, 2005, eligible employees may contribute as much as 25% of their annual compensation under the Savings Plan. All employee contributions are subject to annual contribution limitations established by the IRS. Under the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$51 million in 2006, $48 million in 2005 and $46 million in 2004.</w:t>
      </w:r>
    </w:p>
    <w:p>
      <w:pPr>
        <w:spacing w:after="0" w:line="73" w:lineRule="exact"/>
        <w:rPr>
          <w:sz w:val="20"/>
          <w:szCs w:val="20"/>
          <w:color w:val="auto"/>
        </w:rPr>
      </w:pPr>
    </w:p>
    <w:p>
      <w:pPr>
        <w:jc w:val="both"/>
        <w:ind w:left="680" w:right="340" w:firstLine="399"/>
        <w:spacing w:after="0" w:line="334" w:lineRule="auto"/>
        <w:rPr>
          <w:sz w:val="20"/>
          <w:szCs w:val="20"/>
          <w:color w:val="auto"/>
        </w:rPr>
      </w:pPr>
      <w:r>
        <w:rPr>
          <w:rFonts w:ascii="Arial" w:cs="Arial" w:eastAsia="Arial" w:hAnsi="Arial"/>
          <w:sz w:val="11"/>
          <w:szCs w:val="11"/>
          <w:i w:val="1"/>
          <w:iCs w:val="1"/>
          <w:color w:val="auto"/>
        </w:rPr>
        <w:t xml:space="preserve">Defined benefit plans </w:t>
      </w:r>
      <w:r>
        <w:rPr>
          <w:rFonts w:ascii="Arial" w:cs="Arial" w:eastAsia="Arial" w:hAnsi="Arial"/>
          <w:sz w:val="11"/>
          <w:szCs w:val="11"/>
          <w:color w:val="auto"/>
        </w:rPr>
        <w:t>— Certain of the Company’s subsidiaries sponsor pension plans that cover employees not covered by the Savings Plan. These employees are members of</w:t>
      </w:r>
      <w:r>
        <w:rPr>
          <w:rFonts w:ascii="Arial" w:cs="Arial" w:eastAsia="Arial" w:hAnsi="Arial"/>
          <w:sz w:val="11"/>
          <w:szCs w:val="11"/>
          <w:i w:val="1"/>
          <w:iCs w:val="1"/>
          <w:color w:val="auto"/>
        </w:rPr>
        <w:t xml:space="preserve"> </w:t>
      </w:r>
      <w:r>
        <w:rPr>
          <w:rFonts w:ascii="Arial" w:cs="Arial" w:eastAsia="Arial" w:hAnsi="Arial"/>
          <w:sz w:val="11"/>
          <w:szCs w:val="11"/>
          <w:color w:val="auto"/>
        </w:rPr>
        <w:t>collective bargaining units. In addition, Wheelabrator Technologies Inc., a wholly-owned subsidiary, sponsors a pension plan for its former executives and former Board members. The combined benefit obligation of these pension plans is $61 million as of December 31, 2006. These plans have approximately $45 million of plan assets as of December 31, 2006.</w:t>
      </w:r>
    </w:p>
    <w:p>
      <w:pPr>
        <w:spacing w:after="0" w:line="32"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addition, Waste Management Holdings, Inc.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$60 million at December 31, 2006.</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accrued benefit liabilities for our defined benefit pension and other post-retirement plans are $76 million as of December 31, 2006 and are included as a component of “Accrued liabilities” in our Consolidated Balance Sheet.</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September 2006, the FASB issued SFAS No. 158, which requires companies to recognize the overfunded or underfunded status of their defined benefit pension and other post-retirement plans as an asset or liability and to recognize changes in that funded status through comprehensive income in the year in which the changes occur. As required, the Company adopted SFAS No. 158 on December 31, 2006.</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With the adoption of SFAS No. 158, we recorded a liability and a corresponding deferred loss adjustment to “Accumulated other comprehensive income” of $2 million related to the previously unaccrued liability balance associated with our defined benefit pension and other post-retirement plans. The December 31, 2006 net increase of $1 million in “Accumulated other comprehensive income” attributable to the underfunded status of our post-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retirement plans is associated with the net impact of adjustments to increase deferred tax assets by $3 million, partially offset by the additional $2 million in liabilities recorded.</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certain of our subsidiaries participate in various multi-employer employee benefit and pension plans covering union employees not covered under other pension plans. These multi-employer plans are generally defined contribution plans. Specific benefit levels provided by union pension plans are not negotiated with or known by the employer contributors. Additionally, we have one instance of a site-specific plan for employees not covered under other plans. The projected benefit obligation, plan assets and unfunded liability of the multi-employer pension plans and the site specific plan are not material. Contributions of $37 million in 2006, $38 million in 2005 and $29 million in 2004 were charged to operations for those subsidiaries’ defined benefit and contribution plans.</w:t>
      </w:r>
    </w:p>
    <w:p>
      <w:pPr>
        <w:spacing w:after="0" w:line="146" w:lineRule="exact"/>
        <w:rPr>
          <w:sz w:val="20"/>
          <w:szCs w:val="20"/>
          <w:color w:val="auto"/>
        </w:rPr>
      </w:pPr>
    </w:p>
    <w:p>
      <w:pPr>
        <w:ind w:left="1180" w:hanging="493"/>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w:t>
      </w:r>
      <w:r>
        <w:rPr>
          <w:rFonts w:ascii="Arial" w:cs="Arial" w:eastAsia="Arial" w:hAnsi="Arial"/>
          <w:sz w:val="13"/>
          <w:szCs w:val="13"/>
          <w:i w:val="1"/>
          <w:iCs w:val="1"/>
          <w:color w:val="auto"/>
        </w:rPr>
        <w:t xml:space="preserve"> </w:t>
      </w:r>
      <w:r>
        <w:rPr>
          <w:rFonts w:ascii="Arial" w:cs="Arial" w:eastAsia="Arial" w:hAnsi="Arial"/>
          <w:sz w:val="13"/>
          <w:szCs w:val="13"/>
          <w:color w:val="auto"/>
        </w:rPr>
        <w:t>tax-exempt bonds, contracts, performance of landfill closure and post-closure requirements, environmental remediation, and other obligations.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These facilities and agreements are discussed further in Note 7. We obtain surety bonds and insurance policies from two entities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 As of December 31, 2006, our general liability insurance program carries self-insurance exposures of up to $2.5 million per incident and our workers’ compensation and auto liability insurance programs each carry self-insurance exposures of up to $1 million per incident. Effective January 1, 2007, we increased the per incident deductible for our workers’ compensation insurance program to $1.5 million. Self-insurance claims reserves acquired as part of our acquisition of WM Holdings in July 1998 were discounted at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4.65% at December 31, 2006. The changes to our net insurance liabilities for the periods presented are summarized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Gross Claims</w:t>
            </w:r>
          </w:p>
        </w:tc>
        <w:tc>
          <w:tcPr>
            <w:tcW w:w="200" w:type="dxa"/>
            <w:vAlign w:val="bottom"/>
          </w:tcPr>
          <w:p>
            <w:pPr>
              <w:spacing w:after="0"/>
              <w:rPr>
                <w:sz w:val="10"/>
                <w:szCs w:val="10"/>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Estimated Insurance</w:t>
            </w:r>
          </w:p>
        </w:tc>
        <w:tc>
          <w:tcPr>
            <w:tcW w:w="1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Net Claims</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Liability</w:t>
            </w:r>
          </w:p>
        </w:tc>
        <w:tc>
          <w:tcPr>
            <w:tcW w:w="200" w:type="dxa"/>
            <w:vAlign w:val="bottom"/>
          </w:tcPr>
          <w:p>
            <w:pPr>
              <w:spacing w:after="0"/>
              <w:rPr>
                <w:sz w:val="10"/>
                <w:szCs w:val="10"/>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Recoveries(a)</w:t>
            </w:r>
          </w:p>
        </w:tc>
        <w:tc>
          <w:tcPr>
            <w:tcW w:w="120" w:type="dxa"/>
            <w:vAlign w:val="bottom"/>
          </w:tcPr>
          <w:p>
            <w:pPr>
              <w:spacing w:after="0"/>
              <w:rPr>
                <w:sz w:val="10"/>
                <w:szCs w:val="1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268</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(231)</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2004</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681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(248)</w:t>
            </w:r>
          </w:p>
        </w:tc>
        <w:tc>
          <w:tcPr>
            <w:tcW w:w="200" w:type="dxa"/>
            <w:vAlign w:val="bottom"/>
          </w:tcPr>
          <w:p>
            <w:pPr>
              <w:spacing w:after="0"/>
              <w:rPr>
                <w:sz w:val="13"/>
                <w:szCs w:val="1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2005</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233</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(241)</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2006</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652</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(267)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at December 31, 2006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Long-term portion at December 31, 2006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441</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reported as estimated insurance recoveries are related to both paid and unpaid claims liabilities.</w:t>
      </w:r>
    </w:p>
    <w:p>
      <w:pPr>
        <w:spacing w:after="0" w:line="96"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Operating leases </w:t>
      </w:r>
      <w:r>
        <w:rPr>
          <w:rFonts w:ascii="Arial" w:cs="Arial" w:eastAsia="Arial" w:hAnsi="Arial"/>
          <w:sz w:val="11"/>
          <w:szCs w:val="11"/>
          <w:color w:val="auto"/>
        </w:rPr>
        <w:t>— Rental expense for leased properties was $122 million, $129 million and $127 million during 2006, 2005 and 2004, respectively. These amounts primarily</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rents under operating leases. Minimum contractual payments due during each of the next five years for our operating lease obligations are noted below (in millions):</w:t>
      </w:r>
    </w:p>
    <w:p>
      <w:pPr>
        <w:spacing w:after="0" w:line="14" w:lineRule="exact"/>
        <w:rPr>
          <w:sz w:val="20"/>
          <w:szCs w:val="20"/>
          <w:color w:val="auto"/>
        </w:rPr>
      </w:pPr>
    </w:p>
    <w:tbl>
      <w:tblPr>
        <w:tblLayout w:type="fixed"/>
        <w:tblInd w:w="960" w:type="dxa"/>
        <w:tblCellMar>
          <w:top w:w="0" w:type="dxa"/>
          <w:left w:w="0" w:type="dxa"/>
          <w:bottom w:w="0" w:type="dxa"/>
          <w:right w:w="0" w:type="dxa"/>
        </w:tblCellMar>
      </w:tblPr>
      <w:tr>
        <w:trPr>
          <w:trHeight w:val="135"/>
        </w:trPr>
        <w:tc>
          <w:tcPr>
            <w:tcW w:w="2460" w:type="dxa"/>
            <w:vAlign w:val="bottom"/>
          </w:tcPr>
          <w:p>
            <w:pPr>
              <w:jc w:val="right"/>
              <w:ind w:right="2081"/>
              <w:spacing w:after="0"/>
              <w:rPr>
                <w:sz w:val="20"/>
                <w:szCs w:val="20"/>
                <w:color w:val="auto"/>
              </w:rPr>
            </w:pPr>
            <w:r>
              <w:rPr>
                <w:rFonts w:ascii="Arial" w:cs="Arial" w:eastAsia="Arial" w:hAnsi="Arial"/>
                <w:sz w:val="10"/>
                <w:szCs w:val="10"/>
                <w:b w:val="1"/>
                <w:bCs w:val="1"/>
                <w:color w:val="auto"/>
              </w:rPr>
              <w:t>2007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2008</w:t>
            </w:r>
          </w:p>
        </w:tc>
        <w:tc>
          <w:tcPr>
            <w:tcW w:w="206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206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2010</w:t>
            </w:r>
          </w:p>
        </w:tc>
        <w:tc>
          <w:tcPr>
            <w:tcW w:w="2060" w:type="dxa"/>
            <w:vAlign w:val="bottom"/>
          </w:tcPr>
          <w:p>
            <w:pPr>
              <w:spacing w:after="0"/>
              <w:rPr>
                <w:sz w:val="11"/>
                <w:szCs w:val="1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9"/>
              </w:rPr>
              <w:t>2011</w:t>
            </w:r>
          </w:p>
        </w:tc>
      </w:tr>
      <w:tr>
        <w:trPr>
          <w:trHeight w:val="185"/>
        </w:trPr>
        <w:tc>
          <w:tcPr>
            <w:tcW w:w="2460" w:type="dxa"/>
            <w:vAlign w:val="bottom"/>
          </w:tcPr>
          <w:p>
            <w:pPr>
              <w:jc w:val="right"/>
              <w:ind w:right="2161"/>
              <w:spacing w:after="0"/>
              <w:rPr>
                <w:sz w:val="20"/>
                <w:szCs w:val="20"/>
                <w:color w:val="auto"/>
              </w:rPr>
            </w:pPr>
            <w:r>
              <w:rPr>
                <w:rFonts w:ascii="Arial" w:cs="Arial" w:eastAsia="Arial" w:hAnsi="Arial"/>
                <w:sz w:val="13"/>
                <w:szCs w:val="13"/>
                <w:color w:val="auto"/>
                <w:w w:val="86"/>
              </w:rPr>
              <w:t>$ 89</w:t>
            </w:r>
          </w:p>
        </w:tc>
        <w:tc>
          <w:tcPr>
            <w:tcW w:w="2300" w:type="dxa"/>
            <w:vAlign w:val="bottom"/>
            <w:gridSpan w:val="2"/>
          </w:tcPr>
          <w:p>
            <w:pPr>
              <w:jc w:val="right"/>
              <w:ind w:right="2060"/>
              <w:spacing w:after="0"/>
              <w:rPr>
                <w:sz w:val="20"/>
                <w:szCs w:val="20"/>
                <w:color w:val="auto"/>
              </w:rPr>
            </w:pPr>
            <w:r>
              <w:rPr>
                <w:rFonts w:ascii="Arial" w:cs="Arial" w:eastAsia="Arial" w:hAnsi="Arial"/>
                <w:sz w:val="13"/>
                <w:szCs w:val="13"/>
                <w:color w:val="auto"/>
                <w:w w:val="86"/>
              </w:rPr>
              <w:t>$ 71</w:t>
            </w:r>
          </w:p>
        </w:tc>
        <w:tc>
          <w:tcPr>
            <w:tcW w:w="2300" w:type="dxa"/>
            <w:vAlign w:val="bottom"/>
            <w:gridSpan w:val="2"/>
          </w:tcPr>
          <w:p>
            <w:pPr>
              <w:jc w:val="right"/>
              <w:ind w:right="2060"/>
              <w:spacing w:after="0"/>
              <w:rPr>
                <w:sz w:val="20"/>
                <w:szCs w:val="20"/>
                <w:color w:val="auto"/>
              </w:rPr>
            </w:pPr>
            <w:r>
              <w:rPr>
                <w:rFonts w:ascii="Arial" w:cs="Arial" w:eastAsia="Arial" w:hAnsi="Arial"/>
                <w:sz w:val="13"/>
                <w:szCs w:val="13"/>
                <w:color w:val="auto"/>
                <w:w w:val="86"/>
              </w:rPr>
              <w:t>$ 59</w:t>
            </w:r>
          </w:p>
        </w:tc>
        <w:tc>
          <w:tcPr>
            <w:tcW w:w="2300" w:type="dxa"/>
            <w:vAlign w:val="bottom"/>
            <w:gridSpan w:val="2"/>
          </w:tcPr>
          <w:p>
            <w:pPr>
              <w:jc w:val="right"/>
              <w:ind w:right="2060"/>
              <w:spacing w:after="0"/>
              <w:rPr>
                <w:sz w:val="20"/>
                <w:szCs w:val="20"/>
                <w:color w:val="auto"/>
              </w:rPr>
            </w:pPr>
            <w:r>
              <w:rPr>
                <w:rFonts w:ascii="Arial" w:cs="Arial" w:eastAsia="Arial" w:hAnsi="Arial"/>
                <w:sz w:val="13"/>
                <w:szCs w:val="13"/>
                <w:color w:val="auto"/>
                <w:w w:val="86"/>
              </w:rPr>
              <w:t>$ 51</w:t>
            </w:r>
          </w:p>
        </w:tc>
        <w:tc>
          <w:tcPr>
            <w:tcW w:w="240" w:type="dxa"/>
            <w:vAlign w:val="bottom"/>
          </w:tcPr>
          <w:p>
            <w:pPr>
              <w:ind w:left="20"/>
              <w:spacing w:after="0"/>
              <w:rPr>
                <w:sz w:val="20"/>
                <w:szCs w:val="20"/>
                <w:color w:val="auto"/>
              </w:rPr>
            </w:pPr>
            <w:r>
              <w:rPr>
                <w:rFonts w:ascii="Arial" w:cs="Arial" w:eastAsia="Arial" w:hAnsi="Arial"/>
                <w:sz w:val="13"/>
                <w:szCs w:val="13"/>
                <w:color w:val="auto"/>
                <w:w w:val="78"/>
              </w:rPr>
              <w:t>$ 34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-129540</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minimum contractual payments for lease agreements during future periods is significantly less than current year rent expense because our significant lease agreements at landfills have variable terms based either on a percentage of revenue or a rate per ton of waste received.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commitments </w:t>
      </w:r>
      <w:r>
        <w:rPr>
          <w:rFonts w:ascii="Arial" w:cs="Arial" w:eastAsia="Arial" w:hAnsi="Arial"/>
          <w:sz w:val="13"/>
          <w:szCs w:val="13"/>
          <w:color w:val="auto"/>
        </w:rPr>
        <w:t>— We have the following unconditional obligations:</w:t>
      </w:r>
    </w:p>
    <w:p>
      <w:pPr>
        <w:spacing w:after="0" w:line="96" w:lineRule="exact"/>
        <w:rPr>
          <w:sz w:val="20"/>
          <w:szCs w:val="20"/>
          <w:color w:val="auto"/>
        </w:rPr>
      </w:pPr>
    </w:p>
    <w:p>
      <w:pPr>
        <w:ind w:left="1280" w:right="22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w:t>
      </w:r>
      <w:r>
        <w:rPr>
          <w:rFonts w:ascii="Arial" w:cs="Arial" w:eastAsia="Arial" w:hAnsi="Arial"/>
          <w:sz w:val="13"/>
          <w:szCs w:val="13"/>
          <w:color w:val="auto"/>
        </w:rPr>
        <w:t>— In December 2006, we entered into a plan under SEC Rule 10b5-1 to effect market purchases of our common stock during the first quarter of 2007. See</w:t>
      </w:r>
      <w:r>
        <w:rPr>
          <w:rFonts w:ascii="Arial" w:cs="Arial" w:eastAsia="Arial" w:hAnsi="Arial"/>
          <w:sz w:val="13"/>
          <w:szCs w:val="13"/>
          <w:i w:val="1"/>
          <w:iCs w:val="1"/>
          <w:color w:val="auto"/>
        </w:rPr>
        <w:t xml:space="preserve"> </w:t>
      </w:r>
      <w:r>
        <w:rPr>
          <w:rFonts w:ascii="Arial" w:cs="Arial" w:eastAsia="Arial" w:hAnsi="Arial"/>
          <w:sz w:val="13"/>
          <w:szCs w:val="13"/>
          <w:color w:val="auto"/>
        </w:rPr>
        <w:t>Note 14 for additional information related to this agreement.</w:t>
      </w:r>
    </w:p>
    <w:p>
      <w:pPr>
        <w:spacing w:after="0" w:line="49" w:lineRule="exact"/>
        <w:rPr>
          <w:rFonts w:ascii="Arial" w:cs="Arial" w:eastAsia="Arial" w:hAnsi="Arial"/>
          <w:sz w:val="13"/>
          <w:szCs w:val="13"/>
          <w:color w:val="auto"/>
        </w:rPr>
      </w:pPr>
    </w:p>
    <w:p>
      <w:pPr>
        <w:ind w:left="1280" w:right="460" w:hanging="190"/>
        <w:spacing w:after="0" w:line="320" w:lineRule="auto"/>
        <w:tabs>
          <w:tab w:leader="none" w:pos="128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Fuel Supply </w:t>
      </w:r>
      <w:r>
        <w:rPr>
          <w:rFonts w:ascii="Arial" w:cs="Arial" w:eastAsia="Arial" w:hAnsi="Arial"/>
          <w:sz w:val="12"/>
          <w:szCs w:val="12"/>
          <w:color w:val="auto"/>
        </w:rPr>
        <w:t>— We have purchase agreements expiring at various dates through 2010 that require us to purchase minimum amounts of waste and conventional fuels at our</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power production plants. These fuel supplies are used to produce electricity for sale to electric utilities, which is generally subject to</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280" w:right="220"/>
        <w:spacing w:after="0" w:line="264" w:lineRule="auto"/>
        <w:rPr>
          <w:sz w:val="20"/>
          <w:szCs w:val="20"/>
          <w:color w:val="auto"/>
        </w:rPr>
      </w:pPr>
      <w:r>
        <w:rPr>
          <w:rFonts w:ascii="Arial" w:cs="Arial" w:eastAsia="Arial" w:hAnsi="Arial"/>
          <w:sz w:val="13"/>
          <w:szCs w:val="13"/>
          <w:color w:val="auto"/>
        </w:rPr>
        <w:t>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146" w:lineRule="exact"/>
        <w:rPr>
          <w:sz w:val="20"/>
          <w:szCs w:val="20"/>
          <w:color w:val="auto"/>
        </w:rPr>
      </w:pPr>
    </w:p>
    <w:p>
      <w:pPr>
        <w:ind w:left="1280" w:right="160" w:hanging="190"/>
        <w:spacing w:after="0" w:line="307" w:lineRule="auto"/>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Disposal </w:t>
      </w:r>
      <w:r>
        <w:rPr>
          <w:rFonts w:ascii="Arial" w:cs="Arial" w:eastAsia="Arial" w:hAnsi="Arial"/>
          <w:sz w:val="12"/>
          <w:szCs w:val="12"/>
          <w:color w:val="auto"/>
        </w:rPr>
        <w:t>— We have several agreements expiring at various dates through 2024 that require us to dispose of a minimum number of tons at third-party disposal facilities.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these put-or-pay agreements, we are required to pay for the agreed upon minimum volumes regardless of the actual number of tons placed at the facilities.</w:t>
      </w:r>
    </w:p>
    <w:p>
      <w:pPr>
        <w:ind w:left="1280" w:right="80" w:hanging="190"/>
        <w:spacing w:after="0" w:line="335" w:lineRule="auto"/>
        <w:tabs>
          <w:tab w:leader="none" w:pos="128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 xml:space="preserve">Waste Paper </w:t>
      </w:r>
      <w:r>
        <w:rPr>
          <w:rFonts w:ascii="Arial" w:cs="Arial" w:eastAsia="Arial" w:hAnsi="Arial"/>
          <w:sz w:val="11"/>
          <w:szCs w:val="11"/>
          <w:color w:val="auto"/>
        </w:rPr>
        <w:t>— We are party to a waste paper purchase agreement that requires us to purchase a minimum number of tons of waste paper from the counterparty. The cost per ton</w:t>
      </w:r>
      <w:r>
        <w:rPr>
          <w:rFonts w:ascii="Arial" w:cs="Arial" w:eastAsia="Arial" w:hAnsi="Arial"/>
          <w:sz w:val="11"/>
          <w:szCs w:val="11"/>
          <w:i w:val="1"/>
          <w:iCs w:val="1"/>
          <w:color w:val="auto"/>
        </w:rPr>
        <w:t xml:space="preserve"> </w:t>
      </w:r>
      <w:r>
        <w:rPr>
          <w:rFonts w:ascii="Arial" w:cs="Arial" w:eastAsia="Arial" w:hAnsi="Arial"/>
          <w:sz w:val="11"/>
          <w:szCs w:val="11"/>
          <w:color w:val="auto"/>
        </w:rPr>
        <w:t>of waste paper purchased is based on market prices plus the cost of delivery of the product to our customers. We currently expect to fulfill our purchase obligation in 2012.</w:t>
      </w:r>
    </w:p>
    <w:p>
      <w:pPr>
        <w:ind w:left="1280" w:hanging="190"/>
        <w:spacing w:after="0" w:line="264"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Royalties </w:t>
      </w:r>
      <w:r>
        <w:rPr>
          <w:rFonts w:ascii="Arial" w:cs="Arial" w:eastAsia="Arial" w:hAnsi="Arial"/>
          <w:sz w:val="13"/>
          <w:szCs w:val="13"/>
          <w:color w:val="auto"/>
        </w:rPr>
        <w:t>— Certain of our landfill operating agreements require us to make minimum royalty payments to the prior land owners, lessors or host community where the landfill is</w:t>
      </w:r>
      <w:r>
        <w:rPr>
          <w:rFonts w:ascii="Arial" w:cs="Arial" w:eastAsia="Arial" w:hAnsi="Arial"/>
          <w:sz w:val="13"/>
          <w:szCs w:val="13"/>
          <w:i w:val="1"/>
          <w:iCs w:val="1"/>
          <w:color w:val="auto"/>
        </w:rPr>
        <w:t xml:space="preserve"> </w:t>
      </w:r>
      <w:r>
        <w:rPr>
          <w:rFonts w:ascii="Arial" w:cs="Arial" w:eastAsia="Arial" w:hAnsi="Arial"/>
          <w:sz w:val="13"/>
          <w:szCs w:val="13"/>
          <w:color w:val="auto"/>
        </w:rPr>
        <w:t>located. Our obligations under these agreements expire at various dates through 2031. Although the agreements provide for minimum payments, the actual payments we expect to make under the agreements, which are based on per ton rates for waste received at the landfill, are significantly higher.</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2006.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57" w:lineRule="exact"/>
        <w:rPr>
          <w:sz w:val="20"/>
          <w:szCs w:val="20"/>
          <w:color w:val="auto"/>
        </w:rPr>
      </w:pPr>
    </w:p>
    <w:p>
      <w:pPr>
        <w:ind w:left="1280" w:right="140" w:hanging="190"/>
        <w:spacing w:after="0" w:line="260"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As of December 31, 2006, WM Holdings, one of WMI’s wholly-owned subsidiaries,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liability has been recorded for these guarantees because the underlying obligations are reflected in our Consolidated Balance Sheets. See Note 22 for further information.</w:t>
      </w:r>
    </w:p>
    <w:p>
      <w:pPr>
        <w:spacing w:after="0" w:line="20"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WMI and WM Holdings have guaranteed the tax-exempt bonds and other debt obligations of their subsidiaries. If a subsidiary fails to meet its obligations associated with its debt agreements as they come due, WMI or WM Holdings will be required to perform under the related guarantee agreement. No additional liability has been recorded for these guarantees because the underlying obligations are reflected in our Consolidated Balance Sheets. See Note 7 for information related to the balances and maturities of our tax-exempt bonds.</w:t>
      </w:r>
    </w:p>
    <w:p>
      <w:pPr>
        <w:spacing w:after="0" w:line="20"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Consolidated Balance Sheets. As of December 31, 2006, our maximum future payments associated with these guarantees are approximately $20 million. We do not believe that it is likely that we will be required to perform under these guarantees.</w:t>
      </w:r>
    </w:p>
    <w:p>
      <w:pPr>
        <w:spacing w:after="0" w:line="17" w:lineRule="exact"/>
        <w:rPr>
          <w:rFonts w:ascii="Arial" w:cs="Arial" w:eastAsia="Arial" w:hAnsi="Arial"/>
          <w:sz w:val="13"/>
          <w:szCs w:val="13"/>
          <w:color w:val="auto"/>
        </w:rPr>
      </w:pPr>
    </w:p>
    <w:p>
      <w:pPr>
        <w:ind w:left="1280" w:right="240" w:hanging="190"/>
        <w:spacing w:after="0" w:line="264"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December 31, 2006, we had $641 million in outstanding letters of credit under these facilities.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280" w:hanging="190"/>
        <w:spacing w:after="0" w:line="320" w:lineRule="auto"/>
        <w:tabs>
          <w:tab w:leader="none" w:pos="1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25" w:lineRule="exact"/>
        <w:rPr>
          <w:rFonts w:ascii="Arial" w:cs="Arial" w:eastAsia="Arial" w:hAnsi="Arial"/>
          <w:sz w:val="12"/>
          <w:szCs w:val="12"/>
          <w:color w:val="auto"/>
        </w:rPr>
      </w:pPr>
    </w:p>
    <w:p>
      <w:pPr>
        <w:ind w:left="1280" w:right="180" w:hanging="190"/>
        <w:spacing w:after="0" w:line="260"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Certain of our subsidiaries have guaranteed the market value of certain homeowners’ properties that are adjacent to certain of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59"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rFonts w:ascii="Arial" w:cs="Arial" w:eastAsia="Arial" w:hAnsi="Arial"/>
          <w:sz w:val="13"/>
          <w:szCs w:val="13"/>
          <w:color w:val="auto"/>
        </w:rPr>
      </w:pPr>
    </w:p>
    <w:p>
      <w:pPr>
        <w:ind w:left="1280" w:right="120" w:hanging="190"/>
        <w:spacing w:after="0" w:line="322" w:lineRule="auto"/>
        <w:tabs>
          <w:tab w:leader="none" w:pos="12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59"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i w:val="1"/>
          <w:iCs w:val="1"/>
          <w:color w:val="auto"/>
        </w:rPr>
        <w:t xml:space="preserve">Environmental matters </w:t>
      </w:r>
      <w:r>
        <w:rPr>
          <w:rFonts w:ascii="Arial" w:cs="Arial" w:eastAsia="Arial" w:hAnsi="Arial"/>
          <w:sz w:val="11"/>
          <w:szCs w:val="11"/>
          <w:color w:val="auto"/>
        </w:rPr>
        <w:t>— Our business is intrinsically connected with the protection of the environment. As such, a significant portion of our operating costs and capital expenditures</w:t>
      </w:r>
      <w:r>
        <w:rPr>
          <w:rFonts w:ascii="Arial" w:cs="Arial" w:eastAsia="Arial" w:hAnsi="Arial"/>
          <w:sz w:val="11"/>
          <w:szCs w:val="11"/>
          <w:i w:val="1"/>
          <w:iCs w:val="1"/>
          <w:color w:val="auto"/>
        </w:rPr>
        <w:t xml:space="preserve"> </w:t>
      </w:r>
      <w:r>
        <w:rPr>
          <w:rFonts w:ascii="Arial" w:cs="Arial" w:eastAsia="Arial" w:hAnsi="Arial"/>
          <w:sz w:val="11"/>
          <w:szCs w:val="11"/>
          <w:color w:val="auto"/>
        </w:rPr>
        <w:t>could be characterized as costs of environmental protection. Such costs may increase in the future as a result of legislation or regulation. However, we believe that we tend to benefit when environmental regulation increases, because such regulations increase the demand for our services, and we have the resources and experience to manage environmental risk.</w:t>
      </w:r>
    </w:p>
    <w:p>
      <w:pPr>
        <w:spacing w:after="0" w:line="3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of December 31, 2006, we had been notified that we are a PRP in connection with 75 locations listed on the EPA’s National Priorities List (“NPL”). Of the 75 sites at which claims have been made against us, 16 are sites we own. Each of the NPL sites we own were initially developed by others as land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59 NPL sites at which claims have been made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against us and that we do not own are at different procedural stages under the Comprehensive Environmental Response, Compensation and Liability Act of 1980, as amended, which is known as CERCLA or Superfund.</w:t>
      </w:r>
    </w:p>
    <w:p>
      <w:pPr>
        <w:spacing w:after="0" w:line="59"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more information regarding commitments and contingencies with respect to environmental matters, see Note 3.</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December 1999, an individual brought an action against WMI, five former officers of WM Holdings, and WM Holdings’ former independent auditor,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in Illinois, but in 2006 agreed to the matter being held in state court as originally filed. The Company believes that recent U.S. Supreme Court decisions in other cases require the Illinois trial court to rule this matter cannot proceed as a class action. Only limited discovery has occurred and the defendants continue to defend themselves vigorously. The extent of possible damages, if any, in this action cannot yet be determined.</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2000 and 2001, respectively, two separate lawsuits were filed in Texas state court against WMI and certain former officers of WMI alleging that the plaintiffs were substantial holders of the Company’s common stock who intended to sell their stock in 1999, or to otherwise protect themselves against loss, but that statements the defendants made regarding the Company’s prospects were false and misleading and induced the plaintiffs to retain their stock or not to take other protective measures. The plaintiffs asserted that the value of their retained stock declined dramatically and that they incurred significant losses. The first of these cases was dismissed by summary judgment by a Texas state court in March 2002. The plaintiffs appealed the dismissal to the highest state court in Texas, which in 2006 declined to hear the case. The plaintiff in the second case, which was stayed pending resolution of the first case, filed a motion for non-suit, thereby ending the case against us.</w:t>
      </w:r>
    </w:p>
    <w:p>
      <w:pPr>
        <w:spacing w:after="0" w:line="72"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2000, we sold our interest in a joint venture in Mexico. In 2002, the purchaser of the interest brought a claim against the Company generally involving the value of the joint venture, and seeking a variety of remedies ranging from monetary damages to unwinding the sale of the assets. The matter was fully tried in an international arbitration and in the fourth quarter of 2006 we received a final ruling obligating us to pay approximately $29 million, which includes monetary damages plus substantial interest dating back to 2000 plus certain fees and expenses.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From time to time, we pay fines or penalties in environmental proceedings relating primarily to waste treatment, storage or disposal facilities. As of December 31, 2006, there were four proceedings involving our subsidiaries where we reasonably believe that the sanctions could exceed $100,000. The matters involve allegations that subsidiaries (i) failed to comply with air permit, air emission limit and leachate storage requirements at an operating landfill; (ii) violated a number of state solid waste regulations and permit conditions and federal air regulations at an operating landfill; (iii) failed to meet reporting requirements under federal air regulations at an operating landfill; and (iv) failed to perform state emissions tests for diesel-powered vehicles. We do not believe that the fines or other penalties in any of these matters will, individually or in the aggregate, have a material adverse effect on our financial condition or results of operations.</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5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WMI’s charter and bylaws currently require indemnification of and advancement of expenses to its officers and directors if these standards have been met and previously required indemnification of and advancement of expenses to all employees if the standards were met. Additionally, WMI has entered into separate indemnification agreements with each of the members of its Board of Directors as well as its Chief Executive Officer, its President and its Chief Financial Officer. The charter and bylaw documents of certain of WMI’s subsidiaries, including WM Holdings, also include similar indemnification provisions, and some subsidiaries, including WM Holdings, entered into separate indemnification agreements with their officers and directors prior to our acquisition of them that provide for even greater rights and protections for the individuals than WMI’s charter and bylaws.</w:t>
      </w:r>
    </w:p>
    <w:p>
      <w:pPr>
        <w:spacing w:after="0" w:line="74"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Company’s obligations to indemnify and advance expenses are determined based on the governing documents in effect and the status of the individual at the time the actions giving rise to the claim occurred. As a result, we may have obligations to individuals after they leave the Company and also may have obligations to individuals that are or were employees of the Company, but who were neither an officer or a director, even though the current documents only require indemnification and advancement to officers and directors. The Company may incur substantial expenses in connection with the fulfillment of its advancement of costs and indemnification obligations in connection with current actions involving former officers of the Company or its subsidiaries or other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actions or proceedings that may be brought against its former or current officers, directors and employees in the future.</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We are currently under audit by the IRS and from time to time are audited by other taxing authorities. We fully cooperate with all audits, but defend our positions</w:t>
      </w:r>
      <w:r>
        <w:rPr>
          <w:rFonts w:ascii="Arial" w:cs="Arial" w:eastAsia="Arial" w:hAnsi="Arial"/>
          <w:sz w:val="12"/>
          <w:szCs w:val="12"/>
          <w:i w:val="1"/>
          <w:iCs w:val="1"/>
          <w:color w:val="auto"/>
        </w:rPr>
        <w:t xml:space="preserve"> </w:t>
      </w:r>
      <w:r>
        <w:rPr>
          <w:rFonts w:ascii="Arial" w:cs="Arial" w:eastAsia="Arial" w:hAnsi="Arial"/>
          <w:sz w:val="12"/>
          <w:szCs w:val="12"/>
          <w:color w:val="auto"/>
        </w:rPr>
        <w:t>vigorously. Our audits are in various stages of completion. We have concluded several audits in the last two years. During the second quarter of 2006, we concluded the IRS audit for the years 2002 and 2003. The current period financial statement impact of concluding various audits is discussed in Note 8. In addition, we are in the examination phase of an IRS audit for the years 2004 and 2005. We expect this audit to be completed within the next 12 months. To provide for certain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discussed in Note 7, we have approximately $2.8 billion of tax-exempt financings as of December 31, 2006.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Unclaimed property audits </w:t>
      </w:r>
      <w:r>
        <w:rPr>
          <w:rFonts w:ascii="Arial" w:cs="Arial" w:eastAsia="Arial" w:hAnsi="Arial"/>
          <w:sz w:val="12"/>
          <w:szCs w:val="12"/>
          <w:color w:val="auto"/>
        </w:rPr>
        <w:t>— We are currently undergoing unclaimed property audits, which are being conducted by various state authorities. The property subject to review in this</w:t>
      </w:r>
      <w:r>
        <w:rPr>
          <w:rFonts w:ascii="Arial" w:cs="Arial" w:eastAsia="Arial" w:hAnsi="Arial"/>
          <w:sz w:val="12"/>
          <w:szCs w:val="12"/>
          <w:i w:val="1"/>
          <w:iCs w:val="1"/>
          <w:color w:val="auto"/>
        </w:rPr>
        <w:t xml:space="preserve"> </w:t>
      </w:r>
      <w:r>
        <w:rPr>
          <w:rFonts w:ascii="Arial" w:cs="Arial" w:eastAsia="Arial" w:hAnsi="Arial"/>
          <w:sz w:val="12"/>
          <w:szCs w:val="12"/>
          <w:color w:val="auto"/>
        </w:rPr>
        <w:t>audit process generally includes unclaimed wages, vendor payments and customer refunds. State escheat laws generally require entities to report and remit abandoned and unclaimed property. Failure to timely report and remit the property can result in assessments that include substantial interest and penalties, in addition to the payment of the escheat liability itself. During 2006, we submitted unclaimed property filings with all states. As a result of our findings, we determined that we had estimated unrecorded obligations associated with unclaimed property of approximately $20 million for escheatable items for various periods between 1980 and 2004. Our “Selling, general and administrative” expenses for the year ended December 31, 2006 include the charge required to record these obligations. During 2006, we also recognized $1 million of estimated interest obligations associated with our findings, which has been included in “Interest expense” in our Consolidated Statement of Operations. We have determined that the impact of these adjustments is not material to current or prior periods’ results of operations. Although we cannot currently estimate the potential financial impacts that any remaining audit findings may have, we do not expect any resulting obligations to have a material adverse effect on our consolidated results of operations or cash flows.</w:t>
      </w:r>
    </w:p>
    <w:p>
      <w:pPr>
        <w:spacing w:after="0" w:line="135" w:lineRule="exact"/>
        <w:rPr>
          <w:sz w:val="20"/>
          <w:szCs w:val="20"/>
          <w:color w:val="auto"/>
        </w:rPr>
      </w:pPr>
    </w:p>
    <w:p>
      <w:pPr>
        <w:ind w:left="1180" w:hanging="493"/>
        <w:spacing w:after="0"/>
        <w:tabs>
          <w:tab w:leader="none" w:pos="118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2005 Restructuring and Workforce Reduction </w:t>
      </w:r>
      <w:r>
        <w:rPr>
          <w:rFonts w:ascii="Arial" w:cs="Arial" w:eastAsia="Arial" w:hAnsi="Arial"/>
          <w:sz w:val="13"/>
          <w:szCs w:val="13"/>
          <w:color w:val="auto"/>
        </w:rPr>
        <w:t>— During the third quarter of 2005, we reorganized and simplified our management structure by reducing our Group and corporate</w:t>
      </w:r>
      <w:r>
        <w:rPr>
          <w:rFonts w:ascii="Arial" w:cs="Arial" w:eastAsia="Arial" w:hAnsi="Arial"/>
          <w:sz w:val="13"/>
          <w:szCs w:val="13"/>
          <w:i w:val="1"/>
          <w:iCs w:val="1"/>
          <w:color w:val="auto"/>
        </w:rPr>
        <w:t xml:space="preserve"> </w:t>
      </w:r>
      <w:r>
        <w:rPr>
          <w:rFonts w:ascii="Arial" w:cs="Arial" w:eastAsia="Arial" w:hAnsi="Arial"/>
          <w:sz w:val="13"/>
          <w:szCs w:val="13"/>
          <w:color w:val="auto"/>
        </w:rPr>
        <w:t>office staffing levels. This reorganization increases the accountability and responsibility of our Market Areas and allows us to streamline business decisions and to reduce costs at the Group and Corporate offices. Additionally, as part of our restructuring, the responsibility for the management of our Canadian operations has been assumed by our Eastern, Midwest and Western Groups, thus eliminating the Canadian Group. See discussion at Note 20.</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reorganization eliminated about 600 employee positions throughout the Company. In 2005, we recorded $28 million for costs associated with the implementation of the new structure. These 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Through December 31, 2006, we paid $24 million of the employee severance and benefit costs incurred as a result of this restructuring. Approximately $6 million and $18 million of these payments were made during 2006 and 2005, respectively. As of December 31, 2006, approximately $1 million of the related accrual remained for employee severance and benefit costs. The length of time we are obligated to make severance payments varies, with the longest obligation continuing through the third quarter of 2007.</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640" w:type="dxa"/>
            <w:vAlign w:val="bottom"/>
          </w:tcPr>
          <w:p>
            <w:pPr>
              <w:ind w:left="400"/>
              <w:spacing w:after="0"/>
              <w:rPr>
                <w:sz w:val="20"/>
                <w:szCs w:val="20"/>
                <w:color w:val="auto"/>
              </w:rPr>
            </w:pPr>
            <w:r>
              <w:rPr>
                <w:rFonts w:ascii="Arial" w:cs="Arial" w:eastAsia="Arial" w:hAnsi="Arial"/>
                <w:sz w:val="13"/>
                <w:szCs w:val="13"/>
                <w:color w:val="auto"/>
              </w:rPr>
              <w:t>The following table summarizes the total costs recorded to date for this restructuring by our current reportable segments (in millions):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Recycling</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Corporate</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11</w:t>
            </w:r>
          </w:p>
        </w:tc>
        <w:tc>
          <w:tcPr>
            <w:tcW w:w="100" w:type="dxa"/>
            <w:vAlign w:val="bottom"/>
            <w:shd w:val="clear" w:color="auto" w:fill="CCEEFF"/>
          </w:tcPr>
          <w:p>
            <w:pPr>
              <w:spacing w:after="0"/>
              <w:rPr>
                <w:sz w:val="13"/>
                <w:szCs w:val="13"/>
                <w:color w:val="auto"/>
              </w:rPr>
            </w:pPr>
          </w:p>
        </w:tc>
      </w:tr>
      <w:tr>
        <w:trPr>
          <w:trHeight w:val="166"/>
        </w:trPr>
        <w:tc>
          <w:tcPr>
            <w:tcW w:w="9640" w:type="dxa"/>
            <w:vAlign w:val="bottom"/>
          </w:tcPr>
          <w:p>
            <w:pPr>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28</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1180" w:hanging="493"/>
        <w:spacing w:after="0"/>
        <w:tabs>
          <w:tab w:leader="none" w:pos="118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(Income) expense from divestitures</w:t>
            </w:r>
          </w:p>
        </w:tc>
        <w:tc>
          <w:tcPr>
            <w:tcW w:w="10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2006</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and third quarters of 2006, we recorded impairment charges of $13 million and $5 million, respectively, for operations we intend to sell 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part of our divestiture program. The charges were required to reduce the carrying values of the operations to their estimated fair values less the cost to sell in accordance with the guidance provided by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for assets to be disposed of by sale.</w:t>
      </w:r>
    </w:p>
    <w:p>
      <w:pPr>
        <w:spacing w:after="0" w:line="67"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During the third and fourth quarters of 2006, we recorded impairment charges of $10 million and $14 million, respectively, for assets and businesses associated with our continuing operations. The charges recognized during the third quarter of 2006 were related to operations in our Recycling and Southern Groups. The charges recognized during the fourth quarter of 2006 were primarily attributable to the impairment of a landfill in our Eastern Group as a result of a change in our expectations for future expansions.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w:t>
      </w:r>
      <w:r>
        <w:rPr>
          <w:rFonts w:ascii="Arial" w:cs="Arial" w:eastAsia="Arial" w:hAnsi="Arial"/>
          <w:sz w:val="13"/>
          <w:szCs w:val="13"/>
          <w:color w:val="auto"/>
        </w:rPr>
        <w:t>— We recognized $44 million of net gains on divestitures during the year ended December 31, 2006, which were direct results of the execution of</w:t>
      </w:r>
      <w:r>
        <w:rPr>
          <w:rFonts w:ascii="Arial" w:cs="Arial" w:eastAsia="Arial" w:hAnsi="Arial"/>
          <w:sz w:val="13"/>
          <w:szCs w:val="13"/>
          <w:i w:val="1"/>
          <w:iCs w:val="1"/>
          <w:color w:val="auto"/>
        </w:rPr>
        <w:t xml:space="preserve"> </w:t>
      </w:r>
      <w:r>
        <w:rPr>
          <w:rFonts w:ascii="Arial" w:cs="Arial" w:eastAsia="Arial" w:hAnsi="Arial"/>
          <w:sz w:val="13"/>
          <w:szCs w:val="13"/>
          <w:color w:val="auto"/>
        </w:rPr>
        <w:t>our plan to review under-performing or non-strategic operations and to either improve their performance or dispose of the operations. The majority of these net gains was recognized during the second quarter of 2006 and relates to operations located in our Western Group. Total proceeds from divestitures completed during the year ended December 31, 2006 were $184 million, all of which were received in cash.</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During the fourth quarter of 2006, we recognized a charge of approximately $26 million for the impact of an arbitration ruling against us related to the termination of a joint</w:t>
      </w:r>
      <w:r>
        <w:rPr>
          <w:rFonts w:ascii="Arial" w:cs="Arial" w:eastAsia="Arial" w:hAnsi="Arial"/>
          <w:sz w:val="12"/>
          <w:szCs w:val="12"/>
          <w:i w:val="1"/>
          <w:iCs w:val="1"/>
          <w:color w:val="auto"/>
        </w:rPr>
        <w:t xml:space="preserve"> </w:t>
      </w:r>
      <w:r>
        <w:rPr>
          <w:rFonts w:ascii="Arial" w:cs="Arial" w:eastAsia="Arial" w:hAnsi="Arial"/>
          <w:sz w:val="12"/>
          <w:szCs w:val="12"/>
          <w:color w:val="auto"/>
        </w:rPr>
        <w:t>venture relationship in 2000. The party that purchased our interest in the joint venture had sued us, seeking a variety of remedies ranging from monetary damages to unwinding the sale of assets. In the fourth quarter of 2006, the arbitration tribunal ruled in the other party’s favor, awarding them approximately $29 million, which includes monetary damages, interest, and certain fees and expenses. Prior to the ruling, the Company had recorded a reserve of $3 million. For additional information regarding this matter refer to Note 10.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2005</w:t>
      </w:r>
    </w:p>
    <w:p>
      <w:pPr>
        <w:spacing w:after="0" w:line="96" w:lineRule="exact"/>
        <w:rPr>
          <w:sz w:val="20"/>
          <w:szCs w:val="20"/>
          <w:color w:val="auto"/>
        </w:rPr>
      </w:pPr>
    </w:p>
    <w:p>
      <w:pPr>
        <w:ind w:left="680" w:right="160" w:firstLine="399"/>
        <w:spacing w:after="0" w:line="256"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second quarter of 2005, our Eastern Group recorded a $35 million charge for the impairment of the Pottstown Landfill located in West Pottsgrove</w:t>
      </w:r>
      <w:r>
        <w:rPr>
          <w:rFonts w:ascii="Arial" w:cs="Arial" w:eastAsia="Arial" w:hAnsi="Arial"/>
          <w:sz w:val="13"/>
          <w:szCs w:val="13"/>
          <w:i w:val="1"/>
          <w:iCs w:val="1"/>
          <w:color w:val="auto"/>
        </w:rPr>
        <w:t xml:space="preserve"> </w:t>
      </w:r>
      <w:r>
        <w:rPr>
          <w:rFonts w:ascii="Arial" w:cs="Arial" w:eastAsia="Arial" w:hAnsi="Arial"/>
          <w:sz w:val="13"/>
          <w:szCs w:val="13"/>
          <w:color w:val="auto"/>
        </w:rPr>
        <w:t>Township, Pennsylvania. We determined that an impairment was necessary after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w:t>
      </w:r>
    </w:p>
    <w:p>
      <w:pPr>
        <w:spacing w:after="0" w:line="7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Through June 30, 2005, our “Property and equipment” had included approximately $80 million of accumulated costs associated with a revenue management system.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our revenue management system were suspended in 2003. Since that time, there have been changes in the viable software alternatives available to address our current needs. During the third quarter of 2005, we concluded our assessment of potential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During the fourth quarter of 2005, we recognized an $18 million charge for asset impairments. This charge was primarily attributable to the impairment of a landfill in our Eastern Group, as a result of a change in our expectations for future expansions, and the impairment of capitalized software costs related to two applications we decided not to develop further.</w:t>
      </w:r>
    </w:p>
    <w:p>
      <w:pPr>
        <w:spacing w:after="0" w:line="35"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i w:val="1"/>
          <w:iCs w:val="1"/>
          <w:color w:val="auto"/>
        </w:rPr>
        <w:t xml:space="preserve">(Income) expense from divestitures </w:t>
      </w:r>
      <w:r>
        <w:rPr>
          <w:rFonts w:ascii="Arial" w:cs="Arial" w:eastAsia="Arial" w:hAnsi="Arial"/>
          <w:sz w:val="12"/>
          <w:szCs w:val="12"/>
          <w:color w:val="auto"/>
        </w:rPr>
        <w:t>— During the first quarter of 2005, we recognized a $39 million gain as a result of the divestiture of a landfill in Ontario, Canada, which was</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as a result of a Divestiture Order from the Canadian Competition Bureau. During the remainder of 2005, we recognized a total of $40 million in gains as a</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result of the divestiture of operations. With the exception of our divestiture of the Ontario, Canada landfill, our divestitures during 2005 were direct results of the execution of our plan to review under-performing or non-strategic operations and to either improve their performance or dispose of the operations.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Total proceeds from divestitures completed during the year ended December 31, 2005 were $172 million, of which $140 million was received in cash, $23 million was in the form of a note receivable and $9 million was in the form of non-monetary assets.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the first quarter of 2005, we recognized a charge of approximately $16 million for the impact of a litigation settlement reached with a group of stockholders that opted not</w:t>
      </w:r>
      <w:r>
        <w:rPr>
          <w:rFonts w:ascii="Arial" w:cs="Arial" w:eastAsia="Arial" w:hAnsi="Arial"/>
          <w:sz w:val="13"/>
          <w:szCs w:val="13"/>
          <w:i w:val="1"/>
          <w:iCs w:val="1"/>
          <w:color w:val="auto"/>
        </w:rPr>
        <w:t xml:space="preserve"> </w:t>
      </w:r>
      <w:r>
        <w:rPr>
          <w:rFonts w:ascii="Arial" w:cs="Arial" w:eastAsia="Arial" w:hAnsi="Arial"/>
          <w:sz w:val="13"/>
          <w:szCs w:val="13"/>
          <w:color w:val="auto"/>
        </w:rPr>
        <w:t>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 shareholders in settlement of the legacy litigation against the former officers. These charges were partially offset by the recognition of a $12 million net benefit recorded during the year ended December 31, 2005, which was primarily for adjustments to our receivables and estimated obligations for non-solid waste operations divested in 1999 and 2000.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Year Ended December 31, 2004</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2004, the significant items included within “(Income) expense from divestitures, asset impairments and unusual items” were (i) $17 million in impairment losses primarily due to the impairment of certain landfill assets and software development costs; (ii) $12 million in (income) expense from divestitures that primarily related to certain Port-O-Let</w:t>
      </w:r>
      <w:r>
        <w:rPr>
          <w:rFonts w:ascii="Arial" w:cs="Arial" w:eastAsia="Arial" w:hAnsi="Arial"/>
          <w:sz w:val="10"/>
          <w:szCs w:val="10"/>
          <w:color w:val="auto"/>
        </w:rPr>
        <w:t>®</w:t>
      </w:r>
      <w:r>
        <w:rPr>
          <w:rFonts w:ascii="Arial" w:cs="Arial" w:eastAsia="Arial" w:hAnsi="Arial"/>
          <w:sz w:val="12"/>
          <w:szCs w:val="12"/>
          <w:color w:val="auto"/>
        </w:rPr>
        <w:t xml:space="preserve"> operations; and</w:t>
      </w:r>
    </w:p>
    <w:p>
      <w:pPr>
        <w:ind w:left="680" w:right="260" w:firstLine="7"/>
        <w:spacing w:after="0" w:line="264" w:lineRule="auto"/>
        <w:tabs>
          <w:tab w:leader="none" w:pos="909" w:val="left"/>
        </w:tabs>
        <w:numPr>
          <w:ilvl w:val="0"/>
          <w:numId w:val="62"/>
        </w:numPr>
        <w:rPr>
          <w:rFonts w:ascii="Arial" w:cs="Arial" w:eastAsia="Arial" w:hAnsi="Arial"/>
          <w:sz w:val="13"/>
          <w:szCs w:val="13"/>
          <w:color w:val="auto"/>
        </w:rPr>
      </w:pPr>
      <w:r>
        <w:rPr>
          <w:rFonts w:ascii="Arial" w:cs="Arial" w:eastAsia="Arial" w:hAnsi="Arial"/>
          <w:sz w:val="13"/>
          <w:szCs w:val="13"/>
          <w:color w:val="auto"/>
        </w:rPr>
        <w:t>$18 million in miscellaneous net gains, which were primarily for adjustments to our estimated obligations associated with non-solid waste services, which were divested in 1999 and 2000.</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920" w:type="dxa"/>
            <w:vAlign w:val="bottom"/>
          </w:tcPr>
          <w:p>
            <w:pPr>
              <w:ind w:left="220"/>
              <w:spacing w:after="0"/>
              <w:rPr>
                <w:sz w:val="20"/>
                <w:szCs w:val="20"/>
                <w:color w:val="auto"/>
              </w:rPr>
            </w:pPr>
            <w:r>
              <w:rPr>
                <w:rFonts w:ascii="Arial" w:cs="Arial" w:eastAsia="Arial" w:hAnsi="Arial"/>
                <w:sz w:val="13"/>
                <w:szCs w:val="13"/>
                <w:b w:val="1"/>
                <w:bCs w:val="1"/>
                <w:color w:val="auto"/>
              </w:rPr>
              <w:t>Accumulated Other Comprehensive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280" w:type="dxa"/>
            <w:vAlign w:val="bottom"/>
          </w:tcPr>
          <w:p>
            <w:pPr>
              <w:spacing w:after="0"/>
              <w:rPr>
                <w:sz w:val="21"/>
                <w:szCs w:val="21"/>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The components of accumulated other comprehensive income were as follows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2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280" w:type="dxa"/>
            <w:vAlign w:val="bottom"/>
          </w:tcPr>
          <w:p>
            <w:pPr>
              <w:spacing w:after="0"/>
              <w:rPr>
                <w:sz w:val="8"/>
                <w:szCs w:val="8"/>
                <w:color w:val="auto"/>
              </w:rPr>
            </w:pPr>
          </w:p>
        </w:tc>
        <w:tc>
          <w:tcPr>
            <w:tcW w:w="792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8"/>
                <w:szCs w:val="8"/>
                <w:color w:val="auto"/>
              </w:rPr>
            </w:pPr>
          </w:p>
        </w:tc>
        <w:tc>
          <w:tcPr>
            <w:tcW w:w="56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r>
      <w:tr>
        <w:trPr>
          <w:trHeight w:val="29"/>
        </w:trPr>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a tax benefit of $21 for 2006, $17 for 2005 and $32 for 2004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 (27)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w:t>
            </w: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 of $6 for 2006, $3 for 2005 and $2 for 2004</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151</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115</w:t>
            </w: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 of $3 for 2006</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2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13"/>
                <w:szCs w:val="13"/>
                <w:color w:val="auto"/>
              </w:rPr>
            </w:pPr>
          </w:p>
        </w:tc>
        <w:tc>
          <w:tcPr>
            <w:tcW w:w="79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129</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r>
      <w:tr>
        <w:trPr>
          <w:trHeight w:val="29"/>
        </w:trPr>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Share Repurchases and Dividends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jc w:val="both"/>
        <w:ind w:left="680" w:right="360" w:firstLine="399"/>
        <w:spacing w:after="0" w:line="260" w:lineRule="auto"/>
        <w:rPr>
          <w:sz w:val="20"/>
          <w:szCs w:val="20"/>
          <w:color w:val="auto"/>
        </w:rPr>
      </w:pPr>
      <w:r>
        <w:rPr>
          <w:rFonts w:ascii="Arial" w:cs="Arial" w:eastAsia="Arial" w:hAnsi="Arial"/>
          <w:sz w:val="13"/>
          <w:szCs w:val="13"/>
          <w:color w:val="auto"/>
        </w:rPr>
        <w:t>As of December 31, 2006, we have 533.7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2004, our Board of Directors approved a capital allocation plan that allows for up to $1.2 billion in annual share repurchases, net of dividends, for 2005 through 2007. In June 2006, our Board of Directors approved up to $350 million of additional share repurchases for 2006, increasing the maximum amount of capital to be allocated to our share repurchases and dividend payments for 2006 to $1.55 billion. All share repurchases in 2005 and 2006 have been made pursuant to these Board authorized capital allocation plans. Share repurchases during 2004 were made in accordance with a similar capital allocation plan, which authorized up to $1.0 billion in annual share repurchases, net of dividends.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year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2006</w:t>
            </w:r>
          </w:p>
        </w:tc>
        <w:tc>
          <w:tcPr>
            <w:tcW w:w="17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2005</w:t>
            </w:r>
          </w:p>
        </w:tc>
        <w:tc>
          <w:tcPr>
            <w:tcW w:w="168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2004</w:t>
            </w:r>
          </w:p>
        </w:tc>
      </w:tr>
      <w:tr>
        <w:trPr>
          <w:trHeight w:val="29"/>
        </w:trPr>
        <w:tc>
          <w:tcPr>
            <w:tcW w:w="5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30,965</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24,727</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16,541</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Per share purchase price</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$32.23-$38.49</w:t>
            </w:r>
          </w:p>
        </w:tc>
        <w:tc>
          <w:tcPr>
            <w:tcW w:w="1700" w:type="dxa"/>
            <w:vAlign w:val="bottom"/>
            <w:gridSpan w:val="2"/>
          </w:tcPr>
          <w:p>
            <w:pPr>
              <w:jc w:val="center"/>
              <w:ind w:left="238"/>
              <w:spacing w:after="0"/>
              <w:rPr>
                <w:sz w:val="20"/>
                <w:szCs w:val="20"/>
                <w:color w:val="auto"/>
              </w:rPr>
            </w:pPr>
            <w:r>
              <w:rPr>
                <w:rFonts w:ascii="Arial" w:cs="Arial" w:eastAsia="Arial" w:hAnsi="Arial"/>
                <w:sz w:val="13"/>
                <w:szCs w:val="13"/>
                <w:color w:val="auto"/>
                <w:w w:val="90"/>
              </w:rPr>
              <w:t>$27.01-$30.67</w:t>
            </w:r>
          </w:p>
        </w:tc>
        <w:tc>
          <w:tcPr>
            <w:tcW w:w="168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$26.32-$30.79</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$1,072</w:t>
            </w:r>
          </w:p>
        </w:tc>
        <w:tc>
          <w:tcPr>
            <w:tcW w:w="17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89"/>
              </w:rPr>
              <w:t>$706</w:t>
            </w:r>
          </w:p>
        </w:tc>
        <w:tc>
          <w:tcPr>
            <w:tcW w:w="16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9"/>
              </w:rPr>
              <w:t>$472</w:t>
            </w:r>
          </w:p>
        </w:tc>
      </w:tr>
    </w:tbl>
    <w:p>
      <w:pPr>
        <w:spacing w:after="0" w:line="8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2006 share repurchase activity includes $291 million paid to repurchase our common stock through an accelerated share repurchase transaction. The number of shares we repurchased under the accelerated repurchase transaction was determined by dividing $275 million by the fair market value of our common stock on the repurchase date. At the end of the valuation period, which was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71"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December 2006, we entered into a plan under SEC Rule 10b5-1 to effect market purchases of our common stock. These common stock repurchases were made in accordance with our Board approved capital allocation program, which authorizes up to $1.2 billion to be returned to shareholders in the form of share repurchases and dividends. We repurchased $72 million of our common stock pursuant to the plan, which was completed on February 9,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In August 2003, our Board of Directors approved our quarterly dividend program, which began in the first quarter of 2004. Our quarterly dividends have been declared by our Board of Directors and paid in accordance with the capital allocation programs discussed above. The following is a summary of dividends declared and paid each year (in millions, except per share amounts):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2004</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per common share: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0.66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0.75</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0.75</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Total cash dividends: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w:t>
            </w:r>
          </w:p>
        </w:tc>
      </w:tr>
      <w:tr>
        <w:trPr>
          <w:trHeight w:val="165"/>
        </w:trPr>
        <w:tc>
          <w:tcPr>
            <w:tcW w:w="7900" w:type="dxa"/>
            <w:vAlign w:val="bottom"/>
          </w:tcPr>
          <w:p>
            <w:pPr>
              <w:ind w:left="140"/>
              <w:spacing w:after="0"/>
              <w:rPr>
                <w:sz w:val="20"/>
                <w:szCs w:val="20"/>
                <w:color w:val="auto"/>
              </w:rPr>
            </w:pPr>
            <w:r>
              <w:rPr>
                <w:rFonts w:ascii="Arial" w:cs="Arial" w:eastAsia="Arial" w:hAnsi="Arial"/>
                <w:sz w:val="13"/>
                <w:szCs w:val="13"/>
                <w:color w:val="auto"/>
              </w:rPr>
              <w:t>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476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  In 2005, the cash dividend declared amounts included the Board of Directors’ declaration of the first quarterly dividend for 2006 of $0.22 per share, or $122 million.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December 2006, our Board of Directors authorized an increase in the per share quarterly dividend, from $0.22 to $0.24, for anticipated dividend declarations to be made in 2007. However, all future dividend declarations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are at the discretion of the Board of Directors, and depend on various factors, including our net earnings, financial condition, cash required for future prospects and other factors the Board may deem relevant.</w:t>
      </w:r>
    </w:p>
    <w:p>
      <w:pPr>
        <w:spacing w:after="0" w:line="134" w:lineRule="exact"/>
        <w:rPr>
          <w:sz w:val="20"/>
          <w:szCs w:val="20"/>
          <w:color w:val="auto"/>
        </w:rPr>
      </w:pPr>
    </w:p>
    <w:p>
      <w:pPr>
        <w:ind w:left="1180" w:hanging="493"/>
        <w:spacing w:after="0"/>
        <w:tabs>
          <w:tab w:leader="none" w:pos="118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or last day of such offering period. The purchases are made through payroll deductions, and the number of shares that may be purchased is limited by IRS regulations. The total number of shares issued under the plan for the offering periods in each of 2006, 2005 and 2004 was approximately 644,000, 675,000, and 654,000, respectively. Including the impact of the January 2007 issuance of shares associated with the July to December 2006 offering period, approximately 2.0 million shares remain available for issuance under the plan.</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Employee Stock Purchase Plan is “compensatory” under the provisions of SFAS No. 123(R). Accordingly, beginning with our adoption of SFAS No. 123(R) on January 1, 2006 we recognize compensation expense associated with our employees’ participation in the Stock Purchase Plan. For 2006 our Employee Stock Purchase Plan increased annual compensation expense by approximately $5 million, or $3 million net of tax.</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Incentive Plans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our stock incentive plan, we have the ability to issue stock options, stock awards and stock appreciation rights, all on terms and conditions determined by the Management Development and Compensation Committee of our Board of Directors.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January 1, 2004, we had two plans under which we granted stock options and restricted stock awards: the 2000 Stock Incentive Plan and the 2000 Broad-Based Plan. These two plans allowed for grants of stock options, appreciation rights and stock awards to key employees, except grants under the 2000 Broad-Based Plan could not be made to any executive officer. All of the options granted under these plans had exercise prices equal to the fair market value as of the date of the grant, expired no later than ten years from the date of grant and vested ratably over a four or five-year period.</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Since May 2004, all stock-based compensation awards described herein have been made under the Company’s 2004 Stock Incentive Plan, which authorizes the issuance of a maximum of 34 million shares of our common stock. Upon adoption by the Management Development and Compensation Committee of the Board of Directors and the approval by the stockholders of the 2004 Stock Incentive Plan at the 2004 Annual Meeting of stockholders, all of the Company’s other stock-based incentive plans were terminated, with the exception of the 2000 Broad-Based Employee Plan. The Broad-Based Employee Plan was not required to be approved by stockholders, as no executive officers of the Company may receive any grants under the plan. However, only approximately 100,000 shares remain available for issuance under that plan. We currently utilize treasury shares to meet the needs of our equity-based compensation programs under the 2004 Stock Incentive Plan and to settle outstanding awards granted pursuant to previous incentive plans. During 2005 and 2006, the primary forms of equity-based compensation granted to our employees under our long-term incentive programs were restricted stock units and performance share units.</w:t>
      </w:r>
    </w:p>
    <w:p>
      <w:pPr>
        <w:spacing w:after="0" w:line="5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Additionally, as a result of both the changes in accounting required by SFAS No. 123(R) for share-based payments and a desire to design our long-term incentive plans in a manner that creates a stronger link to operating and market performance, the Management Development and Compensation Committee approved a substantial change in the form of awards that we grant. As discussed above, through December 31, 2004, stock option awards were the primary form of equity-based compensation. Beginning in 2005, annual stock option grants were replaced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with either (i) grants of restricted stock units and performance share units or (ii) an enhanced cash compensation award. Stock option grants in connection with new hires and promotions were replaced with grants of restricted stock units.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 During the year ended December 31, 2006, we granted approximately 755,000 restricted stock units. These restricted stock units provide the award recipients</w:t>
      </w:r>
      <w:r>
        <w:rPr>
          <w:rFonts w:ascii="Arial" w:cs="Arial" w:eastAsia="Arial" w:hAnsi="Arial"/>
          <w:sz w:val="12"/>
          <w:szCs w:val="12"/>
          <w:i w:val="1"/>
          <w:iCs w:val="1"/>
          <w:color w:val="auto"/>
        </w:rPr>
        <w:t xml:space="preserve"> </w:t>
      </w:r>
      <w:r>
        <w:rPr>
          <w:rFonts w:ascii="Arial" w:cs="Arial" w:eastAsia="Arial" w:hAnsi="Arial"/>
          <w:sz w:val="12"/>
          <w:szCs w:val="12"/>
          <w:color w:val="auto"/>
        </w:rPr>
        <w:t>with dividend equivalents during the vesting period, but the units may not be voted or sold until time-based vesting restrictions have lapsed. The restricted stock units vest ratably over a four-year period, and unvested units are subject to forfeiture in the event of voluntary or for-cause termination. These restricted stock units are subject to pro-rata vesting upon an employee’s retirement or involuntary termination other than for cause and become immediately vested in the event of an employee’s death or disability.</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restricted stock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7"/>
          </w:tcPr>
          <w:p>
            <w:pPr>
              <w:ind w:left="180"/>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2005</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2004</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rPr>
              <w:t>Fair</w:t>
            </w:r>
          </w:p>
        </w:tc>
        <w:tc>
          <w:tcPr>
            <w:tcW w:w="220" w:type="dxa"/>
            <w:vAlign w:val="bottom"/>
          </w:tcPr>
          <w:p>
            <w:pPr>
              <w:spacing w:after="0"/>
              <w:rPr>
                <w:sz w:val="9"/>
                <w:szCs w:val="9"/>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5"/>
              </w:rPr>
              <w:t>Units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4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22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4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29.04</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29.60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755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31.82</w:t>
            </w: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762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28.97</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80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29.11</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28.97</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30.85</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(68)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28.97</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30.63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60" w:hanging="235"/>
        <w:spacing w:after="0" w:line="276" w:lineRule="auto"/>
        <w:tabs>
          <w:tab w:leader="none" w:pos="11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total fair market value of the shares issued upon the vesting of restricted stock units during the year ended December 31, 2006 was $7 million. This amount was not material in 2005.</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Performance share units </w:t>
      </w:r>
      <w:r>
        <w:rPr>
          <w:rFonts w:ascii="Arial" w:cs="Arial" w:eastAsia="Arial" w:hAnsi="Arial"/>
          <w:sz w:val="13"/>
          <w:szCs w:val="13"/>
          <w:color w:val="auto"/>
        </w:rPr>
        <w:t>— During the year ended December 31, 2006, we granted approximately 724,000 performance share units. The performance share units are payable in</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common stock based on the achievement of certain financial measures, after the end of a three-year performance period. Performance share units do not provide award recipients with either dividend equivalents or voting rights during the required performance period. These performance share units are payable to an employee (or his beneficiary) upon death or disability as if that employee had remained employed until the end of the performance period, subject to pro-rata vesting upon an employee’s retirement or involuntary termination other than for cause and subject to forfeiture in the event of voluntary or for-cause termination.</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Compensation expense associated with performance share units that continue to vest based on future performance is measured based on the grant-date fair value of our common stock, net of the present value of expected dividend payments on our common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performance share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7"/>
          </w:tcPr>
          <w:p>
            <w:pPr>
              <w:ind w:left="180"/>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2005</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2004</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rPr>
              <w:t>Fair</w:t>
            </w:r>
          </w:p>
        </w:tc>
        <w:tc>
          <w:tcPr>
            <w:tcW w:w="220" w:type="dxa"/>
            <w:vAlign w:val="bottom"/>
          </w:tcPr>
          <w:p>
            <w:pPr>
              <w:spacing w:after="0"/>
              <w:rPr>
                <w:sz w:val="9"/>
                <w:szCs w:val="9"/>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5"/>
              </w:rPr>
              <w:t>Units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22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4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27.05</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N/A</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Granted</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724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31.93</w:t>
            </w:r>
          </w:p>
        </w:tc>
        <w:tc>
          <w:tcPr>
            <w:tcW w:w="660" w:type="dxa"/>
            <w:vAlign w:val="bottom"/>
            <w:gridSpan w:val="3"/>
          </w:tcPr>
          <w:p>
            <w:pPr>
              <w:jc w:val="right"/>
              <w:ind w:right="140"/>
              <w:spacing w:after="0"/>
              <w:rPr>
                <w:sz w:val="20"/>
                <w:szCs w:val="20"/>
                <w:color w:val="auto"/>
              </w:rPr>
            </w:pPr>
            <w:r>
              <w:rPr>
                <w:rFonts w:ascii="Arial" w:cs="Arial" w:eastAsia="Arial" w:hAnsi="Arial"/>
                <w:sz w:val="13"/>
                <w:szCs w:val="13"/>
                <w:color w:val="auto"/>
              </w:rPr>
              <w:t>760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27.05</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27</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29.21</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N/A</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Forfeited</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30.80</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(67)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27.05</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29.52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color w:val="auto"/>
        </w:rPr>
        <w:t>For the year ended December 31, 2006, we recognized $21 million of compensation expense associated with restricted stock unit and performance share unit awards as a component of “Selling, general and administrative” expenses in our Consolidated Statement of Operations. Our “Provision for (benefit from) income taxes” for the year ended December 31, 2006 includes a related deferred income tax benefit of $8 million. We have not capitalized any equity-based compensation costs during the year ended December 31, 2006. As of December 31, 2006, we estimate that a total of approximately $48 million of currently unrecognized compensation expense will be recognized in future periods for unvested restricted stock unit and performance share unit awards issued and outstanding. This expense is expected to be recognized over a weighted average period of approximately 2.5 years.</w:t>
      </w:r>
    </w:p>
    <w:p>
      <w:pPr>
        <w:spacing w:after="0" w:line="55"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 Prior to 2005, stock options were the primary form of equity-based compensation we granted to our employees. On December 16, 2005, the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and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future non-cash compensation expense that we would have otherwise recorded as a result of our January 1, 2006 adoption of SFAS No. 123(R). We estimate that the acceleration eliminated approximately $55 million of pre-tax compensation charges that would have been recognized over 2006, 2007 and 2008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options is presented in the table below (shares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2006</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2004</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Exercise</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2"/>
              </w:rPr>
              <w:t>Exercise</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Beginning of year</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33,004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41,971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45,949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Granted</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37.42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29.17</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8,985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Exercised(a)</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(9,576)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Forfeited or expired</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(493)</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43.47</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(3,059)</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31.45</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(3,387)</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End of year(b)</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21,779</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33,004</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41,971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Arial" w:cs="Arial" w:eastAsia="Arial" w:hAnsi="Arial"/>
                <w:sz w:val="13"/>
                <w:szCs w:val="13"/>
                <w:color w:val="auto"/>
              </w:rPr>
              <w:t>Exercisable, End of year(b)</w:t>
            </w: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29.49</w:t>
            </w: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28.06</w:t>
            </w: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29.45</w:t>
            </w: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21,694</w:t>
            </w:r>
          </w:p>
        </w:tc>
        <w:tc>
          <w:tcPr>
            <w:tcW w:w="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33,004</w:t>
            </w:r>
          </w:p>
        </w:tc>
        <w:tc>
          <w:tcPr>
            <w:tcW w:w="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21,191</w:t>
            </w:r>
          </w:p>
        </w:tc>
        <w:tc>
          <w:tcPr>
            <w:tcW w:w="3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119380</wp:posOffset>
            </wp:positionV>
            <wp:extent cx="8235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8" w:lineRule="exact"/>
        <w:rPr>
          <w:sz w:val="20"/>
          <w:szCs w:val="20"/>
          <w:color w:val="auto"/>
        </w:rPr>
      </w:pPr>
    </w:p>
    <w:p>
      <w:pPr>
        <w:ind w:left="1000" w:hanging="252"/>
        <w:spacing w:after="0"/>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aggregate intrinsic value of stock options exercised during the years ended December 31, 2006, 2005 and 2004 was $112 million, $41 million and $90 million, respectively.</w:t>
      </w:r>
    </w:p>
    <w:p>
      <w:pPr>
        <w:spacing w:after="0" w:line="47" w:lineRule="exact"/>
        <w:rPr>
          <w:rFonts w:ascii="Arial" w:cs="Arial" w:eastAsia="Arial" w:hAnsi="Arial"/>
          <w:sz w:val="13"/>
          <w:szCs w:val="13"/>
          <w:color w:val="auto"/>
        </w:rPr>
      </w:pPr>
    </w:p>
    <w:p>
      <w:pPr>
        <w:ind w:left="1000" w:right="1120" w:hanging="259"/>
        <w:spacing w:after="0" w:line="276" w:lineRule="auto"/>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Stock options exercisable as of December 31, 2006 have a weighted average remaining contractual term of 4.6 years and an aggregate intrinsic value of $196 million based on the market value of our common stock on December 31, 2006.</w:t>
      </w:r>
    </w:p>
    <w:p>
      <w:pPr>
        <w:spacing w:after="0" w:line="59" w:lineRule="exact"/>
        <w:rPr>
          <w:sz w:val="20"/>
          <w:szCs w:val="20"/>
          <w:color w:val="auto"/>
        </w:rPr>
      </w:pPr>
    </w:p>
    <w:p>
      <w:pPr>
        <w:ind w:left="680" w:right="940" w:firstLine="399"/>
        <w:spacing w:after="0" w:line="320" w:lineRule="auto"/>
        <w:rPr>
          <w:sz w:val="20"/>
          <w:szCs w:val="20"/>
          <w:color w:val="auto"/>
        </w:rPr>
      </w:pPr>
      <w:r>
        <w:rPr>
          <w:rFonts w:ascii="Arial" w:cs="Arial" w:eastAsia="Arial" w:hAnsi="Arial"/>
          <w:sz w:val="12"/>
          <w:szCs w:val="12"/>
          <w:color w:val="auto"/>
        </w:rPr>
        <w:t>We received $270 million during the year ended December 31, 2006 from our employees’ stock option exercises. We also realized a tax benefit from these stock option exercises of $42 million. These amounts have been presented in the “Cash flows from financing activities” section of our December 31, 2006 Consolidated Statement of Cash Flows.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Exercisable stock options at December 31, 2006, were as follows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ange of Exercise Prices</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Weighted Average</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Weighted Average</w:t>
            </w:r>
          </w:p>
        </w:tc>
        <w:tc>
          <w:tcPr>
            <w:tcW w:w="0" w:type="dxa"/>
            <w:vAlign w:val="bottom"/>
          </w:tcPr>
          <w:p>
            <w:pPr>
              <w:spacing w:after="0"/>
              <w:rPr>
                <w:sz w:val="1"/>
                <w:szCs w:val="1"/>
                <w:color w:val="auto"/>
              </w:rPr>
            </w:pPr>
          </w:p>
        </w:tc>
      </w:tr>
      <w:tr>
        <w:trPr>
          <w:trHeight w:val="125"/>
        </w:trPr>
        <w:tc>
          <w:tcPr>
            <w:tcW w:w="6000" w:type="dxa"/>
            <w:vAlign w:val="bottom"/>
            <w:vMerge w:val="continue"/>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Remaining Years</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$10.54-$20.00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$20.01-$30.00</w:t>
            </w:r>
          </w:p>
        </w:tc>
        <w:tc>
          <w:tcPr>
            <w:tcW w:w="520" w:type="dxa"/>
            <w:vAlign w:val="bottom"/>
          </w:tcPr>
          <w:p>
            <w:pPr>
              <w:jc w:val="right"/>
              <w:spacing w:after="0"/>
              <w:rPr>
                <w:sz w:val="20"/>
                <w:szCs w:val="20"/>
                <w:color w:val="auto"/>
              </w:rPr>
            </w:pPr>
            <w:r>
              <w:rPr>
                <w:rFonts w:ascii="Arial" w:cs="Arial" w:eastAsia="Arial" w:hAnsi="Arial"/>
                <w:sz w:val="13"/>
                <w:szCs w:val="13"/>
                <w:color w:val="auto"/>
              </w:rPr>
              <w:t>12,861</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26.97</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$30.01-$40.00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34.94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$40.01-$50.00</w:t>
            </w:r>
          </w:p>
        </w:tc>
        <w:tc>
          <w:tcPr>
            <w:tcW w:w="520" w:type="dxa"/>
            <w:vAlign w:val="bottom"/>
          </w:tcPr>
          <w:p>
            <w:pPr>
              <w:jc w:val="right"/>
              <w:spacing w:after="0"/>
              <w:rPr>
                <w:sz w:val="20"/>
                <w:szCs w:val="20"/>
                <w:color w:val="auto"/>
              </w:rPr>
            </w:pPr>
            <w:r>
              <w:rPr>
                <w:rFonts w:ascii="Arial" w:cs="Arial" w:eastAsia="Arial" w:hAnsi="Arial"/>
                <w:sz w:val="13"/>
                <w:szCs w:val="13"/>
                <w:color w:val="auto"/>
              </w:rPr>
              <w:t>2,006</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43.21</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$50.01-$56.44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$10.54-$56.44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21,694</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29.49</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Non-Employee Director Plans</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Pursuant to our 2003 Directors’ Deferred Compensation Plan, a portion of the cash compensation that our directors would otherwise receive is deferred until after their termination from board service and each director may elect to defer the remaining cash compensation to a date that he chooses, which must be after termination of board service. At that time, all deferred compensation is paid in shares of our common stock. The number of shares the directors receive is calculated on the date the cash compensation would have been payable, based on the fair market value of our common stock on that day.</w:t>
      </w:r>
    </w:p>
    <w:p>
      <w:pPr>
        <w:spacing w:after="0" w:line="144" w:lineRule="exact"/>
        <w:rPr>
          <w:sz w:val="20"/>
          <w:szCs w:val="20"/>
          <w:color w:val="auto"/>
        </w:rPr>
      </w:pPr>
    </w:p>
    <w:p>
      <w:pPr>
        <w:ind w:left="1180" w:hanging="493"/>
        <w:spacing w:after="0"/>
        <w:tabs>
          <w:tab w:leader="none" w:pos="118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following table reconciles “Income before cumulative effect of change in accounting principle” as presented in the Consolidated Statements of Operations to diluted net income for the purposes of calculating “Diluted earnings per common share” (in millions). Diluted net income is equal to “Net income” as presented in the Consolidated Statements of Operations for all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00"/>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Income before cumulative effect of change in accounting principle</w:t>
            </w:r>
          </w:p>
        </w:tc>
        <w:tc>
          <w:tcPr>
            <w:tcW w:w="35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$ 931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Cumulative effect of change in accounting principle, net of income taxes</w:t>
            </w:r>
          </w:p>
        </w:tc>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$ 939</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40" w:type="dxa"/>
            <w:vAlign w:val="bottom"/>
          </w:tcPr>
          <w:p>
            <w:pPr>
              <w:jc w:val="right"/>
              <w:ind w:right="2634"/>
              <w:spacing w:after="0"/>
              <w:rPr>
                <w:sz w:val="20"/>
                <w:szCs w:val="20"/>
                <w:color w:val="auto"/>
              </w:rPr>
            </w:pPr>
            <w:r>
              <w:rPr>
                <w:rFonts w:ascii="Arial" w:cs="Arial" w:eastAsia="Arial" w:hAnsi="Arial"/>
                <w:sz w:val="13"/>
                <w:szCs w:val="13"/>
                <w:color w:val="auto"/>
              </w:rPr>
              <w:t>102</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reconciles the number of common shares outstanding at December 31 of each year to the number of weighted average basic common shares outstanding and the number of weighted average diluted common shares outstanding for the purposes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4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0"/>
                <w:szCs w:val="10"/>
                <w:b w:val="1"/>
                <w:bCs w:val="1"/>
                <w:color w:val="auto"/>
                <w:w w:val="93"/>
              </w:rPr>
              <w:t>Years Ended December 31,</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4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year-end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533.7</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552.3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570.2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6.7</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9.2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561.5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576.3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5.7</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3.6</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546.1</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565.1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581.1</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26.0</w:t>
            </w:r>
          </w:p>
        </w:tc>
        <w:tc>
          <w:tcPr>
            <w:tcW w:w="3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36.3</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80" w:hanging="493"/>
        <w:spacing w:after="0"/>
        <w:tabs>
          <w:tab w:leader="none" w:pos="118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2006 and 2005. These amounts have not been revalued since those dates, and current estimates of fair value could differ significantly from the amounts presented.</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carrying values of cash and cash equivalents, short-term investments, trade accounts receivable, trade accounts payable, financial instruments included in other receivables and certain financial instruments included in other assets or other liabilities are reflected in our Consolidated Financial Statements at historical cost, which is materially representative of their fair value principally because of the short-term maturities of these instruments.</w:t>
      </w:r>
    </w:p>
    <w:p>
      <w:pPr>
        <w:spacing w:after="0" w:line="67" w:lineRule="exact"/>
        <w:rPr>
          <w:sz w:val="20"/>
          <w:szCs w:val="20"/>
          <w:color w:val="auto"/>
        </w:rPr>
      </w:pPr>
    </w:p>
    <w:p>
      <w:pPr>
        <w:ind w:left="680" w:right="560" w:firstLine="399"/>
        <w:spacing w:after="0" w:line="305" w:lineRule="auto"/>
        <w:rPr>
          <w:sz w:val="20"/>
          <w:szCs w:val="20"/>
          <w:color w:val="auto"/>
        </w:rPr>
      </w:pPr>
      <w:r>
        <w:rPr>
          <w:rFonts w:ascii="Arial" w:cs="Arial" w:eastAsia="Arial" w:hAnsi="Arial"/>
          <w:sz w:val="11"/>
          <w:szCs w:val="11"/>
          <w:i w:val="1"/>
          <w:iCs w:val="1"/>
          <w:color w:val="auto"/>
        </w:rPr>
        <w:t xml:space="preserve">Long-term investments </w:t>
      </w:r>
      <w:r>
        <w:rPr>
          <w:rFonts w:ascii="Arial" w:cs="Arial" w:eastAsia="Arial" w:hAnsi="Arial"/>
          <w:sz w:val="11"/>
          <w:szCs w:val="11"/>
          <w:color w:val="auto"/>
        </w:rPr>
        <w:t>— Included as a component of “Other assets” in our Consolidated Balance Sheets at December 31, 2006 and December 31, 2005 is $72 million and</w:t>
      </w:r>
      <w:r>
        <w:rPr>
          <w:rFonts w:ascii="Arial" w:cs="Arial" w:eastAsia="Arial" w:hAnsi="Arial"/>
          <w:sz w:val="11"/>
          <w:szCs w:val="11"/>
          <w:i w:val="1"/>
          <w:iCs w:val="1"/>
          <w:color w:val="auto"/>
        </w:rPr>
        <w:t xml:space="preserve"> </w:t>
      </w:r>
      <w:r>
        <w:rPr>
          <w:rFonts w:ascii="Arial" w:cs="Arial" w:eastAsia="Arial" w:hAnsi="Arial"/>
          <w:sz w:val="11"/>
          <w:szCs w:val="11"/>
          <w:color w:val="auto"/>
        </w:rPr>
        <w:t>$70 million, respectively, for the cost basis of restricted investments in equity-based mutual funds. At December 31, 2006 and December 31, 2005, our “Other assets” also included</w:t>
      </w:r>
    </w:p>
    <w:p>
      <w:pPr>
        <w:spacing w:after="0" w:line="1" w:lineRule="exact"/>
        <w:rPr>
          <w:sz w:val="20"/>
          <w:szCs w:val="20"/>
          <w:color w:val="auto"/>
        </w:rPr>
      </w:pPr>
    </w:p>
    <w:p>
      <w:pPr>
        <w:jc w:val="both"/>
        <w:ind w:left="680" w:right="40"/>
        <w:spacing w:after="0" w:line="290" w:lineRule="auto"/>
        <w:rPr>
          <w:sz w:val="20"/>
          <w:szCs w:val="20"/>
          <w:color w:val="auto"/>
        </w:rPr>
      </w:pPr>
      <w:r>
        <w:rPr>
          <w:rFonts w:ascii="Arial" w:cs="Arial" w:eastAsia="Arial" w:hAnsi="Arial"/>
          <w:sz w:val="12"/>
          <w:szCs w:val="12"/>
          <w:color w:val="auto"/>
        </w:rPr>
        <w:t>$22 million and $51 million, respectively, for the cost basis of restricted investments in U.S. government agency debt securities. Unrealized holding gains and losses on these instruments are recorded as either an increase or decrease to the asset balance and deferred as a component of “Accumulated other comprehensive income” in the equity section of our Consolidated Balance Sheets. The net unrealized holding gains on these instruments, net of taxes, were $10 million as of December 31, 2006 and $5 million as of December 31, 2005. Refer to Note 13.</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Debt and interest rate derivatives </w:t>
      </w:r>
      <w:r>
        <w:rPr>
          <w:rFonts w:ascii="Arial" w:cs="Arial" w:eastAsia="Arial" w:hAnsi="Arial"/>
          <w:sz w:val="13"/>
          <w:szCs w:val="13"/>
          <w:color w:val="auto"/>
        </w:rPr>
        <w:t>— At December 31, 2006 and 2005, the carrying value of our debt was approximately $8.3 billion and $8.7 billion, respectively. The carrying value</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adjustments for both the unamortized fair value adjustments related to terminated hedge arrangements and fair value adjustments of debt instruments that are currently hedged. See Note 7. For active hedge arrangements, the fair value of the derivative is included in other current assets, other long-term assets, accrued liabilities or other long-term liabilities, as appropriate. The estimated fair value of our debt was approximately $8.7 billion at December 31, 2006 and</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approximately $9.2 billion at December 31, 2005. The estimated fair values of our senior notes and convertible subordinated notes are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w:t>
      </w:r>
    </w:p>
    <w:p>
      <w:pPr>
        <w:spacing w:after="0" w:line="63" w:lineRule="exact"/>
        <w:rPr>
          <w:sz w:val="20"/>
          <w:szCs w:val="20"/>
          <w:color w:val="auto"/>
        </w:rPr>
      </w:pPr>
    </w:p>
    <w:p>
      <w:pPr>
        <w:ind w:left="880" w:right="7220" w:hanging="193"/>
        <w:spacing w:after="0" w:line="334" w:lineRule="auto"/>
        <w:tabs>
          <w:tab w:leader="none" w:pos="1182"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and Divestitures </w:t>
      </w:r>
      <w:r>
        <w:rPr>
          <w:rFonts w:ascii="Arial" w:cs="Arial" w:eastAsia="Arial" w:hAnsi="Arial"/>
          <w:sz w:val="13"/>
          <w:szCs w:val="13"/>
          <w:b w:val="1"/>
          <w:bCs w:val="1"/>
          <w:i w:val="1"/>
          <w:iCs w:val="1"/>
          <w:color w:val="auto"/>
        </w:rPr>
        <w:t>Purchase Acquisitions</w:t>
      </w:r>
    </w:p>
    <w:p>
      <w:pPr>
        <w:spacing w:after="0" w:line="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continue to pursue the acquisition of businesses that are accretive to our solid waste operations. We have seen the greatest opportunities for realizing superior returns from tuck-in acquisitions, which are primarily the purchases of collection operations that enhance our existing route structures and are strategically located near our existing disposal operations. During the years ended December 31, 2006, 2005, and 2004 we completed several acquisitions for a cost, net of cash acquired, of $32 million, $142 million, and $130 million, respectively.</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Divestitures</w:t>
      </w:r>
    </w:p>
    <w:p>
      <w:pPr>
        <w:spacing w:after="0" w:line="5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approximate aggregate sales price for divestitures of operations was $184 million in 2006, $172 million in 2005 and $39 million in 2004. The proceeds from these sales were comprised substantially of cash. We recognized net gains on these divestitures of $44 million in 2006, $79 million in 2005 and $12 million in 2004.</w:t>
      </w:r>
    </w:p>
    <w:p>
      <w:pPr>
        <w:spacing w:after="0" w:line="2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2006 divestitures have been made as part of our strategy to improve or divest certain under-performing and non-strategic operations. As of December 31, 2006, our current “Other assets” included $250 million of operations and properties held for sale. This balance is primarily attributable to our efforts to execute the strategy. As discussed in Note 3, held-for-sale assets are recorded at the lower of their carrying amount or their fair value less the estimated cost to sell. Our “(Income) expense from divestitures, asset impairments and unusual items” for the year ended December 31, 2006 also includes $18 million of charges associated with impairments required to record held-for-sale assets at their fair value. Additional information related to our divestiture activity is included in Note 12.</w:t>
      </w:r>
    </w:p>
    <w:p>
      <w:pPr>
        <w:spacing w:after="0" w:line="67" w:lineRule="exact"/>
        <w:rPr>
          <w:sz w:val="20"/>
          <w:szCs w:val="20"/>
          <w:color w:val="auto"/>
        </w:rPr>
      </w:pPr>
    </w:p>
    <w:p>
      <w:pPr>
        <w:ind w:left="1180" w:hanging="493"/>
        <w:spacing w:after="0"/>
        <w:tabs>
          <w:tab w:leader="none" w:pos="11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6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financial interests in various variable interest entities. Following is a description of all interests that we consider significant. For purposes of applying FIN 46(R), we are considered the primary beneficiary of certain of these entities. Such entities have been consolidated into our financial statements as noted below.</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57"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i w:val="1"/>
          <w:iCs w:val="1"/>
          <w:color w:val="auto"/>
        </w:rPr>
        <w:t xml:space="preserve">Waste-to-Energy LLCs </w:t>
      </w:r>
      <w:r>
        <w:rPr>
          <w:rFonts w:ascii="Arial" w:cs="Arial" w:eastAsia="Arial" w:hAnsi="Arial"/>
          <w:sz w:val="12"/>
          <w:szCs w:val="12"/>
          <w:color w:val="auto"/>
        </w:rPr>
        <w:t>— On June 30, 2000, two limited liability companies (“LLCs”) were established to purchase interests in existing leveraged lease financings at three</w:t>
      </w:r>
      <w:r>
        <w:rPr>
          <w:rFonts w:ascii="Arial" w:cs="Arial" w:eastAsia="Arial" w:hAnsi="Arial"/>
          <w:sz w:val="12"/>
          <w:szCs w:val="12"/>
          <w:i w:val="1"/>
          <w:iCs w:val="1"/>
          <w:color w:val="auto"/>
        </w:rPr>
        <w:t xml:space="preserve"> </w:t>
      </w:r>
      <w:r>
        <w:rPr>
          <w:rFonts w:ascii="Arial" w:cs="Arial" w:eastAsia="Arial" w:hAnsi="Arial"/>
          <w:sz w:val="12"/>
          <w:szCs w:val="12"/>
          <w:color w:val="auto"/>
        </w:rPr>
        <w:t>waste-to-energy facilities that we operate under an agreement with the owner. John Hancock Life Insurance Company (“Hancock”) has a 99.5% ownership interest in one of the LLCs (“LLC I”), and the second LLC (“LLC II”) is 99.75% collectively owned by LLC I and the CIT Group (“CIT”). We own the remaining equity interest in each LLC. Hancock and CIT made an initial investment of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w:t>
      </w:r>
    </w:p>
    <w:p>
      <w:pPr>
        <w:ind w:left="680" w:right="760" w:firstLine="7"/>
        <w:spacing w:after="0" w:line="264" w:lineRule="auto"/>
        <w:tabs>
          <w:tab w:leader="none" w:pos="873" w:val="left"/>
        </w:tabs>
        <w:numPr>
          <w:ilvl w:val="0"/>
          <w:numId w:val="71"/>
        </w:numPr>
        <w:rPr>
          <w:rFonts w:ascii="Arial" w:cs="Arial" w:eastAsia="Arial" w:hAnsi="Arial"/>
          <w:sz w:val="13"/>
          <w:szCs w:val="13"/>
          <w:color w:val="auto"/>
        </w:rPr>
      </w:pPr>
      <w:r>
        <w:rPr>
          <w:rFonts w:ascii="Arial" w:cs="Arial" w:eastAsia="Arial" w:hAnsi="Arial"/>
          <w:sz w:val="13"/>
          <w:szCs w:val="13"/>
          <w:color w:val="auto"/>
        </w:rPr>
        <w:t>December 31, 2063, (iii) the entry of a decree of judicial dissolution under the Delaware Limited Liability Company Act, or (iv) the LLCs ceasing to own any interest in the waste-to-energy facilities.</w:t>
      </w:r>
    </w:p>
    <w:p>
      <w:pPr>
        <w:spacing w:after="0" w:line="2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All capital allocations made through December 31, 2006 have been based on initial capital account balances as the target returns have not yet been achieved.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 Additionally, upon exercising certain renewal options under the</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leases, we will be required to make payments to the LLCs for the difference between fair market rents and the scheduled renewal rents.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31, 2006, our Consolidated Balance Sheet includes $366 million of net property and equipment associated with the LLCs’ waste-to-energy facilities, $43 million of debt associated with the financing of the facilities and $220 million in minority interest associated with Hancock and CIT’s interests in the LLCs.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Trusts for Closure, Post-Closure or Environmental Remediation Obligations </w:t>
      </w:r>
      <w:r>
        <w:rPr>
          <w:rFonts w:ascii="Arial" w:cs="Arial" w:eastAsia="Arial" w:hAnsi="Arial"/>
          <w:sz w:val="13"/>
          <w:szCs w:val="13"/>
          <w:color w:val="auto"/>
        </w:rPr>
        <w:t>— We have determined that we are the primary beneficiary of trust funds that were created to settle</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our closure, post-closure or environmental remediation obligations.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 in 2006 or 2005.</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Investments in Coal-Based Synthetic Fuel Production Facilities </w:t>
      </w:r>
      <w:r>
        <w:rPr>
          <w:rFonts w:ascii="Arial" w:cs="Arial" w:eastAsia="Arial" w:hAnsi="Arial"/>
          <w:sz w:val="11"/>
          <w:szCs w:val="11"/>
          <w:color w:val="auto"/>
        </w:rPr>
        <w:t>— As discussed in Note 8, we own an interest in two coal-based synthetic fuel production facilities. Along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other equity investors, we support the operations of the entities in exchange for a pro-rata share of the tax credits generated by the facilities. Our obligation to support the facilities’ future operations is, therefore, limited to the tax benefit we expect to receive. We are not the primary beneficiary of either of these entities, and we do not believe that we have any material exposure to loss, as measured under the provisions of FIN 46(R), as a result of our investments. As such, we account for these investments under the equity method of accounting and do not consolidate the facilities. As of December 31, 2006, our Consolidated Balance Sheet includes $45 million of assets and $67 million of liabilities associated with our interests in the facilities.</w:t>
      </w:r>
    </w:p>
    <w:p>
      <w:pPr>
        <w:spacing w:after="0" w:line="42"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Financial Interest in Surety Bonding Company </w:t>
      </w:r>
      <w:r>
        <w:rPr>
          <w:rFonts w:ascii="Arial" w:cs="Arial" w:eastAsia="Arial" w:hAnsi="Arial"/>
          <w:sz w:val="12"/>
          <w:szCs w:val="12"/>
          <w:color w:val="auto"/>
        </w:rPr>
        <w:t>— During the third quarter of 2003, we issued a letter of credit in the amount of $28.6 million to support the debt of a surety bonding</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established by an unrelated third party to issue surety bonds to the waste industry and other industries. The letter of credit served as a guarantee of the entity’s debt obligations. In 2003, we determined that our guarantee created a significant variable interest in a variable interest entity, and that we were the primary beneficiary of the variable interest entity under the provisions of FIN 46(R). Accordingly, we began consolidating this variable interest entity into our financial statements in the third quarter of 2003.</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During 2006, the debt of this entity was refinanced. As a result of the refinancing, our guarantee arrangement was also renegotiated, significantly reducing the value of our guarantee. We determined that the refinancing of the entity’s debt obligations and corresponding renegotiation of our guarantee represented significant changes in the entity that required reconsideration of the applicability of FIN 46(R). As a result of the reconsideration of our interest in this variable interest entity, we concluded that we are no longer the primary beneficiary of this entity. Accordingly, in April 2006, we deconsolidated the surety bonding company.</w:t>
      </w:r>
    </w:p>
    <w:p>
      <w:pPr>
        <w:spacing w:after="0" w:line="144" w:lineRule="exact"/>
        <w:rPr>
          <w:sz w:val="20"/>
          <w:szCs w:val="20"/>
          <w:color w:val="auto"/>
        </w:rPr>
      </w:pPr>
    </w:p>
    <w:p>
      <w:pPr>
        <w:ind w:left="1180" w:hanging="493"/>
        <w:spacing w:after="0"/>
        <w:tabs>
          <w:tab w:leader="none" w:pos="118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Recycling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the third quarter of 2005, we eliminated our Canadian Group, and the management of our Canadian operations was allocated among our Eastern, Midwest and Western Groups. The historical operating results of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300"/>
        <w:spacing w:after="0" w:line="276" w:lineRule="auto"/>
        <w:rPr>
          <w:sz w:val="20"/>
          <w:szCs w:val="20"/>
          <w:color w:val="auto"/>
        </w:rPr>
      </w:pPr>
      <w:r>
        <w:rPr>
          <w:rFonts w:ascii="Arial" w:cs="Arial" w:eastAsia="Arial" w:hAnsi="Arial"/>
          <w:sz w:val="13"/>
          <w:szCs w:val="13"/>
          <w:color w:val="auto"/>
        </w:rPr>
        <w:t>Canadian operations has been allocated to the Eastern, Midwest and Western Groups to provide financial information that consistently reflects our current approach to managing our operations.</w:t>
      </w:r>
    </w:p>
    <w:p>
      <w:pPr>
        <w:spacing w:after="0" w:line="59" w:lineRule="exact"/>
        <w:rPr>
          <w:sz w:val="20"/>
          <w:szCs w:val="20"/>
          <w:color w:val="auto"/>
        </w:rPr>
      </w:pPr>
    </w:p>
    <w:p>
      <w:pPr>
        <w:ind w:left="680" w:right="1020" w:firstLine="399"/>
        <w:spacing w:after="0" w:line="289" w:lineRule="auto"/>
        <w:rPr>
          <w:sz w:val="20"/>
          <w:szCs w:val="20"/>
          <w:color w:val="auto"/>
        </w:rPr>
      </w:pPr>
      <w:r>
        <w:rPr>
          <w:rFonts w:ascii="Arial" w:cs="Arial" w:eastAsia="Arial" w:hAnsi="Arial"/>
          <w:sz w:val="12"/>
          <w:szCs w:val="12"/>
          <w:color w:val="auto"/>
        </w:rPr>
        <w:t>Our third quarter 2005 reorganization, as discussed in Note 11,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 been included in income from operations of “Corporate and other.” The reallocation of these costs has not significantly affected the operating results of our reportable segments for the periods presented.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respective years ended December 31 is shown in the following table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4"/>
              </w:rPr>
              <w:t>Intercompany</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9"/>
              </w:rPr>
              <w:t>Net</w:t>
            </w: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Pr>
          <w:p>
            <w:pPr>
              <w:spacing w:after="0"/>
              <w:rPr>
                <w:sz w:val="10"/>
                <w:szCs w:val="10"/>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96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7"/>
              </w:rPr>
              <w:t>Operating</w:t>
            </w:r>
          </w:p>
        </w:tc>
        <w:tc>
          <w:tcPr>
            <w:tcW w:w="20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Operations (e),</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89"/>
              </w:rPr>
              <w:t>Assets (h),</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Revenues(d)</w:t>
            </w:r>
          </w:p>
        </w:tc>
        <w:tc>
          <w:tcPr>
            <w:tcW w:w="20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Revenues</w:t>
            </w: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(f)</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(g)</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(i)</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3,830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(767)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3,063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417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350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3,112</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2,585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3,759</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(568)</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3,191</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3,160</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2,734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831</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746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Other(a)</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44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(2,449)</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2,574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1,314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Corporate and other(b)</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(2,449)</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3"/>
                <w:szCs w:val="13"/>
                <w:b w:val="1"/>
                <w:bCs w:val="1"/>
                <w:color w:val="auto"/>
              </w:rPr>
              <w:t>2005</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3,809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(805)</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3,004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3,054</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2,528</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426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299</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234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4,088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3,590</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3,034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3,079</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(408)</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2,671</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224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879</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Recycling</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833</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804</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42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Other(a)</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15,540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(2,466)</w:t>
            </w:r>
          </w:p>
        </w:tc>
        <w:tc>
          <w:tcPr>
            <w:tcW w:w="2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13,074</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2,280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1,279</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1,121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other(b),(c)</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15,540</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(2,466)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13,074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1,710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1,361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376"/>
              <w:spacing w:after="0"/>
              <w:rPr>
                <w:sz w:val="20"/>
                <w:szCs w:val="20"/>
                <w:color w:val="auto"/>
              </w:rPr>
            </w:pPr>
            <w:r>
              <w:rPr>
                <w:rFonts w:ascii="Arial" w:cs="Arial" w:eastAsia="Arial" w:hAnsi="Arial"/>
                <w:sz w:val="13"/>
                <w:szCs w:val="13"/>
                <w:color w:val="auto"/>
              </w:rPr>
              <w:t>106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Intercompany</w:t>
            </w:r>
          </w:p>
        </w:tc>
        <w:tc>
          <w:tcPr>
            <w:tcW w:w="60" w:type="dxa"/>
            <w:vAlign w:val="bottom"/>
          </w:tcPr>
          <w:p>
            <w:pPr>
              <w:spacing w:after="0"/>
              <w:rPr>
                <w:sz w:val="10"/>
                <w:szCs w:val="10"/>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9"/>
              </w:rPr>
              <w:t>Net</w:t>
            </w: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Pr>
          <w:p>
            <w:pPr>
              <w:spacing w:after="0"/>
              <w:rPr>
                <w:sz w:val="10"/>
                <w:szCs w:val="10"/>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6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Operations (e),</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89"/>
              </w:rPr>
              <w:t>Assets (h),</w:t>
            </w: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Revenues(d)</w:t>
            </w:r>
          </w:p>
        </w:tc>
        <w:tc>
          <w:tcPr>
            <w:tcW w:w="6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Revenues</w:t>
            </w: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(f)</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(g)</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(i)</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3,744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(796)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2,948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358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360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5,203</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2,971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2,428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4,148</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3,480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(531)</w:t>
            </w:r>
          </w:p>
        </w:tc>
        <w:tc>
          <w:tcPr>
            <w:tcW w:w="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2,949</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3,200</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2,884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2,514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835</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778</w:t>
            </w: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2,578</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Other(a)</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(84)</w:t>
            </w:r>
          </w:p>
        </w:tc>
        <w:tc>
          <w:tcPr>
            <w:tcW w:w="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(2,404)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12,516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20,020</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20"/>
                <w:szCs w:val="20"/>
                <w:color w:val="auto"/>
              </w:rPr>
            </w:pPr>
            <w:r>
              <w:rPr>
                <w:rFonts w:ascii="Arial" w:cs="Arial" w:eastAsia="Arial" w:hAnsi="Arial"/>
                <w:sz w:val="13"/>
                <w:szCs w:val="13"/>
                <w:color w:val="auto"/>
              </w:rPr>
              <w:t>Corporate and other(b)</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21,875</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7" w:lineRule="exact"/>
        <w:rPr>
          <w:sz w:val="20"/>
          <w:szCs w:val="20"/>
          <w:color w:val="auto"/>
        </w:rPr>
      </w:pPr>
    </w:p>
    <w:p>
      <w:pPr>
        <w:ind w:left="1180" w:right="120" w:hanging="235"/>
        <w:spacing w:after="0" w:line="258" w:lineRule="auto"/>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Our “Other” revenues are generally from services provided throughout our operating Groups for on-site services, methane gas recovery, and certain third-party sub-contract and administration revenues managed by our Renewable Energy, National Accounts and Upstream organizations. “Other” operating results reflect the combined impact of (i) the services described above; (ii) non-operating entities that provide financial assurance and self-insurance support for the operating Groups or financing for our Canadian operations; and (iii) certain year-end adjustments recorded in consolidation related to the reportable segments that, due to timing, were not included in the measurement of segment profit or loss used to assess their performance for the periods disclosed.</w:t>
      </w:r>
    </w:p>
    <w:p>
      <w:pPr>
        <w:spacing w:after="0" w:line="22" w:lineRule="exact"/>
        <w:rPr>
          <w:rFonts w:ascii="Arial" w:cs="Arial" w:eastAsia="Arial" w:hAnsi="Arial"/>
          <w:sz w:val="13"/>
          <w:szCs w:val="13"/>
          <w:color w:val="auto"/>
        </w:rPr>
      </w:pPr>
    </w:p>
    <w:p>
      <w:pPr>
        <w:ind w:left="1180" w:right="20" w:hanging="243"/>
        <w:spacing w:after="0" w:line="257" w:lineRule="auto"/>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 As discussed above, in 2005 we centralized support functions that had been provided by our Group offices. Beginning in the third quarter of 2005, our “Corporate and other” operating results also include the costs associated with these support functions.</w:t>
      </w:r>
    </w:p>
    <w:p>
      <w:pPr>
        <w:spacing w:after="0" w:line="22" w:lineRule="exact"/>
        <w:rPr>
          <w:rFonts w:ascii="Arial" w:cs="Arial" w:eastAsia="Arial" w:hAnsi="Arial"/>
          <w:sz w:val="13"/>
          <w:szCs w:val="13"/>
          <w:color w:val="auto"/>
        </w:rPr>
      </w:pPr>
    </w:p>
    <w:p>
      <w:pPr>
        <w:ind w:left="1180" w:hanging="235"/>
        <w:spacing w:after="0" w:line="257" w:lineRule="auto"/>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significant increase in our Corporate expenses in 2005 as compared with 2004 was driven primarily by impairment charges of $68 million associated with capitalized software costs and $31 million of net charges associated with various legal and divestiture matters. These items are discussed further in Note 12. Also contributing to the increase in expenses during 2005 were (i) an increase in non-cash employee compensation costs associated with current year changes in equity-based compensation; (ii) increases in employee health care costs; (iii) salary and wage increases attributable to annual merit raises; (iv) increased sales and marketing costs attributed to a national advertising campaign and consulting fees related to our pricing initiatives; and (v) costs at Corporate associated with our 2005 restructuring charge and organizational changes, which were partially offset by associated savings at Corporate.</w:t>
      </w:r>
    </w:p>
    <w:p>
      <w:pPr>
        <w:spacing w:after="0" w:line="22" w:lineRule="exact"/>
        <w:rPr>
          <w:rFonts w:ascii="Arial" w:cs="Arial" w:eastAsia="Arial" w:hAnsi="Arial"/>
          <w:sz w:val="13"/>
          <w:szCs w:val="13"/>
          <w:color w:val="auto"/>
        </w:rPr>
      </w:pPr>
    </w:p>
    <w:p>
      <w:pPr>
        <w:ind w:left="1180" w:right="160" w:hanging="243"/>
        <w:spacing w:after="0" w:line="276" w:lineRule="auto"/>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180" w:hanging="235"/>
        <w:spacing w:after="0"/>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the segments are the same as those described in Note 3.</w:t>
      </w:r>
    </w:p>
    <w:p>
      <w:pPr>
        <w:spacing w:after="0" w:line="47" w:lineRule="exact"/>
        <w:rPr>
          <w:rFonts w:ascii="Arial" w:cs="Arial" w:eastAsia="Arial" w:hAnsi="Arial"/>
          <w:sz w:val="13"/>
          <w:szCs w:val="13"/>
          <w:color w:val="auto"/>
        </w:rPr>
      </w:pPr>
    </w:p>
    <w:p>
      <w:pPr>
        <w:ind w:left="1180" w:right="820" w:hanging="221"/>
        <w:spacing w:after="0" w:line="280" w:lineRule="auto"/>
        <w:tabs>
          <w:tab w:leader="none" w:pos="11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 Refer to Note 11 and Note 12 for an explanation of transactions and events affecting the operating results of our reportable segments.</w:t>
      </w:r>
    </w:p>
    <w:p>
      <w:pPr>
        <w:spacing w:after="0" w:line="9" w:lineRule="exact"/>
        <w:rPr>
          <w:rFonts w:ascii="Arial" w:cs="Arial" w:eastAsia="Arial" w:hAnsi="Arial"/>
          <w:sz w:val="12"/>
          <w:szCs w:val="12"/>
          <w:color w:val="auto"/>
        </w:rPr>
      </w:pPr>
    </w:p>
    <w:p>
      <w:pPr>
        <w:ind w:left="1180" w:hanging="243"/>
        <w:spacing w:after="0"/>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non-cash items.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reconciliation of total assets reported above to “Total assets” in the Consolidated Balance Sheets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as reported above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21,182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21,875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Elimination of intercompany investments and advances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(582)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(970)</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 per Consolidated Balance Sheets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20,600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20,905</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jc w:val="both"/>
        <w:ind w:left="1180" w:right="900" w:hanging="214"/>
        <w:spacing w:after="0" w:line="264" w:lineRule="auto"/>
        <w:tabs>
          <w:tab w:leader="none" w:pos="11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Goodwill is included in total assets. Goodwill balances and activity related to our Canadian operations have been allocated to the Eastern, Midwest and Western Groups to provide information in a manner that consistently reflects our current approach to managing our operations. The reconciliation of changes in goodwill during 2005 and 2006 by reportable segment is as follows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2"/>
              </w:rPr>
              <w:t>Eastern</w:t>
            </w:r>
          </w:p>
        </w:tc>
        <w:tc>
          <w:tcPr>
            <w:tcW w:w="80" w:type="dxa"/>
            <w:vAlign w:val="bottom"/>
          </w:tcPr>
          <w:p>
            <w:pPr>
              <w:spacing w:after="0"/>
              <w:rPr>
                <w:sz w:val="10"/>
                <w:szCs w:val="1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Midwest</w:t>
            </w:r>
          </w:p>
        </w:tc>
        <w:tc>
          <w:tcPr>
            <w:tcW w:w="60" w:type="dxa"/>
            <w:vAlign w:val="bottom"/>
          </w:tcPr>
          <w:p>
            <w:pPr>
              <w:spacing w:after="0"/>
              <w:rPr>
                <w:sz w:val="10"/>
                <w:szCs w:val="1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5"/>
              </w:rPr>
              <w:t>Southern</w:t>
            </w:r>
          </w:p>
        </w:tc>
        <w:tc>
          <w:tcPr>
            <w:tcW w:w="78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Western</w:t>
            </w:r>
          </w:p>
        </w:tc>
        <w:tc>
          <w:tcPr>
            <w:tcW w:w="12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0"/>
                <w:szCs w:val="10"/>
                <w:b w:val="1"/>
                <w:bCs w:val="1"/>
                <w:color w:val="auto"/>
              </w:rPr>
              <w:t>Wheelabrator</w:t>
            </w:r>
          </w:p>
        </w:tc>
        <w:tc>
          <w:tcPr>
            <w:tcW w:w="80" w:type="dxa"/>
            <w:vAlign w:val="bottom"/>
          </w:tcPr>
          <w:p>
            <w:pPr>
              <w:spacing w:after="0"/>
              <w:rPr>
                <w:sz w:val="10"/>
                <w:szCs w:val="1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88"/>
              </w:rPr>
              <w:t>Recycling</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972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Acquired goodwill</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Acquired goodwill</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6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108</w:t>
            </w: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total revenues by principal line of business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8,318</w:t>
            </w: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3,197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3,004</w:t>
            </w: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w:t>
            </w: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and other(a)</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1,083</w:t>
            </w: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Intercompany(b)</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(2,449)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(2,466)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(2,404)</w:t>
            </w: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108"/>
        </w:trPr>
        <w:tc>
          <w:tcPr>
            <w:tcW w:w="130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140" w:hanging="235"/>
        <w:spacing w:after="0" w:line="276" w:lineRule="auto"/>
        <w:tabs>
          <w:tab w:leader="none" w:pos="11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 addition to the revenue generated by our Recycling Group, we have included revenues generated within our four geographic operating Groups derived from recycling, methane gas operations, and Port-O-Let</w:t>
      </w:r>
      <w:r>
        <w:rPr>
          <w:rFonts w:ascii="Arial" w:cs="Arial" w:eastAsia="Arial" w:hAnsi="Arial"/>
          <w:sz w:val="11"/>
          <w:szCs w:val="11"/>
          <w:color w:val="auto"/>
        </w:rPr>
        <w:t>®</w:t>
      </w:r>
      <w:r>
        <w:rPr>
          <w:rFonts w:ascii="Arial" w:cs="Arial" w:eastAsia="Arial" w:hAnsi="Arial"/>
          <w:sz w:val="13"/>
          <w:szCs w:val="13"/>
          <w:color w:val="auto"/>
        </w:rPr>
        <w:t xml:space="preserve"> services in the “recycling and other” line of business.</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Consolidated Financial Statements included herein.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operating revenues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12,674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11,924</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689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10,163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10,481</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1,016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995</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11,179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11,476</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w:t>
      </w: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our first quarter also often reflect higher repair and maintenance expenses because we rely on the slower winter months, when electrical demand is generally lower, to perform scheduled maintenance at our waste-to-energy facilities.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unaudited quarterly results of operations for 2006 and 2005 (in millions,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3,229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3,410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3,283</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operations(a),(b)</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income(c),(d),(e)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per common share:</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Basic:</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income(c),(d),(e)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0.46</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income(c),(d),(e)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0.46</w:t>
            </w: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3,372</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from operations(f),(g)</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499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income(h)</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per common share: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ind w:left="280"/>
              <w:spacing w:after="0"/>
              <w:rPr>
                <w:sz w:val="20"/>
                <w:szCs w:val="20"/>
                <w:color w:val="auto"/>
              </w:rPr>
            </w:pPr>
            <w:r>
              <w:rPr>
                <w:rFonts w:ascii="Arial" w:cs="Arial" w:eastAsia="Arial" w:hAnsi="Arial"/>
                <w:sz w:val="13"/>
                <w:szCs w:val="13"/>
                <w:color w:val="auto"/>
              </w:rPr>
              <w:t>Net income(h)</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0.93</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0.39</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0.53</w:t>
            </w: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6700" w:type="dxa"/>
            <w:vAlign w:val="bottom"/>
          </w:tcPr>
          <w:p>
            <w:pPr>
              <w:ind w:left="280"/>
              <w:spacing w:after="0"/>
              <w:rPr>
                <w:sz w:val="20"/>
                <w:szCs w:val="20"/>
                <w:color w:val="auto"/>
              </w:rPr>
            </w:pPr>
            <w:r>
              <w:rPr>
                <w:rFonts w:ascii="Arial" w:cs="Arial" w:eastAsia="Arial" w:hAnsi="Arial"/>
                <w:sz w:val="13"/>
                <w:szCs w:val="13"/>
                <w:color w:val="auto"/>
              </w:rPr>
              <w:t>Net income(h)</w:t>
            </w: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0.38</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493"/>
        <w:spacing w:after="0"/>
        <w:tabs>
          <w:tab w:leader="none" w:pos="11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 the first and second quarters of 2006, “(Income) expense from divestitures, asset impairments and unusual items” increased our income from operations by $2 million and</w:t>
      </w:r>
    </w:p>
    <w:p>
      <w:pPr>
        <w:spacing w:after="0" w:line="26" w:lineRule="exact"/>
        <w:rPr>
          <w:rFonts w:ascii="Arial" w:cs="Arial" w:eastAsia="Arial" w:hAnsi="Arial"/>
          <w:sz w:val="12"/>
          <w:szCs w:val="12"/>
          <w:color w:val="auto"/>
        </w:rPr>
      </w:pPr>
    </w:p>
    <w:p>
      <w:pPr>
        <w:ind w:left="1180" w:right="220"/>
        <w:spacing w:after="0" w:line="301" w:lineRule="auto"/>
        <w:rPr>
          <w:rFonts w:ascii="Arial" w:cs="Arial" w:eastAsia="Arial" w:hAnsi="Arial"/>
          <w:sz w:val="12"/>
          <w:szCs w:val="12"/>
          <w:color w:val="auto"/>
        </w:rPr>
      </w:pPr>
      <w:r>
        <w:rPr>
          <w:rFonts w:ascii="Arial" w:cs="Arial" w:eastAsia="Arial" w:hAnsi="Arial"/>
          <w:sz w:val="12"/>
          <w:szCs w:val="12"/>
          <w:color w:val="auto"/>
        </w:rPr>
        <w:t>$27 million, respectively. In the third and fourth quarters of 2006, our income from operations was unfavorably affected by net charges for “(Income) expense from divestitures, asset impairments and unusual items” of $19 million and $35 million, respectively. Information related to the nature of these adjustments is included in Note 12.</w:t>
      </w:r>
    </w:p>
    <w:p>
      <w:pPr>
        <w:ind w:left="1180" w:right="60" w:hanging="493"/>
        <w:spacing w:after="0" w:line="264" w:lineRule="auto"/>
        <w:tabs>
          <w:tab w:leader="none" w:pos="11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Our “Selling, general and administrative” expenses for the first and fourth quarters of 2006 include charges of $19 million and $1 million, respectively, for unrecorded obligations associated with unclaimed property. We also recognized $1 million of estimated associated interest obligations during the first quarter of 2006, which has been included in “Interest expense.” Refer to Note 10 for additional information.</w:t>
      </w:r>
    </w:p>
    <w:p>
      <w:pPr>
        <w:spacing w:after="0" w:line="17" w:lineRule="exact"/>
        <w:rPr>
          <w:rFonts w:ascii="Arial" w:cs="Arial" w:eastAsia="Arial" w:hAnsi="Arial"/>
          <w:sz w:val="13"/>
          <w:szCs w:val="13"/>
          <w:color w:val="auto"/>
        </w:rPr>
      </w:pPr>
    </w:p>
    <w:p>
      <w:pPr>
        <w:jc w:val="both"/>
        <w:ind w:left="1180" w:right="340" w:hanging="493"/>
        <w:spacing w:after="0" w:line="264" w:lineRule="auto"/>
        <w:tabs>
          <w:tab w:leader="none" w:pos="11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When excluding the effect of interest income, the settlement of various federal and state tax audit matters during the first, second, third and fourth quarters of 2006 resulted in reductions in income tax expense of $6 million ($0.01 per diluted share), $128 million ($0.23 per diluted share), $7 million ($0.01 per diluted share) and $8 million ($0.01 per diluted share), respectively. During 2006, our net income also increased due to interest income related to these settlements.</w:t>
      </w:r>
    </w:p>
    <w:p>
      <w:pPr>
        <w:spacing w:after="0" w:line="17" w:lineRule="exact"/>
        <w:rPr>
          <w:rFonts w:ascii="Arial" w:cs="Arial" w:eastAsia="Arial" w:hAnsi="Arial"/>
          <w:sz w:val="13"/>
          <w:szCs w:val="13"/>
          <w:color w:val="auto"/>
        </w:rPr>
      </w:pPr>
    </w:p>
    <w:p>
      <w:pPr>
        <w:ind w:left="1180" w:right="100" w:hanging="493"/>
        <w:spacing w:after="0" w:line="320" w:lineRule="auto"/>
        <w:tabs>
          <w:tab w:leader="none" w:pos="11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During the second quarter of 2006, both the Canadian federal government and several provinces enacted tax rate reductions.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requires that deferred tax balances be revalued to reflect these tax rate changes. The revaluation resulted in a $20 million tax benefit for the second quarter of 2006.</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180" w:right="180" w:hanging="493"/>
        <w:spacing w:after="0" w:line="289" w:lineRule="auto"/>
        <w:tabs>
          <w:tab w:leader="none" w:pos="1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As discussed in Note 8, the Company qualifies for Section 45K tax credits as a result of methane gas projects at its landfills and its investments in two coal-based synthetic fuel production facilities. The credits are phased-out if the price of crude oil exceeds an annual average price threshold as determined by the U.S. Internal Revenue Service. On a quarterly basis, we develop our estimate of the phase-out of credits using market information for crude oil prices. The impact of any revision in our estimates is reflected in both “Equity in net losses of unconsolidated entities” and “Provision for (benefit from) income taxes” for the quarter.</w:t>
      </w:r>
    </w:p>
    <w:p>
      <w:pPr>
        <w:spacing w:after="0" w:line="3" w:lineRule="exact"/>
        <w:rPr>
          <w:rFonts w:ascii="Arial" w:cs="Arial" w:eastAsia="Arial" w:hAnsi="Arial"/>
          <w:sz w:val="12"/>
          <w:szCs w:val="12"/>
          <w:color w:val="auto"/>
        </w:rPr>
      </w:pPr>
    </w:p>
    <w:p>
      <w:pPr>
        <w:ind w:left="1180" w:right="60" w:hanging="493"/>
        <w:spacing w:after="0" w:line="289" w:lineRule="auto"/>
        <w:tabs>
          <w:tab w:leader="none" w:pos="1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‘‘(Income) expense from divestitures, asset impairments and unusual items” significantly affected our income from operations in each quarter of 2005. In the first and second quarters of 2005, “(Income) expense from divestitures, asset impairments and unusual items” increased our income from operations by $23 million and $6 million, respectively. In the third and fourth quarters of 2005, our income from operations was unfavorably affected by net charges for “(Income) expense from divestitures, asset impairments and unusual items” of $86 million and $11 million, respectively. Information related to the nature of these adjustments is included in Note 12.</w:t>
      </w:r>
    </w:p>
    <w:p>
      <w:pPr>
        <w:spacing w:after="0" w:line="3" w:lineRule="exact"/>
        <w:rPr>
          <w:rFonts w:ascii="Arial" w:cs="Arial" w:eastAsia="Arial" w:hAnsi="Arial"/>
          <w:sz w:val="12"/>
          <w:szCs w:val="12"/>
          <w:color w:val="auto"/>
        </w:rPr>
      </w:pPr>
    </w:p>
    <w:p>
      <w:pPr>
        <w:jc w:val="both"/>
        <w:ind w:left="1180" w:right="140" w:hanging="493"/>
        <w:spacing w:after="0" w:line="264"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income from operations for the third and fourth quarters of 2005 includes pre-tax charges of $27 million and $1 million, respectively, associated with our 2005 restructuring. These charges were primarily related to employee severance and benefit costs. Refer to Note 11 for additional information regarding the reorganization and simplification of our organizational structure.</w:t>
      </w:r>
    </w:p>
    <w:p>
      <w:pPr>
        <w:spacing w:after="0" w:line="17" w:lineRule="exact"/>
        <w:rPr>
          <w:rFonts w:ascii="Arial" w:cs="Arial" w:eastAsia="Arial" w:hAnsi="Arial"/>
          <w:sz w:val="13"/>
          <w:szCs w:val="13"/>
          <w:color w:val="auto"/>
        </w:rPr>
      </w:pPr>
    </w:p>
    <w:p>
      <w:pPr>
        <w:jc w:val="both"/>
        <w:ind w:left="1180" w:right="320" w:hanging="493"/>
        <w:spacing w:after="0" w:line="264"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settlement of several tax audits during 2005 resulted in significant reductions in income tax expense. Tax audit settlements reduced our income tax expense by $2 million during the first quarter, $345 million, or $0.61 per diluted share, during the second quarter, $28 million, or $0.05 per diluted share, during the third quarter and $23 million, or $0.04 per diluted share, during the fourth quarter. Refer to Note 8 for additional information.</w:t>
      </w:r>
    </w:p>
    <w:p>
      <w:pPr>
        <w:spacing w:after="0" w:line="67"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1180" w:hanging="493"/>
        <w:spacing w:after="0"/>
        <w:tabs>
          <w:tab w:leader="none" w:pos="118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jc w:val="both"/>
        <w:ind w:left="680" w:right="960" w:firstLine="399"/>
        <w:spacing w:after="0" w:line="296" w:lineRule="auto"/>
        <w:rPr>
          <w:sz w:val="20"/>
          <w:szCs w:val="20"/>
          <w:color w:val="auto"/>
        </w:rPr>
      </w:pPr>
      <w:r>
        <w:rPr>
          <w:rFonts w:ascii="Arial" w:cs="Arial" w:eastAsia="Arial" w:hAnsi="Arial"/>
          <w:sz w:val="12"/>
          <w:szCs w:val="12"/>
          <w:color w:val="auto"/>
        </w:rPr>
        <w:t>WM Holdings has fully and unconditionally guaranteed all of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4,357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10,295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8,377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9,193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(17,570)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112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2,485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11,221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9,599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8,262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6,418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2,758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3,092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3,006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(3,006)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1,227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12,034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14,733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6,121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7,046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7,809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(14,855)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113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Operating revenues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13,363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13,363</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11,334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11,334</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2,029</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Interest income (expense)</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(287)</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(110)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subsidiaries, net of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Minority interest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net losses of unconsolidated entities and other,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1,044</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1,302</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(189)</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1,044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1,302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1,840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1,474</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459</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20"/>
                <w:szCs w:val="20"/>
                <w:color w:val="auto"/>
              </w:rPr>
            </w:pPr>
            <w:r>
              <w:rPr>
                <w:rFonts w:ascii="Arial" w:cs="Arial" w:eastAsia="Arial" w:hAnsi="Arial"/>
                <w:sz w:val="12"/>
                <w:szCs w:val="12"/>
                <w:b w:val="1"/>
                <w:bCs w:val="1"/>
                <w:color w:val="auto"/>
              </w:rPr>
              <w:t>Year Ended December 31, 2005</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13,074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13,074</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Costs and expenses</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11,364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11,364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1,710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1,710</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(expense)</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(272)</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Equity in subsidiaries, net of taxes</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1,355</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1,408</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Equity in net losses of unconsolidated entities and other, net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1,083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1,324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1,083</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1,324</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1,448</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1,092</w:t>
            </w:r>
          </w:p>
        </w:tc>
        <w:tc>
          <w:tcPr>
            <w:tcW w:w="0" w:type="dxa"/>
            <w:vAlign w:val="bottom"/>
          </w:tcPr>
          <w:p>
            <w:pPr>
              <w:spacing w:after="0"/>
              <w:rPr>
                <w:sz w:val="1"/>
                <w:szCs w:val="1"/>
                <w:color w:val="auto"/>
              </w:rPr>
            </w:pPr>
          </w:p>
        </w:tc>
      </w:tr>
      <w:tr>
        <w:trPr>
          <w:trHeight w:val="150"/>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1,182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1,355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1,408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2004</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Operating revenues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12,516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12,516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10,817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10,817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1,699</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1,699</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Interest income (expense)</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subsidiaries, net of taxes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1,100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1,158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Minority interest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net losses of unconsolidated entities and other, net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846</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(175)</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(521)</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 and cumulative effect of change in accounting principle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846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1,066</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1,524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374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1,100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1,150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931</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Cumulative effect of change in accounting principle, net of taxes</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1,158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939</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Guarantor</w:t>
            </w:r>
          </w:p>
        </w:tc>
        <w:tc>
          <w:tcPr>
            <w:tcW w:w="8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98"/>
              </w:rPr>
              <w:t>Holdings</w:t>
            </w:r>
          </w:p>
        </w:tc>
        <w:tc>
          <w:tcPr>
            <w:tcW w:w="10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1,331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(1,331)</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(1,381)</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2,712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adjustments and changes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1,452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2,833</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2,540</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(1,329)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(1,329)</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sales of other assets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(3,001)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(3,001)</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3,117</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3,123</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432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(632)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(1,072)</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(1,072)</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1,304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(1,634)</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(1,928)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Decrease in cash and cash equivalents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7"/>
        </w:trPr>
        <w:tc>
          <w:tcPr>
            <w:tcW w:w="53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698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20"/>
                <w:szCs w:val="20"/>
                <w:color w:val="auto"/>
              </w:rPr>
            </w:pPr>
            <w:r>
              <w:rPr>
                <w:rFonts w:ascii="Arial" w:cs="Arial" w:eastAsia="Arial" w:hAnsi="Arial"/>
                <w:sz w:val="12"/>
                <w:szCs w:val="12"/>
                <w:b w:val="1"/>
                <w:bCs w:val="1"/>
                <w:color w:val="auto"/>
              </w:rPr>
              <w:t>Year Ended December 31, 2005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1,182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1,355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1,408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(1,355)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2,763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Other adjustments and changes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1,234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2,391</w:t>
            </w:r>
          </w:p>
        </w:tc>
        <w:tc>
          <w:tcPr>
            <w:tcW w:w="0" w:type="dxa"/>
            <w:vAlign w:val="bottom"/>
          </w:tcPr>
          <w:p>
            <w:pPr>
              <w:spacing w:after="0"/>
              <w:rPr>
                <w:sz w:val="1"/>
                <w:szCs w:val="1"/>
                <w:color w:val="auto"/>
              </w:rPr>
            </w:pPr>
          </w:p>
        </w:tc>
      </w:tr>
      <w:tr>
        <w:trPr>
          <w:trHeight w:val="144"/>
        </w:trPr>
        <w:tc>
          <w:tcPr>
            <w:tcW w:w="53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(1,180)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(1,180)</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sales of other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784</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(280)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(1,062)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Guarantor</w:t>
            </w:r>
          </w:p>
        </w:tc>
        <w:tc>
          <w:tcPr>
            <w:tcW w:w="8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98"/>
              </w:rPr>
              <w:t>Holdings</w:t>
            </w:r>
          </w:p>
        </w:tc>
        <w:tc>
          <w:tcPr>
            <w:tcW w:w="100" w:type="dxa"/>
            <w:vAlign w:val="bottom"/>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365</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(449)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1,837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199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(2,004)</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(1,930)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(1,090)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in cash and cash equivalents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7"/>
        </w:trPr>
        <w:tc>
          <w:tcPr>
            <w:tcW w:w="53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20"/>
                <w:szCs w:val="20"/>
                <w:color w:val="auto"/>
              </w:rPr>
            </w:pPr>
            <w:r>
              <w:rPr>
                <w:rFonts w:ascii="Arial" w:cs="Arial" w:eastAsia="Arial" w:hAnsi="Arial"/>
                <w:sz w:val="12"/>
                <w:szCs w:val="12"/>
                <w:b w:val="1"/>
                <w:bCs w:val="1"/>
                <w:color w:val="auto"/>
              </w:rPr>
              <w:t>Year Ended December 31, 2004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939</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1,158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(2,258)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939</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(1,158)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2,258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Other adjustments and changes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1,314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1,279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2,472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2,218</w:t>
            </w:r>
          </w:p>
        </w:tc>
        <w:tc>
          <w:tcPr>
            <w:tcW w:w="0" w:type="dxa"/>
            <w:vAlign w:val="bottom"/>
          </w:tcPr>
          <w:p>
            <w:pPr>
              <w:spacing w:after="0"/>
              <w:rPr>
                <w:sz w:val="1"/>
                <w:szCs w:val="1"/>
                <w:color w:val="auto"/>
              </w:rPr>
            </w:pPr>
          </w:p>
        </w:tc>
      </w:tr>
      <w:tr>
        <w:trPr>
          <w:trHeight w:val="144"/>
        </w:trPr>
        <w:tc>
          <w:tcPr>
            <w:tcW w:w="53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(1,258)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(1,258)</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sales of other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434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439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(868)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144"/>
        </w:trPr>
        <w:tc>
          <w:tcPr>
            <w:tcW w:w="53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(133)</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(801)</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(432)</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47"/>
        </w:trPr>
        <w:tc>
          <w:tcPr>
            <w:tcW w:w="5300" w:type="dxa"/>
            <w:vAlign w:val="bottom"/>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7"/>
        </w:trPr>
        <w:tc>
          <w:tcPr>
            <w:tcW w:w="53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(1,472)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(1,538)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(1,130)</w:t>
            </w: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357</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67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32"/>
        </w:trPr>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5" w:lineRule="exact"/>
        <w:rPr>
          <w:sz w:val="20"/>
          <w:szCs w:val="20"/>
          <w:color w:val="auto"/>
        </w:rPr>
      </w:pPr>
    </w:p>
    <w:p>
      <w:pPr>
        <w:ind w:left="1180" w:hanging="493"/>
        <w:spacing w:after="0"/>
        <w:tabs>
          <w:tab w:leader="none" w:pos="118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(Unaudited)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48 — Accounting for Uncertainty in Income Taxes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In June 2006, the FASB issued Interpretation No. 48, </w:t>
      </w:r>
      <w:r>
        <w:rPr>
          <w:rFonts w:ascii="Arial" w:cs="Arial" w:eastAsia="Arial" w:hAnsi="Arial"/>
          <w:sz w:val="13"/>
          <w:szCs w:val="13"/>
          <w:i w:val="1"/>
          <w:iCs w:val="1"/>
          <w:color w:val="auto"/>
        </w:rPr>
        <w:t>Accounting for Uncertainty in Income Taxes (an interpretation of FASB Statement No. 109)</w:t>
      </w:r>
      <w:r>
        <w:rPr>
          <w:rFonts w:ascii="Arial" w:cs="Arial" w:eastAsia="Arial" w:hAnsi="Arial"/>
          <w:sz w:val="13"/>
          <w:szCs w:val="13"/>
          <w:color w:val="auto"/>
        </w:rPr>
        <w:t xml:space="preserve"> (“FIN 48”), which clarifies the relevant criteria and approach for the recognition, de-recognition and measurement of uncertain tax positions. FIN 48 will be effective for the Company beginning January 1, 2007. We do not expect the adoption of FIN 48 to have a material impact on our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this framework for measuring fair value will affect our current accounting policies and procedures and our financial statements. We have not determined whether the adoption of SFAS No. 157 will have a material impact on our consolidated financial statements.</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Internal Controls Over Financial Reporting</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 xml:space="preserve">Management’s report on our internal control over financial reporting can be found in Item 8 of this report. The Independent Registered Public Accounting Firm’s attestation report on management’s assessment of the effectiveness of our internal control over financial reporting can also be found in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of this report.</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At the meeting of the Management Development and Compensation Committee of the Board of Directors on December 14, 2006, the Compensation Committee set the fiscal 2007 performance criteria for our executive officers for annual bonuses paid under our annual incentive plan. Pursuant to the criteria approved by the Committee, the executives’ target bonuses are based entirely on financial measures, although the Committee may exercise its discretion to increase or decrease an executives’ potential bonus by up to 25% based on personal performance. Additionally, the annual incentive plan provides that in no event will any award made under the plan exceed 0.5% of the Company’s pre-tax income from operations. Each of the executives is party to an employment agreement with the Company that sets forth such executive’s target incentive bonus, which ranges from 50% to 115% of the executives’ annual base salary. Further, the agreements provide that the executives’ actual bonuses may range from zero to two times the target bonus, depending on the achievement of the goals set forth under the annual incentive plan.</w:t>
      </w:r>
    </w:p>
    <w:p>
      <w:pPr>
        <w:spacing w:after="0" w:line="7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2007 criteria set by the Committee consists of financial measures divided equally between an earnings per share measure, calculated for the Company applicable to all executives, and a cash flow target. For purposes of the performance criteria, “cash flow” is calculated as earnings before interest, taxes, depreciation and amortization less capital expenditures. The cash flow targets are Company based for corporate executives and calculated for each individual Group for the Group executives. The Committee may, in its discretion, adjust actual results by eliminating charges for restructuring, extraordinary, unusual or non-recurring items, discontinued operations and cumulative effect of changes in accounting principles or changes in tax laws in determining whether the criteria have been met.</w:t>
      </w:r>
    </w:p>
    <w:p>
      <w:pPr>
        <w:spacing w:after="0" w:line="7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Also on December 14, 2006, the Committee determined to make changes to the awards issued as part of its long-term incentive program. Beginning in 2007, rather than granting an equal number of restricted stock unit awards and performance share unit awards to executives, the total value of the awards will be allocated 25% for restricted stock units and 75% performance share units. Additionally, rather than ratable vesting over a four-year period, 100% of the restricted stock units will vest at the end of a three-year service period.</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“Election of Directors,” “Executive Officers,” and “Section 16(a) Beneficial Ownership Reporting” in the Company’s definitive Proxy Statement for its 2007 Annual Meeting of Stockholders, to be held May 4, 2007.</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under the caption “Executive Compensation” in the 2007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5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Compensation Plan Table</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following table provides information as of December 31, 2006 about the number of shares to be issued upon vesting or exercise of equity awards and the number of shares remaining available for issuance under our equity compensation plans.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Number of Securities</w:t>
            </w:r>
          </w:p>
        </w:tc>
        <w:tc>
          <w:tcPr>
            <w:tcW w:w="200" w:type="dxa"/>
            <w:vAlign w:val="bottom"/>
          </w:tcPr>
          <w:p>
            <w:pPr>
              <w:spacing w:after="0"/>
              <w:rPr>
                <w:sz w:val="10"/>
                <w:szCs w:val="10"/>
                <w:color w:val="auto"/>
              </w:rPr>
            </w:pPr>
          </w:p>
        </w:tc>
        <w:tc>
          <w:tcPr>
            <w:tcW w:w="1820" w:type="dxa"/>
            <w:vAlign w:val="bottom"/>
            <w:gridSpan w:val="2"/>
            <w:vMerge w:val="restart"/>
          </w:tcPr>
          <w:p>
            <w:pPr>
              <w:jc w:val="center"/>
              <w:ind w:right="640"/>
              <w:spacing w:after="0"/>
              <w:rPr>
                <w:sz w:val="20"/>
                <w:szCs w:val="20"/>
                <w:color w:val="auto"/>
              </w:rPr>
            </w:pPr>
            <w:r>
              <w:rPr>
                <w:rFonts w:ascii="Arial" w:cs="Arial" w:eastAsia="Arial" w:hAnsi="Arial"/>
                <w:sz w:val="10"/>
                <w:szCs w:val="10"/>
                <w:b w:val="1"/>
                <w:bCs w:val="1"/>
                <w:color w:val="auto"/>
                <w:w w:val="93"/>
              </w:rPr>
              <w:t>Weighted-Average</w:t>
            </w:r>
          </w:p>
        </w:tc>
        <w:tc>
          <w:tcPr>
            <w:tcW w:w="22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2"/>
              </w:rPr>
              <w:t>to be Issued</w:t>
            </w:r>
          </w:p>
        </w:tc>
        <w:tc>
          <w:tcPr>
            <w:tcW w:w="2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220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6"/>
              </w:rPr>
              <w:t>Remaining Available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Upon Exercise of</w:t>
            </w:r>
          </w:p>
        </w:tc>
        <w:tc>
          <w:tcPr>
            <w:tcW w:w="200" w:type="dxa"/>
            <w:vAlign w:val="bottom"/>
          </w:tcPr>
          <w:p>
            <w:pPr>
              <w:spacing w:after="0"/>
              <w:rPr>
                <w:sz w:val="9"/>
                <w:szCs w:val="9"/>
                <w:color w:val="auto"/>
              </w:rPr>
            </w:pPr>
          </w:p>
        </w:tc>
        <w:tc>
          <w:tcPr>
            <w:tcW w:w="1820" w:type="dxa"/>
            <w:vAlign w:val="bottom"/>
            <w:gridSpan w:val="2"/>
          </w:tcPr>
          <w:p>
            <w:pPr>
              <w:jc w:val="center"/>
              <w:ind w:right="64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20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2"/>
              </w:rPr>
              <w:t>for Future Issuance</w:t>
            </w:r>
          </w:p>
        </w:tc>
        <w:tc>
          <w:tcPr>
            <w:tcW w:w="0" w:type="dxa"/>
            <w:vAlign w:val="bottom"/>
          </w:tcPr>
          <w:p>
            <w:pPr>
              <w:spacing w:after="0"/>
              <w:rPr>
                <w:sz w:val="1"/>
                <w:szCs w:val="1"/>
                <w:color w:val="auto"/>
              </w:rPr>
            </w:pPr>
          </w:p>
        </w:tc>
      </w:tr>
      <w:tr>
        <w:trPr>
          <w:trHeight w:val="118"/>
        </w:trPr>
        <w:tc>
          <w:tcPr>
            <w:tcW w:w="376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Category(a)</w:t>
            </w:r>
          </w:p>
        </w:tc>
        <w:tc>
          <w:tcPr>
            <w:tcW w:w="2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Outstanding Options,</w:t>
            </w:r>
          </w:p>
        </w:tc>
        <w:tc>
          <w:tcPr>
            <w:tcW w:w="200" w:type="dxa"/>
            <w:vAlign w:val="bottom"/>
          </w:tcPr>
          <w:p>
            <w:pPr>
              <w:spacing w:after="0"/>
              <w:rPr>
                <w:sz w:val="10"/>
                <w:szCs w:val="10"/>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Outstanding Options,</w:t>
            </w:r>
          </w:p>
        </w:tc>
        <w:tc>
          <w:tcPr>
            <w:tcW w:w="22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9"/>
              </w:rPr>
              <w:t>Under Equity</w:t>
            </w:r>
          </w:p>
        </w:tc>
        <w:tc>
          <w:tcPr>
            <w:tcW w:w="0" w:type="dxa"/>
            <w:vAlign w:val="bottom"/>
          </w:tcPr>
          <w:p>
            <w:pPr>
              <w:spacing w:after="0"/>
              <w:rPr>
                <w:sz w:val="1"/>
                <w:szCs w:val="1"/>
                <w:color w:val="auto"/>
              </w:rPr>
            </w:pPr>
          </w:p>
        </w:tc>
      </w:tr>
      <w:tr>
        <w:trPr>
          <w:trHeight w:val="125"/>
        </w:trPr>
        <w:tc>
          <w:tcPr>
            <w:tcW w:w="3760" w:type="dxa"/>
            <w:vAlign w:val="bottom"/>
            <w:gridSpan w:val="2"/>
            <w:vMerge w:val="continue"/>
          </w:tcPr>
          <w:p>
            <w:pPr>
              <w:spacing w:after="0"/>
              <w:rPr>
                <w:sz w:val="10"/>
                <w:szCs w:val="10"/>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Warrants and Rights</w:t>
            </w:r>
          </w:p>
        </w:tc>
        <w:tc>
          <w:tcPr>
            <w:tcW w:w="200" w:type="dxa"/>
            <w:vAlign w:val="bottom"/>
          </w:tcPr>
          <w:p>
            <w:pPr>
              <w:spacing w:after="0"/>
              <w:rPr>
                <w:sz w:val="10"/>
                <w:szCs w:val="10"/>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6"/>
              </w:rPr>
              <w:t>Warrants and Rights</w:t>
            </w:r>
          </w:p>
        </w:tc>
        <w:tc>
          <w:tcPr>
            <w:tcW w:w="22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0"/>
              </w:rPr>
              <w:t>Compensation Plans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holders(b)</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21,492,730(c)</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ind w:left="1080"/>
              <w:spacing w:after="0"/>
              <w:rPr>
                <w:sz w:val="20"/>
                <w:szCs w:val="20"/>
                <w:color w:val="auto"/>
              </w:rPr>
            </w:pPr>
            <w:r>
              <w:rPr>
                <w:rFonts w:ascii="Arial" w:cs="Arial" w:eastAsia="Arial" w:hAnsi="Arial"/>
                <w:sz w:val="13"/>
                <w:szCs w:val="13"/>
                <w:color w:val="auto"/>
              </w:rPr>
              <w:t>28.36(d)</w:t>
            </w:r>
          </w:p>
        </w:tc>
        <w:tc>
          <w:tcPr>
            <w:tcW w:w="22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24,732,022(e)</w:t>
            </w:r>
          </w:p>
        </w:tc>
        <w:tc>
          <w:tcPr>
            <w:tcW w:w="0" w:type="dxa"/>
            <w:vAlign w:val="bottom"/>
          </w:tcPr>
          <w:p>
            <w:pPr>
              <w:spacing w:after="0"/>
              <w:rPr>
                <w:sz w:val="1"/>
                <w:szCs w:val="1"/>
                <w:color w:val="auto"/>
              </w:rPr>
            </w:pPr>
          </w:p>
        </w:tc>
      </w:tr>
      <w:tr>
        <w:trPr>
          <w:trHeight w:val="157"/>
        </w:trPr>
        <w:tc>
          <w:tcPr>
            <w:tcW w:w="376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holders(f)</w:t>
            </w:r>
          </w:p>
        </w:tc>
        <w:tc>
          <w:tcPr>
            <w:tcW w:w="1580" w:type="dxa"/>
            <w:vAlign w:val="bottom"/>
          </w:tcPr>
          <w:p>
            <w:pPr>
              <w:jc w:val="right"/>
              <w:spacing w:after="0"/>
              <w:rPr>
                <w:sz w:val="20"/>
                <w:szCs w:val="20"/>
                <w:color w:val="auto"/>
              </w:rPr>
            </w:pPr>
            <w:r>
              <w:rPr>
                <w:rFonts w:ascii="Arial" w:cs="Arial" w:eastAsia="Arial" w:hAnsi="Arial"/>
                <w:sz w:val="13"/>
                <w:szCs w:val="13"/>
                <w:color w:val="auto"/>
              </w:rPr>
              <w:t>518,125</w:t>
            </w:r>
          </w:p>
        </w:tc>
        <w:tc>
          <w:tcPr>
            <w:tcW w:w="42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820" w:type="dxa"/>
            <w:vAlign w:val="bottom"/>
            <w:gridSpan w:val="2"/>
          </w:tcPr>
          <w:p>
            <w:pPr>
              <w:ind w:left="1080"/>
              <w:spacing w:after="0"/>
              <w:rPr>
                <w:sz w:val="20"/>
                <w:szCs w:val="20"/>
                <w:color w:val="auto"/>
              </w:rPr>
            </w:pPr>
            <w:r>
              <w:rPr>
                <w:rFonts w:ascii="Arial" w:cs="Arial" w:eastAsia="Arial" w:hAnsi="Arial"/>
                <w:sz w:val="13"/>
                <w:szCs w:val="13"/>
                <w:color w:val="auto"/>
              </w:rPr>
              <w:t>22.06(g)</w:t>
            </w:r>
          </w:p>
        </w:tc>
        <w:tc>
          <w:tcPr>
            <w:tcW w:w="2200" w:type="dxa"/>
            <w:vAlign w:val="bottom"/>
            <w:gridSpan w:val="2"/>
          </w:tcPr>
          <w:p>
            <w:pPr>
              <w:jc w:val="right"/>
              <w:ind w:right="480"/>
              <w:spacing w:after="0"/>
              <w:rPr>
                <w:sz w:val="20"/>
                <w:szCs w:val="20"/>
                <w:color w:val="auto"/>
              </w:rPr>
            </w:pPr>
            <w:r>
              <w:rPr>
                <w:rFonts w:ascii="Arial" w:cs="Arial" w:eastAsia="Arial" w:hAnsi="Arial"/>
                <w:sz w:val="13"/>
                <w:szCs w:val="13"/>
                <w:color w:val="auto"/>
              </w:rPr>
              <w:t>515,953(h)</w:t>
            </w:r>
          </w:p>
        </w:tc>
        <w:tc>
          <w:tcPr>
            <w:tcW w:w="0" w:type="dxa"/>
            <w:vAlign w:val="bottom"/>
          </w:tcPr>
          <w:p>
            <w:pPr>
              <w:spacing w:after="0"/>
              <w:rPr>
                <w:sz w:val="1"/>
                <w:szCs w:val="1"/>
                <w:color w:val="auto"/>
              </w:rPr>
            </w:pPr>
          </w:p>
        </w:tc>
      </w:tr>
      <w:tr>
        <w:trPr>
          <w:trHeight w:val="157"/>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22,010,855</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ind w:left="1080"/>
              <w:spacing w:after="0"/>
              <w:rPr>
                <w:sz w:val="20"/>
                <w:szCs w:val="20"/>
                <w:color w:val="auto"/>
              </w:rPr>
            </w:pPr>
            <w:r>
              <w:rPr>
                <w:rFonts w:ascii="Arial" w:cs="Arial" w:eastAsia="Arial" w:hAnsi="Arial"/>
                <w:sz w:val="13"/>
                <w:szCs w:val="13"/>
                <w:color w:val="auto"/>
              </w:rPr>
              <w:t>28.21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25,247,975</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20" w:hanging="493"/>
        <w:spacing w:after="0" w:line="264" w:lineRule="auto"/>
        <w:tabs>
          <w:tab w:leader="none" w:pos="11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 prior years, we acquired several companies that had options outstanding at the time of acquisition. We assumed the outstanding options of the acquired companies, and converted them into the right to purchase shares of our Common Stock. We have excluded from the table above 2,574,421 shares to be issued upon exercise of these assumed options, at a weighted-average exercise price of $39.30, that were originally granted by acquired companies.</w:t>
      </w:r>
    </w:p>
    <w:p>
      <w:pPr>
        <w:spacing w:after="0" w:line="17" w:lineRule="exact"/>
        <w:rPr>
          <w:rFonts w:ascii="Arial" w:cs="Arial" w:eastAsia="Arial" w:hAnsi="Arial"/>
          <w:sz w:val="13"/>
          <w:szCs w:val="13"/>
          <w:color w:val="auto"/>
        </w:rPr>
      </w:pPr>
    </w:p>
    <w:p>
      <w:pPr>
        <w:ind w:left="1180" w:right="120" w:hanging="493"/>
        <w:spacing w:after="0" w:line="276" w:lineRule="auto"/>
        <w:tabs>
          <w:tab w:leader="none" w:pos="11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Plans approved by stockholders include our Employee Stock Purchase Plan, 1993 Stock Incentive Plan, 2000 Stock Incentive Plan, 1996 Non-Employee Director’s Plan and 2004 Stock Incentive Plan.</w:t>
      </w:r>
    </w:p>
    <w:p>
      <w:pPr>
        <w:spacing w:after="0" w:line="10" w:lineRule="exact"/>
        <w:rPr>
          <w:rFonts w:ascii="Arial" w:cs="Arial" w:eastAsia="Arial" w:hAnsi="Arial"/>
          <w:sz w:val="13"/>
          <w:szCs w:val="13"/>
          <w:color w:val="auto"/>
        </w:rPr>
      </w:pPr>
    </w:p>
    <w:p>
      <w:pPr>
        <w:ind w:left="1180" w:right="80" w:hanging="493"/>
        <w:spacing w:after="0" w:line="256" w:lineRule="auto"/>
        <w:tabs>
          <w:tab w:leader="none" w:pos="11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Includes 1,391,075 shares payable under performance share units assuming Company performance at the target levels. Up to two times this amount may be issued for performance share units if the Company exceeds the target performance criteria. Also includes 1,343,505 shares issuable upon vesting of restricted stock units and restricted stock awards. Excludes purchase rights that accrue under our Employee Stock Purchase Plan (the “ESPP”). Under the ESPP, eligible employees may purchase shares of our common stock through payroll contributions during two separate six-month purchase periods running from January through June and July through December. The shares are purchased on the last day of the purchase period at a price equal to 85% of the lesser of the closing price on that day or the first day of the period. Purchase rights under the ESPP are considered equity compensation for accounting purposes; however, the number of shares to be purchased is indeterminable by us as employee contributions may be terminated before the end of the purchase period and,</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due to the look-back pricing feature, the purchase price and corresponding number of shares to be purchased is unknown.</w:t>
      </w:r>
    </w:p>
    <w:p>
      <w:pPr>
        <w:spacing w:after="0" w:line="47" w:lineRule="exact"/>
        <w:rPr>
          <w:sz w:val="20"/>
          <w:szCs w:val="20"/>
          <w:color w:val="auto"/>
        </w:rPr>
      </w:pPr>
    </w:p>
    <w:p>
      <w:pPr>
        <w:ind w:left="1180" w:right="100" w:hanging="493"/>
        <w:spacing w:after="0" w:line="276" w:lineRule="auto"/>
        <w:tabs>
          <w:tab w:leader="none" w:pos="11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Excludes performance share units, restricted stock units and restricted stock awards, as none of those awards has an exercise right associated with it. Also excludes purchase rights under the ESPP, as the purchase price is based on a look-back pricing feature of the market price of our common stock on a future date.</w:t>
      </w:r>
    </w:p>
    <w:p>
      <w:pPr>
        <w:spacing w:after="0" w:line="10" w:lineRule="exact"/>
        <w:rPr>
          <w:rFonts w:ascii="Arial" w:cs="Arial" w:eastAsia="Arial" w:hAnsi="Arial"/>
          <w:sz w:val="13"/>
          <w:szCs w:val="13"/>
          <w:color w:val="auto"/>
        </w:rPr>
      </w:pPr>
    </w:p>
    <w:p>
      <w:pPr>
        <w:ind w:left="1180" w:right="160" w:hanging="493"/>
        <w:spacing w:after="0" w:line="317" w:lineRule="auto"/>
        <w:tabs>
          <w:tab w:leader="none" w:pos="1180" w:val="left"/>
        </w:tabs>
        <w:numPr>
          <w:ilvl w:val="0"/>
          <w:numId w:val="83"/>
        </w:numPr>
        <w:rPr>
          <w:rFonts w:ascii="Arial" w:cs="Arial" w:eastAsia="Arial" w:hAnsi="Arial"/>
          <w:sz w:val="11"/>
          <w:szCs w:val="11"/>
          <w:color w:val="auto"/>
        </w:rPr>
      </w:pPr>
      <w:r>
        <w:rPr>
          <w:rFonts w:ascii="Arial" w:cs="Arial" w:eastAsia="Arial" w:hAnsi="Arial"/>
          <w:sz w:val="11"/>
          <w:szCs w:val="11"/>
          <w:color w:val="auto"/>
        </w:rPr>
        <w:t>As noted in footnote (c), performance share units may be paid out at two times target. We have excluded the maximum possible payout of 2,782,150 shares from the shares remaining available for future issuance. The shares remaining available include 22,710,926 shares under our 2004 Stock Incentive Plan and 2,021,096 shares under our ESPP. No additional shares may be issued under the 1993 Stock Incentive Plan, as that plan expired in May 2003. Additionally, upon approval by stockholders of the 2004 Stock Incentive Plan, all shares available under the 2000 Stock Incentive Plan and the 1996 Non-Employee Director’s Plan became available for issuance under the 2004 Stock Incentive Plan.</w:t>
      </w:r>
    </w:p>
    <w:p>
      <w:pPr>
        <w:ind w:left="1180" w:hanging="493"/>
        <w:spacing w:after="0" w:line="281" w:lineRule="auto"/>
        <w:tabs>
          <w:tab w:leader="none" w:pos="1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our 2000 Broad-Based Employee Plan and 2003 Directors’ Deferred Compensation Plan. No options under the Broad-Based Employee Plan are held by, or may be issued to, any of our directors or executive officers. The Broad-Based Employee Plan allows for the granting of stock options, appreciation rights and stock bonuses to employees on such terms and conditions as the Compensation Committee may decide; provided, that the exercise price of options may not be less than 100% of the fair market value of the stock on the date of grant, and all options expire no later than ten years from the date of grant. The 2003 Directors’ Deferred Compensation Plan provides for a portion of the directors’ compensation to be paid in shares of common stock in lieu of cash and also allows the directors to elect to defer the remaining portion of their compensation by receiving shares in lieu of cash. The number of shares issuable to the directors is valued as of the date the directors would otherwise receive cash compensation, based on the fair market value of the common stock as of such day, and is issued following the termination of a director’s service on the board.</w:t>
      </w:r>
    </w:p>
    <w:p>
      <w:pPr>
        <w:spacing w:after="0" w:line="9" w:lineRule="exact"/>
        <w:rPr>
          <w:rFonts w:ascii="Arial" w:cs="Arial" w:eastAsia="Arial" w:hAnsi="Arial"/>
          <w:sz w:val="12"/>
          <w:szCs w:val="12"/>
          <w:color w:val="auto"/>
        </w:rPr>
      </w:pPr>
    </w:p>
    <w:p>
      <w:pPr>
        <w:ind w:left="1180" w:hanging="493"/>
        <w:spacing w:after="0"/>
        <w:tabs>
          <w:tab w:leader="none" w:pos="1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rights issued under the 2003 Directors’ Deferred Compensation Plan have no exercise price associated with them and therefore those awards have been excluded.</w:t>
      </w:r>
    </w:p>
    <w:p>
      <w:pPr>
        <w:spacing w:after="0" w:line="58" w:lineRule="exact"/>
        <w:rPr>
          <w:rFonts w:ascii="Arial" w:cs="Arial" w:eastAsia="Arial" w:hAnsi="Arial"/>
          <w:sz w:val="12"/>
          <w:szCs w:val="12"/>
          <w:color w:val="auto"/>
        </w:rPr>
      </w:pPr>
    </w:p>
    <w:p>
      <w:pPr>
        <w:ind w:left="1180" w:right="820" w:hanging="493"/>
        <w:spacing w:after="0" w:line="276" w:lineRule="auto"/>
        <w:tabs>
          <w:tab w:leader="none" w:pos="11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Includes 112,114 shares remaining available for issuance under the 2000 Broad-Based Employee Plan and 403,839 shares remaining available for issuance under the 2003 Directors’ Deferred Compensation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other information required by this Item is incorporated by reference to “Director Nominee and Officer Stock Ownership” in the 2007 Proxy Statement.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under the caption “Related Party Transactions” in the 2007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The information required by this Item is set forth under the caption “Independent Registered Public Accounting Firm Fee Information” in the 2007 Proxy Statement and is incorporated herein by reference.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(a)(1) </w:t>
      </w:r>
      <w:r>
        <w:rPr>
          <w:rFonts w:ascii="Arial" w:cs="Arial" w:eastAsia="Arial" w:hAnsi="Arial"/>
          <w:sz w:val="13"/>
          <w:szCs w:val="13"/>
          <w:i w:val="1"/>
          <w:iCs w:val="1"/>
          <w:color w:val="auto"/>
        </w:rPr>
        <w:t>Consolidated Financial Statements: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Balance Sheets as of December 31, 2006 and 2005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Statements of Operations for the years ended December 31, 2006, 2005 and 2004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Statements of Cash Flows for the years ended December 31, 2006, 2005 and 2004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Statements of Stockholders’ Equity for the years ended December 31, 2006, 2005 and 2004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Notes to Consolidated Financial Statements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(a)(2) </w:t>
      </w:r>
      <w:r>
        <w:rPr>
          <w:rFonts w:ascii="Arial" w:cs="Arial" w:eastAsia="Arial" w:hAnsi="Arial"/>
          <w:sz w:val="13"/>
          <w:szCs w:val="13"/>
          <w:i w:val="1"/>
          <w:iCs w:val="1"/>
          <w:color w:val="auto"/>
        </w:rPr>
        <w:t>Consolidated Financial Statement Schedules:</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Schedule II — Valuation and Qualifying Accounts</w:t>
      </w:r>
    </w:p>
    <w:p>
      <w:pPr>
        <w:spacing w:after="0" w:line="96"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All other schedules have been omitted because the required information is not significant or is included in the financial statements or notes thereto, or is not applicable.</w:t>
      </w:r>
    </w:p>
    <w:p>
      <w:pPr>
        <w:spacing w:after="0" w:line="96" w:lineRule="exact"/>
        <w:rPr>
          <w:sz w:val="20"/>
          <w:szCs w:val="20"/>
          <w:color w:val="auto"/>
        </w:rPr>
      </w:pPr>
    </w:p>
    <w:p>
      <w:pPr>
        <w:ind w:left="1280" w:hanging="194"/>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list required by this Item is incorporated by reference to the Exhibit Index filed as part of this report.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ASTE</w:t>
      </w:r>
      <w:r>
        <w:rPr>
          <w:rFonts w:ascii="Arial" w:cs="Arial" w:eastAsia="Arial" w:hAnsi="Arial"/>
          <w:sz w:val="13"/>
          <w:szCs w:val="13"/>
          <w:color w:val="auto"/>
        </w:rPr>
        <w:t xml:space="preserve"> M</w:t>
      </w:r>
      <w:r>
        <w:rPr>
          <w:rFonts w:ascii="Arial" w:cs="Arial" w:eastAsia="Arial" w:hAnsi="Arial"/>
          <w:sz w:val="8"/>
          <w:szCs w:val="8"/>
          <w:color w:val="auto"/>
        </w:rPr>
        <w:t>ANAGEMENT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200" w:lineRule="exact"/>
        <w:rPr>
          <w:sz w:val="20"/>
          <w:szCs w:val="20"/>
          <w:color w:val="auto"/>
        </w:rPr>
      </w:pPr>
    </w:p>
    <w:p>
      <w:pPr>
        <w:spacing w:after="0" w:line="348"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Executive Officer and Director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15, 2007</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ind w:left="188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280" w:type="dxa"/>
            <w:vAlign w:val="bottom"/>
          </w:tcPr>
          <w:p>
            <w:pPr>
              <w:jc w:val="right"/>
              <w:ind w:right="1895"/>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380" w:type="dxa"/>
            <w:vAlign w:val="bottom"/>
          </w:tcPr>
          <w:p>
            <w:pPr>
              <w:ind w:left="78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David P. Steiner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OBERT</w:t>
            </w:r>
            <w:r>
              <w:rPr>
                <w:rFonts w:ascii="Arial" w:cs="Arial" w:eastAsia="Arial" w:hAnsi="Arial"/>
                <w:sz w:val="13"/>
                <w:szCs w:val="13"/>
                <w:color w:val="auto"/>
              </w:rPr>
              <w:t xml:space="preserve"> G. S</w:t>
            </w:r>
            <w:r>
              <w:rPr>
                <w:rFonts w:ascii="Arial" w:cs="Arial" w:eastAsia="Arial" w:hAnsi="Arial"/>
                <w:sz w:val="8"/>
                <w:szCs w:val="8"/>
                <w:color w:val="auto"/>
              </w:rPr>
              <w:t>IMPSON</w:t>
            </w:r>
          </w:p>
        </w:tc>
        <w:tc>
          <w:tcPr>
            <w:tcW w:w="4280" w:type="dxa"/>
            <w:vAlign w:val="bottom"/>
          </w:tcPr>
          <w:p>
            <w:pPr>
              <w:jc w:val="center"/>
              <w:spacing w:after="0"/>
              <w:rPr>
                <w:sz w:val="20"/>
                <w:szCs w:val="20"/>
                <w:color w:val="auto"/>
              </w:rPr>
            </w:pPr>
            <w:r>
              <w:rPr>
                <w:rFonts w:ascii="Arial" w:cs="Arial" w:eastAsia="Arial" w:hAnsi="Arial"/>
                <w:sz w:val="13"/>
                <w:szCs w:val="13"/>
                <w:color w:val="auto"/>
                <w:w w:val="93"/>
              </w:rPr>
              <w:t>Senior Vice President and Chief Financial Officer (Principal Financial</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Robert G. Simpson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REG</w:t>
            </w:r>
            <w:r>
              <w:rPr>
                <w:rFonts w:ascii="Arial" w:cs="Arial" w:eastAsia="Arial" w:hAnsi="Arial"/>
                <w:sz w:val="13"/>
                <w:szCs w:val="13"/>
                <w:color w:val="auto"/>
              </w:rPr>
              <w:t xml:space="preserve"> A. R</w:t>
            </w:r>
            <w:r>
              <w:rPr>
                <w:rFonts w:ascii="Arial" w:cs="Arial" w:eastAsia="Arial" w:hAnsi="Arial"/>
                <w:sz w:val="8"/>
                <w:szCs w:val="8"/>
                <w:color w:val="auto"/>
              </w:rPr>
              <w:t>OBERTSON</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Vice President and Chief Accounting Officer (Principal Accounting</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Greg A. Robertson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ASTORA</w:t>
            </w:r>
            <w:r>
              <w:rPr>
                <w:rFonts w:ascii="Arial" w:cs="Arial" w:eastAsia="Arial" w:hAnsi="Arial"/>
                <w:sz w:val="13"/>
                <w:szCs w:val="13"/>
                <w:color w:val="auto"/>
              </w:rPr>
              <w:t xml:space="preserve"> S</w:t>
            </w:r>
            <w:r>
              <w:rPr>
                <w:rFonts w:ascii="Arial" w:cs="Arial" w:eastAsia="Arial" w:hAnsi="Arial"/>
                <w:sz w:val="8"/>
                <w:szCs w:val="8"/>
                <w:color w:val="auto"/>
              </w:rPr>
              <w:t>AN</w:t>
            </w:r>
            <w:r>
              <w:rPr>
                <w:rFonts w:ascii="Arial" w:cs="Arial" w:eastAsia="Arial" w:hAnsi="Arial"/>
                <w:sz w:val="13"/>
                <w:szCs w:val="13"/>
                <w:color w:val="auto"/>
              </w:rPr>
              <w:t xml:space="preserve"> J</w:t>
            </w:r>
            <w:r>
              <w:rPr>
                <w:rFonts w:ascii="Arial" w:cs="Arial" w:eastAsia="Arial" w:hAnsi="Arial"/>
                <w:sz w:val="8"/>
                <w:szCs w:val="8"/>
                <w:color w:val="auto"/>
              </w:rPr>
              <w:t>UAN</w:t>
            </w:r>
            <w:r>
              <w:rPr>
                <w:rFonts w:ascii="Arial" w:cs="Arial" w:eastAsia="Arial" w:hAnsi="Arial"/>
                <w:sz w:val="13"/>
                <w:szCs w:val="13"/>
                <w:color w:val="auto"/>
              </w:rPr>
              <w:t xml:space="preserve"> C</w:t>
            </w:r>
            <w:r>
              <w:rPr>
                <w:rFonts w:ascii="Arial" w:cs="Arial" w:eastAsia="Arial" w:hAnsi="Arial"/>
                <w:sz w:val="8"/>
                <w:szCs w:val="8"/>
                <w:color w:val="auto"/>
              </w:rPr>
              <w:t>AFFERTY</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Pastora San Juan Cafferty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RANK</w:t>
            </w:r>
            <w:r>
              <w:rPr>
                <w:rFonts w:ascii="Arial" w:cs="Arial" w:eastAsia="Arial" w:hAnsi="Arial"/>
                <w:sz w:val="13"/>
                <w:szCs w:val="13"/>
                <w:color w:val="auto"/>
              </w:rPr>
              <w:t xml:space="preserve"> M. C</w:t>
            </w:r>
            <w:r>
              <w:rPr>
                <w:rFonts w:ascii="Arial" w:cs="Arial" w:eastAsia="Arial" w:hAnsi="Arial"/>
                <w:sz w:val="8"/>
                <w:szCs w:val="8"/>
                <w:color w:val="auto"/>
              </w:rPr>
              <w:t>LARK</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Frank M. Clark</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ATRICK</w:t>
            </w:r>
            <w:r>
              <w:rPr>
                <w:rFonts w:ascii="Arial" w:cs="Arial" w:eastAsia="Arial" w:hAnsi="Arial"/>
                <w:sz w:val="13"/>
                <w:szCs w:val="13"/>
                <w:color w:val="auto"/>
              </w:rPr>
              <w:t xml:space="preserve"> W. G</w:t>
            </w:r>
            <w:r>
              <w:rPr>
                <w:rFonts w:ascii="Arial" w:cs="Arial" w:eastAsia="Arial" w:hAnsi="Arial"/>
                <w:sz w:val="8"/>
                <w:szCs w:val="8"/>
                <w:color w:val="auto"/>
              </w:rPr>
              <w:t>ROSS</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Patrick W. Gross</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HOMAS</w:t>
            </w:r>
            <w:r>
              <w:rPr>
                <w:rFonts w:ascii="Arial" w:cs="Arial" w:eastAsia="Arial" w:hAnsi="Arial"/>
                <w:sz w:val="13"/>
                <w:szCs w:val="13"/>
                <w:color w:val="auto"/>
              </w:rPr>
              <w:t xml:space="preserve"> I. M</w:t>
            </w:r>
            <w:r>
              <w:rPr>
                <w:rFonts w:ascii="Arial" w:cs="Arial" w:eastAsia="Arial" w:hAnsi="Arial"/>
                <w:sz w:val="8"/>
                <w:szCs w:val="8"/>
                <w:color w:val="auto"/>
              </w:rPr>
              <w:t>ORGAN</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Thomas I. Morgan</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OHN</w:t>
            </w:r>
            <w:r>
              <w:rPr>
                <w:rFonts w:ascii="Arial" w:cs="Arial" w:eastAsia="Arial" w:hAnsi="Arial"/>
                <w:sz w:val="13"/>
                <w:szCs w:val="13"/>
                <w:color w:val="auto"/>
              </w:rPr>
              <w:t xml:space="preserve"> C. P</w:t>
            </w:r>
            <w:r>
              <w:rPr>
                <w:rFonts w:ascii="Arial" w:cs="Arial" w:eastAsia="Arial" w:hAnsi="Arial"/>
                <w:sz w:val="8"/>
                <w:szCs w:val="8"/>
                <w:color w:val="auto"/>
              </w:rPr>
              <w:t>OPE</w:t>
            </w:r>
          </w:p>
        </w:tc>
        <w:tc>
          <w:tcPr>
            <w:tcW w:w="4280" w:type="dxa"/>
            <w:vAlign w:val="bottom"/>
          </w:tcPr>
          <w:p>
            <w:pPr>
              <w:jc w:val="center"/>
              <w:spacing w:after="0"/>
              <w:rPr>
                <w:sz w:val="20"/>
                <w:szCs w:val="20"/>
                <w:color w:val="auto"/>
              </w:rPr>
            </w:pPr>
            <w:r>
              <w:rPr>
                <w:rFonts w:ascii="Arial" w:cs="Arial" w:eastAsia="Arial" w:hAnsi="Arial"/>
                <w:sz w:val="13"/>
                <w:szCs w:val="13"/>
                <w:color w:val="auto"/>
                <w:w w:val="92"/>
              </w:rPr>
              <w:t>Chairman of the Board and 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John C. Pope</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 R</w:t>
            </w:r>
            <w:r>
              <w:rPr>
                <w:rFonts w:ascii="Arial" w:cs="Arial" w:eastAsia="Arial" w:hAnsi="Arial"/>
                <w:sz w:val="8"/>
                <w:szCs w:val="8"/>
                <w:color w:val="auto"/>
              </w:rPr>
              <w:t>OBERT</w:t>
            </w:r>
            <w:r>
              <w:rPr>
                <w:rFonts w:ascii="Arial" w:cs="Arial" w:eastAsia="Arial" w:hAnsi="Arial"/>
                <w:sz w:val="13"/>
                <w:szCs w:val="13"/>
                <w:color w:val="auto"/>
              </w:rPr>
              <w:t xml:space="preserve"> R</w:t>
            </w:r>
            <w:r>
              <w:rPr>
                <w:rFonts w:ascii="Arial" w:cs="Arial" w:eastAsia="Arial" w:hAnsi="Arial"/>
                <w:sz w:val="8"/>
                <w:szCs w:val="8"/>
                <w:color w:val="auto"/>
              </w:rPr>
              <w:t>EUM</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 Robert Reum</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TEVEN</w:t>
            </w:r>
            <w:r>
              <w:rPr>
                <w:rFonts w:ascii="Arial" w:cs="Arial" w:eastAsia="Arial" w:hAnsi="Arial"/>
                <w:sz w:val="13"/>
                <w:szCs w:val="13"/>
                <w:color w:val="auto"/>
              </w:rPr>
              <w:t xml:space="preserve"> G. R</w:t>
            </w:r>
            <w:r>
              <w:rPr>
                <w:rFonts w:ascii="Arial" w:cs="Arial" w:eastAsia="Arial" w:hAnsi="Arial"/>
                <w:sz w:val="8"/>
                <w:szCs w:val="8"/>
                <w:color w:val="auto"/>
              </w:rPr>
              <w:t>OTHMEIER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Steven G. Rothmeier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H. W</w:t>
            </w:r>
            <w:r>
              <w:rPr>
                <w:rFonts w:ascii="Arial" w:cs="Arial" w:eastAsia="Arial" w:hAnsi="Arial"/>
                <w:sz w:val="8"/>
                <w:szCs w:val="8"/>
                <w:color w:val="auto"/>
              </w:rPr>
              <w:t>EIDEMEYER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15, 2007</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Thomas H. Weidemeyer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80" w:type="dxa"/>
            <w:vAlign w:val="bottom"/>
          </w:tcPr>
          <w:p>
            <w:pPr>
              <w:jc w:val="right"/>
              <w:ind w:right="3235"/>
              <w:spacing w:after="0"/>
              <w:rPr>
                <w:sz w:val="20"/>
                <w:szCs w:val="20"/>
                <w:color w:val="auto"/>
              </w:rPr>
            </w:pPr>
            <w:r>
              <w:rPr>
                <w:rFonts w:ascii="Arial" w:cs="Arial" w:eastAsia="Arial" w:hAnsi="Arial"/>
                <w:sz w:val="13"/>
                <w:szCs w:val="13"/>
                <w:color w:val="auto"/>
              </w:rPr>
              <w:t>122</w:t>
            </w:r>
          </w:p>
        </w:tc>
        <w:tc>
          <w:tcPr>
            <w:tcW w:w="23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-3766185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consolidated financial statements of Waste Management, Inc. (the “Company”) as of December 31, 2006 and 2005, and for each of the three years in the period ended December 31, 2006, and have issued our report thereon dated February 14, 2007 (included elsewhere in this Form 10-K). Our audit also included the financial statement schedule listed in Item 15(a)(2) of this Form 10-K. This schedule is the responsibility of the Company’s management. Our responsibility is to express an opinion based on our audit.</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our opinion, the financial statement schedule referred to above, when considered in relation to the basic consolidated financial statements taken as a whole, presents fairly, in all material respects, the information set forth therein.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14,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3"/>
              </w:rPr>
              <w:t>Balance</w:t>
            </w:r>
          </w:p>
        </w:tc>
        <w:tc>
          <w:tcPr>
            <w:tcW w:w="80" w:type="dxa"/>
            <w:vAlign w:val="bottom"/>
          </w:tcPr>
          <w:p>
            <w:pPr>
              <w:spacing w:after="0"/>
              <w:rPr>
                <w:sz w:val="10"/>
                <w:szCs w:val="10"/>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Accounts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WritTen</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8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(Credited) to</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Off/Use of</w:t>
            </w:r>
          </w:p>
        </w:tc>
        <w:tc>
          <w:tcPr>
            <w:tcW w:w="9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Other(A)</w:t>
            </w:r>
          </w:p>
        </w:tc>
        <w:tc>
          <w:tcPr>
            <w:tcW w:w="48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Year</w:t>
            </w:r>
          </w:p>
        </w:tc>
        <w:tc>
          <w:tcPr>
            <w:tcW w:w="8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Income</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Reserve</w:t>
            </w: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2004</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2005</w:t>
            </w:r>
          </w:p>
        </w:tc>
        <w:tc>
          <w:tcPr>
            <w:tcW w:w="492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(51)</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7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2004</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(9)</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2005</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120" w:hanging="493"/>
        <w:spacing w:after="0" w:line="276" w:lineRule="auto"/>
        <w:tabs>
          <w:tab w:leader="none" w:pos="11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Reserves for doubtful accounts related to purchase business combinations, reserves associated with dispositions of businesses, reserves reclassified to operations held for sale, and reclasses among reserve accounts.</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Includes reserves for doubtful accounts receivable and notes receivable.</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Included in accrued liabilities in our Consolidated Balance Sheets. These accruals represent employee severance and benefit costs and transitional costs.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9680" w:type="dxa"/>
            <w:vAlign w:val="bottom"/>
            <w:gridSpan w:val="3"/>
          </w:tcPr>
          <w:p>
            <w:pPr>
              <w:ind w:left="3240"/>
              <w:spacing w:after="0"/>
              <w:rPr>
                <w:sz w:val="20"/>
                <w:szCs w:val="20"/>
                <w:color w:val="auto"/>
              </w:rPr>
            </w:pPr>
            <w:r>
              <w:rPr>
                <w:rFonts w:ascii="Arial" w:cs="Arial" w:eastAsia="Arial" w:hAnsi="Arial"/>
                <w:sz w:val="13"/>
                <w:szCs w:val="13"/>
                <w:b w:val="1"/>
                <w:bCs w:val="1"/>
                <w:color w:val="auto"/>
              </w:rPr>
              <w:t>INDEX TO EXHIBITS</w:t>
            </w:r>
          </w:p>
        </w:tc>
      </w:tr>
      <w:tr>
        <w:trPr>
          <w:trHeight w:val="296"/>
        </w:trPr>
        <w:tc>
          <w:tcPr>
            <w:tcW w:w="1780" w:type="dxa"/>
            <w:vAlign w:val="bottom"/>
          </w:tcPr>
          <w:p>
            <w:pPr>
              <w:ind w:left="1140"/>
              <w:spacing w:after="0"/>
              <w:rPr>
                <w:sz w:val="20"/>
                <w:szCs w:val="20"/>
                <w:color w:val="auto"/>
              </w:rPr>
            </w:pPr>
            <w:r>
              <w:rPr>
                <w:rFonts w:ascii="Arial" w:cs="Arial" w:eastAsia="Arial" w:hAnsi="Arial"/>
                <w:sz w:val="10"/>
                <w:szCs w:val="10"/>
                <w:b w:val="1"/>
                <w:bCs w:val="1"/>
                <w:color w:val="auto"/>
              </w:rPr>
              <w:t>Exhibit No.*</w:t>
            </w:r>
          </w:p>
        </w:tc>
        <w:tc>
          <w:tcPr>
            <w:tcW w:w="456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7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78"/>
        </w:trPr>
        <w:tc>
          <w:tcPr>
            <w:tcW w:w="1780" w:type="dxa"/>
            <w:vAlign w:val="bottom"/>
          </w:tcPr>
          <w:p>
            <w:pPr>
              <w:ind w:left="1140"/>
              <w:spacing w:after="0"/>
              <w:rPr>
                <w:sz w:val="20"/>
                <w:szCs w:val="20"/>
                <w:color w:val="auto"/>
              </w:rPr>
            </w:pPr>
            <w:r>
              <w:rPr>
                <w:rFonts w:ascii="Arial" w:cs="Arial" w:eastAsia="Arial" w:hAnsi="Arial"/>
                <w:sz w:val="13"/>
                <w:szCs w:val="13"/>
                <w:color w:val="auto"/>
              </w:rPr>
              <w:t>3.1</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Second Amended and Restated Certificate of Incorporation [Incorporated by reference to Exhibit 3.1 to Form 10-Q for the quarter ended June 30, 2002].</w:t>
            </w:r>
          </w:p>
        </w:tc>
      </w:tr>
      <w:tr>
        <w:trPr>
          <w:trHeight w:val="157"/>
        </w:trPr>
        <w:tc>
          <w:tcPr>
            <w:tcW w:w="1780" w:type="dxa"/>
            <w:vAlign w:val="bottom"/>
          </w:tcPr>
          <w:p>
            <w:pPr>
              <w:ind w:left="1140"/>
              <w:spacing w:after="0"/>
              <w:rPr>
                <w:sz w:val="20"/>
                <w:szCs w:val="20"/>
                <w:color w:val="auto"/>
              </w:rPr>
            </w:pPr>
            <w:r>
              <w:rPr>
                <w:rFonts w:ascii="Arial" w:cs="Arial" w:eastAsia="Arial" w:hAnsi="Arial"/>
                <w:sz w:val="13"/>
                <w:szCs w:val="13"/>
                <w:color w:val="auto"/>
              </w:rPr>
              <w:t>3.2</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Amended and Restated Bylaws [Incorporated by reference to Exhibit 3.1 to Form 8-K dated November 10, 2006].</w:t>
            </w:r>
          </w:p>
        </w:tc>
      </w:tr>
      <w:tr>
        <w:trPr>
          <w:trHeight w:val="157"/>
        </w:trPr>
        <w:tc>
          <w:tcPr>
            <w:tcW w:w="1780" w:type="dxa"/>
            <w:vAlign w:val="bottom"/>
          </w:tcPr>
          <w:p>
            <w:pPr>
              <w:ind w:left="1140"/>
              <w:spacing w:after="0"/>
              <w:rPr>
                <w:sz w:val="20"/>
                <w:szCs w:val="20"/>
                <w:color w:val="auto"/>
              </w:rPr>
            </w:pPr>
            <w:r>
              <w:rPr>
                <w:rFonts w:ascii="Arial" w:cs="Arial" w:eastAsia="Arial" w:hAnsi="Arial"/>
                <w:sz w:val="13"/>
                <w:szCs w:val="13"/>
                <w:color w:val="auto"/>
              </w:rPr>
              <w:t>4.1</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Specimen Stock Certificate [Incorporated by reference to Exhibit 4.1 to Form 10-K for the year ended December 31, 1998].</w:t>
            </w:r>
          </w:p>
        </w:tc>
      </w:tr>
      <w:tr>
        <w:trPr>
          <w:trHeight w:val="157"/>
        </w:trPr>
        <w:tc>
          <w:tcPr>
            <w:tcW w:w="1780" w:type="dxa"/>
            <w:vAlign w:val="bottom"/>
          </w:tcPr>
          <w:p>
            <w:pPr>
              <w:ind w:left="1140"/>
              <w:spacing w:after="0"/>
              <w:rPr>
                <w:sz w:val="20"/>
                <w:szCs w:val="20"/>
                <w:color w:val="auto"/>
              </w:rPr>
            </w:pPr>
            <w:r>
              <w:rPr>
                <w:rFonts w:ascii="Arial" w:cs="Arial" w:eastAsia="Arial" w:hAnsi="Arial"/>
                <w:sz w:val="13"/>
                <w:szCs w:val="13"/>
                <w:color w:val="auto"/>
              </w:rPr>
              <w:t>4.2</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Indenture for Subordinated Debt Securities dated February 1, 1997, among the Registrant and Texas Commerce Bank National Association, as trustee</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[Incorporated by reference to Exhibit 4.1 to Form 8-K dated February 7, 1997].</w:t>
            </w:r>
          </w:p>
        </w:tc>
      </w:tr>
      <w:tr>
        <w:trPr>
          <w:trHeight w:val="157"/>
        </w:trPr>
        <w:tc>
          <w:tcPr>
            <w:tcW w:w="1780" w:type="dxa"/>
            <w:vAlign w:val="bottom"/>
          </w:tcPr>
          <w:p>
            <w:pPr>
              <w:ind w:left="1140"/>
              <w:spacing w:after="0"/>
              <w:rPr>
                <w:sz w:val="20"/>
                <w:szCs w:val="20"/>
                <w:color w:val="auto"/>
              </w:rPr>
            </w:pPr>
            <w:r>
              <w:rPr>
                <w:rFonts w:ascii="Arial" w:cs="Arial" w:eastAsia="Arial" w:hAnsi="Arial"/>
                <w:sz w:val="13"/>
                <w:szCs w:val="13"/>
                <w:color w:val="auto"/>
              </w:rPr>
              <w:t>4.3</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w w:val="99"/>
              </w:rPr>
              <w:t>—  Indenture for Senior Debt Securities dated September 10, 1997, among the Registrant and Texas Commerce Bank National Association, as trustee [Incorporated by</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reference to Exhibit 4.1 to Form 8-K dated September 10, 1997].</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2004 Stock Incentive Plan [Incorporated by reference to Appendix C-1 to the Proxy Statement for the 2004 Annual Meeting of Stockholders].</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10.2</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2005 Annual Incentive Plan [Incorporated by reference to Appendix D-1 to the Proxy Statement for the 2004 Annual Meeting of Stockholders].</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10.3</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1997 Employee Stock Purchase Plan [Incorporated by reference to Appendix C-1 to the Proxy Statement for the 2006 Annual Meeting of Stockholders].</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10.4*</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Waste Management, Inc. 409A Deferral Savings Plan.</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10.5</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$2.4 Billion Revolving Credit Agreement by and among Waste Management, Inc. and Waste Management Holdings, Inc. and certain banks party thereto and</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Citibank, N.A. as Administrative Agent, JP Morgan Chase Bank, N.A. and Bank of America, N.A., as Syndication Agents and Barclays Bank PLC and Deutsche</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Bank Securities Inc. as Documentation Agents and J.P. Morgan Securities Inc. and Banc of America Securities LLC, as Lead Arrangers and Bookrunners dated</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August 17, 2006. [Incorporated by reference to Exhibit 10.1 to Form 10-Q for the quarter ended September 30, 2006].</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10.6</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Ten-Year Letter of Credit and Term Loan Agreement among the Company, Waste Management Holdings, Inc., and Bank of America, N.A., as Administrative</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Agent and Letter of Credit Issuer and the Lenders party thereto, dated as of June 30, 2003. [Incorporated by reference to Exhibit 10.2 to Form 10-Q for the quarter</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ended June 30, 2003].</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10.7</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Five-Year Letter of Credit and Term Loan Agreement among the Company, Waste Management Holdings, Inc., and Bank of America, N.A., as administrative</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Agent and Letter of Credit Issuer and the Lenders party thereto, dated as of June 30, 2003. [Incorporated by reference to Exhibit 10.3 to Form 10-Q for the quarter</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ended June 30, 2003].</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10.8</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Seven-Year Letter of Credit and Term Loan Agreement among the Company, Waste Management Holdings, Inc., and Bank of America, N.A., as Administrative</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Agent and Letter of Credit Issuer and the Lenders party thereto, dated as of June 30, 2003. [Incorporated by reference to Exhibit 10.4 to Form 10-Q for the quarter</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ended June 30, 2003].</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10.9</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Reimbursement Agreement between the Company and Oakmont Asset Trust, dated as of December 22, 2003. [Incorporated by reference to Exhibit 10.10 to</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Form 10-K for the year ended December 31, 2003].</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10.10*</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2007 Form of Restricted Stock Unit Award Agreement under the 2004 Stock Incentive Plan.</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10.11*</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2007 Form of Performance Share Unit Award Agreement under the 2004 Stock Incentive Plan.</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10.12</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2003 Waste Management, Inc. Directors Deferred Compensation Plan [Incorporated by reference to Exhibit 10.5 to Form 10-Q for the quarter ended June 30,</w:t>
            </w:r>
          </w:p>
        </w:tc>
      </w:tr>
      <w:tr>
        <w:trPr>
          <w:trHeight w:val="157"/>
        </w:trPr>
        <w:tc>
          <w:tcPr>
            <w:tcW w:w="1780" w:type="dxa"/>
            <w:vAlign w:val="bottom"/>
          </w:tcPr>
          <w:p>
            <w:pPr>
              <w:spacing w:after="0"/>
              <w:rPr>
                <w:sz w:val="13"/>
                <w:szCs w:val="13"/>
                <w:color w:val="auto"/>
              </w:rPr>
            </w:pPr>
          </w:p>
        </w:tc>
        <w:tc>
          <w:tcPr>
            <w:tcW w:w="4560" w:type="dxa"/>
            <w:vAlign w:val="bottom"/>
          </w:tcPr>
          <w:p>
            <w:pPr>
              <w:ind w:left="320"/>
              <w:spacing w:after="0"/>
              <w:rPr>
                <w:sz w:val="20"/>
                <w:szCs w:val="20"/>
                <w:color w:val="auto"/>
              </w:rPr>
            </w:pPr>
            <w:r>
              <w:rPr>
                <w:rFonts w:ascii="Arial" w:cs="Arial" w:eastAsia="Arial" w:hAnsi="Arial"/>
                <w:sz w:val="13"/>
                <w:szCs w:val="13"/>
                <w:color w:val="auto"/>
              </w:rPr>
              <w:t>2003].</w:t>
            </w:r>
          </w:p>
        </w:tc>
        <w:tc>
          <w:tcPr>
            <w:tcW w:w="80" w:type="dxa"/>
            <w:vAlign w:val="bottom"/>
          </w:tcPr>
          <w:p>
            <w:pPr>
              <w:spacing w:after="0"/>
              <w:rPr>
                <w:sz w:val="13"/>
                <w:szCs w:val="13"/>
                <w:color w:val="auto"/>
              </w:rPr>
            </w:pPr>
          </w:p>
        </w:tc>
        <w:tc>
          <w:tcPr>
            <w:tcW w:w="5040" w:type="dxa"/>
            <w:vAlign w:val="bottom"/>
          </w:tcPr>
          <w:p>
            <w:pPr>
              <w:spacing w:after="0"/>
              <w:rPr>
                <w:sz w:val="13"/>
                <w:szCs w:val="13"/>
                <w:color w:val="auto"/>
              </w:rPr>
            </w:pP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10.13</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Employment Agreement between the Company and Cherie C. Rice dated August 26, 2005 [Incorporated by reference to Exhibit 99.1 to Form 8-K dated</w:t>
            </w:r>
          </w:p>
        </w:tc>
      </w:tr>
      <w:tr>
        <w:trPr>
          <w:trHeight w:val="157"/>
        </w:trPr>
        <w:tc>
          <w:tcPr>
            <w:tcW w:w="1780" w:type="dxa"/>
            <w:vAlign w:val="bottom"/>
          </w:tcPr>
          <w:p>
            <w:pPr>
              <w:spacing w:after="0"/>
              <w:rPr>
                <w:sz w:val="13"/>
                <w:szCs w:val="13"/>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August 26, 2005].</w:t>
            </w:r>
          </w:p>
        </w:tc>
      </w:tr>
      <w:tr>
        <w:trPr>
          <w:trHeight w:val="157"/>
        </w:trPr>
        <w:tc>
          <w:tcPr>
            <w:tcW w:w="1780" w:type="dxa"/>
            <w:vAlign w:val="bottom"/>
          </w:tcPr>
          <w:p>
            <w:pPr>
              <w:ind w:left="1080"/>
              <w:spacing w:after="0"/>
              <w:rPr>
                <w:sz w:val="20"/>
                <w:szCs w:val="20"/>
                <w:color w:val="auto"/>
              </w:rPr>
            </w:pPr>
            <w:r>
              <w:rPr>
                <w:rFonts w:ascii="Arial" w:cs="Arial" w:eastAsia="Arial" w:hAnsi="Arial"/>
                <w:sz w:val="13"/>
                <w:szCs w:val="13"/>
                <w:color w:val="auto"/>
              </w:rPr>
              <w:t>10.14</w:t>
            </w:r>
          </w:p>
        </w:tc>
        <w:tc>
          <w:tcPr>
            <w:tcW w:w="9680" w:type="dxa"/>
            <w:vAlign w:val="bottom"/>
            <w:gridSpan w:val="3"/>
          </w:tcPr>
          <w:p>
            <w:pPr>
              <w:ind w:left="80"/>
              <w:spacing w:after="0"/>
              <w:rPr>
                <w:sz w:val="20"/>
                <w:szCs w:val="20"/>
                <w:color w:val="auto"/>
              </w:rPr>
            </w:pPr>
            <w:r>
              <w:rPr>
                <w:rFonts w:ascii="Arial" w:cs="Arial" w:eastAsia="Arial" w:hAnsi="Arial"/>
                <w:sz w:val="13"/>
                <w:szCs w:val="13"/>
                <w:color w:val="auto"/>
              </w:rPr>
              <w:t>—  Employment Agreement between the Company and Greg A. Robertson dated August 1, 2003 [Incorporated by reference to Exhibit 10.2 to Form 10-Q for the</w:t>
            </w:r>
          </w:p>
        </w:tc>
      </w:tr>
      <w:tr>
        <w:trPr>
          <w:trHeight w:val="165"/>
        </w:trPr>
        <w:tc>
          <w:tcPr>
            <w:tcW w:w="1780" w:type="dxa"/>
            <w:vAlign w:val="bottom"/>
          </w:tcPr>
          <w:p>
            <w:pPr>
              <w:spacing w:after="0"/>
              <w:rPr>
                <w:sz w:val="14"/>
                <w:szCs w:val="14"/>
                <w:color w:val="auto"/>
              </w:rPr>
            </w:pPr>
          </w:p>
        </w:tc>
        <w:tc>
          <w:tcPr>
            <w:tcW w:w="9680" w:type="dxa"/>
            <w:vAlign w:val="bottom"/>
            <w:gridSpan w:val="3"/>
          </w:tcPr>
          <w:p>
            <w:pPr>
              <w:ind w:left="320"/>
              <w:spacing w:after="0"/>
              <w:rPr>
                <w:sz w:val="20"/>
                <w:szCs w:val="20"/>
                <w:color w:val="auto"/>
              </w:rPr>
            </w:pPr>
            <w:r>
              <w:rPr>
                <w:rFonts w:ascii="Arial" w:cs="Arial" w:eastAsia="Arial" w:hAnsi="Arial"/>
                <w:sz w:val="13"/>
                <w:szCs w:val="13"/>
                <w:color w:val="auto"/>
              </w:rPr>
              <w:t>quarter ended June 30, 2004].</w:t>
            </w:r>
          </w:p>
        </w:tc>
      </w:tr>
      <w:tr>
        <w:trPr>
          <w:trHeight w:val="452"/>
        </w:trPr>
        <w:tc>
          <w:tcPr>
            <w:tcW w:w="1780" w:type="dxa"/>
            <w:vAlign w:val="bottom"/>
          </w:tcPr>
          <w:p>
            <w:pPr>
              <w:spacing w:after="0"/>
              <w:rPr>
                <w:sz w:val="24"/>
                <w:szCs w:val="24"/>
                <w:color w:val="auto"/>
              </w:rPr>
            </w:pPr>
          </w:p>
        </w:tc>
        <w:tc>
          <w:tcPr>
            <w:tcW w:w="4560" w:type="dxa"/>
            <w:vAlign w:val="bottom"/>
          </w:tcPr>
          <w:p>
            <w:pPr>
              <w:ind w:left="3800"/>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63"/>
        </w:trPr>
        <w:tc>
          <w:tcPr>
            <w:tcW w:w="17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-3828415</wp:posOffset>
            </wp:positionV>
            <wp:extent cx="63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Exhibit No.*</w:t>
            </w:r>
          </w:p>
        </w:tc>
        <w:tc>
          <w:tcPr>
            <w:tcW w:w="8820" w:type="dxa"/>
            <w:vAlign w:val="bottom"/>
            <w:gridSpan w:val="3"/>
          </w:tcPr>
          <w:p>
            <w:pPr>
              <w:ind w:left="4520"/>
              <w:spacing w:after="0"/>
              <w:rPr>
                <w:sz w:val="20"/>
                <w:szCs w:val="20"/>
                <w:color w:val="auto"/>
              </w:rPr>
            </w:pPr>
            <w:r>
              <w:rPr>
                <w:rFonts w:ascii="Arial" w:cs="Arial" w:eastAsia="Arial" w:hAnsi="Arial"/>
                <w:sz w:val="10"/>
                <w:szCs w:val="10"/>
                <w:b w:val="1"/>
                <w:bCs w:val="1"/>
                <w:color w:val="auto"/>
              </w:rPr>
              <w:t>Description</w:t>
            </w:r>
          </w:p>
        </w:tc>
      </w:tr>
      <w:tr>
        <w:trPr>
          <w:trHeight w:val="29"/>
        </w:trPr>
        <w:tc>
          <w:tcPr>
            <w:tcW w:w="11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20" w:type="dxa"/>
            <w:vAlign w:val="bottom"/>
          </w:tcPr>
          <w:p>
            <w:pPr>
              <w:spacing w:after="0"/>
              <w:rPr>
                <w:sz w:val="2"/>
                <w:szCs w:val="2"/>
                <w:color w:val="auto"/>
              </w:rPr>
            </w:pPr>
          </w:p>
        </w:tc>
      </w:tr>
      <w:tr>
        <w:trPr>
          <w:trHeight w:val="148"/>
        </w:trPr>
        <w:tc>
          <w:tcPr>
            <w:tcW w:w="1160" w:type="dxa"/>
            <w:vAlign w:val="bottom"/>
            <w:shd w:val="clear" w:color="auto" w:fill="CCEEFF"/>
          </w:tcPr>
          <w:p>
            <w:pPr>
              <w:jc w:val="right"/>
              <w:ind w:right="35"/>
              <w:spacing w:after="0" w:line="149" w:lineRule="exact"/>
              <w:rPr>
                <w:sz w:val="20"/>
                <w:szCs w:val="20"/>
                <w:color w:val="auto"/>
              </w:rPr>
            </w:pPr>
            <w:r>
              <w:rPr>
                <w:rFonts w:ascii="Arial" w:cs="Arial" w:eastAsia="Arial" w:hAnsi="Arial"/>
                <w:sz w:val="13"/>
                <w:szCs w:val="13"/>
                <w:color w:val="auto"/>
              </w:rPr>
              <w:t>10.15</w:t>
            </w:r>
          </w:p>
        </w:tc>
        <w:tc>
          <w:tcPr>
            <w:tcW w:w="88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3"/>
                <w:szCs w:val="13"/>
                <w:color w:val="auto"/>
                <w:w w:val="93"/>
              </w:rPr>
              <w:t>—  Employment Agreement between the Company and Lawrence O’Donnell III dated January 21, 2000 [Incorporated by reference to Exhibit 10.1 to Form 10-Q for</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the quarter ended June 30, 2000].</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10.16</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6"/>
              </w:rPr>
              <w:t>—  Employment Agreement between the Company and Lynn M. Caddell dated March 12, 2004 [Incorporated by reference to Exhibit 10.1 to Form 10-Q for the</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quarter ended March 31, 2004].</w:t>
            </w:r>
          </w:p>
        </w:tc>
      </w:tr>
      <w:tr>
        <w:trPr>
          <w:trHeight w:val="158"/>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10.17</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3"/>
              </w:rPr>
              <w:t>—  Employment Agreement between the Company and Duane C. Woods dated October 20, 2004 [Incorporated by reference to Form 8-K dated October 20, 2004].</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10.18</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5"/>
              </w:rPr>
              <w:t>—  Employment Agreement between the Company and David R. Hopkins dated March 30, 2000 [Incorporated by reference to Exhibit 10.2 to Form 10-Q for the</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quarter ended March 31, 2000].</w:t>
            </w: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10.19</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6"/>
              </w:rPr>
              <w:t>—  Employment Agreement between the Company and David Steiner dated as of May 6, 2002 [Incorporated by reference to Exhibit 10.1 to Form 10-Q for the</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quarter ended March 31, 2002].</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10.20</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3"/>
              </w:rPr>
              <w:t>—  Employment Agreement between the Company and James E. Trevathan dated as of June 1, 2000. [Incorporated by reference to Exhibit 10.19 to Form 10-K for</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the year ended December 31, 2000].</w:t>
            </w: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10.21</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3"/>
              </w:rPr>
              <w:t>—  Employment Agreement between Recycle America Alliance, LLC and Patrick DeRueda dated as of August 4, 2005 [Incorporated by reference to Exhibit 99.1 to</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Form 8-K dated August 8, 2005].</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10.22</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2"/>
              </w:rPr>
              <w:t>—  Employment Agreement between the Company and Robert G. Simpson dated as of October 20, 2004 [Incorporated by reference to Form 8-K dated October 20,</w:t>
            </w:r>
          </w:p>
        </w:tc>
      </w:tr>
      <w:tr>
        <w:trPr>
          <w:trHeight w:val="165"/>
        </w:trPr>
        <w:tc>
          <w:tcPr>
            <w:tcW w:w="1160" w:type="dxa"/>
            <w:vAlign w:val="bottom"/>
          </w:tcPr>
          <w:p>
            <w:pPr>
              <w:spacing w:after="0"/>
              <w:rPr>
                <w:sz w:val="14"/>
                <w:szCs w:val="14"/>
                <w:color w:val="auto"/>
              </w:rPr>
            </w:pPr>
          </w:p>
        </w:tc>
        <w:tc>
          <w:tcPr>
            <w:tcW w:w="4520" w:type="dxa"/>
            <w:vAlign w:val="bottom"/>
          </w:tcPr>
          <w:p>
            <w:pPr>
              <w:ind w:left="300"/>
              <w:spacing w:after="0"/>
              <w:rPr>
                <w:sz w:val="20"/>
                <w:szCs w:val="20"/>
                <w:color w:val="auto"/>
              </w:rPr>
            </w:pPr>
            <w:r>
              <w:rPr>
                <w:rFonts w:ascii="Arial" w:cs="Arial" w:eastAsia="Arial" w:hAnsi="Arial"/>
                <w:sz w:val="13"/>
                <w:szCs w:val="13"/>
                <w:color w:val="auto"/>
              </w:rPr>
              <w:t>2004].</w:t>
            </w:r>
          </w:p>
        </w:tc>
        <w:tc>
          <w:tcPr>
            <w:tcW w:w="8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10.23</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2"/>
              </w:rPr>
              <w:t>—  Employment Agreement between the Company and Barry H. Caldwell dated as of September 23, 2002 [Incorporated by reference to Exhibit 10.24 to Form 10-K</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for the year ended December 31, 2002].</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10.24</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3"/>
              </w:rPr>
              <w:t>—  Employment Agreement between the Company and David Aardsma dated June 16, 2005 [Incorporated by reference to Exhibit 99.1 to Form 8-K dated June 22,</w:t>
            </w:r>
          </w:p>
        </w:tc>
      </w:tr>
      <w:tr>
        <w:trPr>
          <w:trHeight w:val="165"/>
        </w:trPr>
        <w:tc>
          <w:tcPr>
            <w:tcW w:w="1160" w:type="dxa"/>
            <w:vAlign w:val="bottom"/>
          </w:tcPr>
          <w:p>
            <w:pPr>
              <w:spacing w:after="0"/>
              <w:rPr>
                <w:sz w:val="14"/>
                <w:szCs w:val="14"/>
                <w:color w:val="auto"/>
              </w:rPr>
            </w:pPr>
          </w:p>
        </w:tc>
        <w:tc>
          <w:tcPr>
            <w:tcW w:w="4520" w:type="dxa"/>
            <w:vAlign w:val="bottom"/>
          </w:tcPr>
          <w:p>
            <w:pPr>
              <w:ind w:left="30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10.25</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8"/>
              </w:rPr>
              <w:t>—  Employment Agreement between the Company and Rick L Wittenbraker dated as of November 10, 2003 [Incorporated by reference to Exhibit 10.30 to</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Form 10-K for the year ended December 31, 2003].</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10.26</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5"/>
              </w:rPr>
              <w:t>—  Employment Agreement between Wheelabrator Technologies Inc. and Mark A. Weidman dated May 11, 2006. [Incorporated by reference to Exhibit 10.1 to</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Form 8-K dated May 11, 2006].</w:t>
            </w: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10.27</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9"/>
              </w:rPr>
              <w:t>—  Employment Agreement between the Company and Jeff Harris dated December 1, 2006. [Incorporated by reference to Exhibit 10.1 to Form 8-K dated</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December 1, 2006].</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10.28</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3"/>
              </w:rPr>
              <w:t>—  Employment Agreement between the Company and Michael Jay Romans dated January 25, 2007. [Incorporated by reference to Exhibit 10.1 to Form 8-K dated</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January 25, 2007].</w:t>
            </w:r>
          </w:p>
        </w:tc>
      </w:tr>
      <w:tr>
        <w:trPr>
          <w:trHeight w:val="149"/>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10.29</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4"/>
              </w:rPr>
              <w:t>—  CDN $410,000,000 Credit Facility Credit Agreement by and between Waste Management of Canada Corporation (as Borrower), Waste Management, Inc. and</w:t>
            </w:r>
          </w:p>
        </w:tc>
      </w:tr>
      <w:tr>
        <w:trPr>
          <w:trHeight w:val="157"/>
        </w:trPr>
        <w:tc>
          <w:tcPr>
            <w:tcW w:w="1160" w:type="dxa"/>
            <w:vAlign w:val="bottom"/>
            <w:shd w:val="clear" w:color="auto" w:fill="CCEEFF"/>
          </w:tcPr>
          <w:p>
            <w:pPr>
              <w:spacing w:after="0"/>
              <w:rPr>
                <w:sz w:val="13"/>
                <w:szCs w:val="13"/>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w w:val="92"/>
              </w:rPr>
              <w:t>Waste Management Holdings, Inc. (as Guarantors), BNP Paribas Securities Corp. and Scotia Capital (as Lead Arrangers and Book Runners) and Bank of Nova</w:t>
            </w:r>
          </w:p>
        </w:tc>
      </w:tr>
      <w:tr>
        <w:trPr>
          <w:trHeight w:val="157"/>
        </w:trPr>
        <w:tc>
          <w:tcPr>
            <w:tcW w:w="1160" w:type="dxa"/>
            <w:vAlign w:val="bottom"/>
            <w:shd w:val="clear" w:color="auto" w:fill="CCEEFF"/>
          </w:tcPr>
          <w:p>
            <w:pPr>
              <w:spacing w:after="0"/>
              <w:rPr>
                <w:sz w:val="13"/>
                <w:szCs w:val="13"/>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w w:val="96"/>
              </w:rPr>
              <w:t>Scotia (as Administrative Agent) and the Lenders from time to time party to the Agreement dated as of November 30, 2005. [Incorporated by reference to</w:t>
            </w:r>
          </w:p>
        </w:tc>
      </w:tr>
      <w:tr>
        <w:trPr>
          <w:trHeight w:val="166"/>
        </w:trPr>
        <w:tc>
          <w:tcPr>
            <w:tcW w:w="11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Exhibit 10.32 to Form 10-K for the year ended December 31, 2005].</w:t>
            </w:r>
          </w:p>
        </w:tc>
      </w:tr>
      <w:tr>
        <w:trPr>
          <w:trHeight w:val="157"/>
        </w:trPr>
        <w:tc>
          <w:tcPr>
            <w:tcW w:w="1160" w:type="dxa"/>
            <w:vAlign w:val="bottom"/>
          </w:tcPr>
          <w:p>
            <w:pPr>
              <w:jc w:val="right"/>
              <w:ind w:right="35"/>
              <w:spacing w:after="0"/>
              <w:rPr>
                <w:sz w:val="20"/>
                <w:szCs w:val="20"/>
                <w:color w:val="auto"/>
              </w:rPr>
            </w:pPr>
            <w:r>
              <w:rPr>
                <w:rFonts w:ascii="Arial" w:cs="Arial" w:eastAsia="Arial" w:hAnsi="Arial"/>
                <w:sz w:val="13"/>
                <w:szCs w:val="13"/>
                <w:color w:val="auto"/>
              </w:rPr>
              <w:t>12.1*</w:t>
            </w:r>
          </w:p>
        </w:tc>
        <w:tc>
          <w:tcPr>
            <w:tcW w:w="8820" w:type="dxa"/>
            <w:vAlign w:val="bottom"/>
            <w:gridSpan w:val="3"/>
          </w:tcPr>
          <w:p>
            <w:pPr>
              <w:ind w:left="60"/>
              <w:spacing w:after="0"/>
              <w:rPr>
                <w:sz w:val="20"/>
                <w:szCs w:val="20"/>
                <w:color w:val="auto"/>
              </w:rPr>
            </w:pPr>
            <w:r>
              <w:rPr>
                <w:rFonts w:ascii="Arial" w:cs="Arial" w:eastAsia="Arial" w:hAnsi="Arial"/>
                <w:sz w:val="13"/>
                <w:szCs w:val="13"/>
                <w:color w:val="auto"/>
              </w:rPr>
              <w:t>—  Computation of Ratio of Earnings to Fixed Charges.</w:t>
            </w:r>
          </w:p>
        </w:tc>
      </w:tr>
      <w:tr>
        <w:trPr>
          <w:trHeight w:val="157"/>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21.1*</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Subsidiaries of the Registrant.</w:t>
            </w:r>
          </w:p>
        </w:tc>
      </w:tr>
      <w:tr>
        <w:trPr>
          <w:trHeight w:val="157"/>
        </w:trPr>
        <w:tc>
          <w:tcPr>
            <w:tcW w:w="1160" w:type="dxa"/>
            <w:vAlign w:val="bottom"/>
          </w:tcPr>
          <w:p>
            <w:pPr>
              <w:jc w:val="right"/>
              <w:ind w:right="35"/>
              <w:spacing w:after="0"/>
              <w:rPr>
                <w:sz w:val="20"/>
                <w:szCs w:val="20"/>
                <w:color w:val="auto"/>
              </w:rPr>
            </w:pPr>
            <w:r>
              <w:rPr>
                <w:rFonts w:ascii="Arial" w:cs="Arial" w:eastAsia="Arial" w:hAnsi="Arial"/>
                <w:sz w:val="13"/>
                <w:szCs w:val="13"/>
                <w:color w:val="auto"/>
              </w:rPr>
              <w:t>23.1*</w:t>
            </w:r>
          </w:p>
        </w:tc>
        <w:tc>
          <w:tcPr>
            <w:tcW w:w="8820" w:type="dxa"/>
            <w:vAlign w:val="bottom"/>
            <w:gridSpan w:val="3"/>
          </w:tcPr>
          <w:p>
            <w:pPr>
              <w:ind w:left="60"/>
              <w:spacing w:after="0"/>
              <w:rPr>
                <w:sz w:val="20"/>
                <w:szCs w:val="20"/>
                <w:color w:val="auto"/>
              </w:rPr>
            </w:pPr>
            <w:r>
              <w:rPr>
                <w:rFonts w:ascii="Arial" w:cs="Arial" w:eastAsia="Arial" w:hAnsi="Arial"/>
                <w:sz w:val="13"/>
                <w:szCs w:val="13"/>
                <w:color w:val="auto"/>
              </w:rPr>
              <w:t>—  Consent of Independent Registered Public Accounting Firm.</w:t>
            </w:r>
          </w:p>
        </w:tc>
      </w:tr>
      <w:tr>
        <w:trPr>
          <w:trHeight w:val="157"/>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31.1*</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Certification Pursuant to Rule 15d-14(a) under the Securities Exchange Act of 1934, as amended, of David P. Steiner, Chief Executive Officer.</w:t>
            </w:r>
          </w:p>
        </w:tc>
      </w:tr>
      <w:tr>
        <w:trPr>
          <w:trHeight w:val="148"/>
        </w:trPr>
        <w:tc>
          <w:tcPr>
            <w:tcW w:w="11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31.2*</w:t>
            </w:r>
          </w:p>
        </w:tc>
        <w:tc>
          <w:tcPr>
            <w:tcW w:w="8820" w:type="dxa"/>
            <w:vAlign w:val="bottom"/>
            <w:gridSpan w:val="3"/>
          </w:tcPr>
          <w:p>
            <w:pPr>
              <w:ind w:left="60"/>
              <w:spacing w:after="0" w:line="149" w:lineRule="exact"/>
              <w:rPr>
                <w:sz w:val="20"/>
                <w:szCs w:val="20"/>
                <w:color w:val="auto"/>
              </w:rPr>
            </w:pPr>
            <w:r>
              <w:rPr>
                <w:rFonts w:ascii="Arial" w:cs="Arial" w:eastAsia="Arial" w:hAnsi="Arial"/>
                <w:sz w:val="13"/>
                <w:szCs w:val="13"/>
                <w:color w:val="auto"/>
                <w:w w:val="96"/>
              </w:rPr>
              <w:t>—  Certification Pursuant to Rule 15d-14(a) under the Securities Exchange Act of 1934, as amended, of Robert G. Simpson, Senior Vice President and Chief</w:t>
            </w:r>
          </w:p>
        </w:tc>
      </w:tr>
      <w:tr>
        <w:trPr>
          <w:trHeight w:val="165"/>
        </w:trPr>
        <w:tc>
          <w:tcPr>
            <w:tcW w:w="1160" w:type="dxa"/>
            <w:vAlign w:val="bottom"/>
          </w:tcPr>
          <w:p>
            <w:pPr>
              <w:spacing w:after="0"/>
              <w:rPr>
                <w:sz w:val="14"/>
                <w:szCs w:val="14"/>
                <w:color w:val="auto"/>
              </w:rPr>
            </w:pPr>
          </w:p>
        </w:tc>
        <w:tc>
          <w:tcPr>
            <w:tcW w:w="8820" w:type="dxa"/>
            <w:vAlign w:val="bottom"/>
            <w:gridSpan w:val="3"/>
          </w:tcPr>
          <w:p>
            <w:pPr>
              <w:ind w:left="300"/>
              <w:spacing w:after="0"/>
              <w:rPr>
                <w:sz w:val="20"/>
                <w:szCs w:val="20"/>
                <w:color w:val="auto"/>
              </w:rPr>
            </w:pPr>
            <w:r>
              <w:rPr>
                <w:rFonts w:ascii="Arial" w:cs="Arial" w:eastAsia="Arial" w:hAnsi="Arial"/>
                <w:sz w:val="13"/>
                <w:szCs w:val="13"/>
                <w:color w:val="auto"/>
              </w:rPr>
              <w:t>Financial Officer.</w:t>
            </w:r>
          </w:p>
        </w:tc>
      </w:tr>
      <w:tr>
        <w:trPr>
          <w:trHeight w:val="158"/>
        </w:trPr>
        <w:tc>
          <w:tcPr>
            <w:tcW w:w="11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32.1*</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r>
      <w:tr>
        <w:trPr>
          <w:trHeight w:val="165"/>
        </w:trPr>
        <w:tc>
          <w:tcPr>
            <w:tcW w:w="1160" w:type="dxa"/>
            <w:vAlign w:val="bottom"/>
          </w:tcPr>
          <w:p>
            <w:pPr>
              <w:jc w:val="right"/>
              <w:ind w:right="35"/>
              <w:spacing w:after="0"/>
              <w:rPr>
                <w:sz w:val="20"/>
                <w:szCs w:val="20"/>
                <w:color w:val="auto"/>
              </w:rPr>
            </w:pPr>
            <w:r>
              <w:rPr>
                <w:rFonts w:ascii="Arial" w:cs="Arial" w:eastAsia="Arial" w:hAnsi="Arial"/>
                <w:sz w:val="13"/>
                <w:szCs w:val="13"/>
                <w:color w:val="auto"/>
              </w:rPr>
              <w:t>32.2*</w:t>
            </w:r>
          </w:p>
        </w:tc>
        <w:tc>
          <w:tcPr>
            <w:tcW w:w="8820" w:type="dxa"/>
            <w:vAlign w:val="bottom"/>
            <w:gridSpan w:val="3"/>
          </w:tcPr>
          <w:p>
            <w:pPr>
              <w:ind w:left="6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-3930015</wp:posOffset>
            </wp:positionV>
            <wp:extent cx="635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Filed herewith.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0660"/>
          </w:cols>
          <w:pgMar w:left="220" w:top="343" w:right="10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b w:val="1"/>
          <w:bCs w:val="1"/>
          <w:color w:val="auto"/>
        </w:rPr>
        <w:t>Exhibit 10.4</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ASTE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409A D</w:t>
      </w:r>
      <w:r>
        <w:rPr>
          <w:rFonts w:ascii="Arial" w:cs="Arial" w:eastAsia="Arial" w:hAnsi="Arial"/>
          <w:sz w:val="8"/>
          <w:szCs w:val="8"/>
          <w:b w:val="1"/>
          <w:bCs w:val="1"/>
          <w:color w:val="auto"/>
        </w:rPr>
        <w:t>EFERRAL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AVINGS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LAN</w:t>
      </w:r>
    </w:p>
    <w:p>
      <w:pPr>
        <w:spacing w:after="0" w:line="8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As Effective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420" w:type="dxa"/>
            <w:vAlign w:val="bottom"/>
            <w:gridSpan w:val="3"/>
          </w:tcPr>
          <w:p>
            <w:pPr>
              <w:spacing w:after="0"/>
              <w:rPr>
                <w:sz w:val="20"/>
                <w:szCs w:val="20"/>
                <w:color w:val="auto"/>
              </w:rPr>
            </w:pPr>
            <w:r>
              <w:rPr>
                <w:rFonts w:ascii="Arial" w:cs="Arial" w:eastAsia="Arial" w:hAnsi="Arial"/>
                <w:sz w:val="13"/>
                <w:szCs w:val="13"/>
                <w:b w:val="1"/>
                <w:bCs w:val="1"/>
                <w:color w:val="auto"/>
              </w:rPr>
              <w:t>TABLE OF CONTENTS</w:t>
            </w:r>
          </w:p>
        </w:tc>
      </w:tr>
      <w:tr>
        <w:trPr>
          <w:trHeight w:val="265"/>
        </w:trPr>
        <w:tc>
          <w:tcPr>
            <w:tcW w:w="8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4820" w:type="dxa"/>
            <w:vAlign w:val="bottom"/>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5"/>
              </w:rPr>
              <w:t>Page</w:t>
            </w:r>
          </w:p>
        </w:tc>
      </w:tr>
      <w:tr>
        <w:trPr>
          <w:trHeight w:val="303"/>
        </w:trPr>
        <w:tc>
          <w:tcPr>
            <w:tcW w:w="5040" w:type="dxa"/>
            <w:vAlign w:val="bottom"/>
            <w:gridSpan w:val="2"/>
          </w:tcPr>
          <w:p>
            <w:pPr>
              <w:spacing w:after="0"/>
              <w:rPr>
                <w:sz w:val="20"/>
                <w:szCs w:val="20"/>
                <w:color w:val="auto"/>
              </w:rPr>
            </w:pPr>
            <w:r>
              <w:rPr>
                <w:rFonts w:ascii="Arial" w:cs="Arial" w:eastAsia="Arial" w:hAnsi="Arial"/>
                <w:sz w:val="13"/>
                <w:szCs w:val="13"/>
                <w:color w:val="auto"/>
              </w:rPr>
              <w:t>ARTICLE 1 INTRODUCTION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307"/>
        </w:trPr>
        <w:tc>
          <w:tcPr>
            <w:tcW w:w="820" w:type="dxa"/>
            <w:vAlign w:val="bottom"/>
          </w:tcPr>
          <w:p>
            <w:pPr>
              <w:ind w:left="140"/>
              <w:spacing w:after="0"/>
              <w:rPr>
                <w:sz w:val="20"/>
                <w:szCs w:val="20"/>
                <w:color w:val="auto"/>
              </w:rPr>
            </w:pPr>
            <w:r>
              <w:rPr>
                <w:rFonts w:ascii="Arial" w:cs="Arial" w:eastAsia="Arial" w:hAnsi="Arial"/>
                <w:sz w:val="13"/>
                <w:szCs w:val="13"/>
                <w:color w:val="auto"/>
              </w:rPr>
              <w:t>1.1</w:t>
            </w:r>
          </w:p>
        </w:tc>
        <w:tc>
          <w:tcPr>
            <w:tcW w:w="4220" w:type="dxa"/>
            <w:vAlign w:val="bottom"/>
          </w:tcPr>
          <w:p>
            <w:pPr>
              <w:ind w:left="440"/>
              <w:spacing w:after="0"/>
              <w:rPr>
                <w:sz w:val="20"/>
                <w:szCs w:val="20"/>
                <w:color w:val="auto"/>
              </w:rPr>
            </w:pPr>
            <w:r>
              <w:rPr>
                <w:rFonts w:ascii="Arial" w:cs="Arial" w:eastAsia="Arial" w:hAnsi="Arial"/>
                <w:sz w:val="13"/>
                <w:szCs w:val="13"/>
                <w:color w:val="auto"/>
              </w:rPr>
              <w:t>Purpose of Plan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165"/>
        </w:trPr>
        <w:tc>
          <w:tcPr>
            <w:tcW w:w="820" w:type="dxa"/>
            <w:vAlign w:val="bottom"/>
          </w:tcPr>
          <w:p>
            <w:pPr>
              <w:ind w:left="140"/>
              <w:spacing w:after="0"/>
              <w:rPr>
                <w:sz w:val="20"/>
                <w:szCs w:val="20"/>
                <w:color w:val="auto"/>
              </w:rPr>
            </w:pPr>
            <w:r>
              <w:rPr>
                <w:rFonts w:ascii="Arial" w:cs="Arial" w:eastAsia="Arial" w:hAnsi="Arial"/>
                <w:sz w:val="13"/>
                <w:szCs w:val="13"/>
                <w:color w:val="auto"/>
              </w:rPr>
              <w:t>1.2</w:t>
            </w:r>
          </w:p>
        </w:tc>
        <w:tc>
          <w:tcPr>
            <w:tcW w:w="4220" w:type="dxa"/>
            <w:vAlign w:val="bottom"/>
          </w:tcPr>
          <w:p>
            <w:pPr>
              <w:ind w:left="440"/>
              <w:spacing w:after="0"/>
              <w:rPr>
                <w:sz w:val="20"/>
                <w:szCs w:val="20"/>
                <w:color w:val="auto"/>
              </w:rPr>
            </w:pPr>
            <w:r>
              <w:rPr>
                <w:rFonts w:ascii="Arial" w:cs="Arial" w:eastAsia="Arial" w:hAnsi="Arial"/>
                <w:sz w:val="13"/>
                <w:szCs w:val="13"/>
                <w:color w:val="auto"/>
              </w:rPr>
              <w:t>Status of Plan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2 DEFINITIONS</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307"/>
        </w:trPr>
        <w:tc>
          <w:tcPr>
            <w:tcW w:w="820" w:type="dxa"/>
            <w:vAlign w:val="bottom"/>
          </w:tcPr>
          <w:p>
            <w:pPr>
              <w:ind w:left="140"/>
              <w:spacing w:after="0"/>
              <w:rPr>
                <w:sz w:val="20"/>
                <w:szCs w:val="20"/>
                <w:color w:val="auto"/>
              </w:rPr>
            </w:pPr>
            <w:r>
              <w:rPr>
                <w:rFonts w:ascii="Arial" w:cs="Arial" w:eastAsia="Arial" w:hAnsi="Arial"/>
                <w:sz w:val="13"/>
                <w:szCs w:val="13"/>
                <w:color w:val="auto"/>
              </w:rPr>
              <w:t>2.1</w:t>
            </w:r>
          </w:p>
        </w:tc>
        <w:tc>
          <w:tcPr>
            <w:tcW w:w="4220" w:type="dxa"/>
            <w:vAlign w:val="bottom"/>
          </w:tcPr>
          <w:p>
            <w:pPr>
              <w:ind w:left="440"/>
              <w:spacing w:after="0"/>
              <w:rPr>
                <w:sz w:val="20"/>
                <w:szCs w:val="20"/>
                <w:color w:val="auto"/>
              </w:rPr>
            </w:pPr>
            <w:r>
              <w:rPr>
                <w:rFonts w:ascii="Arial" w:cs="Arial" w:eastAsia="Arial" w:hAnsi="Arial"/>
                <w:sz w:val="13"/>
                <w:szCs w:val="13"/>
                <w:color w:val="auto"/>
              </w:rPr>
              <w:t>“Account”</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w:t>
            </w:r>
          </w:p>
        </w:tc>
        <w:tc>
          <w:tcPr>
            <w:tcW w:w="4220" w:type="dxa"/>
            <w:vAlign w:val="bottom"/>
          </w:tcPr>
          <w:p>
            <w:pPr>
              <w:ind w:left="440"/>
              <w:spacing w:after="0"/>
              <w:rPr>
                <w:sz w:val="20"/>
                <w:szCs w:val="20"/>
                <w:color w:val="auto"/>
              </w:rPr>
            </w:pPr>
            <w:r>
              <w:rPr>
                <w:rFonts w:ascii="Arial" w:cs="Arial" w:eastAsia="Arial" w:hAnsi="Arial"/>
                <w:sz w:val="13"/>
                <w:szCs w:val="13"/>
                <w:color w:val="auto"/>
              </w:rPr>
              <w:t>“Base Salary”</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2.3</w:t>
            </w:r>
          </w:p>
        </w:tc>
        <w:tc>
          <w:tcPr>
            <w:tcW w:w="4220" w:type="dxa"/>
            <w:vAlign w:val="bottom"/>
          </w:tcPr>
          <w:p>
            <w:pPr>
              <w:ind w:left="440"/>
              <w:spacing w:after="0"/>
              <w:rPr>
                <w:sz w:val="20"/>
                <w:szCs w:val="20"/>
                <w:color w:val="auto"/>
              </w:rPr>
            </w:pPr>
            <w:r>
              <w:rPr>
                <w:rFonts w:ascii="Arial" w:cs="Arial" w:eastAsia="Arial" w:hAnsi="Arial"/>
                <w:sz w:val="13"/>
                <w:szCs w:val="13"/>
                <w:color w:val="auto"/>
              </w:rPr>
              <w:t>“Beneficiary”</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2.4</w:t>
            </w:r>
          </w:p>
        </w:tc>
        <w:tc>
          <w:tcPr>
            <w:tcW w:w="4220" w:type="dxa"/>
            <w:vAlign w:val="bottom"/>
          </w:tcPr>
          <w:p>
            <w:pPr>
              <w:ind w:left="440"/>
              <w:spacing w:after="0"/>
              <w:rPr>
                <w:sz w:val="20"/>
                <w:szCs w:val="20"/>
                <w:color w:val="auto"/>
              </w:rPr>
            </w:pPr>
            <w:r>
              <w:rPr>
                <w:rFonts w:ascii="Arial" w:cs="Arial" w:eastAsia="Arial" w:hAnsi="Arial"/>
                <w:sz w:val="13"/>
                <w:szCs w:val="13"/>
                <w:color w:val="auto"/>
              </w:rPr>
              <w:t>“Bonus”</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1</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2.5</w:t>
            </w:r>
          </w:p>
        </w:tc>
        <w:tc>
          <w:tcPr>
            <w:tcW w:w="4220" w:type="dxa"/>
            <w:vAlign w:val="bottom"/>
          </w:tcPr>
          <w:p>
            <w:pPr>
              <w:ind w:left="440"/>
              <w:spacing w:after="0"/>
              <w:rPr>
                <w:sz w:val="20"/>
                <w:szCs w:val="20"/>
                <w:color w:val="auto"/>
              </w:rPr>
            </w:pPr>
            <w:r>
              <w:rPr>
                <w:rFonts w:ascii="Arial" w:cs="Arial" w:eastAsia="Arial" w:hAnsi="Arial"/>
                <w:sz w:val="13"/>
                <w:szCs w:val="13"/>
                <w:color w:val="auto"/>
              </w:rPr>
              <w:t>“Bonus Deferral”</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2.6</w:t>
            </w:r>
          </w:p>
        </w:tc>
        <w:tc>
          <w:tcPr>
            <w:tcW w:w="4220" w:type="dxa"/>
            <w:vAlign w:val="bottom"/>
          </w:tcPr>
          <w:p>
            <w:pPr>
              <w:ind w:left="440"/>
              <w:spacing w:after="0"/>
              <w:rPr>
                <w:sz w:val="20"/>
                <w:szCs w:val="20"/>
                <w:color w:val="auto"/>
              </w:rPr>
            </w:pPr>
            <w:r>
              <w:rPr>
                <w:rFonts w:ascii="Arial" w:cs="Arial" w:eastAsia="Arial" w:hAnsi="Arial"/>
                <w:sz w:val="13"/>
                <w:szCs w:val="13"/>
                <w:color w:val="auto"/>
              </w:rPr>
              <w:t>“Change in Control”</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2.7</w:t>
            </w:r>
          </w:p>
        </w:tc>
        <w:tc>
          <w:tcPr>
            <w:tcW w:w="4220" w:type="dxa"/>
            <w:vAlign w:val="bottom"/>
          </w:tcPr>
          <w:p>
            <w:pPr>
              <w:ind w:left="440"/>
              <w:spacing w:after="0"/>
              <w:rPr>
                <w:sz w:val="20"/>
                <w:szCs w:val="20"/>
                <w:color w:val="auto"/>
              </w:rPr>
            </w:pPr>
            <w:r>
              <w:rPr>
                <w:rFonts w:ascii="Arial" w:cs="Arial" w:eastAsia="Arial" w:hAnsi="Arial"/>
                <w:sz w:val="13"/>
                <w:szCs w:val="13"/>
                <w:color w:val="auto"/>
              </w:rPr>
              <w:t>“Code”</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2.8</w:t>
            </w:r>
          </w:p>
        </w:tc>
        <w:tc>
          <w:tcPr>
            <w:tcW w:w="4220" w:type="dxa"/>
            <w:vAlign w:val="bottom"/>
          </w:tcPr>
          <w:p>
            <w:pPr>
              <w:ind w:left="440"/>
              <w:spacing w:after="0"/>
              <w:rPr>
                <w:sz w:val="20"/>
                <w:szCs w:val="20"/>
                <w:color w:val="auto"/>
              </w:rPr>
            </w:pPr>
            <w:r>
              <w:rPr>
                <w:rFonts w:ascii="Arial" w:cs="Arial" w:eastAsia="Arial" w:hAnsi="Arial"/>
                <w:sz w:val="13"/>
                <w:szCs w:val="13"/>
                <w:color w:val="auto"/>
              </w:rPr>
              <w:t>“Company”</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2.9</w:t>
            </w:r>
          </w:p>
        </w:tc>
        <w:tc>
          <w:tcPr>
            <w:tcW w:w="4220" w:type="dxa"/>
            <w:vAlign w:val="bottom"/>
          </w:tcPr>
          <w:p>
            <w:pPr>
              <w:ind w:left="440"/>
              <w:spacing w:after="0"/>
              <w:rPr>
                <w:sz w:val="20"/>
                <w:szCs w:val="20"/>
                <w:color w:val="auto"/>
              </w:rPr>
            </w:pPr>
            <w:r>
              <w:rPr>
                <w:rFonts w:ascii="Arial" w:cs="Arial" w:eastAsia="Arial" w:hAnsi="Arial"/>
                <w:sz w:val="13"/>
                <w:szCs w:val="13"/>
                <w:color w:val="auto"/>
              </w:rPr>
              <w:t>“Deferral Form”</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2.10</w:t>
            </w:r>
          </w:p>
        </w:tc>
        <w:tc>
          <w:tcPr>
            <w:tcW w:w="4220" w:type="dxa"/>
            <w:vAlign w:val="bottom"/>
          </w:tcPr>
          <w:p>
            <w:pPr>
              <w:ind w:left="440"/>
              <w:spacing w:after="0"/>
              <w:rPr>
                <w:sz w:val="20"/>
                <w:szCs w:val="20"/>
                <w:color w:val="auto"/>
              </w:rPr>
            </w:pPr>
            <w:r>
              <w:rPr>
                <w:rFonts w:ascii="Arial" w:cs="Arial" w:eastAsia="Arial" w:hAnsi="Arial"/>
                <w:sz w:val="13"/>
                <w:szCs w:val="13"/>
                <w:color w:val="auto"/>
              </w:rPr>
              <w:t>“Effective Date”</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2.11</w:t>
            </w:r>
          </w:p>
        </w:tc>
        <w:tc>
          <w:tcPr>
            <w:tcW w:w="4220" w:type="dxa"/>
            <w:vAlign w:val="bottom"/>
          </w:tcPr>
          <w:p>
            <w:pPr>
              <w:ind w:left="440"/>
              <w:spacing w:after="0"/>
              <w:rPr>
                <w:sz w:val="20"/>
                <w:szCs w:val="20"/>
                <w:color w:val="auto"/>
              </w:rPr>
            </w:pPr>
            <w:r>
              <w:rPr>
                <w:rFonts w:ascii="Arial" w:cs="Arial" w:eastAsia="Arial" w:hAnsi="Arial"/>
                <w:sz w:val="13"/>
                <w:szCs w:val="13"/>
                <w:color w:val="auto"/>
              </w:rPr>
              <w:t>“Elective Deferral”</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2.12</w:t>
            </w:r>
          </w:p>
        </w:tc>
        <w:tc>
          <w:tcPr>
            <w:tcW w:w="4220" w:type="dxa"/>
            <w:vAlign w:val="bottom"/>
          </w:tcPr>
          <w:p>
            <w:pPr>
              <w:ind w:left="440"/>
              <w:spacing w:after="0"/>
              <w:rPr>
                <w:sz w:val="20"/>
                <w:szCs w:val="20"/>
                <w:color w:val="auto"/>
              </w:rPr>
            </w:pPr>
            <w:r>
              <w:rPr>
                <w:rFonts w:ascii="Arial" w:cs="Arial" w:eastAsia="Arial" w:hAnsi="Arial"/>
                <w:sz w:val="13"/>
                <w:szCs w:val="13"/>
                <w:color w:val="auto"/>
              </w:rPr>
              <w:t>“Eligible Employee”</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2.13</w:t>
            </w:r>
          </w:p>
        </w:tc>
        <w:tc>
          <w:tcPr>
            <w:tcW w:w="4220" w:type="dxa"/>
            <w:vAlign w:val="bottom"/>
          </w:tcPr>
          <w:p>
            <w:pPr>
              <w:ind w:left="440"/>
              <w:spacing w:after="0"/>
              <w:rPr>
                <w:sz w:val="20"/>
                <w:szCs w:val="20"/>
                <w:color w:val="auto"/>
              </w:rPr>
            </w:pPr>
            <w:r>
              <w:rPr>
                <w:rFonts w:ascii="Arial" w:cs="Arial" w:eastAsia="Arial" w:hAnsi="Arial"/>
                <w:sz w:val="13"/>
                <w:szCs w:val="13"/>
                <w:color w:val="auto"/>
              </w:rPr>
              <w:t>“Employee”</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2.14</w:t>
            </w:r>
          </w:p>
        </w:tc>
        <w:tc>
          <w:tcPr>
            <w:tcW w:w="4220" w:type="dxa"/>
            <w:vAlign w:val="bottom"/>
          </w:tcPr>
          <w:p>
            <w:pPr>
              <w:ind w:left="440"/>
              <w:spacing w:after="0"/>
              <w:rPr>
                <w:sz w:val="20"/>
                <w:szCs w:val="20"/>
                <w:color w:val="auto"/>
              </w:rPr>
            </w:pPr>
            <w:r>
              <w:rPr>
                <w:rFonts w:ascii="Arial" w:cs="Arial" w:eastAsia="Arial" w:hAnsi="Arial"/>
                <w:sz w:val="13"/>
                <w:szCs w:val="13"/>
                <w:color w:val="auto"/>
              </w:rPr>
              <w:t>“Employer”</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2.15</w:t>
            </w:r>
          </w:p>
        </w:tc>
        <w:tc>
          <w:tcPr>
            <w:tcW w:w="4220" w:type="dxa"/>
            <w:vAlign w:val="bottom"/>
          </w:tcPr>
          <w:p>
            <w:pPr>
              <w:ind w:left="440"/>
              <w:spacing w:after="0"/>
              <w:rPr>
                <w:sz w:val="20"/>
                <w:szCs w:val="20"/>
                <w:color w:val="auto"/>
              </w:rPr>
            </w:pPr>
            <w:r>
              <w:rPr>
                <w:rFonts w:ascii="Arial" w:cs="Arial" w:eastAsia="Arial" w:hAnsi="Arial"/>
                <w:sz w:val="13"/>
                <w:szCs w:val="13"/>
                <w:color w:val="auto"/>
              </w:rPr>
              <w:t>“ERISA”</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2.16</w:t>
            </w:r>
          </w:p>
        </w:tc>
        <w:tc>
          <w:tcPr>
            <w:tcW w:w="4220" w:type="dxa"/>
            <w:vAlign w:val="bottom"/>
          </w:tcPr>
          <w:p>
            <w:pPr>
              <w:ind w:left="440"/>
              <w:spacing w:after="0"/>
              <w:rPr>
                <w:sz w:val="20"/>
                <w:szCs w:val="20"/>
                <w:color w:val="auto"/>
              </w:rPr>
            </w:pPr>
            <w:r>
              <w:rPr>
                <w:rFonts w:ascii="Arial" w:cs="Arial" w:eastAsia="Arial" w:hAnsi="Arial"/>
                <w:sz w:val="13"/>
                <w:szCs w:val="13"/>
                <w:color w:val="auto"/>
              </w:rPr>
              <w:t>“Limit”</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2.17</w:t>
            </w:r>
          </w:p>
        </w:tc>
        <w:tc>
          <w:tcPr>
            <w:tcW w:w="4220" w:type="dxa"/>
            <w:vAlign w:val="bottom"/>
          </w:tcPr>
          <w:p>
            <w:pPr>
              <w:ind w:left="440"/>
              <w:spacing w:after="0"/>
              <w:rPr>
                <w:sz w:val="20"/>
                <w:szCs w:val="20"/>
                <w:color w:val="auto"/>
              </w:rPr>
            </w:pPr>
            <w:r>
              <w:rPr>
                <w:rFonts w:ascii="Arial" w:cs="Arial" w:eastAsia="Arial" w:hAnsi="Arial"/>
                <w:sz w:val="13"/>
                <w:szCs w:val="13"/>
                <w:color w:val="auto"/>
              </w:rPr>
              <w:t>“Matched Deferral”</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2</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2.18</w:t>
            </w:r>
          </w:p>
        </w:tc>
        <w:tc>
          <w:tcPr>
            <w:tcW w:w="4220" w:type="dxa"/>
            <w:vAlign w:val="bottom"/>
          </w:tcPr>
          <w:p>
            <w:pPr>
              <w:ind w:left="440"/>
              <w:spacing w:after="0"/>
              <w:rPr>
                <w:sz w:val="20"/>
                <w:szCs w:val="20"/>
                <w:color w:val="auto"/>
              </w:rPr>
            </w:pPr>
            <w:r>
              <w:rPr>
                <w:rFonts w:ascii="Arial" w:cs="Arial" w:eastAsia="Arial" w:hAnsi="Arial"/>
                <w:sz w:val="13"/>
                <w:szCs w:val="13"/>
                <w:color w:val="auto"/>
              </w:rPr>
              <w:t>“Matching Allocation”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2.19</w:t>
            </w:r>
          </w:p>
        </w:tc>
        <w:tc>
          <w:tcPr>
            <w:tcW w:w="4220" w:type="dxa"/>
            <w:vAlign w:val="bottom"/>
          </w:tcPr>
          <w:p>
            <w:pPr>
              <w:ind w:left="440"/>
              <w:spacing w:after="0"/>
              <w:rPr>
                <w:sz w:val="20"/>
                <w:szCs w:val="20"/>
                <w:color w:val="auto"/>
              </w:rPr>
            </w:pPr>
            <w:r>
              <w:rPr>
                <w:rFonts w:ascii="Arial" w:cs="Arial" w:eastAsia="Arial" w:hAnsi="Arial"/>
                <w:sz w:val="13"/>
                <w:szCs w:val="13"/>
                <w:color w:val="auto"/>
              </w:rPr>
              <w:t>“Participant”</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2.20</w:t>
            </w:r>
          </w:p>
        </w:tc>
        <w:tc>
          <w:tcPr>
            <w:tcW w:w="4220" w:type="dxa"/>
            <w:vAlign w:val="bottom"/>
          </w:tcPr>
          <w:p>
            <w:pPr>
              <w:ind w:left="440"/>
              <w:spacing w:after="0"/>
              <w:rPr>
                <w:sz w:val="20"/>
                <w:szCs w:val="20"/>
                <w:color w:val="auto"/>
              </w:rPr>
            </w:pPr>
            <w:r>
              <w:rPr>
                <w:rFonts w:ascii="Arial" w:cs="Arial" w:eastAsia="Arial" w:hAnsi="Arial"/>
                <w:sz w:val="13"/>
                <w:szCs w:val="13"/>
                <w:color w:val="auto"/>
              </w:rPr>
              <w:t>“Payment Form”</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2.21</w:t>
            </w:r>
          </w:p>
        </w:tc>
        <w:tc>
          <w:tcPr>
            <w:tcW w:w="4220" w:type="dxa"/>
            <w:vAlign w:val="bottom"/>
          </w:tcPr>
          <w:p>
            <w:pPr>
              <w:ind w:left="440"/>
              <w:spacing w:after="0"/>
              <w:rPr>
                <w:sz w:val="20"/>
                <w:szCs w:val="20"/>
                <w:color w:val="auto"/>
              </w:rPr>
            </w:pPr>
            <w:r>
              <w:rPr>
                <w:rFonts w:ascii="Arial" w:cs="Arial" w:eastAsia="Arial" w:hAnsi="Arial"/>
                <w:sz w:val="13"/>
                <w:szCs w:val="13"/>
                <w:color w:val="auto"/>
              </w:rPr>
              <w:t>“Plan”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2.22</w:t>
            </w:r>
          </w:p>
        </w:tc>
        <w:tc>
          <w:tcPr>
            <w:tcW w:w="4220" w:type="dxa"/>
            <w:vAlign w:val="bottom"/>
          </w:tcPr>
          <w:p>
            <w:pPr>
              <w:ind w:left="440"/>
              <w:spacing w:after="0"/>
              <w:rPr>
                <w:sz w:val="20"/>
                <w:szCs w:val="20"/>
                <w:color w:val="auto"/>
              </w:rPr>
            </w:pPr>
            <w:r>
              <w:rPr>
                <w:rFonts w:ascii="Arial" w:cs="Arial" w:eastAsia="Arial" w:hAnsi="Arial"/>
                <w:sz w:val="13"/>
                <w:szCs w:val="13"/>
                <w:color w:val="auto"/>
              </w:rPr>
              <w:t>“Plan Administrator”</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2.23</w:t>
            </w:r>
          </w:p>
        </w:tc>
        <w:tc>
          <w:tcPr>
            <w:tcW w:w="4220" w:type="dxa"/>
            <w:vAlign w:val="bottom"/>
          </w:tcPr>
          <w:p>
            <w:pPr>
              <w:ind w:left="440"/>
              <w:spacing w:after="0"/>
              <w:rPr>
                <w:sz w:val="20"/>
                <w:szCs w:val="20"/>
                <w:color w:val="auto"/>
              </w:rPr>
            </w:pPr>
            <w:r>
              <w:rPr>
                <w:rFonts w:ascii="Arial" w:cs="Arial" w:eastAsia="Arial" w:hAnsi="Arial"/>
                <w:sz w:val="13"/>
                <w:szCs w:val="13"/>
                <w:color w:val="auto"/>
              </w:rPr>
              <w:t>“Plan Committee”</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2.24</w:t>
            </w:r>
          </w:p>
        </w:tc>
        <w:tc>
          <w:tcPr>
            <w:tcW w:w="4220" w:type="dxa"/>
            <w:vAlign w:val="bottom"/>
          </w:tcPr>
          <w:p>
            <w:pPr>
              <w:ind w:left="440"/>
              <w:spacing w:after="0"/>
              <w:rPr>
                <w:sz w:val="20"/>
                <w:szCs w:val="20"/>
                <w:color w:val="auto"/>
              </w:rPr>
            </w:pPr>
            <w:r>
              <w:rPr>
                <w:rFonts w:ascii="Arial" w:cs="Arial" w:eastAsia="Arial" w:hAnsi="Arial"/>
                <w:sz w:val="13"/>
                <w:szCs w:val="13"/>
                <w:color w:val="auto"/>
              </w:rPr>
              <w:t>“Plan Year”</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2.25</w:t>
            </w:r>
          </w:p>
        </w:tc>
        <w:tc>
          <w:tcPr>
            <w:tcW w:w="4220" w:type="dxa"/>
            <w:vAlign w:val="bottom"/>
          </w:tcPr>
          <w:p>
            <w:pPr>
              <w:ind w:left="440"/>
              <w:spacing w:after="0"/>
              <w:rPr>
                <w:sz w:val="20"/>
                <w:szCs w:val="20"/>
                <w:color w:val="auto"/>
              </w:rPr>
            </w:pPr>
            <w:r>
              <w:rPr>
                <w:rFonts w:ascii="Arial" w:cs="Arial" w:eastAsia="Arial" w:hAnsi="Arial"/>
                <w:sz w:val="13"/>
                <w:szCs w:val="13"/>
                <w:color w:val="auto"/>
              </w:rPr>
              <w:t>“Qualified Plan”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165"/>
        </w:trPr>
        <w:tc>
          <w:tcPr>
            <w:tcW w:w="820" w:type="dxa"/>
            <w:vAlign w:val="bottom"/>
          </w:tcPr>
          <w:p>
            <w:pPr>
              <w:ind w:left="140"/>
              <w:spacing w:after="0"/>
              <w:rPr>
                <w:sz w:val="20"/>
                <w:szCs w:val="20"/>
                <w:color w:val="auto"/>
              </w:rPr>
            </w:pPr>
            <w:r>
              <w:rPr>
                <w:rFonts w:ascii="Arial" w:cs="Arial" w:eastAsia="Arial" w:hAnsi="Arial"/>
                <w:sz w:val="13"/>
                <w:szCs w:val="13"/>
                <w:color w:val="auto"/>
              </w:rPr>
              <w:t>2.26</w:t>
            </w:r>
          </w:p>
        </w:tc>
        <w:tc>
          <w:tcPr>
            <w:tcW w:w="4220" w:type="dxa"/>
            <w:vAlign w:val="bottom"/>
          </w:tcPr>
          <w:p>
            <w:pPr>
              <w:ind w:left="440"/>
              <w:spacing w:after="0"/>
              <w:rPr>
                <w:sz w:val="20"/>
                <w:szCs w:val="20"/>
                <w:color w:val="auto"/>
              </w:rPr>
            </w:pPr>
            <w:r>
              <w:rPr>
                <w:rFonts w:ascii="Arial" w:cs="Arial" w:eastAsia="Arial" w:hAnsi="Arial"/>
                <w:sz w:val="13"/>
                <w:szCs w:val="13"/>
                <w:color w:val="auto"/>
              </w:rPr>
              <w:t>“Total Compensation”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3</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3 ELIGIBILITY AND PARTICIPATION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307"/>
        </w:trPr>
        <w:tc>
          <w:tcPr>
            <w:tcW w:w="820" w:type="dxa"/>
            <w:vAlign w:val="bottom"/>
          </w:tcPr>
          <w:p>
            <w:pPr>
              <w:ind w:left="140"/>
              <w:spacing w:after="0"/>
              <w:rPr>
                <w:sz w:val="20"/>
                <w:szCs w:val="20"/>
                <w:color w:val="auto"/>
              </w:rPr>
            </w:pPr>
            <w:r>
              <w:rPr>
                <w:rFonts w:ascii="Arial" w:cs="Arial" w:eastAsia="Arial" w:hAnsi="Arial"/>
                <w:sz w:val="13"/>
                <w:szCs w:val="13"/>
                <w:color w:val="auto"/>
              </w:rPr>
              <w:t>3.1</w:t>
            </w:r>
          </w:p>
        </w:tc>
        <w:tc>
          <w:tcPr>
            <w:tcW w:w="4220" w:type="dxa"/>
            <w:vAlign w:val="bottom"/>
          </w:tcPr>
          <w:p>
            <w:pPr>
              <w:ind w:left="440"/>
              <w:spacing w:after="0"/>
              <w:rPr>
                <w:sz w:val="20"/>
                <w:szCs w:val="20"/>
                <w:color w:val="auto"/>
              </w:rPr>
            </w:pPr>
            <w:r>
              <w:rPr>
                <w:rFonts w:ascii="Arial" w:cs="Arial" w:eastAsia="Arial" w:hAnsi="Arial"/>
                <w:sz w:val="13"/>
                <w:szCs w:val="13"/>
                <w:color w:val="auto"/>
              </w:rPr>
              <w:t>Eligibility</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157"/>
        </w:trPr>
        <w:tc>
          <w:tcPr>
            <w:tcW w:w="820" w:type="dxa"/>
            <w:vAlign w:val="bottom"/>
          </w:tcPr>
          <w:p>
            <w:pPr>
              <w:ind w:left="140"/>
              <w:spacing w:after="0"/>
              <w:rPr>
                <w:sz w:val="20"/>
                <w:szCs w:val="20"/>
                <w:color w:val="auto"/>
              </w:rPr>
            </w:pPr>
            <w:r>
              <w:rPr>
                <w:rFonts w:ascii="Arial" w:cs="Arial" w:eastAsia="Arial" w:hAnsi="Arial"/>
                <w:sz w:val="13"/>
                <w:szCs w:val="13"/>
                <w:color w:val="auto"/>
              </w:rPr>
              <w:t>3.2</w:t>
            </w:r>
          </w:p>
        </w:tc>
        <w:tc>
          <w:tcPr>
            <w:tcW w:w="4220" w:type="dxa"/>
            <w:vAlign w:val="bottom"/>
          </w:tcPr>
          <w:p>
            <w:pPr>
              <w:ind w:left="440"/>
              <w:spacing w:after="0"/>
              <w:rPr>
                <w:sz w:val="20"/>
                <w:szCs w:val="20"/>
                <w:color w:val="auto"/>
              </w:rPr>
            </w:pPr>
            <w:r>
              <w:rPr>
                <w:rFonts w:ascii="Arial" w:cs="Arial" w:eastAsia="Arial" w:hAnsi="Arial"/>
                <w:sz w:val="13"/>
                <w:szCs w:val="13"/>
                <w:color w:val="auto"/>
              </w:rPr>
              <w:t>Participation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165"/>
        </w:trPr>
        <w:tc>
          <w:tcPr>
            <w:tcW w:w="820" w:type="dxa"/>
            <w:vAlign w:val="bottom"/>
          </w:tcPr>
          <w:p>
            <w:pPr>
              <w:ind w:left="140"/>
              <w:spacing w:after="0"/>
              <w:rPr>
                <w:sz w:val="20"/>
                <w:szCs w:val="20"/>
                <w:color w:val="auto"/>
              </w:rPr>
            </w:pPr>
            <w:r>
              <w:rPr>
                <w:rFonts w:ascii="Arial" w:cs="Arial" w:eastAsia="Arial" w:hAnsi="Arial"/>
                <w:sz w:val="13"/>
                <w:szCs w:val="13"/>
                <w:color w:val="auto"/>
              </w:rPr>
              <w:t>3.3</w:t>
            </w:r>
          </w:p>
        </w:tc>
        <w:tc>
          <w:tcPr>
            <w:tcW w:w="4220" w:type="dxa"/>
            <w:vAlign w:val="bottom"/>
          </w:tcPr>
          <w:p>
            <w:pPr>
              <w:ind w:left="440"/>
              <w:spacing w:after="0"/>
              <w:rPr>
                <w:sz w:val="20"/>
                <w:szCs w:val="20"/>
                <w:color w:val="auto"/>
              </w:rPr>
            </w:pPr>
            <w:r>
              <w:rPr>
                <w:rFonts w:ascii="Arial" w:cs="Arial" w:eastAsia="Arial" w:hAnsi="Arial"/>
                <w:sz w:val="13"/>
                <w:szCs w:val="13"/>
                <w:color w:val="auto"/>
              </w:rPr>
              <w:t>Suspension of Participation</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4 DEFERRALS AND CONTRIBUTIONS</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315"/>
        </w:trPr>
        <w:tc>
          <w:tcPr>
            <w:tcW w:w="820" w:type="dxa"/>
            <w:vAlign w:val="bottom"/>
          </w:tcPr>
          <w:p>
            <w:pPr>
              <w:ind w:left="140"/>
              <w:spacing w:after="0"/>
              <w:rPr>
                <w:sz w:val="20"/>
                <w:szCs w:val="20"/>
                <w:color w:val="auto"/>
              </w:rPr>
            </w:pPr>
            <w:r>
              <w:rPr>
                <w:rFonts w:ascii="Arial" w:cs="Arial" w:eastAsia="Arial" w:hAnsi="Arial"/>
                <w:sz w:val="13"/>
                <w:szCs w:val="13"/>
                <w:color w:val="auto"/>
              </w:rPr>
              <w:t>4.1</w:t>
            </w:r>
          </w:p>
        </w:tc>
        <w:tc>
          <w:tcPr>
            <w:tcW w:w="4220" w:type="dxa"/>
            <w:vAlign w:val="bottom"/>
          </w:tcPr>
          <w:p>
            <w:pPr>
              <w:ind w:left="440"/>
              <w:spacing w:after="0"/>
              <w:rPr>
                <w:sz w:val="20"/>
                <w:szCs w:val="20"/>
                <w:color w:val="auto"/>
              </w:rPr>
            </w:pPr>
            <w:r>
              <w:rPr>
                <w:rFonts w:ascii="Arial" w:cs="Arial" w:eastAsia="Arial" w:hAnsi="Arial"/>
                <w:sz w:val="13"/>
                <w:szCs w:val="13"/>
                <w:color w:val="auto"/>
              </w:rPr>
              <w:t>Elective Deferrals</w:t>
            </w:r>
          </w:p>
        </w:tc>
        <w:tc>
          <w:tcPr>
            <w:tcW w:w="6420" w:type="dxa"/>
            <w:vAlign w:val="bottom"/>
            <w:gridSpan w:val="3"/>
          </w:tcPr>
          <w:p>
            <w:pPr>
              <w:ind w:left="6240"/>
              <w:spacing w:after="0"/>
              <w:rPr>
                <w:sz w:val="20"/>
                <w:szCs w:val="20"/>
                <w:color w:val="auto"/>
              </w:rPr>
            </w:pPr>
            <w:r>
              <w:rPr>
                <w:rFonts w:ascii="Arial" w:cs="Arial" w:eastAsia="Arial" w:hAnsi="Arial"/>
                <w:sz w:val="13"/>
                <w:szCs w:val="13"/>
                <w:color w:val="auto"/>
              </w:rPr>
              <w:t>4</w:t>
            </w:r>
          </w:p>
        </w:tc>
      </w:tr>
      <w:tr>
        <w:trPr>
          <w:trHeight w:val="163"/>
        </w:trPr>
        <w:tc>
          <w:tcPr>
            <w:tcW w:w="82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07"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TABLE OF CONTENTS</w:t>
            </w:r>
          </w:p>
        </w:tc>
        <w:tc>
          <w:tcPr>
            <w:tcW w:w="5020" w:type="dxa"/>
            <w:vAlign w:val="bottom"/>
            <w:gridSpan w:val="2"/>
          </w:tcPr>
          <w:p>
            <w:pPr>
              <w:spacing w:after="0"/>
              <w:rPr>
                <w:sz w:val="13"/>
                <w:szCs w:val="13"/>
                <w:color w:val="auto"/>
              </w:rPr>
            </w:pPr>
          </w:p>
        </w:tc>
      </w:tr>
      <w:tr>
        <w:trPr>
          <w:trHeight w:val="165"/>
        </w:trPr>
        <w:tc>
          <w:tcPr>
            <w:tcW w:w="12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420" w:type="dxa"/>
            <w:vAlign w:val="bottom"/>
            <w:gridSpan w:val="3"/>
          </w:tcPr>
          <w:p>
            <w:pPr>
              <w:jc w:val="right"/>
              <w:ind w:right="5348"/>
              <w:spacing w:after="0"/>
              <w:rPr>
                <w:sz w:val="20"/>
                <w:szCs w:val="20"/>
                <w:color w:val="auto"/>
              </w:rPr>
            </w:pPr>
            <w:r>
              <w:rPr>
                <w:rFonts w:ascii="Arial" w:cs="Arial" w:eastAsia="Arial" w:hAnsi="Arial"/>
                <w:sz w:val="13"/>
                <w:szCs w:val="13"/>
                <w:b w:val="1"/>
                <w:bCs w:val="1"/>
                <w:color w:val="auto"/>
              </w:rPr>
              <w:t>(continued)</w:t>
            </w:r>
          </w:p>
        </w:tc>
      </w:tr>
      <w:tr>
        <w:trPr>
          <w:trHeight w:val="257"/>
        </w:trPr>
        <w:tc>
          <w:tcPr>
            <w:tcW w:w="12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5"/>
              </w:rPr>
              <w:t>Page</w:t>
            </w:r>
          </w:p>
        </w:tc>
      </w:tr>
      <w:tr>
        <w:trPr>
          <w:trHeight w:val="296"/>
        </w:trPr>
        <w:tc>
          <w:tcPr>
            <w:tcW w:w="1240" w:type="dxa"/>
            <w:vAlign w:val="bottom"/>
          </w:tcPr>
          <w:p>
            <w:pPr>
              <w:ind w:left="140"/>
              <w:spacing w:after="0"/>
              <w:rPr>
                <w:sz w:val="20"/>
                <w:szCs w:val="20"/>
                <w:color w:val="auto"/>
              </w:rPr>
            </w:pPr>
            <w:r>
              <w:rPr>
                <w:rFonts w:ascii="Arial" w:cs="Arial" w:eastAsia="Arial" w:hAnsi="Arial"/>
                <w:sz w:val="13"/>
                <w:szCs w:val="13"/>
                <w:color w:val="auto"/>
              </w:rPr>
              <w:t>4.2</w:t>
            </w:r>
          </w:p>
        </w:tc>
        <w:tc>
          <w:tcPr>
            <w:tcW w:w="3800" w:type="dxa"/>
            <w:vAlign w:val="bottom"/>
          </w:tcPr>
          <w:p>
            <w:pPr>
              <w:ind w:left="20"/>
              <w:spacing w:after="0"/>
              <w:rPr>
                <w:sz w:val="20"/>
                <w:szCs w:val="20"/>
                <w:color w:val="auto"/>
              </w:rPr>
            </w:pPr>
            <w:r>
              <w:rPr>
                <w:rFonts w:ascii="Arial" w:cs="Arial" w:eastAsia="Arial" w:hAnsi="Arial"/>
                <w:sz w:val="13"/>
                <w:szCs w:val="13"/>
                <w:color w:val="auto"/>
              </w:rPr>
              <w:t>Bonus Deferrals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5</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4.3</w:t>
            </w:r>
          </w:p>
        </w:tc>
        <w:tc>
          <w:tcPr>
            <w:tcW w:w="3800" w:type="dxa"/>
            <w:vAlign w:val="bottom"/>
          </w:tcPr>
          <w:p>
            <w:pPr>
              <w:ind w:left="20"/>
              <w:spacing w:after="0"/>
              <w:rPr>
                <w:sz w:val="20"/>
                <w:szCs w:val="20"/>
                <w:color w:val="auto"/>
              </w:rPr>
            </w:pPr>
            <w:r>
              <w:rPr>
                <w:rFonts w:ascii="Arial" w:cs="Arial" w:eastAsia="Arial" w:hAnsi="Arial"/>
                <w:sz w:val="13"/>
                <w:szCs w:val="13"/>
                <w:color w:val="auto"/>
              </w:rPr>
              <w:t>Elections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5</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4.4</w:t>
            </w:r>
          </w:p>
        </w:tc>
        <w:tc>
          <w:tcPr>
            <w:tcW w:w="3800" w:type="dxa"/>
            <w:vAlign w:val="bottom"/>
          </w:tcPr>
          <w:p>
            <w:pPr>
              <w:ind w:left="20"/>
              <w:spacing w:after="0"/>
              <w:rPr>
                <w:sz w:val="20"/>
                <w:szCs w:val="20"/>
                <w:color w:val="auto"/>
              </w:rPr>
            </w:pPr>
            <w:r>
              <w:rPr>
                <w:rFonts w:ascii="Arial" w:cs="Arial" w:eastAsia="Arial" w:hAnsi="Arial"/>
                <w:sz w:val="13"/>
                <w:szCs w:val="13"/>
                <w:color w:val="auto"/>
              </w:rPr>
              <w:t>Matching Allocations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6</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5 ACCOUNTS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6</w:t>
            </w:r>
          </w:p>
        </w:tc>
      </w:tr>
      <w:tr>
        <w:trPr>
          <w:trHeight w:val="307"/>
        </w:trPr>
        <w:tc>
          <w:tcPr>
            <w:tcW w:w="1240" w:type="dxa"/>
            <w:vAlign w:val="bottom"/>
          </w:tcPr>
          <w:p>
            <w:pPr>
              <w:ind w:left="140"/>
              <w:spacing w:after="0"/>
              <w:rPr>
                <w:sz w:val="20"/>
                <w:szCs w:val="20"/>
                <w:color w:val="auto"/>
              </w:rPr>
            </w:pPr>
            <w:r>
              <w:rPr>
                <w:rFonts w:ascii="Arial" w:cs="Arial" w:eastAsia="Arial" w:hAnsi="Arial"/>
                <w:sz w:val="13"/>
                <w:szCs w:val="13"/>
                <w:color w:val="auto"/>
              </w:rPr>
              <w:t>5.1</w:t>
            </w:r>
          </w:p>
        </w:tc>
        <w:tc>
          <w:tcPr>
            <w:tcW w:w="3800" w:type="dxa"/>
            <w:vAlign w:val="bottom"/>
          </w:tcPr>
          <w:p>
            <w:pPr>
              <w:ind w:left="20"/>
              <w:spacing w:after="0"/>
              <w:rPr>
                <w:sz w:val="20"/>
                <w:szCs w:val="20"/>
                <w:color w:val="auto"/>
              </w:rPr>
            </w:pPr>
            <w:r>
              <w:rPr>
                <w:rFonts w:ascii="Arial" w:cs="Arial" w:eastAsia="Arial" w:hAnsi="Arial"/>
                <w:sz w:val="13"/>
                <w:szCs w:val="13"/>
                <w:color w:val="auto"/>
              </w:rPr>
              <w:t>Accounts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6</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5.2</w:t>
            </w:r>
          </w:p>
        </w:tc>
        <w:tc>
          <w:tcPr>
            <w:tcW w:w="380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5.3</w:t>
            </w:r>
          </w:p>
        </w:tc>
        <w:tc>
          <w:tcPr>
            <w:tcW w:w="3800" w:type="dxa"/>
            <w:vAlign w:val="bottom"/>
          </w:tcPr>
          <w:p>
            <w:pPr>
              <w:ind w:left="20"/>
              <w:spacing w:after="0"/>
              <w:rPr>
                <w:sz w:val="20"/>
                <w:szCs w:val="20"/>
                <w:color w:val="auto"/>
              </w:rPr>
            </w:pPr>
            <w:r>
              <w:rPr>
                <w:rFonts w:ascii="Arial" w:cs="Arial" w:eastAsia="Arial" w:hAnsi="Arial"/>
                <w:sz w:val="13"/>
                <w:szCs w:val="13"/>
                <w:color w:val="auto"/>
              </w:rPr>
              <w:t>Statements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r>
      <w:tr>
        <w:trPr>
          <w:trHeight w:val="315"/>
        </w:trPr>
        <w:tc>
          <w:tcPr>
            <w:tcW w:w="1240" w:type="dxa"/>
            <w:vAlign w:val="bottom"/>
          </w:tcPr>
          <w:p>
            <w:pPr>
              <w:spacing w:after="0"/>
              <w:rPr>
                <w:sz w:val="20"/>
                <w:szCs w:val="20"/>
                <w:color w:val="auto"/>
              </w:rPr>
            </w:pPr>
            <w:r>
              <w:rPr>
                <w:rFonts w:ascii="Arial" w:cs="Arial" w:eastAsia="Arial" w:hAnsi="Arial"/>
                <w:sz w:val="13"/>
                <w:szCs w:val="13"/>
                <w:color w:val="auto"/>
                <w:w w:val="96"/>
              </w:rPr>
              <w:t>ARTICLE 6 VESTING</w:t>
            </w:r>
          </w:p>
        </w:tc>
        <w:tc>
          <w:tcPr>
            <w:tcW w:w="3800" w:type="dxa"/>
            <w:vAlign w:val="bottom"/>
          </w:tcPr>
          <w:p>
            <w:pPr>
              <w:spacing w:after="0"/>
              <w:rPr>
                <w:sz w:val="24"/>
                <w:szCs w:val="24"/>
                <w:color w:val="auto"/>
              </w:rPr>
            </w:pP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7 DISTRIBUTION OF ACCOUNTS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r>
      <w:tr>
        <w:trPr>
          <w:trHeight w:val="307"/>
        </w:trPr>
        <w:tc>
          <w:tcPr>
            <w:tcW w:w="1240" w:type="dxa"/>
            <w:vAlign w:val="bottom"/>
          </w:tcPr>
          <w:p>
            <w:pPr>
              <w:ind w:left="140"/>
              <w:spacing w:after="0"/>
              <w:rPr>
                <w:sz w:val="20"/>
                <w:szCs w:val="20"/>
                <w:color w:val="auto"/>
              </w:rPr>
            </w:pPr>
            <w:r>
              <w:rPr>
                <w:rFonts w:ascii="Arial" w:cs="Arial" w:eastAsia="Arial" w:hAnsi="Arial"/>
                <w:sz w:val="13"/>
                <w:szCs w:val="13"/>
                <w:color w:val="auto"/>
              </w:rPr>
              <w:t>7.1</w:t>
            </w:r>
          </w:p>
        </w:tc>
        <w:tc>
          <w:tcPr>
            <w:tcW w:w="3800" w:type="dxa"/>
            <w:vAlign w:val="bottom"/>
          </w:tcPr>
          <w:p>
            <w:pPr>
              <w:ind w:left="20"/>
              <w:spacing w:after="0"/>
              <w:rPr>
                <w:sz w:val="20"/>
                <w:szCs w:val="20"/>
                <w:color w:val="auto"/>
              </w:rPr>
            </w:pPr>
            <w:r>
              <w:rPr>
                <w:rFonts w:ascii="Arial" w:cs="Arial" w:eastAsia="Arial" w:hAnsi="Arial"/>
                <w:sz w:val="13"/>
                <w:szCs w:val="13"/>
                <w:color w:val="auto"/>
              </w:rPr>
              <w:t>Election as to Time and Form of Payment</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7</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7.2</w:t>
            </w:r>
          </w:p>
        </w:tc>
        <w:tc>
          <w:tcPr>
            <w:tcW w:w="3800" w:type="dxa"/>
            <w:vAlign w:val="bottom"/>
          </w:tcPr>
          <w:p>
            <w:pPr>
              <w:ind w:left="20"/>
              <w:spacing w:after="0"/>
              <w:rPr>
                <w:sz w:val="20"/>
                <w:szCs w:val="20"/>
                <w:color w:val="auto"/>
              </w:rPr>
            </w:pPr>
            <w:r>
              <w:rPr>
                <w:rFonts w:ascii="Arial" w:cs="Arial" w:eastAsia="Arial" w:hAnsi="Arial"/>
                <w:sz w:val="13"/>
                <w:szCs w:val="13"/>
                <w:color w:val="auto"/>
              </w:rPr>
              <w:t>Death</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8</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7.3</w:t>
            </w:r>
          </w:p>
        </w:tc>
        <w:tc>
          <w:tcPr>
            <w:tcW w:w="3800" w:type="dxa"/>
            <w:vAlign w:val="bottom"/>
          </w:tcPr>
          <w:p>
            <w:pPr>
              <w:ind w:left="20"/>
              <w:spacing w:after="0"/>
              <w:rPr>
                <w:sz w:val="20"/>
                <w:szCs w:val="20"/>
                <w:color w:val="auto"/>
              </w:rPr>
            </w:pPr>
            <w:r>
              <w:rPr>
                <w:rFonts w:ascii="Arial" w:cs="Arial" w:eastAsia="Arial" w:hAnsi="Arial"/>
                <w:sz w:val="13"/>
                <w:szCs w:val="13"/>
                <w:color w:val="auto"/>
              </w:rPr>
              <w:t>Unforeseeable Emergency</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9</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7.4</w:t>
            </w:r>
          </w:p>
        </w:tc>
        <w:tc>
          <w:tcPr>
            <w:tcW w:w="3800" w:type="dxa"/>
            <w:vAlign w:val="bottom"/>
          </w:tcPr>
          <w:p>
            <w:pPr>
              <w:ind w:left="20"/>
              <w:spacing w:after="0"/>
              <w:rPr>
                <w:sz w:val="20"/>
                <w:szCs w:val="20"/>
                <w:color w:val="auto"/>
              </w:rPr>
            </w:pPr>
            <w:r>
              <w:rPr>
                <w:rFonts w:ascii="Arial" w:cs="Arial" w:eastAsia="Arial" w:hAnsi="Arial"/>
                <w:sz w:val="13"/>
                <w:szCs w:val="13"/>
                <w:color w:val="auto"/>
              </w:rPr>
              <w:t>Taxes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9</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8 PLAN ADMINISTRATION</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9</w:t>
            </w:r>
          </w:p>
        </w:tc>
      </w:tr>
      <w:tr>
        <w:trPr>
          <w:trHeight w:val="307"/>
        </w:trPr>
        <w:tc>
          <w:tcPr>
            <w:tcW w:w="1240" w:type="dxa"/>
            <w:vAlign w:val="bottom"/>
          </w:tcPr>
          <w:p>
            <w:pPr>
              <w:ind w:left="140"/>
              <w:spacing w:after="0"/>
              <w:rPr>
                <w:sz w:val="20"/>
                <w:szCs w:val="20"/>
                <w:color w:val="auto"/>
              </w:rPr>
            </w:pPr>
            <w:r>
              <w:rPr>
                <w:rFonts w:ascii="Arial" w:cs="Arial" w:eastAsia="Arial" w:hAnsi="Arial"/>
                <w:sz w:val="13"/>
                <w:szCs w:val="13"/>
                <w:color w:val="auto"/>
              </w:rPr>
              <w:t>8.1</w:t>
            </w:r>
          </w:p>
        </w:tc>
        <w:tc>
          <w:tcPr>
            <w:tcW w:w="3800" w:type="dxa"/>
            <w:vAlign w:val="bottom"/>
          </w:tcPr>
          <w:p>
            <w:pPr>
              <w:ind w:left="20"/>
              <w:spacing w:after="0"/>
              <w:rPr>
                <w:sz w:val="20"/>
                <w:szCs w:val="20"/>
                <w:color w:val="auto"/>
              </w:rPr>
            </w:pPr>
            <w:r>
              <w:rPr>
                <w:rFonts w:ascii="Arial" w:cs="Arial" w:eastAsia="Arial" w:hAnsi="Arial"/>
                <w:sz w:val="13"/>
                <w:szCs w:val="13"/>
                <w:color w:val="auto"/>
              </w:rPr>
              <w:t>Plan Administration and Interpretation</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9</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8.2</w:t>
            </w:r>
          </w:p>
        </w:tc>
        <w:tc>
          <w:tcPr>
            <w:tcW w:w="3800" w:type="dxa"/>
            <w:vAlign w:val="bottom"/>
          </w:tcPr>
          <w:p>
            <w:pPr>
              <w:ind w:left="20"/>
              <w:spacing w:after="0"/>
              <w:rPr>
                <w:sz w:val="20"/>
                <w:szCs w:val="20"/>
                <w:color w:val="auto"/>
              </w:rPr>
            </w:pPr>
            <w:r>
              <w:rPr>
                <w:rFonts w:ascii="Arial" w:cs="Arial" w:eastAsia="Arial" w:hAnsi="Arial"/>
                <w:sz w:val="13"/>
                <w:szCs w:val="13"/>
                <w:color w:val="auto"/>
              </w:rPr>
              <w:t>Powers, Duties, Procedures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8.3</w:t>
            </w:r>
          </w:p>
        </w:tc>
        <w:tc>
          <w:tcPr>
            <w:tcW w:w="3800" w:type="dxa"/>
            <w:vAlign w:val="bottom"/>
          </w:tcPr>
          <w:p>
            <w:pPr>
              <w:ind w:left="20"/>
              <w:spacing w:after="0"/>
              <w:rPr>
                <w:sz w:val="20"/>
                <w:szCs w:val="20"/>
                <w:color w:val="auto"/>
              </w:rPr>
            </w:pPr>
            <w:r>
              <w:rPr>
                <w:rFonts w:ascii="Arial" w:cs="Arial" w:eastAsia="Arial" w:hAnsi="Arial"/>
                <w:sz w:val="13"/>
                <w:szCs w:val="13"/>
                <w:color w:val="auto"/>
              </w:rPr>
              <w:t>Information</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8.4</w:t>
            </w:r>
          </w:p>
        </w:tc>
        <w:tc>
          <w:tcPr>
            <w:tcW w:w="3800" w:type="dxa"/>
            <w:vAlign w:val="bottom"/>
          </w:tcPr>
          <w:p>
            <w:pPr>
              <w:ind w:left="20"/>
              <w:spacing w:after="0"/>
              <w:rPr>
                <w:sz w:val="20"/>
                <w:szCs w:val="20"/>
                <w:color w:val="auto"/>
              </w:rPr>
            </w:pPr>
            <w:r>
              <w:rPr>
                <w:rFonts w:ascii="Arial" w:cs="Arial" w:eastAsia="Arial" w:hAnsi="Arial"/>
                <w:sz w:val="13"/>
                <w:szCs w:val="13"/>
                <w:color w:val="auto"/>
              </w:rPr>
              <w:t>Indemnification of Plan Administrator</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9 AMENDMENT AND TERMINATION</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307"/>
        </w:trPr>
        <w:tc>
          <w:tcPr>
            <w:tcW w:w="1240" w:type="dxa"/>
            <w:vAlign w:val="bottom"/>
          </w:tcPr>
          <w:p>
            <w:pPr>
              <w:ind w:left="140"/>
              <w:spacing w:after="0"/>
              <w:rPr>
                <w:sz w:val="20"/>
                <w:szCs w:val="20"/>
                <w:color w:val="auto"/>
              </w:rPr>
            </w:pPr>
            <w:r>
              <w:rPr>
                <w:rFonts w:ascii="Arial" w:cs="Arial" w:eastAsia="Arial" w:hAnsi="Arial"/>
                <w:sz w:val="13"/>
                <w:szCs w:val="13"/>
                <w:color w:val="auto"/>
              </w:rPr>
              <w:t>9.1</w:t>
            </w:r>
          </w:p>
        </w:tc>
        <w:tc>
          <w:tcPr>
            <w:tcW w:w="3800" w:type="dxa"/>
            <w:vAlign w:val="bottom"/>
          </w:tcPr>
          <w:p>
            <w:pPr>
              <w:ind w:left="20"/>
              <w:spacing w:after="0"/>
              <w:rPr>
                <w:sz w:val="20"/>
                <w:szCs w:val="20"/>
                <w:color w:val="auto"/>
              </w:rPr>
            </w:pPr>
            <w:r>
              <w:rPr>
                <w:rFonts w:ascii="Arial" w:cs="Arial" w:eastAsia="Arial" w:hAnsi="Arial"/>
                <w:sz w:val="13"/>
                <w:szCs w:val="13"/>
                <w:color w:val="auto"/>
              </w:rPr>
              <w:t>Authority to Amend and Terminate</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9.2</w:t>
            </w:r>
          </w:p>
        </w:tc>
        <w:tc>
          <w:tcPr>
            <w:tcW w:w="3800" w:type="dxa"/>
            <w:vAlign w:val="bottom"/>
          </w:tcPr>
          <w:p>
            <w:pPr>
              <w:ind w:left="20"/>
              <w:spacing w:after="0"/>
              <w:rPr>
                <w:sz w:val="20"/>
                <w:szCs w:val="20"/>
                <w:color w:val="auto"/>
              </w:rPr>
            </w:pPr>
            <w:r>
              <w:rPr>
                <w:rFonts w:ascii="Arial" w:cs="Arial" w:eastAsia="Arial" w:hAnsi="Arial"/>
                <w:sz w:val="13"/>
                <w:szCs w:val="13"/>
                <w:color w:val="auto"/>
              </w:rPr>
              <w:t>Existing Rights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10</w:t>
            </w:r>
          </w:p>
        </w:tc>
      </w:tr>
      <w:tr>
        <w:trPr>
          <w:trHeight w:val="315"/>
        </w:trPr>
        <w:tc>
          <w:tcPr>
            <w:tcW w:w="5040" w:type="dxa"/>
            <w:vAlign w:val="bottom"/>
            <w:gridSpan w:val="2"/>
          </w:tcPr>
          <w:p>
            <w:pPr>
              <w:spacing w:after="0"/>
              <w:rPr>
                <w:sz w:val="20"/>
                <w:szCs w:val="20"/>
                <w:color w:val="auto"/>
              </w:rPr>
            </w:pPr>
            <w:r>
              <w:rPr>
                <w:rFonts w:ascii="Arial" w:cs="Arial" w:eastAsia="Arial" w:hAnsi="Arial"/>
                <w:sz w:val="13"/>
                <w:szCs w:val="13"/>
                <w:color w:val="auto"/>
              </w:rPr>
              <w:t>ARTICLE 10 MISCELLANEOUS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307"/>
        </w:trPr>
        <w:tc>
          <w:tcPr>
            <w:tcW w:w="1240" w:type="dxa"/>
            <w:vAlign w:val="bottom"/>
          </w:tcPr>
          <w:p>
            <w:pPr>
              <w:ind w:left="140"/>
              <w:spacing w:after="0"/>
              <w:rPr>
                <w:sz w:val="20"/>
                <w:szCs w:val="20"/>
                <w:color w:val="auto"/>
              </w:rPr>
            </w:pPr>
            <w:r>
              <w:rPr>
                <w:rFonts w:ascii="Arial" w:cs="Arial" w:eastAsia="Arial" w:hAnsi="Arial"/>
                <w:sz w:val="13"/>
                <w:szCs w:val="13"/>
                <w:color w:val="auto"/>
              </w:rPr>
              <w:t>10.1</w:t>
            </w:r>
          </w:p>
        </w:tc>
        <w:tc>
          <w:tcPr>
            <w:tcW w:w="3800" w:type="dxa"/>
            <w:vAlign w:val="bottom"/>
          </w:tcPr>
          <w:p>
            <w:pPr>
              <w:ind w:left="20"/>
              <w:spacing w:after="0"/>
              <w:rPr>
                <w:sz w:val="20"/>
                <w:szCs w:val="20"/>
                <w:color w:val="auto"/>
              </w:rPr>
            </w:pPr>
            <w:r>
              <w:rPr>
                <w:rFonts w:ascii="Arial" w:cs="Arial" w:eastAsia="Arial" w:hAnsi="Arial"/>
                <w:sz w:val="13"/>
                <w:szCs w:val="13"/>
                <w:color w:val="auto"/>
              </w:rPr>
              <w:t>No Funding</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10.2</w:t>
            </w:r>
          </w:p>
        </w:tc>
        <w:tc>
          <w:tcPr>
            <w:tcW w:w="3800" w:type="dxa"/>
            <w:vAlign w:val="bottom"/>
          </w:tcPr>
          <w:p>
            <w:pPr>
              <w:ind w:left="20"/>
              <w:spacing w:after="0"/>
              <w:rPr>
                <w:sz w:val="20"/>
                <w:szCs w:val="20"/>
                <w:color w:val="auto"/>
              </w:rPr>
            </w:pPr>
            <w:r>
              <w:rPr>
                <w:rFonts w:ascii="Arial" w:cs="Arial" w:eastAsia="Arial" w:hAnsi="Arial"/>
                <w:sz w:val="13"/>
                <w:szCs w:val="13"/>
                <w:color w:val="auto"/>
              </w:rPr>
              <w:t>General Creditor Status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10.3</w:t>
            </w:r>
          </w:p>
        </w:tc>
        <w:tc>
          <w:tcPr>
            <w:tcW w:w="3800" w:type="dxa"/>
            <w:vAlign w:val="bottom"/>
          </w:tcPr>
          <w:p>
            <w:pPr>
              <w:ind w:left="20"/>
              <w:spacing w:after="0"/>
              <w:rPr>
                <w:sz w:val="20"/>
                <w:szCs w:val="20"/>
                <w:color w:val="auto"/>
              </w:rPr>
            </w:pPr>
            <w:r>
              <w:rPr>
                <w:rFonts w:ascii="Arial" w:cs="Arial" w:eastAsia="Arial" w:hAnsi="Arial"/>
                <w:sz w:val="13"/>
                <w:szCs w:val="13"/>
                <w:color w:val="auto"/>
              </w:rPr>
              <w:t>Non-assignability</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10.4</w:t>
            </w:r>
          </w:p>
        </w:tc>
        <w:tc>
          <w:tcPr>
            <w:tcW w:w="3800" w:type="dxa"/>
            <w:vAlign w:val="bottom"/>
          </w:tcPr>
          <w:p>
            <w:pPr>
              <w:ind w:left="20"/>
              <w:spacing w:after="0"/>
              <w:rPr>
                <w:sz w:val="20"/>
                <w:szCs w:val="20"/>
                <w:color w:val="auto"/>
              </w:rPr>
            </w:pPr>
            <w:r>
              <w:rPr>
                <w:rFonts w:ascii="Arial" w:cs="Arial" w:eastAsia="Arial" w:hAnsi="Arial"/>
                <w:sz w:val="13"/>
                <w:szCs w:val="13"/>
                <w:color w:val="auto"/>
              </w:rPr>
              <w:t>Limitation of Participant’s Rights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10.5</w:t>
            </w:r>
          </w:p>
        </w:tc>
        <w:tc>
          <w:tcPr>
            <w:tcW w:w="3800" w:type="dxa"/>
            <w:vAlign w:val="bottom"/>
          </w:tcPr>
          <w:p>
            <w:pPr>
              <w:ind w:left="20"/>
              <w:spacing w:after="0"/>
              <w:rPr>
                <w:sz w:val="20"/>
                <w:szCs w:val="20"/>
                <w:color w:val="auto"/>
              </w:rPr>
            </w:pPr>
            <w:r>
              <w:rPr>
                <w:rFonts w:ascii="Arial" w:cs="Arial" w:eastAsia="Arial" w:hAnsi="Arial"/>
                <w:sz w:val="13"/>
                <w:szCs w:val="13"/>
                <w:color w:val="auto"/>
              </w:rPr>
              <w:t>Participants Bound.</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10.6</w:t>
            </w:r>
          </w:p>
        </w:tc>
        <w:tc>
          <w:tcPr>
            <w:tcW w:w="3800" w:type="dxa"/>
            <w:vAlign w:val="bottom"/>
          </w:tcPr>
          <w:p>
            <w:pPr>
              <w:ind w:left="20"/>
              <w:spacing w:after="0"/>
              <w:rPr>
                <w:sz w:val="20"/>
                <w:szCs w:val="20"/>
                <w:color w:val="auto"/>
              </w:rPr>
            </w:pPr>
            <w:r>
              <w:rPr>
                <w:rFonts w:ascii="Arial" w:cs="Arial" w:eastAsia="Arial" w:hAnsi="Arial"/>
                <w:sz w:val="13"/>
                <w:szCs w:val="13"/>
                <w:color w:val="auto"/>
              </w:rPr>
              <w:t>Satisfaction of Claims; Unclaimed Benefits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11</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10.7</w:t>
            </w:r>
          </w:p>
        </w:tc>
        <w:tc>
          <w:tcPr>
            <w:tcW w:w="3800" w:type="dxa"/>
            <w:vAlign w:val="bottom"/>
          </w:tcPr>
          <w:p>
            <w:pPr>
              <w:ind w:left="20"/>
              <w:spacing w:after="0"/>
              <w:rPr>
                <w:sz w:val="20"/>
                <w:szCs w:val="20"/>
                <w:color w:val="auto"/>
              </w:rPr>
            </w:pPr>
            <w:r>
              <w:rPr>
                <w:rFonts w:ascii="Arial" w:cs="Arial" w:eastAsia="Arial" w:hAnsi="Arial"/>
                <w:sz w:val="13"/>
                <w:szCs w:val="13"/>
                <w:color w:val="auto"/>
              </w:rPr>
              <w:t>Governing Law and Severability</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12</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10.8</w:t>
            </w:r>
          </w:p>
        </w:tc>
        <w:tc>
          <w:tcPr>
            <w:tcW w:w="3800" w:type="dxa"/>
            <w:vAlign w:val="bottom"/>
          </w:tcPr>
          <w:p>
            <w:pPr>
              <w:ind w:left="20"/>
              <w:spacing w:after="0"/>
              <w:rPr>
                <w:sz w:val="20"/>
                <w:szCs w:val="20"/>
                <w:color w:val="auto"/>
              </w:rPr>
            </w:pPr>
            <w:r>
              <w:rPr>
                <w:rFonts w:ascii="Arial" w:cs="Arial" w:eastAsia="Arial" w:hAnsi="Arial"/>
                <w:sz w:val="13"/>
                <w:szCs w:val="13"/>
                <w:color w:val="auto"/>
              </w:rPr>
              <w:t>Not Contract of Employment</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12</w:t>
            </w:r>
          </w:p>
        </w:tc>
      </w:tr>
      <w:tr>
        <w:trPr>
          <w:trHeight w:val="157"/>
        </w:trPr>
        <w:tc>
          <w:tcPr>
            <w:tcW w:w="1240" w:type="dxa"/>
            <w:vAlign w:val="bottom"/>
          </w:tcPr>
          <w:p>
            <w:pPr>
              <w:ind w:left="140"/>
              <w:spacing w:after="0"/>
              <w:rPr>
                <w:sz w:val="20"/>
                <w:szCs w:val="20"/>
                <w:color w:val="auto"/>
              </w:rPr>
            </w:pPr>
            <w:r>
              <w:rPr>
                <w:rFonts w:ascii="Arial" w:cs="Arial" w:eastAsia="Arial" w:hAnsi="Arial"/>
                <w:sz w:val="13"/>
                <w:szCs w:val="13"/>
                <w:color w:val="auto"/>
              </w:rPr>
              <w:t>10.9</w:t>
            </w:r>
          </w:p>
        </w:tc>
        <w:tc>
          <w:tcPr>
            <w:tcW w:w="3800" w:type="dxa"/>
            <w:vAlign w:val="bottom"/>
          </w:tcPr>
          <w:p>
            <w:pPr>
              <w:ind w:left="20"/>
              <w:spacing w:after="0"/>
              <w:rPr>
                <w:sz w:val="20"/>
                <w:szCs w:val="20"/>
                <w:color w:val="auto"/>
              </w:rPr>
            </w:pPr>
            <w:r>
              <w:rPr>
                <w:rFonts w:ascii="Arial" w:cs="Arial" w:eastAsia="Arial" w:hAnsi="Arial"/>
                <w:sz w:val="13"/>
                <w:szCs w:val="13"/>
                <w:color w:val="auto"/>
              </w:rPr>
              <w:t>Severability</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12</w:t>
            </w:r>
          </w:p>
        </w:tc>
      </w:tr>
      <w:tr>
        <w:trPr>
          <w:trHeight w:val="165"/>
        </w:trPr>
        <w:tc>
          <w:tcPr>
            <w:tcW w:w="1240" w:type="dxa"/>
            <w:vAlign w:val="bottom"/>
          </w:tcPr>
          <w:p>
            <w:pPr>
              <w:ind w:left="140"/>
              <w:spacing w:after="0"/>
              <w:rPr>
                <w:sz w:val="20"/>
                <w:szCs w:val="20"/>
                <w:color w:val="auto"/>
              </w:rPr>
            </w:pPr>
            <w:r>
              <w:rPr>
                <w:rFonts w:ascii="Arial" w:cs="Arial" w:eastAsia="Arial" w:hAnsi="Arial"/>
                <w:sz w:val="13"/>
                <w:szCs w:val="13"/>
                <w:color w:val="auto"/>
              </w:rPr>
              <w:t>10.10</w:t>
            </w:r>
          </w:p>
        </w:tc>
        <w:tc>
          <w:tcPr>
            <w:tcW w:w="3800" w:type="dxa"/>
            <w:vAlign w:val="bottom"/>
          </w:tcPr>
          <w:p>
            <w:pPr>
              <w:ind w:left="20"/>
              <w:spacing w:after="0"/>
              <w:rPr>
                <w:sz w:val="20"/>
                <w:szCs w:val="20"/>
                <w:color w:val="auto"/>
              </w:rPr>
            </w:pPr>
            <w:r>
              <w:rPr>
                <w:rFonts w:ascii="Arial" w:cs="Arial" w:eastAsia="Arial" w:hAnsi="Arial"/>
                <w:sz w:val="13"/>
                <w:szCs w:val="13"/>
                <w:color w:val="auto"/>
              </w:rPr>
              <w:t>Headings</w:t>
            </w:r>
          </w:p>
        </w:tc>
        <w:tc>
          <w:tcPr>
            <w:tcW w:w="6420" w:type="dxa"/>
            <w:vAlign w:val="bottom"/>
            <w:gridSpan w:val="3"/>
          </w:tcPr>
          <w:p>
            <w:pPr>
              <w:jc w:val="right"/>
              <w:ind w:right="68"/>
              <w:spacing w:after="0"/>
              <w:rPr>
                <w:sz w:val="20"/>
                <w:szCs w:val="20"/>
                <w:color w:val="auto"/>
              </w:rPr>
            </w:pPr>
            <w:r>
              <w:rPr>
                <w:rFonts w:ascii="Arial" w:cs="Arial" w:eastAsia="Arial" w:hAnsi="Arial"/>
                <w:sz w:val="13"/>
                <w:szCs w:val="13"/>
                <w:color w:val="auto"/>
              </w:rPr>
              <w:t>12</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07" w:right="21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409A Deferral Savings Plan</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As Effective January 1, 2005</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1</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INTRODUCTION</w:t>
      </w:r>
    </w:p>
    <w:p>
      <w:pPr>
        <w:spacing w:after="0" w:line="75"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Purpose of Plan</w:t>
      </w:r>
      <w:r>
        <w:rPr>
          <w:rFonts w:ascii="Arial" w:cs="Arial" w:eastAsia="Arial" w:hAnsi="Arial"/>
          <w:sz w:val="13"/>
          <w:szCs w:val="13"/>
          <w:b w:val="1"/>
          <w:bCs w:val="1"/>
          <w:color w:val="auto"/>
        </w:rPr>
        <w:t xml:space="preserve">. </w:t>
      </w:r>
      <w:r>
        <w:rPr>
          <w:rFonts w:ascii="Arial" w:cs="Arial" w:eastAsia="Arial" w:hAnsi="Arial"/>
          <w:sz w:val="13"/>
          <w:szCs w:val="13"/>
          <w:color w:val="auto"/>
        </w:rPr>
        <w:t>Waste Management, Inc. (the “Company”) established the Waste Management, Inc. 409A Deferral Savings Plan (the “Plan”) to provide certain eligible employees a means to defer a portion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their base salary and/or their bonus that vests on or after January 1, 2005 in compliance with Section 409A of the Internal Revenue Code so as to save for retirement The Plan is primarily designed to give these eligible employees an additional avenue to defer amounts that are in addition to and otherwise limited from deferral under the Waste Management Retirement Savings Plan due to certain limitations established under the Internal Revenue Code for such plan. The Plan is effective January 1, 2005.</w:t>
      </w:r>
    </w:p>
    <w:p>
      <w:pPr>
        <w:spacing w:after="0" w:line="55"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Status of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is intended to be an unfunded plan maintained by the Company “primarily for the purpose of providing deferred compensation for a select group of management or highly compensated</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within the meaning of Sections 201(2), 301(a)(3) and 401(a)(1) of ERISA, and the Plan shall be interpreted and administered consistent with this intent.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2</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DEFINITIONS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Wherever used herein, the following terms have the meanings set forth below, unless a different meaning is clearly required by the context: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 “Account"</w:t>
      </w:r>
      <w:r>
        <w:rPr>
          <w:rFonts w:ascii="Arial" w:cs="Arial" w:eastAsia="Arial" w:hAnsi="Arial"/>
          <w:sz w:val="13"/>
          <w:szCs w:val="13"/>
          <w:color w:val="auto"/>
        </w:rPr>
        <w:t>.means an account established for the benefit of a Participant under Section 5.1, which may include one or more sub-accounts.</w:t>
      </w:r>
    </w:p>
    <w:p>
      <w:pPr>
        <w:spacing w:after="0" w:line="86" w:lineRule="exact"/>
        <w:rPr>
          <w:sz w:val="20"/>
          <w:szCs w:val="20"/>
          <w:color w:val="auto"/>
        </w:rPr>
      </w:pPr>
    </w:p>
    <w:p>
      <w:pPr>
        <w:ind w:right="20" w:firstLine="164"/>
        <w:spacing w:after="0" w:line="300" w:lineRule="auto"/>
        <w:rPr>
          <w:sz w:val="20"/>
          <w:szCs w:val="20"/>
          <w:color w:val="auto"/>
        </w:rPr>
      </w:pPr>
      <w:r>
        <w:rPr>
          <w:rFonts w:ascii="Arial" w:cs="Arial" w:eastAsia="Arial" w:hAnsi="Arial"/>
          <w:sz w:val="12"/>
          <w:szCs w:val="12"/>
          <w:b w:val="1"/>
          <w:bCs w:val="1"/>
          <w:color w:val="auto"/>
        </w:rPr>
        <w:t>2.2 “Base Salary"</w:t>
      </w:r>
      <w:r>
        <w:rPr>
          <w:rFonts w:ascii="Arial" w:cs="Arial" w:eastAsia="Arial" w:hAnsi="Arial"/>
          <w:sz w:val="12"/>
          <w:szCs w:val="12"/>
          <w:b w:val="1"/>
          <w:bCs w:val="1"/>
          <w:u w:val="single" w:color="auto"/>
          <w:color w:val="auto"/>
        </w:rPr>
        <w:t>.</w:t>
      </w:r>
      <w:r>
        <w:rPr>
          <w:rFonts w:ascii="Arial" w:cs="Arial" w:eastAsia="Arial" w:hAnsi="Arial"/>
          <w:sz w:val="12"/>
          <w:szCs w:val="12"/>
          <w:color w:val="auto"/>
        </w:rPr>
        <w:t>means the annual base salary rate payable by an Employer to an Eligible Employee for services performed during any Plan Year that would be includible in the Eligible Employee’s gross income</w:t>
      </w:r>
      <w:r>
        <w:rPr>
          <w:rFonts w:ascii="Arial" w:cs="Arial" w:eastAsia="Arial" w:hAnsi="Arial"/>
          <w:sz w:val="12"/>
          <w:szCs w:val="12"/>
          <w:b w:val="1"/>
          <w:bCs w:val="1"/>
          <w:color w:val="auto"/>
        </w:rPr>
        <w:t xml:space="preserve"> </w:t>
      </w:r>
      <w:r>
        <w:rPr>
          <w:rFonts w:ascii="Arial" w:cs="Arial" w:eastAsia="Arial" w:hAnsi="Arial"/>
          <w:sz w:val="12"/>
          <w:szCs w:val="12"/>
          <w:color w:val="auto"/>
        </w:rPr>
        <w:t>for such year determined before deductions made with respect to this Plan, the Qualified Plan, or any other plan maintained by an Employer permitting pre-tax contributions, such as an Employer-sponsored plan established under Code Section 125. Base Salary does not include income from stock option exercises, Bonuses and Bonus Deferrals under this Plan, or any other type of incentive award.</w:t>
      </w:r>
    </w:p>
    <w:p>
      <w:pPr>
        <w:spacing w:after="0" w:line="33" w:lineRule="exact"/>
        <w:rPr>
          <w:sz w:val="20"/>
          <w:szCs w:val="20"/>
          <w:color w:val="auto"/>
        </w:rPr>
      </w:pPr>
    </w:p>
    <w:p>
      <w:pPr>
        <w:ind w:right="320" w:firstLine="164"/>
        <w:spacing w:after="0" w:line="283" w:lineRule="auto"/>
        <w:rPr>
          <w:sz w:val="20"/>
          <w:szCs w:val="20"/>
          <w:color w:val="auto"/>
        </w:rPr>
      </w:pPr>
      <w:r>
        <w:rPr>
          <w:rFonts w:ascii="Arial" w:cs="Arial" w:eastAsia="Arial" w:hAnsi="Arial"/>
          <w:sz w:val="13"/>
          <w:szCs w:val="13"/>
          <w:b w:val="1"/>
          <w:bCs w:val="1"/>
          <w:color w:val="auto"/>
        </w:rPr>
        <w:t>2.3 “Beneficiary"</w:t>
      </w:r>
      <w:r>
        <w:rPr>
          <w:rFonts w:ascii="Arial" w:cs="Arial" w:eastAsia="Arial" w:hAnsi="Arial"/>
          <w:sz w:val="13"/>
          <w:szCs w:val="13"/>
          <w:b w:val="1"/>
          <w:bCs w:val="1"/>
          <w:u w:val="single" w:color="auto"/>
          <w:color w:val="auto"/>
        </w:rPr>
        <w:t>.</w:t>
      </w:r>
      <w:r>
        <w:rPr>
          <w:rFonts w:ascii="Arial" w:cs="Arial" w:eastAsia="Arial" w:hAnsi="Arial"/>
          <w:sz w:val="13"/>
          <w:szCs w:val="13"/>
          <w:color w:val="auto"/>
        </w:rPr>
        <w:t>means the beneficiary or beneficiaries designated by a Participant or otherwise under Section 7.2 to receive an amount, if any, payable from such Participant’s Account upon the death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2.4 “Bonus”.</w:t>
      </w:r>
      <w:r>
        <w:rPr>
          <w:rFonts w:ascii="Arial" w:cs="Arial" w:eastAsia="Arial" w:hAnsi="Arial"/>
          <w:sz w:val="13"/>
          <w:szCs w:val="13"/>
          <w:color w:val="auto"/>
        </w:rPr>
        <w:t>means the annual bonus payable under the Company’s 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36" w:right="299" w:bottom="1440" w:gutter="0" w:footer="0" w:header="0"/>
        </w:sectPr>
      </w:pPr>
    </w:p>
    <w:bookmarkStart w:id="133" w:name="page134"/>
    <w:bookmarkEnd w:id="133"/>
    <w:p>
      <w:pPr>
        <w:ind w:left="160"/>
        <w:spacing w:after="0"/>
        <w:rPr>
          <w:sz w:val="20"/>
          <w:szCs w:val="20"/>
          <w:color w:val="auto"/>
        </w:rPr>
      </w:pPr>
      <w:r>
        <w:rPr>
          <w:rFonts w:ascii="Arial" w:cs="Arial" w:eastAsia="Arial" w:hAnsi="Arial"/>
          <w:sz w:val="13"/>
          <w:szCs w:val="13"/>
          <w:b w:val="1"/>
          <w:bCs w:val="1"/>
          <w:color w:val="auto"/>
        </w:rPr>
        <w:t>2.5 “Bonus Deferral”.</w:t>
      </w:r>
      <w:r>
        <w:rPr>
          <w:rFonts w:ascii="Arial" w:cs="Arial" w:eastAsia="Arial" w:hAnsi="Arial"/>
          <w:sz w:val="13"/>
          <w:szCs w:val="13"/>
          <w:color w:val="auto"/>
        </w:rPr>
        <w:t>means the portion of a Bonus that is deferred by a Participant under Section 4.2 with respect to a Plan Year.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2.6 “Change in Control”.</w:t>
      </w:r>
      <w:r>
        <w:rPr>
          <w:rFonts w:ascii="Arial" w:cs="Arial" w:eastAsia="Arial" w:hAnsi="Arial"/>
          <w:sz w:val="13"/>
          <w:szCs w:val="13"/>
          <w:color w:val="auto"/>
        </w:rPr>
        <w:t>means a Change in Control as such term is defined in the Company’s 1996 Stock Option Plan for Non-Employee Directors, as amended from time to time.</w:t>
      </w:r>
    </w:p>
    <w:p>
      <w:pPr>
        <w:spacing w:after="0" w:line="86"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2.7 “Code”.</w:t>
      </w:r>
      <w:r>
        <w:rPr>
          <w:rFonts w:ascii="Arial" w:cs="Arial" w:eastAsia="Arial" w:hAnsi="Arial"/>
          <w:sz w:val="13"/>
          <w:szCs w:val="13"/>
          <w:color w:val="auto"/>
        </w:rPr>
        <w:t>means the Internal Revenue Code of 1986, as amended from time to time, and the regulations and rulings issued thereunder. Reference to any section or subsection of the Code includes reference to any</w:t>
      </w:r>
      <w:r>
        <w:rPr>
          <w:rFonts w:ascii="Arial" w:cs="Arial" w:eastAsia="Arial" w:hAnsi="Arial"/>
          <w:sz w:val="13"/>
          <w:szCs w:val="13"/>
          <w:b w:val="1"/>
          <w:bCs w:val="1"/>
          <w:color w:val="auto"/>
        </w:rPr>
        <w:t xml:space="preserve"> </w:t>
      </w:r>
      <w:r>
        <w:rPr>
          <w:rFonts w:ascii="Arial" w:cs="Arial" w:eastAsia="Arial" w:hAnsi="Arial"/>
          <w:sz w:val="13"/>
          <w:szCs w:val="13"/>
          <w:color w:val="auto"/>
        </w:rPr>
        <w:t>comparable or succeeding provisions of any legislation that amends, supplements or replaces such section or subsection.</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2.8 “Company”.</w:t>
      </w:r>
      <w:r>
        <w:rPr>
          <w:rFonts w:ascii="Arial" w:cs="Arial" w:eastAsia="Arial" w:hAnsi="Arial"/>
          <w:sz w:val="13"/>
          <w:szCs w:val="13"/>
          <w:color w:val="auto"/>
        </w:rPr>
        <w:t>means Waste Management, Inc., a Delaware corporation, or any successor corporation thereto.</w:t>
      </w:r>
    </w:p>
    <w:p>
      <w:pPr>
        <w:spacing w:after="0" w:line="86"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2.9 “Deferral Form”.</w:t>
      </w:r>
      <w:r>
        <w:rPr>
          <w:rFonts w:ascii="Arial" w:cs="Arial" w:eastAsia="Arial" w:hAnsi="Arial"/>
          <w:sz w:val="13"/>
          <w:szCs w:val="13"/>
          <w:b w:val="1"/>
          <w:bCs w:val="1"/>
          <w:u w:val="single" w:color="auto"/>
          <w:color w:val="auto"/>
        </w:rPr>
        <w:t>.</w:t>
      </w:r>
      <w:r>
        <w:rPr>
          <w:rFonts w:ascii="Arial" w:cs="Arial" w:eastAsia="Arial" w:hAnsi="Arial"/>
          <w:sz w:val="13"/>
          <w:szCs w:val="13"/>
          <w:color w:val="auto"/>
        </w:rPr>
        <w:t>means the document or documents, voice response or electronic media prescribed by the Plan Administrator pursuant to which a Participant may make elections to defer a portion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Base Salary and/or all or a portion of the Participant’s Bonus.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2.10 “Effective Date”.</w:t>
      </w:r>
      <w:r>
        <w:rPr>
          <w:rFonts w:ascii="Arial" w:cs="Arial" w:eastAsia="Arial" w:hAnsi="Arial"/>
          <w:sz w:val="13"/>
          <w:szCs w:val="13"/>
          <w:color w:val="auto"/>
        </w:rPr>
        <w:t>means January 1, 2005, the date of the establishment of the Plan.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2.11 “Elective Deferral”.</w:t>
      </w:r>
      <w:r>
        <w:rPr>
          <w:rFonts w:ascii="Arial" w:cs="Arial" w:eastAsia="Arial" w:hAnsi="Arial"/>
          <w:sz w:val="13"/>
          <w:szCs w:val="13"/>
          <w:color w:val="auto"/>
        </w:rPr>
        <w:t>means the portion of Base Salary the receipt of which is deferred by a Participant under Section 4.1 with respect to a Plan Year.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2.12 “Eligible Employee”.</w:t>
      </w:r>
      <w:r>
        <w:rPr>
          <w:rFonts w:ascii="Arial" w:cs="Arial" w:eastAsia="Arial" w:hAnsi="Arial"/>
          <w:sz w:val="13"/>
          <w:szCs w:val="13"/>
          <w:color w:val="auto"/>
        </w:rPr>
        <w:t>means an Employee who satisfies the eligibility requirements set forth in Article 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2.13 “Employee”.</w:t>
      </w:r>
      <w:r>
        <w:rPr>
          <w:rFonts w:ascii="Arial" w:cs="Arial" w:eastAsia="Arial" w:hAnsi="Arial"/>
          <w:sz w:val="13"/>
          <w:szCs w:val="13"/>
          <w:color w:val="auto"/>
        </w:rPr>
        <w:t>means an employee of an Employer who is an eligible employee within the meaning of the Qualified Plan.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2.14 “Employer”.</w:t>
      </w:r>
      <w:r>
        <w:rPr>
          <w:rFonts w:ascii="Arial" w:cs="Arial" w:eastAsia="Arial" w:hAnsi="Arial"/>
          <w:sz w:val="13"/>
          <w:szCs w:val="13"/>
          <w:color w:val="auto"/>
        </w:rPr>
        <w:t>means the Company or an affiliated corporation of the Company that is an adopting employer under the Qualified Plan.</w:t>
      </w:r>
    </w:p>
    <w:p>
      <w:pPr>
        <w:spacing w:after="0" w:line="86" w:lineRule="exact"/>
        <w:rPr>
          <w:sz w:val="20"/>
          <w:szCs w:val="20"/>
          <w:color w:val="auto"/>
        </w:rPr>
      </w:pPr>
    </w:p>
    <w:p>
      <w:pPr>
        <w:ind w:right="220" w:firstLine="164"/>
        <w:spacing w:after="0" w:line="283" w:lineRule="auto"/>
        <w:rPr>
          <w:sz w:val="20"/>
          <w:szCs w:val="20"/>
          <w:color w:val="auto"/>
        </w:rPr>
      </w:pPr>
      <w:r>
        <w:rPr>
          <w:rFonts w:ascii="Arial" w:cs="Arial" w:eastAsia="Arial" w:hAnsi="Arial"/>
          <w:sz w:val="13"/>
          <w:szCs w:val="13"/>
          <w:b w:val="1"/>
          <w:bCs w:val="1"/>
          <w:color w:val="auto"/>
        </w:rPr>
        <w:t>2.15 “ERISA”.</w:t>
      </w:r>
      <w:r>
        <w:rPr>
          <w:rFonts w:ascii="Arial" w:cs="Arial" w:eastAsia="Arial" w:hAnsi="Arial"/>
          <w:sz w:val="13"/>
          <w:szCs w:val="13"/>
          <w:color w:val="auto"/>
        </w:rPr>
        <w:t>means the Employee Retirement Income Security Act of 1974, as amended from time to time, and the regulations and rulings issued thereunder. Reference to any section or subsection of ERISA</w:t>
      </w:r>
      <w:r>
        <w:rPr>
          <w:rFonts w:ascii="Arial" w:cs="Arial" w:eastAsia="Arial" w:hAnsi="Arial"/>
          <w:sz w:val="13"/>
          <w:szCs w:val="13"/>
          <w:b w:val="1"/>
          <w:bCs w:val="1"/>
          <w:color w:val="auto"/>
        </w:rPr>
        <w:t xml:space="preserve"> </w:t>
      </w:r>
      <w:r>
        <w:rPr>
          <w:rFonts w:ascii="Arial" w:cs="Arial" w:eastAsia="Arial" w:hAnsi="Arial"/>
          <w:sz w:val="13"/>
          <w:szCs w:val="13"/>
          <w:color w:val="auto"/>
        </w:rPr>
        <w:t>includes reference to any comparable or succeeding provisions of any legislation that amends, supplements or replaces such section or subsection.</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2.16 “Limit”.</w:t>
      </w:r>
      <w:r>
        <w:rPr>
          <w:rFonts w:ascii="Arial" w:cs="Arial" w:eastAsia="Arial" w:hAnsi="Arial"/>
          <w:sz w:val="13"/>
          <w:szCs w:val="13"/>
          <w:color w:val="auto"/>
        </w:rPr>
        <w:t>means the Code Section 402(g) limit under the Qualified Plan.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2.17 “Matched Deferral”.</w:t>
      </w:r>
      <w:r>
        <w:rPr>
          <w:rFonts w:ascii="Arial" w:cs="Arial" w:eastAsia="Arial" w:hAnsi="Arial"/>
          <w:sz w:val="13"/>
          <w:szCs w:val="13"/>
          <w:color w:val="auto"/>
        </w:rPr>
        <w:t>means a Participant’s Elective Deferrals and Bonus Deferrals under the Plan after the Participant reaches the Limit.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16" w:right="319" w:bottom="1440" w:gutter="0" w:footer="0" w:header="0"/>
        </w:sectPr>
      </w:pPr>
    </w:p>
    <w:bookmarkStart w:id="134" w:name="page135"/>
    <w:bookmarkEnd w:id="134"/>
    <w:p>
      <w:pPr>
        <w:ind w:left="160"/>
        <w:spacing w:after="0"/>
        <w:rPr>
          <w:sz w:val="20"/>
          <w:szCs w:val="20"/>
          <w:color w:val="auto"/>
        </w:rPr>
      </w:pPr>
      <w:r>
        <w:rPr>
          <w:rFonts w:ascii="Arial" w:cs="Arial" w:eastAsia="Arial" w:hAnsi="Arial"/>
          <w:sz w:val="13"/>
          <w:szCs w:val="13"/>
          <w:b w:val="1"/>
          <w:bCs w:val="1"/>
          <w:color w:val="auto"/>
        </w:rPr>
        <w:t>2.18 “Matching Allocation”.</w:t>
      </w:r>
      <w:r>
        <w:rPr>
          <w:rFonts w:ascii="Arial" w:cs="Arial" w:eastAsia="Arial" w:hAnsi="Arial"/>
          <w:sz w:val="13"/>
          <w:szCs w:val="13"/>
          <w:color w:val="auto"/>
        </w:rPr>
        <w:t>means an allocation by the Employer for the benefit of a Participant who is an Eligible Employee, as described in Section 4.4.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2.19 “Participant”.</w:t>
      </w:r>
      <w:r>
        <w:rPr>
          <w:rFonts w:ascii="Arial" w:cs="Arial" w:eastAsia="Arial" w:hAnsi="Arial"/>
          <w:sz w:val="13"/>
          <w:szCs w:val="13"/>
          <w:color w:val="auto"/>
        </w:rPr>
        <w:t>means a current or former Eligible Employee who participates in the Plan in accordance with Article 3 or maintains an Account balance hereunder.</w:t>
      </w:r>
    </w:p>
    <w:p>
      <w:pPr>
        <w:spacing w:after="0" w:line="86"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2.20 “Payment Form”.</w:t>
      </w:r>
      <w:r>
        <w:rPr>
          <w:rFonts w:ascii="Arial" w:cs="Arial" w:eastAsia="Arial" w:hAnsi="Arial"/>
          <w:sz w:val="13"/>
          <w:szCs w:val="13"/>
          <w:color w:val="auto"/>
        </w:rPr>
        <w:t>means the document or documents, voice response or electronic media prescribed by the Plan Administrator pursuant to which a Participant shall elect the time and form for distribution of his</w:t>
      </w:r>
      <w:r>
        <w:rPr>
          <w:rFonts w:ascii="Arial" w:cs="Arial" w:eastAsia="Arial" w:hAnsi="Arial"/>
          <w:sz w:val="13"/>
          <w:szCs w:val="13"/>
          <w:b w:val="1"/>
          <w:bCs w:val="1"/>
          <w:color w:val="auto"/>
        </w:rPr>
        <w:t xml:space="preserve"> </w:t>
      </w:r>
      <w:r>
        <w:rPr>
          <w:rFonts w:ascii="Arial" w:cs="Arial" w:eastAsia="Arial" w:hAnsi="Arial"/>
          <w:sz w:val="13"/>
          <w:szCs w:val="13"/>
          <w:color w:val="auto"/>
        </w:rPr>
        <w:t>or her Account balance, as provided under Article 7.</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2.21 “Plan”.</w:t>
      </w:r>
      <w:r>
        <w:rPr>
          <w:rFonts w:ascii="Arial" w:cs="Arial" w:eastAsia="Arial" w:hAnsi="Arial"/>
          <w:sz w:val="13"/>
          <w:szCs w:val="13"/>
          <w:color w:val="auto"/>
        </w:rPr>
        <w:t>means the Waste Management, Inc. 409A Deferral Savings Plan as provided herein and as amended from time to time.</w:t>
      </w:r>
    </w:p>
    <w:p>
      <w:pPr>
        <w:spacing w:after="0" w:line="86" w:lineRule="exact"/>
        <w:rPr>
          <w:sz w:val="20"/>
          <w:szCs w:val="20"/>
          <w:color w:val="auto"/>
        </w:rPr>
      </w:pPr>
    </w:p>
    <w:p>
      <w:pPr>
        <w:ind w:right="40" w:firstLine="164"/>
        <w:spacing w:after="0" w:line="291" w:lineRule="auto"/>
        <w:rPr>
          <w:sz w:val="20"/>
          <w:szCs w:val="20"/>
          <w:color w:val="auto"/>
        </w:rPr>
      </w:pPr>
      <w:r>
        <w:rPr>
          <w:rFonts w:ascii="Arial" w:cs="Arial" w:eastAsia="Arial" w:hAnsi="Arial"/>
          <w:sz w:val="12"/>
          <w:szCs w:val="12"/>
          <w:b w:val="1"/>
          <w:bCs w:val="1"/>
          <w:color w:val="auto"/>
        </w:rPr>
        <w:t>2.22 “Plan Administrator”.</w:t>
      </w:r>
      <w:r>
        <w:rPr>
          <w:rFonts w:ascii="Arial" w:cs="Arial" w:eastAsia="Arial" w:hAnsi="Arial"/>
          <w:sz w:val="12"/>
          <w:szCs w:val="12"/>
          <w:color w:val="auto"/>
        </w:rPr>
        <w:t>means the individual, individuals or committee designated by the Company as responsible for the administration of the Plan. Unless the Company determines otherwise, the</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Administrative Committee of the Waste Management Employee Benefit Plans (the “Administrative Committee”) shall be the Plan Administrator. Notwithstanding the foregoing, in the event of a Change in Control, the Plan Administrator shall be those individuals who were members of the Board of Directors of the Company immediately prior to the Change in Control and who continue as directors of the Company thereafter, but if there are no continuing directors, the Plan Administrator shall be the Compensation Committee of the Board of Directors of the Company as constituted prior to the Change in Control.</w:t>
      </w:r>
    </w:p>
    <w:p>
      <w:pPr>
        <w:spacing w:after="0" w:line="38"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2.23 “Plan Committee”.</w:t>
      </w:r>
      <w:r>
        <w:rPr>
          <w:rFonts w:ascii="Arial" w:cs="Arial" w:eastAsia="Arial" w:hAnsi="Arial"/>
          <w:sz w:val="13"/>
          <w:szCs w:val="13"/>
          <w:color w:val="auto"/>
        </w:rPr>
        <w:t>means the committee designated by the Company as having the authority to amend and/or terminate the Plan. Unless the Company determines otherwise, the Plan Committee shall consist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same members as the Administrative Committee.</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2.24 “Plan Year”.</w:t>
      </w:r>
      <w:r>
        <w:rPr>
          <w:rFonts w:ascii="Arial" w:cs="Arial" w:eastAsia="Arial" w:hAnsi="Arial"/>
          <w:sz w:val="13"/>
          <w:szCs w:val="13"/>
          <w:color w:val="auto"/>
        </w:rPr>
        <w:t>means the calendar year; provided, that, for administrative purposes the initial Plan year shall begin on the Effective Date and end on December 31, 2005.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2.25 “Qualified Plan”.</w:t>
      </w:r>
      <w:r>
        <w:rPr>
          <w:rFonts w:ascii="Arial" w:cs="Arial" w:eastAsia="Arial" w:hAnsi="Arial"/>
          <w:sz w:val="13"/>
          <w:szCs w:val="13"/>
          <w:color w:val="auto"/>
        </w:rPr>
        <w:t>means the Waste Management Retirement Savings Plan, as amended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2.26 “Total Compensation"</w:t>
      </w:r>
      <w:r>
        <w:rPr>
          <w:rFonts w:ascii="Arial" w:cs="Arial" w:eastAsia="Arial" w:hAnsi="Arial"/>
          <w:sz w:val="13"/>
          <w:szCs w:val="13"/>
          <w:color w:val="auto"/>
        </w:rPr>
        <w:t>.means for a Plan Year the sum of an Eligible Employee’s Base Salary and Bonus.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35" w:name="page136"/>
    <w:bookmarkEnd w:id="135"/>
    <w:p>
      <w:pPr>
        <w:jc w:val="center"/>
        <w:ind w:right="-99"/>
        <w:spacing w:after="0"/>
        <w:rPr>
          <w:sz w:val="20"/>
          <w:szCs w:val="20"/>
          <w:color w:val="auto"/>
        </w:rPr>
      </w:pPr>
      <w:r>
        <w:rPr>
          <w:rFonts w:ascii="Arial" w:cs="Arial" w:eastAsia="Arial" w:hAnsi="Arial"/>
          <w:sz w:val="13"/>
          <w:szCs w:val="13"/>
          <w:b w:val="1"/>
          <w:bCs w:val="1"/>
          <w:color w:val="auto"/>
        </w:rPr>
        <w:t>ARTICLE 3</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ELIGIBILITY AND PARTICIPATION</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b w:val="1"/>
          <w:bCs w:val="1"/>
          <w:u w:val="single" w:color="auto"/>
          <w:color w:val="auto"/>
        </w:rPr>
        <w:t>Eligibility</w:t>
      </w:r>
      <w:r>
        <w:rPr>
          <w:rFonts w:ascii="Arial" w:cs="Arial" w:eastAsia="Arial" w:hAnsi="Arial"/>
          <w:sz w:val="13"/>
          <w:szCs w:val="13"/>
          <w:b w:val="1"/>
          <w:bCs w:val="1"/>
          <w:color w:val="auto"/>
        </w:rPr>
        <w:t>.</w:t>
      </w:r>
    </w:p>
    <w:p>
      <w:pPr>
        <w:spacing w:after="0" w:line="90" w:lineRule="exact"/>
        <w:rPr>
          <w:sz w:val="20"/>
          <w:szCs w:val="20"/>
          <w:color w:val="auto"/>
        </w:rPr>
      </w:pPr>
    </w:p>
    <w:p>
      <w:pPr>
        <w:ind w:right="160" w:firstLine="162"/>
        <w:spacing w:after="0" w:line="276" w:lineRule="auto"/>
        <w:tabs>
          <w:tab w:leader="none" w:pos="335"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 Employee shall be eligible to participate in the Plan for a Plan Year if his or her stated Base Salary for the year before the Plan Year equals or exceeds $170,000, or if the Employee is hired during the Plan Year, his or her stated Base Salary on the Employee’s date of hire equals or exceeds $170,000.</w:t>
      </w:r>
    </w:p>
    <w:p>
      <w:pPr>
        <w:spacing w:after="0" w:line="49" w:lineRule="exact"/>
        <w:rPr>
          <w:rFonts w:ascii="Arial" w:cs="Arial" w:eastAsia="Arial" w:hAnsi="Arial"/>
          <w:sz w:val="13"/>
          <w:szCs w:val="13"/>
          <w:color w:val="auto"/>
        </w:rPr>
      </w:pPr>
    </w:p>
    <w:p>
      <w:pPr>
        <w:jc w:val="both"/>
        <w:ind w:firstLine="162"/>
        <w:spacing w:after="0" w:line="264" w:lineRule="auto"/>
        <w:tabs>
          <w:tab w:leader="none" w:pos="349" w:val="left"/>
        </w:tabs>
        <w:numPr>
          <w:ilvl w:val="0"/>
          <w:numId w:val="86"/>
        </w:numPr>
        <w:rPr>
          <w:rFonts w:ascii="Arial" w:cs="Arial" w:eastAsia="Arial" w:hAnsi="Arial"/>
          <w:sz w:val="13"/>
          <w:szCs w:val="13"/>
          <w:color w:val="auto"/>
        </w:rPr>
      </w:pPr>
      <w:r>
        <w:rPr>
          <w:rFonts w:ascii="Arial" w:cs="Arial" w:eastAsia="Arial" w:hAnsi="Arial"/>
          <w:sz w:val="13"/>
          <w:szCs w:val="13"/>
          <w:color w:val="auto"/>
        </w:rPr>
        <w:t>Prior to each Plan Year, the Plan Administrator shall determine the identity of those Employees who are eligible to commence their participation in the Plan pursuant to Section 3.1(a) and those Participants who may continue their participation in the Plan for such Plan Year pursuant to Section 3.1(a). The Plan Administrator will notify those Employees of their eligibility to participate (or continue participation) in the Plan and provide them with a Deferral Form. The Plan Administrator shall have the sole discretion to determine eligibility pursuant to the Plan.</w:t>
      </w:r>
    </w:p>
    <w:p>
      <w:pPr>
        <w:spacing w:after="0" w:line="53" w:lineRule="exact"/>
        <w:rPr>
          <w:sz w:val="20"/>
          <w:szCs w:val="20"/>
          <w:color w:val="auto"/>
        </w:rPr>
      </w:pPr>
    </w:p>
    <w:p>
      <w:pPr>
        <w:ind w:right="60" w:firstLine="164"/>
        <w:spacing w:after="0" w:line="283" w:lineRule="auto"/>
        <w:rPr>
          <w:sz w:val="20"/>
          <w:szCs w:val="20"/>
          <w:color w:val="auto"/>
        </w:rPr>
      </w:pPr>
      <w:r>
        <w:rPr>
          <w:rFonts w:ascii="Arial" w:cs="Arial" w:eastAsia="Arial" w:hAnsi="Arial"/>
          <w:sz w:val="13"/>
          <w:szCs w:val="13"/>
          <w:b w:val="1"/>
          <w:bCs w:val="1"/>
          <w:color w:val="auto"/>
        </w:rPr>
        <w:t xml:space="preserve">3.2 </w:t>
      </w:r>
      <w:r>
        <w:rPr>
          <w:rFonts w:ascii="Arial" w:cs="Arial" w:eastAsia="Arial" w:hAnsi="Arial"/>
          <w:sz w:val="13"/>
          <w:szCs w:val="13"/>
          <w:b w:val="1"/>
          <w:bCs w:val="1"/>
          <w:u w:val="single" w:color="auto"/>
          <w:color w:val="auto"/>
        </w:rPr>
        <w:t>Participation</w:t>
      </w:r>
      <w:r>
        <w:rPr>
          <w:rFonts w:ascii="Arial" w:cs="Arial" w:eastAsia="Arial" w:hAnsi="Arial"/>
          <w:sz w:val="13"/>
          <w:szCs w:val="13"/>
          <w:b w:val="1"/>
          <w:bCs w:val="1"/>
          <w:color w:val="auto"/>
        </w:rPr>
        <w:t xml:space="preserve">. </w:t>
      </w:r>
      <w:r>
        <w:rPr>
          <w:rFonts w:ascii="Arial" w:cs="Arial" w:eastAsia="Arial" w:hAnsi="Arial"/>
          <w:sz w:val="13"/>
          <w:szCs w:val="13"/>
          <w:color w:val="auto"/>
        </w:rPr>
        <w:t>An Eligible Employee who properly completes a Deferral Form shall become a Participant in the Plan on the first date as of which an Elective Deferral or Bonus Deferral is credited to his or her</w:t>
      </w:r>
      <w:r>
        <w:rPr>
          <w:rFonts w:ascii="Arial" w:cs="Arial" w:eastAsia="Arial" w:hAnsi="Arial"/>
          <w:sz w:val="13"/>
          <w:szCs w:val="13"/>
          <w:b w:val="1"/>
          <w:bCs w:val="1"/>
          <w:color w:val="auto"/>
        </w:rPr>
        <w:t xml:space="preserve"> </w:t>
      </w:r>
      <w:r>
        <w:rPr>
          <w:rFonts w:ascii="Arial" w:cs="Arial" w:eastAsia="Arial" w:hAnsi="Arial"/>
          <w:sz w:val="13"/>
          <w:szCs w:val="13"/>
          <w:color w:val="auto"/>
        </w:rPr>
        <w:t>Account. A Participant in the Plan shall continue to be a Participant so long as any amount remains credited to his or her Account.</w:t>
      </w:r>
    </w:p>
    <w:p>
      <w:pPr>
        <w:spacing w:after="0" w:line="41"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b w:val="1"/>
          <w:bCs w:val="1"/>
          <w:color w:val="auto"/>
        </w:rPr>
        <w:t xml:space="preserve">3.3 </w:t>
      </w:r>
      <w:r>
        <w:rPr>
          <w:rFonts w:ascii="Arial" w:cs="Arial" w:eastAsia="Arial" w:hAnsi="Arial"/>
          <w:sz w:val="13"/>
          <w:szCs w:val="13"/>
          <w:b w:val="1"/>
          <w:bCs w:val="1"/>
          <w:u w:val="single" w:color="auto"/>
          <w:color w:val="auto"/>
        </w:rPr>
        <w:t>Suspension of Participation</w:t>
      </w:r>
      <w:r>
        <w:rPr>
          <w:rFonts w:ascii="Arial" w:cs="Arial" w:eastAsia="Arial" w:hAnsi="Arial"/>
          <w:sz w:val="13"/>
          <w:szCs w:val="13"/>
          <w:b w:val="1"/>
          <w:bCs w:val="1"/>
          <w:color w:val="auto"/>
        </w:rPr>
        <w:t xml:space="preserve">. </w:t>
      </w:r>
      <w:r>
        <w:rPr>
          <w:rFonts w:ascii="Arial" w:cs="Arial" w:eastAsia="Arial" w:hAnsi="Arial"/>
          <w:sz w:val="13"/>
          <w:szCs w:val="13"/>
          <w:color w:val="auto"/>
        </w:rPr>
        <w:t>If the Plan Administrator determines that a Participant currently making Elective Deferrals or receiving Matching Allocations no longer satisfies the eligibility requirements of</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3.1(a) during the Plan Year, the Plan Administrator may suspend the Participant’s Elective Deferrals and Matching Allocations until the next following Plan Year as of which the Participant again satisfies such eligibility requirements. In such circumstance, the Plan Administrator shall notify the Participant of such suspension. If the Participant’s participation is suspended as described in this Section 3.3 and the Plan Administrator determines that the Participant again satisfies the eligibility requirements of Section 3.1(a), the Plan Administrator shall notify the Participant, and the Participant shall be permitted to resume active participation in the Plan as of the next following Plan Year.</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4</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DEFERRALS AND CONTRIBUTIONS</w:t>
      </w:r>
    </w:p>
    <w:p>
      <w:pPr>
        <w:spacing w:after="0" w:line="75" w:lineRule="exact"/>
        <w:rPr>
          <w:sz w:val="20"/>
          <w:szCs w:val="20"/>
          <w:color w:val="auto"/>
        </w:rPr>
      </w:pPr>
    </w:p>
    <w:p>
      <w:pPr>
        <w:ind w:right="320" w:firstLine="164"/>
        <w:spacing w:after="0" w:line="283" w:lineRule="auto"/>
        <w:rPr>
          <w:sz w:val="20"/>
          <w:szCs w:val="20"/>
          <w:color w:val="auto"/>
        </w:rPr>
      </w:pPr>
      <w:r>
        <w:rPr>
          <w:rFonts w:ascii="Arial" w:cs="Arial" w:eastAsia="Arial" w:hAnsi="Arial"/>
          <w:sz w:val="13"/>
          <w:szCs w:val="13"/>
          <w:b w:val="1"/>
          <w:bCs w:val="1"/>
          <w:color w:val="auto"/>
        </w:rPr>
        <w:t xml:space="preserve">4.1 </w:t>
      </w:r>
      <w:r>
        <w:rPr>
          <w:rFonts w:ascii="Arial" w:cs="Arial" w:eastAsia="Arial" w:hAnsi="Arial"/>
          <w:sz w:val="13"/>
          <w:szCs w:val="13"/>
          <w:b w:val="1"/>
          <w:bCs w:val="1"/>
          <w:u w:val="single" w:color="auto"/>
          <w:color w:val="auto"/>
        </w:rPr>
        <w:t>Elective Deferrals</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any Plan Year, an Eligible Employee may irrevocably elect to defer, on a pre-tax basis, up to 25% (in whole percentages) of his or her Base Salary. Such an election is a</w:t>
      </w:r>
      <w:r>
        <w:rPr>
          <w:rFonts w:ascii="Arial" w:cs="Arial" w:eastAsia="Arial" w:hAnsi="Arial"/>
          <w:sz w:val="13"/>
          <w:szCs w:val="13"/>
          <w:b w:val="1"/>
          <w:bCs w:val="1"/>
          <w:color w:val="auto"/>
        </w:rPr>
        <w:t xml:space="preserve"> </w:t>
      </w:r>
      <w:r>
        <w:rPr>
          <w:rFonts w:ascii="Arial" w:cs="Arial" w:eastAsia="Arial" w:hAnsi="Arial"/>
          <w:sz w:val="13"/>
          <w:szCs w:val="13"/>
          <w:color w:val="auto"/>
        </w:rPr>
        <w:t>separate and independent election from an election to defer compensation under the Qualified Plan.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sectPr>
      </w:pPr>
    </w:p>
    <w:bookmarkStart w:id="136" w:name="page137"/>
    <w:bookmarkEnd w:id="136"/>
    <w:p>
      <w:pPr>
        <w:ind w:firstLine="164"/>
        <w:spacing w:after="0" w:line="267"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b w:val="1"/>
          <w:bCs w:val="1"/>
          <w:u w:val="single" w:color="auto"/>
          <w:color w:val="auto"/>
        </w:rPr>
        <w:t>Bonus Deferrals</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any Plan Year, an Eligible Employee may irrevocably elect to defer all or a portion of his or her Bonus (in whole percentages). Notwithstanding the foregoing, the amount of an</w:t>
      </w:r>
      <w:r>
        <w:rPr>
          <w:rFonts w:ascii="Arial" w:cs="Arial" w:eastAsia="Arial" w:hAnsi="Arial"/>
          <w:sz w:val="13"/>
          <w:szCs w:val="13"/>
          <w:b w:val="1"/>
          <w:bCs w:val="1"/>
          <w:color w:val="auto"/>
        </w:rPr>
        <w:t xml:space="preserve"> </w:t>
      </w:r>
      <w:r>
        <w:rPr>
          <w:rFonts w:ascii="Arial" w:cs="Arial" w:eastAsia="Arial" w:hAnsi="Arial"/>
          <w:sz w:val="13"/>
          <w:szCs w:val="13"/>
          <w:color w:val="auto"/>
        </w:rPr>
        <w:t>Eligible Employee’s Bonus eligible for deferral in a given Plan Year shall not exceed the Bonus reduced by sum of any before-tax contributions made to the Qualified Plan and the amount necessary to satisfy the tax due for FICA with respect to such Bonus.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4.3 </w:t>
      </w:r>
      <w:r>
        <w:rPr>
          <w:rFonts w:ascii="Arial" w:cs="Arial" w:eastAsia="Arial" w:hAnsi="Arial"/>
          <w:sz w:val="13"/>
          <w:szCs w:val="13"/>
          <w:b w:val="1"/>
          <w:bCs w:val="1"/>
          <w:u w:val="single" w:color="auto"/>
          <w:color w:val="auto"/>
        </w:rPr>
        <w:t>Elections</w:t>
      </w:r>
      <w:r>
        <w:rPr>
          <w:rFonts w:ascii="Arial" w:cs="Arial" w:eastAsia="Arial" w:hAnsi="Arial"/>
          <w:sz w:val="13"/>
          <w:szCs w:val="13"/>
          <w:b w:val="1"/>
          <w:bCs w:val="1"/>
          <w:color w:val="auto"/>
        </w:rPr>
        <w:t>.</w:t>
      </w:r>
    </w:p>
    <w:p>
      <w:pPr>
        <w:spacing w:after="0" w:line="86" w:lineRule="exact"/>
        <w:rPr>
          <w:sz w:val="20"/>
          <w:szCs w:val="20"/>
          <w:color w:val="auto"/>
        </w:rPr>
      </w:pPr>
    </w:p>
    <w:p>
      <w:pPr>
        <w:ind w:left="340" w:hanging="178"/>
        <w:spacing w:after="0"/>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b w:val="1"/>
          <w:bCs w:val="1"/>
          <w:color w:val="auto"/>
        </w:rPr>
        <w:t>Time for Making Deferral Elections.</w:t>
      </w:r>
    </w:p>
    <w:p>
      <w:pPr>
        <w:spacing w:after="0" w:line="86" w:lineRule="exact"/>
        <w:rPr>
          <w:rFonts w:ascii="Arial" w:cs="Arial" w:eastAsia="Arial" w:hAnsi="Arial"/>
          <w:sz w:val="13"/>
          <w:szCs w:val="13"/>
          <w:color w:val="auto"/>
        </w:rPr>
      </w:pPr>
    </w:p>
    <w:p>
      <w:pPr>
        <w:ind w:left="780" w:hanging="329"/>
        <w:spacing w:after="0"/>
        <w:tabs>
          <w:tab w:leader="none" w:pos="780" w:val="left"/>
        </w:tabs>
        <w:numPr>
          <w:ilvl w:val="1"/>
          <w:numId w:val="87"/>
        </w:numPr>
        <w:rPr>
          <w:rFonts w:ascii="Arial" w:cs="Arial" w:eastAsia="Arial" w:hAnsi="Arial"/>
          <w:sz w:val="13"/>
          <w:szCs w:val="13"/>
          <w:color w:val="auto"/>
        </w:rPr>
      </w:pPr>
      <w:r>
        <w:rPr>
          <w:rFonts w:ascii="Arial" w:cs="Arial" w:eastAsia="Arial" w:hAnsi="Arial"/>
          <w:sz w:val="13"/>
          <w:szCs w:val="13"/>
          <w:b w:val="1"/>
          <w:bCs w:val="1"/>
          <w:color w:val="auto"/>
        </w:rPr>
        <w:t>Elective Deferrals.</w:t>
      </w:r>
    </w:p>
    <w:p>
      <w:pPr>
        <w:spacing w:after="0" w:line="90" w:lineRule="exact"/>
        <w:rPr>
          <w:rFonts w:ascii="Arial" w:cs="Arial" w:eastAsia="Arial" w:hAnsi="Arial"/>
          <w:sz w:val="13"/>
          <w:szCs w:val="13"/>
          <w:color w:val="auto"/>
        </w:rPr>
      </w:pPr>
    </w:p>
    <w:p>
      <w:pPr>
        <w:ind w:left="1140" w:right="20" w:hanging="453"/>
        <w:spacing w:after="0" w:line="276" w:lineRule="auto"/>
        <w:tabs>
          <w:tab w:leader="none" w:pos="1140" w:val="left"/>
        </w:tabs>
        <w:numPr>
          <w:ilvl w:val="2"/>
          <w:numId w:val="87"/>
        </w:numPr>
        <w:rPr>
          <w:rFonts w:ascii="Arial" w:cs="Arial" w:eastAsia="Arial" w:hAnsi="Arial"/>
          <w:sz w:val="13"/>
          <w:szCs w:val="13"/>
          <w:color w:val="auto"/>
        </w:rPr>
      </w:pPr>
      <w:r>
        <w:rPr>
          <w:rFonts w:ascii="Arial" w:cs="Arial" w:eastAsia="Arial" w:hAnsi="Arial"/>
          <w:sz w:val="13"/>
          <w:szCs w:val="13"/>
          <w:u w:val="single" w:color="auto"/>
          <w:color w:val="auto"/>
        </w:rPr>
        <w:t>Base Salary Deferral</w:t>
      </w:r>
      <w:r>
        <w:rPr>
          <w:rFonts w:ascii="Arial" w:cs="Arial" w:eastAsia="Arial" w:hAnsi="Arial"/>
          <w:sz w:val="13"/>
          <w:szCs w:val="13"/>
          <w:color w:val="auto"/>
        </w:rPr>
        <w:t>. An election to defer Base Salary shall be made prior to the calendar year in which the Base Salary is earned. The Plan Administrator will notify each Eligible Employee of the applicable election period and deadline for filing such elections.</w:t>
      </w:r>
    </w:p>
    <w:p>
      <w:pPr>
        <w:spacing w:after="0" w:line="49" w:lineRule="exact"/>
        <w:rPr>
          <w:rFonts w:ascii="Arial" w:cs="Arial" w:eastAsia="Arial" w:hAnsi="Arial"/>
          <w:sz w:val="13"/>
          <w:szCs w:val="13"/>
          <w:color w:val="auto"/>
        </w:rPr>
      </w:pPr>
    </w:p>
    <w:p>
      <w:pPr>
        <w:ind w:left="1140" w:right="220" w:hanging="453"/>
        <w:spacing w:after="0" w:line="264" w:lineRule="auto"/>
        <w:tabs>
          <w:tab w:leader="none" w:pos="1140" w:val="left"/>
        </w:tabs>
        <w:numPr>
          <w:ilvl w:val="2"/>
          <w:numId w:val="87"/>
        </w:numPr>
        <w:rPr>
          <w:rFonts w:ascii="Arial" w:cs="Arial" w:eastAsia="Arial" w:hAnsi="Arial"/>
          <w:sz w:val="13"/>
          <w:szCs w:val="13"/>
          <w:color w:val="auto"/>
        </w:rPr>
      </w:pPr>
      <w:r>
        <w:rPr>
          <w:rFonts w:ascii="Arial" w:cs="Arial" w:eastAsia="Arial" w:hAnsi="Arial"/>
          <w:sz w:val="13"/>
          <w:szCs w:val="13"/>
          <w:u w:val="single" w:color="auto"/>
          <w:color w:val="auto"/>
        </w:rPr>
        <w:t>Newly Eligible Employees</w:t>
      </w:r>
      <w:r>
        <w:rPr>
          <w:rFonts w:ascii="Arial" w:cs="Arial" w:eastAsia="Arial" w:hAnsi="Arial"/>
          <w:sz w:val="13"/>
          <w:szCs w:val="13"/>
          <w:i w:val="1"/>
          <w:iCs w:val="1"/>
          <w:color w:val="auto"/>
        </w:rPr>
        <w:t>.</w:t>
      </w:r>
      <w:r>
        <w:rPr>
          <w:rFonts w:ascii="Arial" w:cs="Arial" w:eastAsia="Arial" w:hAnsi="Arial"/>
          <w:sz w:val="13"/>
          <w:szCs w:val="13"/>
          <w:color w:val="auto"/>
        </w:rPr>
        <w:t xml:space="preserve"> In the case of an Eligible Employee in his or her first year of employment, an election to defer Base Salary must be made within 30 days after the Eligible Employee begins employment and at least five business days before the commencement of the first payroll period for which the election is effective. Such elections are effective only with respect to Base Salary earned after the effective date of the election.</w:t>
      </w:r>
    </w:p>
    <w:p>
      <w:pPr>
        <w:spacing w:after="0" w:line="53" w:lineRule="exact"/>
        <w:rPr>
          <w:rFonts w:ascii="Arial" w:cs="Arial" w:eastAsia="Arial" w:hAnsi="Arial"/>
          <w:sz w:val="13"/>
          <w:szCs w:val="13"/>
          <w:color w:val="auto"/>
        </w:rPr>
      </w:pPr>
    </w:p>
    <w:p>
      <w:pPr>
        <w:ind w:left="780" w:right="20" w:hanging="329"/>
        <w:spacing w:after="0" w:line="267" w:lineRule="auto"/>
        <w:tabs>
          <w:tab w:leader="none" w:pos="780" w:val="left"/>
        </w:tabs>
        <w:numPr>
          <w:ilvl w:val="1"/>
          <w:numId w:val="87"/>
        </w:numPr>
        <w:rPr>
          <w:rFonts w:ascii="Arial" w:cs="Arial" w:eastAsia="Arial" w:hAnsi="Arial"/>
          <w:sz w:val="13"/>
          <w:szCs w:val="13"/>
          <w:color w:val="auto"/>
        </w:rPr>
      </w:pPr>
      <w:r>
        <w:rPr>
          <w:rFonts w:ascii="Arial" w:cs="Arial" w:eastAsia="Arial" w:hAnsi="Arial"/>
          <w:sz w:val="13"/>
          <w:szCs w:val="13"/>
          <w:b w:val="1"/>
          <w:bCs w:val="1"/>
          <w:color w:val="auto"/>
        </w:rPr>
        <w:t>Bonus Deferrals</w:t>
      </w:r>
      <w:r>
        <w:rPr>
          <w:rFonts w:ascii="Arial" w:cs="Arial" w:eastAsia="Arial" w:hAnsi="Arial"/>
          <w:sz w:val="13"/>
          <w:szCs w:val="13"/>
          <w:color w:val="auto"/>
        </w:rPr>
        <w:t>. An election to defer a Bonus must be made prior to the calendar year in which the bonus is earned; provided, as the Plan Administrator may permit, that for any portion of a Bonus that</w:t>
      </w:r>
      <w:r>
        <w:rPr>
          <w:rFonts w:ascii="Arial" w:cs="Arial" w:eastAsia="Arial" w:hAnsi="Arial"/>
          <w:sz w:val="13"/>
          <w:szCs w:val="13"/>
          <w:b w:val="1"/>
          <w:bCs w:val="1"/>
          <w:color w:val="auto"/>
        </w:rPr>
        <w:t xml:space="preserve"> </w:t>
      </w:r>
      <w:r>
        <w:rPr>
          <w:rFonts w:ascii="Arial" w:cs="Arial" w:eastAsia="Arial" w:hAnsi="Arial"/>
          <w:sz w:val="13"/>
          <w:szCs w:val="13"/>
          <w:color w:val="auto"/>
        </w:rPr>
        <w:t>constitutes “performance based compensation,” within the meaning assigned that term under Section 409A of the Internal Revenue Code, the election may be made as late as six months and one day prior to the expiration of the performance measurement period.</w:t>
      </w:r>
    </w:p>
    <w:p>
      <w:pPr>
        <w:spacing w:after="0" w:line="51" w:lineRule="exact"/>
        <w:rPr>
          <w:rFonts w:ascii="Arial" w:cs="Arial" w:eastAsia="Arial" w:hAnsi="Arial"/>
          <w:sz w:val="13"/>
          <w:szCs w:val="13"/>
          <w:color w:val="auto"/>
        </w:rPr>
      </w:pPr>
    </w:p>
    <w:p>
      <w:pPr>
        <w:ind w:right="20" w:firstLine="162"/>
        <w:spacing w:after="0" w:line="267" w:lineRule="auto"/>
        <w:tabs>
          <w:tab w:leader="none" w:pos="349" w:val="left"/>
        </w:tabs>
        <w:numPr>
          <w:ilvl w:val="0"/>
          <w:numId w:val="87"/>
        </w:numPr>
        <w:rPr>
          <w:rFonts w:ascii="Arial" w:cs="Arial" w:eastAsia="Arial" w:hAnsi="Arial"/>
          <w:sz w:val="13"/>
          <w:szCs w:val="13"/>
          <w:color w:val="auto"/>
        </w:rPr>
      </w:pPr>
      <w:r>
        <w:rPr>
          <w:rFonts w:ascii="Arial" w:cs="Arial" w:eastAsia="Arial" w:hAnsi="Arial"/>
          <w:sz w:val="13"/>
          <w:szCs w:val="13"/>
          <w:b w:val="1"/>
          <w:bCs w:val="1"/>
          <w:color w:val="auto"/>
        </w:rPr>
        <w:t xml:space="preserve">Deferral Forms; Irrevocability. </w:t>
      </w:r>
      <w:r>
        <w:rPr>
          <w:rFonts w:ascii="Arial" w:cs="Arial" w:eastAsia="Arial" w:hAnsi="Arial"/>
          <w:sz w:val="13"/>
          <w:szCs w:val="13"/>
          <w:color w:val="auto"/>
        </w:rPr>
        <w:t>All Deferral Forms for Elective and Bonus Deferrals must be timely filed, recorded or otherwise made in the manner prescribed by the Plan Administrator. An Eligible 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may change a prior election up to the date established under Section 4.3(i) or (ii), as applicable. However, from and after the last date permitted for making such elections, all deferral elections pursuant to this Article 4 shall be irrevocable.</w:t>
      </w:r>
    </w:p>
    <w:p>
      <w:pPr>
        <w:spacing w:after="0" w:line="51" w:lineRule="exact"/>
        <w:rPr>
          <w:rFonts w:ascii="Arial" w:cs="Arial" w:eastAsia="Arial" w:hAnsi="Arial"/>
          <w:sz w:val="13"/>
          <w:szCs w:val="13"/>
          <w:color w:val="auto"/>
        </w:rPr>
      </w:pPr>
    </w:p>
    <w:p>
      <w:pPr>
        <w:ind w:left="340" w:hanging="178"/>
        <w:spacing w:after="0"/>
        <w:tabs>
          <w:tab w:leader="none" w:pos="340" w:val="left"/>
        </w:tabs>
        <w:numPr>
          <w:ilvl w:val="0"/>
          <w:numId w:val="87"/>
        </w:numPr>
        <w:rPr>
          <w:rFonts w:ascii="Arial" w:cs="Arial" w:eastAsia="Arial" w:hAnsi="Arial"/>
          <w:sz w:val="11"/>
          <w:szCs w:val="11"/>
          <w:color w:val="auto"/>
        </w:rPr>
      </w:pPr>
      <w:r>
        <w:rPr>
          <w:rFonts w:ascii="Arial" w:cs="Arial" w:eastAsia="Arial" w:hAnsi="Arial"/>
          <w:sz w:val="11"/>
          <w:szCs w:val="11"/>
          <w:b w:val="1"/>
          <w:bCs w:val="1"/>
          <w:color w:val="auto"/>
        </w:rPr>
        <w:t xml:space="preserve">No Election. </w:t>
      </w:r>
      <w:r>
        <w:rPr>
          <w:rFonts w:ascii="Arial" w:cs="Arial" w:eastAsia="Arial" w:hAnsi="Arial"/>
          <w:sz w:val="11"/>
          <w:szCs w:val="11"/>
          <w:color w:val="auto"/>
        </w:rPr>
        <w:t>A Deferral Form for a Plan Year shall not apply to subsequent Plan Years. If no election to defer Base Salary or Bonuses is made for a given Plan Year, no deferrals shall be made for such Plan Year.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7" w:name="page138"/>
    <w:bookmarkEnd w:id="137"/>
    <w:p>
      <w:pPr>
        <w:ind w:left="160"/>
        <w:spacing w:after="0"/>
        <w:rPr>
          <w:sz w:val="20"/>
          <w:szCs w:val="20"/>
          <w:color w:val="auto"/>
        </w:rPr>
      </w:pPr>
      <w:r>
        <w:rPr>
          <w:rFonts w:ascii="Arial" w:cs="Arial" w:eastAsia="Arial" w:hAnsi="Arial"/>
          <w:sz w:val="13"/>
          <w:szCs w:val="13"/>
          <w:b w:val="1"/>
          <w:bCs w:val="1"/>
          <w:color w:val="auto"/>
        </w:rPr>
        <w:t xml:space="preserve">4.4 </w:t>
      </w:r>
      <w:r>
        <w:rPr>
          <w:rFonts w:ascii="Arial" w:cs="Arial" w:eastAsia="Arial" w:hAnsi="Arial"/>
          <w:sz w:val="13"/>
          <w:szCs w:val="13"/>
          <w:b w:val="1"/>
          <w:bCs w:val="1"/>
          <w:u w:val="single" w:color="auto"/>
          <w:color w:val="auto"/>
        </w:rPr>
        <w:t>Matching Allocations</w:t>
      </w:r>
      <w:r>
        <w:rPr>
          <w:rFonts w:ascii="Arial" w:cs="Arial" w:eastAsia="Arial" w:hAnsi="Arial"/>
          <w:sz w:val="13"/>
          <w:szCs w:val="13"/>
          <w:b w:val="1"/>
          <w:bCs w:val="1"/>
          <w:color w:val="auto"/>
        </w:rPr>
        <w:t>.</w:t>
      </w:r>
    </w:p>
    <w:p>
      <w:pPr>
        <w:spacing w:after="0" w:line="90" w:lineRule="exact"/>
        <w:rPr>
          <w:sz w:val="20"/>
          <w:szCs w:val="20"/>
          <w:color w:val="auto"/>
        </w:rPr>
      </w:pPr>
    </w:p>
    <w:p>
      <w:pPr>
        <w:ind w:right="600" w:firstLine="162"/>
        <w:spacing w:after="0" w:line="371" w:lineRule="auto"/>
        <w:tabs>
          <w:tab w:leader="none" w:pos="342" w:val="left"/>
        </w:tabs>
        <w:numPr>
          <w:ilvl w:val="0"/>
          <w:numId w:val="88"/>
        </w:numPr>
        <w:rPr>
          <w:rFonts w:ascii="Arial" w:cs="Arial" w:eastAsia="Arial" w:hAnsi="Arial"/>
          <w:sz w:val="11"/>
          <w:szCs w:val="11"/>
          <w:color w:val="auto"/>
        </w:rPr>
      </w:pPr>
      <w:r>
        <w:rPr>
          <w:rFonts w:ascii="Arial" w:cs="Arial" w:eastAsia="Arial" w:hAnsi="Arial"/>
          <w:sz w:val="11"/>
          <w:szCs w:val="11"/>
          <w:color w:val="auto"/>
        </w:rPr>
        <w:t>No later than the latest date permitted by Code Section 404 for matching contributions under the Qualified Plan with respect to each Plan Year thereunder (or such later date that the need for a matching contribution is determined), the Employer shall credit a Matching Allocation to the Account of each Participant who is an Eligible Employee and is entitled to such a contribution pursuant to Section 4.4(b).</w:t>
      </w:r>
    </w:p>
    <w:p>
      <w:pPr>
        <w:spacing w:after="0" w:line="2" w:lineRule="exact"/>
        <w:rPr>
          <w:rFonts w:ascii="Arial" w:cs="Arial" w:eastAsia="Arial" w:hAnsi="Arial"/>
          <w:sz w:val="11"/>
          <w:szCs w:val="11"/>
          <w:color w:val="auto"/>
        </w:rPr>
      </w:pPr>
    </w:p>
    <w:p>
      <w:pPr>
        <w:ind w:firstLine="162"/>
        <w:spacing w:after="0" w:line="285" w:lineRule="auto"/>
        <w:tabs>
          <w:tab w:leader="none" w:pos="347" w:val="left"/>
        </w:tabs>
        <w:numPr>
          <w:ilvl w:val="0"/>
          <w:numId w:val="88"/>
        </w:numPr>
        <w:rPr>
          <w:rFonts w:ascii="Arial" w:cs="Arial" w:eastAsia="Arial" w:hAnsi="Arial"/>
          <w:sz w:val="12"/>
          <w:szCs w:val="12"/>
          <w:color w:val="auto"/>
        </w:rPr>
      </w:pPr>
      <w:r>
        <w:rPr>
          <w:rFonts w:ascii="Arial" w:cs="Arial" w:eastAsia="Arial" w:hAnsi="Arial"/>
          <w:sz w:val="12"/>
          <w:szCs w:val="12"/>
          <w:color w:val="auto"/>
        </w:rPr>
        <w:t>With respect to each payroll period after a Participant reaches the Limit, such Participant shall receive a Matching Allocation equal to (i) 100% of the Participant’s Matched Deferrals up to 3% of the Participant’s Total Compensation, plus (ii) 50% of the Participant’s Matched Deferrals in excess of 3% of the Participant’s Total Compensation, up to 6% of the Participant’s Total Compensation. Notwithstanding the foregoing, the Committee, in its sole and absolute discretion, may adjust a Participant’s Matching Allocation to the extent necessary to ensure that he or she does not receive matching contributions under this Plan and the Qualified Plan that exceed the sum of (i) 100% of the Participant’s deferrals under this Plan and elective contributions under the Qualified Plan up to 3% of Total Compensation and (ii) 50% of the Participant’s deferrals under this Plan and elective contributions under the Qualified Plan in excess of 3% of Total Compensation, up to 6% of Total Compensation.</w:t>
      </w:r>
    </w:p>
    <w:p>
      <w:pPr>
        <w:spacing w:after="0" w:line="199"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5</w:t>
      </w:r>
    </w:p>
    <w:p>
      <w:pPr>
        <w:spacing w:after="0" w:line="19"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ACCOUNTS</w:t>
      </w:r>
    </w:p>
    <w:p>
      <w:pPr>
        <w:spacing w:after="0" w:line="75"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b w:val="1"/>
          <w:bCs w:val="1"/>
          <w:color w:val="auto"/>
        </w:rPr>
        <w:t xml:space="preserve">5.1 </w:t>
      </w:r>
      <w:r>
        <w:rPr>
          <w:rFonts w:ascii="Arial" w:cs="Arial" w:eastAsia="Arial" w:hAnsi="Arial"/>
          <w:sz w:val="13"/>
          <w:szCs w:val="13"/>
          <w:b w:val="1"/>
          <w:bCs w:val="1"/>
          <w:u w:val="single" w:color="auto"/>
          <w:color w:val="auto"/>
        </w:rPr>
        <w:t>Accounts</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Administrator shall establish an Account for each Participant to reflect Elective Deferrals, Bonus Deferrals and Matching Allocations, if any, made for the Participant’s benefit together with</w:t>
      </w:r>
      <w:r>
        <w:rPr>
          <w:rFonts w:ascii="Arial" w:cs="Arial" w:eastAsia="Arial" w:hAnsi="Arial"/>
          <w:sz w:val="13"/>
          <w:szCs w:val="13"/>
          <w:b w:val="1"/>
          <w:bCs w:val="1"/>
          <w:color w:val="auto"/>
        </w:rPr>
        <w:t xml:space="preserve"> </w:t>
      </w:r>
      <w:r>
        <w:rPr>
          <w:rFonts w:ascii="Arial" w:cs="Arial" w:eastAsia="Arial" w:hAnsi="Arial"/>
          <w:sz w:val="13"/>
          <w:szCs w:val="13"/>
          <w:color w:val="auto"/>
        </w:rPr>
        <w:t>any adjustments for income, gain or loss and any payments from the Account. A separate sub-account shall be established for Elective Deferrals, Bonus Deferrals, if any, and Matching Allocations, if any. Elective Deferrals shall be credited as of the end of each payroll period, and Bonus Deferrals shall be credited as of the date on which the Bonus would otherwise be paid. The Accounts are established solely for the purposes of tracking Elective Deferrals, Bonus Deferrals, Matching Allocations and any income adjustments thereto. The Accounts shall not be used to segregate assets for payment of any amounts deferred or allocated under the Plan.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5.2 </w:t>
      </w:r>
      <w:r>
        <w:rPr>
          <w:rFonts w:ascii="Arial" w:cs="Arial" w:eastAsia="Arial" w:hAnsi="Arial"/>
          <w:sz w:val="13"/>
          <w:szCs w:val="13"/>
          <w:b w:val="1"/>
          <w:bCs w:val="1"/>
          <w:u w:val="single" w:color="auto"/>
          <w:color w:val="auto"/>
        </w:rPr>
        <w:t>Investments</w:t>
      </w:r>
      <w:r>
        <w:rPr>
          <w:rFonts w:ascii="Arial" w:cs="Arial" w:eastAsia="Arial" w:hAnsi="Arial"/>
          <w:sz w:val="13"/>
          <w:szCs w:val="13"/>
          <w:b w:val="1"/>
          <w:bCs w:val="1"/>
          <w:color w:val="auto"/>
        </w:rPr>
        <w:t>.</w:t>
      </w:r>
    </w:p>
    <w:p>
      <w:pPr>
        <w:spacing w:after="0" w:line="90" w:lineRule="exact"/>
        <w:rPr>
          <w:sz w:val="20"/>
          <w:szCs w:val="20"/>
          <w:color w:val="auto"/>
        </w:rPr>
      </w:pPr>
    </w:p>
    <w:p>
      <w:pPr>
        <w:ind w:firstLine="162"/>
        <w:spacing w:after="0" w:line="264" w:lineRule="auto"/>
        <w:tabs>
          <w:tab w:leader="none" w:pos="335" w:val="left"/>
        </w:tabs>
        <w:numPr>
          <w:ilvl w:val="0"/>
          <w:numId w:val="89"/>
        </w:numPr>
        <w:rPr>
          <w:rFonts w:ascii="Arial" w:cs="Arial" w:eastAsia="Arial" w:hAnsi="Arial"/>
          <w:sz w:val="13"/>
          <w:szCs w:val="13"/>
          <w:color w:val="auto"/>
        </w:rPr>
      </w:pPr>
      <w:r>
        <w:rPr>
          <w:rFonts w:ascii="Arial" w:cs="Arial" w:eastAsia="Arial" w:hAnsi="Arial"/>
          <w:sz w:val="13"/>
          <w:szCs w:val="13"/>
          <w:color w:val="auto"/>
        </w:rPr>
        <w:t>Amounts credited to each Participant’s Account shall be deemed invested, in accordance with the Participant’s directions, in one or more investment funds that are available under the Plan. If a Participant does not make investment elections with respect to amounts credited to his or her Account, such amounts shall be deemed invested in the Moderate Asset Allocation Fund or such other investment fund as the Investment Committee of the Waste Management Employee Benefit Plans may direct.</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Participant shall make his or her investment fund selections at such time as he or she files the Deferral Form, as described in Article 4. Investments must be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color w:val="auto"/>
        </w:rPr>
        <w:t>made in whole percentages. A Participant may change his or her investment elections at any time, or may reallocate amounts invested among the investment funds available under the Plan.</w:t>
      </w:r>
    </w:p>
    <w:p>
      <w:pPr>
        <w:spacing w:after="0" w:line="86" w:lineRule="exact"/>
        <w:rPr>
          <w:sz w:val="20"/>
          <w:szCs w:val="20"/>
          <w:color w:val="auto"/>
        </w:rPr>
      </w:pPr>
    </w:p>
    <w:p>
      <w:pPr>
        <w:ind w:right="580" w:firstLine="162"/>
        <w:spacing w:after="0" w:line="276" w:lineRule="auto"/>
        <w:tabs>
          <w:tab w:leader="none" w:pos="342" w:val="left"/>
        </w:tabs>
        <w:numPr>
          <w:ilvl w:val="0"/>
          <w:numId w:val="90"/>
        </w:numPr>
        <w:rPr>
          <w:rFonts w:ascii="Arial" w:cs="Arial" w:eastAsia="Arial" w:hAnsi="Arial"/>
          <w:sz w:val="13"/>
          <w:szCs w:val="13"/>
          <w:color w:val="auto"/>
        </w:rPr>
      </w:pPr>
      <w:r>
        <w:rPr>
          <w:rFonts w:ascii="Arial" w:cs="Arial" w:eastAsia="Arial" w:hAnsi="Arial"/>
          <w:sz w:val="13"/>
          <w:szCs w:val="13"/>
          <w:color w:val="auto"/>
        </w:rPr>
        <w:t>Expense charges for transactions performed for each Participant’s sub-account shall be debited against each respective sub-account and shall be listed on the quarterly statement. Other Plan charges and administrative expenses will be paid by the Employer without debit against Participant Accounts.</w:t>
      </w:r>
    </w:p>
    <w:p>
      <w:pPr>
        <w:spacing w:after="0" w:line="45"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 xml:space="preserve">5.3 </w:t>
      </w:r>
      <w:r>
        <w:rPr>
          <w:rFonts w:ascii="Arial" w:cs="Arial" w:eastAsia="Arial" w:hAnsi="Arial"/>
          <w:sz w:val="13"/>
          <w:szCs w:val="13"/>
          <w:b w:val="1"/>
          <w:bCs w:val="1"/>
          <w:u w:val="single" w:color="auto"/>
          <w:color w:val="auto"/>
        </w:rPr>
        <w:t>Statements</w:t>
      </w:r>
      <w:r>
        <w:rPr>
          <w:rFonts w:ascii="Arial" w:cs="Arial" w:eastAsia="Arial" w:hAnsi="Arial"/>
          <w:sz w:val="13"/>
          <w:szCs w:val="13"/>
          <w:b w:val="1"/>
          <w:bCs w:val="1"/>
          <w:color w:val="auto"/>
        </w:rPr>
        <w:t xml:space="preserve">. </w:t>
      </w:r>
      <w:r>
        <w:rPr>
          <w:rFonts w:ascii="Arial" w:cs="Arial" w:eastAsia="Arial" w:hAnsi="Arial"/>
          <w:sz w:val="13"/>
          <w:szCs w:val="13"/>
          <w:color w:val="auto"/>
        </w:rPr>
        <w:t>As soon as practicable following the last business day of each calendar quarter, the Plan Administrator (or its designee) shall provide the Participant with a statement of such Participant’s Account</w:t>
      </w:r>
      <w:r>
        <w:rPr>
          <w:rFonts w:ascii="Arial" w:cs="Arial" w:eastAsia="Arial" w:hAnsi="Arial"/>
          <w:sz w:val="13"/>
          <w:szCs w:val="13"/>
          <w:b w:val="1"/>
          <w:bCs w:val="1"/>
          <w:color w:val="auto"/>
        </w:rPr>
        <w:t xml:space="preserve"> </w:t>
      </w:r>
      <w:r>
        <w:rPr>
          <w:rFonts w:ascii="Arial" w:cs="Arial" w:eastAsia="Arial" w:hAnsi="Arial"/>
          <w:sz w:val="13"/>
          <w:szCs w:val="13"/>
          <w:color w:val="auto"/>
        </w:rPr>
        <w:t>reflecting the deemed income, gains and losses (realized and unrealized), amounts of deferrals and distributions with respect to such Account since the prior statement.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6</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VESTING</w:t>
      </w:r>
    </w:p>
    <w:p>
      <w:pPr>
        <w:spacing w:after="0" w:line="7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Subject to the provisions of Sections 7.4 and 8.1, a Participant shall at all times have a fully vested and nonforfeitable right to all Elective Deferrals, Bonus Deferrals, if any, and Matching Allocations, if any, credited to the Participant’s Account, adjusted for deemed income, gain and loss attributable thereto.</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7</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DISTRIBUTION OF ACCOUNTS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7.1 </w:t>
      </w:r>
      <w:r>
        <w:rPr>
          <w:rFonts w:ascii="Arial" w:cs="Arial" w:eastAsia="Arial" w:hAnsi="Arial"/>
          <w:sz w:val="13"/>
          <w:szCs w:val="13"/>
          <w:b w:val="1"/>
          <w:bCs w:val="1"/>
          <w:u w:val="single" w:color="auto"/>
          <w:color w:val="auto"/>
        </w:rPr>
        <w:t>Election as to Time and Form of Payment</w:t>
      </w:r>
      <w:r>
        <w:rPr>
          <w:rFonts w:ascii="Arial" w:cs="Arial" w:eastAsia="Arial" w:hAnsi="Arial"/>
          <w:sz w:val="13"/>
          <w:szCs w:val="13"/>
          <w:b w:val="1"/>
          <w:bCs w:val="1"/>
          <w:color w:val="auto"/>
        </w:rPr>
        <w:t>.</w:t>
      </w:r>
    </w:p>
    <w:p>
      <w:pPr>
        <w:spacing w:after="0" w:line="86" w:lineRule="exact"/>
        <w:rPr>
          <w:sz w:val="20"/>
          <w:szCs w:val="20"/>
          <w:color w:val="auto"/>
        </w:rPr>
      </w:pPr>
    </w:p>
    <w:p>
      <w:pPr>
        <w:ind w:left="340" w:hanging="178"/>
        <w:spacing w:after="0"/>
        <w:tabs>
          <w:tab w:leader="none" w:pos="34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 xml:space="preserve">General Payment Options. </w:t>
      </w:r>
      <w:r>
        <w:rPr>
          <w:rFonts w:ascii="Arial" w:cs="Arial" w:eastAsia="Arial" w:hAnsi="Arial"/>
          <w:sz w:val="13"/>
          <w:szCs w:val="13"/>
          <w:color w:val="auto"/>
        </w:rPr>
        <w:t>A Participant must elect, on the deferral election form, one of the following payment options for all amounts credited to a Participant’s Account:</w:t>
      </w:r>
    </w:p>
    <w:p>
      <w:pPr>
        <w:spacing w:after="0" w:line="90" w:lineRule="exact"/>
        <w:rPr>
          <w:rFonts w:ascii="Arial" w:cs="Arial" w:eastAsia="Arial" w:hAnsi="Arial"/>
          <w:sz w:val="13"/>
          <w:szCs w:val="13"/>
          <w:color w:val="auto"/>
        </w:rPr>
      </w:pPr>
    </w:p>
    <w:p>
      <w:pPr>
        <w:ind w:left="780" w:hanging="329"/>
        <w:spacing w:after="0"/>
        <w:tabs>
          <w:tab w:leader="none" w:pos="780" w:val="left"/>
        </w:tabs>
        <w:numPr>
          <w:ilvl w:val="1"/>
          <w:numId w:val="91"/>
        </w:numPr>
        <w:rPr>
          <w:rFonts w:ascii="Arial" w:cs="Arial" w:eastAsia="Arial" w:hAnsi="Arial"/>
          <w:sz w:val="13"/>
          <w:szCs w:val="13"/>
          <w:color w:val="auto"/>
        </w:rPr>
      </w:pPr>
      <w:r>
        <w:rPr>
          <w:rFonts w:ascii="Arial" w:cs="Arial" w:eastAsia="Arial" w:hAnsi="Arial"/>
          <w:sz w:val="13"/>
          <w:szCs w:val="13"/>
          <w:color w:val="auto"/>
        </w:rPr>
        <w:t>a lump sum payment in February of the calendar year following either (A) a future date or age that occurs on or after termination of employment, or (B) retirement at age 65; or</w:t>
      </w:r>
    </w:p>
    <w:p>
      <w:pPr>
        <w:spacing w:after="0" w:line="86" w:lineRule="exact"/>
        <w:rPr>
          <w:rFonts w:ascii="Arial" w:cs="Arial" w:eastAsia="Arial" w:hAnsi="Arial"/>
          <w:sz w:val="13"/>
          <w:szCs w:val="13"/>
          <w:color w:val="auto"/>
        </w:rPr>
      </w:pPr>
    </w:p>
    <w:p>
      <w:pPr>
        <w:ind w:left="780" w:hanging="329"/>
        <w:spacing w:after="0"/>
        <w:tabs>
          <w:tab w:leader="none" w:pos="780" w:val="left"/>
        </w:tabs>
        <w:numPr>
          <w:ilvl w:val="1"/>
          <w:numId w:val="91"/>
        </w:numPr>
        <w:rPr>
          <w:rFonts w:ascii="Arial" w:cs="Arial" w:eastAsia="Arial" w:hAnsi="Arial"/>
          <w:sz w:val="13"/>
          <w:szCs w:val="13"/>
          <w:color w:val="auto"/>
        </w:rPr>
      </w:pPr>
      <w:r>
        <w:rPr>
          <w:rFonts w:ascii="Arial" w:cs="Arial" w:eastAsia="Arial" w:hAnsi="Arial"/>
          <w:sz w:val="13"/>
          <w:szCs w:val="13"/>
          <w:color w:val="auto"/>
        </w:rPr>
        <w:t>annual installments over a period of up to ten years (as elected by the Participant), to begin in February of the calendar year following a specific date or age.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such election shall be made in accordance with procedures and rules established by the Plan Administrator.</w:t>
      </w:r>
    </w:p>
    <w:p>
      <w:pPr>
        <w:spacing w:after="0" w:line="86"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If a Participant does not make an election, distribution shall be made in a single lump sum in February of the calendar year following the Participant’s termination of employment. Payments from a Participant’s Account may be in cash or in property, as determined by the Plan Administrator or the trustee of any existing trust from which payment is made.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9" w:name="page140"/>
    <w:bookmarkEnd w:id="139"/>
    <w:p>
      <w:pPr>
        <w:jc w:val="both"/>
        <w:ind w:right="120" w:firstLine="164"/>
        <w:spacing w:after="0" w:line="264" w:lineRule="auto"/>
        <w:rPr>
          <w:sz w:val="20"/>
          <w:szCs w:val="20"/>
          <w:color w:val="auto"/>
        </w:rPr>
      </w:pPr>
      <w:r>
        <w:rPr>
          <w:rFonts w:ascii="Arial" w:cs="Arial" w:eastAsia="Arial" w:hAnsi="Arial"/>
          <w:sz w:val="13"/>
          <w:szCs w:val="13"/>
          <w:color w:val="auto"/>
        </w:rPr>
        <w:t>For purposes of the Plan, a Participant shall terminate employment when the Participant separates from service with the Company and all majority-owned subsidiaries of the Company. However, temporary absence from employment because of illness, vacation, approved leaves of absences, and transfers of employment among the Company and its majority-owned subsidiaries shall not be considered a termination of employment or an interruption of employment.</w:t>
      </w:r>
    </w:p>
    <w:p>
      <w:pPr>
        <w:spacing w:after="0" w:line="53" w:lineRule="exact"/>
        <w:rPr>
          <w:sz w:val="20"/>
          <w:szCs w:val="20"/>
          <w:color w:val="auto"/>
        </w:rPr>
      </w:pPr>
    </w:p>
    <w:p>
      <w:pPr>
        <w:ind w:right="20" w:firstLine="162"/>
        <w:spacing w:after="0" w:line="267"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b w:val="1"/>
          <w:bCs w:val="1"/>
          <w:u w:val="single" w:color="auto"/>
          <w:color w:val="auto"/>
        </w:rPr>
        <w:t>Distributions to Key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 provision in this Plan to the contrary, distributions to “key employees,” as such term is defined under Section 409A of the Internal Revenue Code, shall not</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 until at least a date six months and one day from date on which the Participant separates from service with the Company and all majority-owned subsidiaries of the Company; provided, however, that such a delay in commencement of payments shall not apply to distributions resulting from death, disability, unforeseeable emergency or change in control.</w:t>
      </w:r>
    </w:p>
    <w:p>
      <w:pPr>
        <w:spacing w:after="0" w:line="51" w:lineRule="exact"/>
        <w:rPr>
          <w:rFonts w:ascii="Arial" w:cs="Arial" w:eastAsia="Arial" w:hAnsi="Arial"/>
          <w:sz w:val="13"/>
          <w:szCs w:val="13"/>
          <w:color w:val="auto"/>
        </w:rPr>
      </w:pPr>
    </w:p>
    <w:p>
      <w:pPr>
        <w:ind w:left="340" w:hanging="178"/>
        <w:spacing w:after="0"/>
        <w:tabs>
          <w:tab w:leader="none" w:pos="34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Scope of Elections. </w:t>
      </w:r>
      <w:r>
        <w:rPr>
          <w:rFonts w:ascii="Arial" w:cs="Arial" w:eastAsia="Arial" w:hAnsi="Arial"/>
          <w:sz w:val="13"/>
          <w:szCs w:val="13"/>
          <w:color w:val="auto"/>
        </w:rPr>
        <w:t>The elections under this Section 7 shall apply to all amounts credited to a Participant’s Account.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Permitted Changes.</w:t>
      </w:r>
    </w:p>
    <w:p>
      <w:pPr>
        <w:spacing w:after="0" w:line="90" w:lineRule="exact"/>
        <w:rPr>
          <w:rFonts w:ascii="Arial" w:cs="Arial" w:eastAsia="Arial" w:hAnsi="Arial"/>
          <w:sz w:val="13"/>
          <w:szCs w:val="13"/>
          <w:color w:val="auto"/>
        </w:rPr>
      </w:pPr>
    </w:p>
    <w:p>
      <w:pPr>
        <w:ind w:left="780" w:hanging="329"/>
        <w:spacing w:after="0" w:line="276" w:lineRule="auto"/>
        <w:tabs>
          <w:tab w:leader="none" w:pos="7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Acceleration of Payment. Except as provided herein or as permitted by Section 409A of the Internal Revenue Code, a Participant may not elect to modify an existing election to accelerate the time or form of payment.</w:t>
      </w:r>
    </w:p>
    <w:p>
      <w:pPr>
        <w:spacing w:after="0" w:line="49" w:lineRule="exact"/>
        <w:rPr>
          <w:rFonts w:ascii="Arial" w:cs="Arial" w:eastAsia="Arial" w:hAnsi="Arial"/>
          <w:sz w:val="13"/>
          <w:szCs w:val="13"/>
          <w:color w:val="auto"/>
        </w:rPr>
      </w:pPr>
    </w:p>
    <w:p>
      <w:pPr>
        <w:ind w:left="780" w:right="20" w:hanging="329"/>
        <w:spacing w:after="0" w:line="276" w:lineRule="auto"/>
        <w:tabs>
          <w:tab w:leader="none" w:pos="7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Election to Further Defer Payment. Subject to approval by the Plan Administrator and in a form consistent with Section 409A of the Internal Revenue Code, a Participant may change the payment form or date elected for distribution with respect to an existing election by properly completing a form provided by the Plan Administrator provided that:</w:t>
      </w:r>
    </w:p>
    <w:p>
      <w:pPr>
        <w:spacing w:after="0" w:line="49" w:lineRule="exact"/>
        <w:rPr>
          <w:rFonts w:ascii="Arial" w:cs="Arial" w:eastAsia="Arial" w:hAnsi="Arial"/>
          <w:sz w:val="13"/>
          <w:szCs w:val="13"/>
          <w:color w:val="auto"/>
        </w:rPr>
      </w:pPr>
    </w:p>
    <w:p>
      <w:pPr>
        <w:ind w:left="1020" w:hanging="333"/>
        <w:spacing w:after="0"/>
        <w:tabs>
          <w:tab w:leader="none" w:pos="1020" w:val="left"/>
        </w:tabs>
        <w:numPr>
          <w:ilvl w:val="2"/>
          <w:numId w:val="92"/>
        </w:numPr>
        <w:rPr>
          <w:rFonts w:ascii="Arial" w:cs="Arial" w:eastAsia="Arial" w:hAnsi="Arial"/>
          <w:sz w:val="13"/>
          <w:szCs w:val="13"/>
          <w:color w:val="auto"/>
        </w:rPr>
      </w:pPr>
      <w:r>
        <w:rPr>
          <w:rFonts w:ascii="Arial" w:cs="Arial" w:eastAsia="Arial" w:hAnsi="Arial"/>
          <w:sz w:val="13"/>
          <w:szCs w:val="13"/>
          <w:color w:val="auto"/>
        </w:rPr>
        <w:t>the first payment date under the new election is at least five years after the date payment would have begun under the original election;</w:t>
      </w:r>
    </w:p>
    <w:p>
      <w:pPr>
        <w:spacing w:after="0" w:line="86" w:lineRule="exact"/>
        <w:rPr>
          <w:rFonts w:ascii="Arial" w:cs="Arial" w:eastAsia="Arial" w:hAnsi="Arial"/>
          <w:sz w:val="13"/>
          <w:szCs w:val="13"/>
          <w:color w:val="auto"/>
        </w:rPr>
      </w:pPr>
    </w:p>
    <w:p>
      <w:pPr>
        <w:ind w:left="1020" w:hanging="333"/>
        <w:spacing w:after="0"/>
        <w:tabs>
          <w:tab w:leader="none" w:pos="1020" w:val="left"/>
        </w:tabs>
        <w:numPr>
          <w:ilvl w:val="2"/>
          <w:numId w:val="92"/>
        </w:numPr>
        <w:rPr>
          <w:rFonts w:ascii="Arial" w:cs="Arial" w:eastAsia="Arial" w:hAnsi="Arial"/>
          <w:sz w:val="13"/>
          <w:szCs w:val="13"/>
          <w:color w:val="auto"/>
        </w:rPr>
      </w:pPr>
      <w:r>
        <w:rPr>
          <w:rFonts w:ascii="Arial" w:cs="Arial" w:eastAsia="Arial" w:hAnsi="Arial"/>
          <w:sz w:val="13"/>
          <w:szCs w:val="13"/>
          <w:color w:val="auto"/>
        </w:rPr>
        <w:t>such election is filed with the Plan Administrator at least twelve months before the first payment is due under the election to be modified; and</w:t>
      </w:r>
    </w:p>
    <w:p>
      <w:pPr>
        <w:spacing w:after="0" w:line="86" w:lineRule="exact"/>
        <w:rPr>
          <w:rFonts w:ascii="Arial" w:cs="Arial" w:eastAsia="Arial" w:hAnsi="Arial"/>
          <w:sz w:val="13"/>
          <w:szCs w:val="13"/>
          <w:color w:val="auto"/>
        </w:rPr>
      </w:pPr>
    </w:p>
    <w:p>
      <w:pPr>
        <w:ind w:left="1020" w:hanging="333"/>
        <w:spacing w:after="0"/>
        <w:tabs>
          <w:tab w:leader="none" w:pos="1020" w:val="left"/>
        </w:tabs>
        <w:numPr>
          <w:ilvl w:val="2"/>
          <w:numId w:val="92"/>
        </w:numPr>
        <w:rPr>
          <w:rFonts w:ascii="Arial" w:cs="Arial" w:eastAsia="Arial" w:hAnsi="Arial"/>
          <w:sz w:val="13"/>
          <w:szCs w:val="13"/>
          <w:color w:val="auto"/>
        </w:rPr>
      </w:pPr>
      <w:r>
        <w:rPr>
          <w:rFonts w:ascii="Arial" w:cs="Arial" w:eastAsia="Arial" w:hAnsi="Arial"/>
          <w:sz w:val="13"/>
          <w:szCs w:val="13"/>
          <w:color w:val="auto"/>
        </w:rPr>
        <w:t>the modified election does not take effect until at least twelve months after the modification is made.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7.2 </w:t>
      </w:r>
      <w:r>
        <w:rPr>
          <w:rFonts w:ascii="Arial" w:cs="Arial" w:eastAsia="Arial" w:hAnsi="Arial"/>
          <w:sz w:val="13"/>
          <w:szCs w:val="13"/>
          <w:b w:val="1"/>
          <w:bCs w:val="1"/>
          <w:u w:val="single" w:color="auto"/>
          <w:color w:val="auto"/>
        </w:rPr>
        <w:t>Death</w:t>
      </w:r>
      <w:r>
        <w:rPr>
          <w:rFonts w:ascii="Arial" w:cs="Arial" w:eastAsia="Arial" w:hAnsi="Arial"/>
          <w:sz w:val="13"/>
          <w:szCs w:val="13"/>
          <w:b w:val="1"/>
          <w:bCs w:val="1"/>
          <w:color w:val="auto"/>
        </w:rPr>
        <w:t>.</w:t>
      </w:r>
    </w:p>
    <w:p>
      <w:pPr>
        <w:spacing w:after="0" w:line="90" w:lineRule="exact"/>
        <w:rPr>
          <w:sz w:val="20"/>
          <w:szCs w:val="20"/>
          <w:color w:val="auto"/>
        </w:rPr>
      </w:pPr>
    </w:p>
    <w:p>
      <w:pPr>
        <w:ind w:right="20" w:firstLine="162"/>
        <w:spacing w:after="0" w:line="276" w:lineRule="auto"/>
        <w:tabs>
          <w:tab w:leader="none" w:pos="342"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a Participant dies before payment or complete distribution (in the case of installment payouts) of his or her Account, all amounts credited to the Participant’s Account shall be paid to the Participant’s designated Beneficiary, according to the Participant’s distribution election.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ind w:firstLine="162"/>
        <w:spacing w:after="0" w:line="264" w:lineRule="auto"/>
        <w:tabs>
          <w:tab w:leader="none" w:pos="342" w:val="left"/>
        </w:tabs>
        <w:numPr>
          <w:ilvl w:val="0"/>
          <w:numId w:val="94"/>
        </w:numPr>
        <w:rPr>
          <w:rFonts w:ascii="Arial" w:cs="Arial" w:eastAsia="Arial" w:hAnsi="Arial"/>
          <w:sz w:val="13"/>
          <w:szCs w:val="13"/>
          <w:color w:val="auto"/>
        </w:rPr>
      </w:pPr>
      <w:r>
        <w:rPr>
          <w:rFonts w:ascii="Arial" w:cs="Arial" w:eastAsia="Arial" w:hAnsi="Arial"/>
          <w:sz w:val="13"/>
          <w:szCs w:val="13"/>
          <w:color w:val="auto"/>
        </w:rPr>
        <w:t>A Participant may designate a Beneficiary by notifying the Plan Administrator in writing, at any time before Participant’s death, on a form prescribed by the Plan Administrator for that purpose. A Participant may revoke any Beneficiary designation or designate a new Beneficiary at any time without the consent of a Beneficiary or any other person. If no Beneficiary is designated or no Beneficiary survives the Participant, payment shall be made to the Participant’s surviving spouse, or, if none, to the Participant’s estate.</w:t>
      </w:r>
    </w:p>
    <w:p>
      <w:pPr>
        <w:spacing w:after="0" w:line="53" w:lineRule="exact"/>
        <w:rPr>
          <w:sz w:val="20"/>
          <w:szCs w:val="20"/>
          <w:color w:val="auto"/>
        </w:rPr>
      </w:pPr>
    </w:p>
    <w:p>
      <w:pPr>
        <w:ind w:firstLine="164"/>
        <w:spacing w:after="0" w:line="291" w:lineRule="auto"/>
        <w:rPr>
          <w:sz w:val="20"/>
          <w:szCs w:val="20"/>
          <w:color w:val="auto"/>
        </w:rPr>
      </w:pPr>
      <w:r>
        <w:rPr>
          <w:rFonts w:ascii="Arial" w:cs="Arial" w:eastAsia="Arial" w:hAnsi="Arial"/>
          <w:sz w:val="12"/>
          <w:szCs w:val="12"/>
          <w:b w:val="1"/>
          <w:bCs w:val="1"/>
          <w:color w:val="auto"/>
        </w:rPr>
        <w:t xml:space="preserve">7.3 </w:t>
      </w:r>
      <w:r>
        <w:rPr>
          <w:rFonts w:ascii="Arial" w:cs="Arial" w:eastAsia="Arial" w:hAnsi="Arial"/>
          <w:sz w:val="12"/>
          <w:szCs w:val="12"/>
          <w:b w:val="1"/>
          <w:bCs w:val="1"/>
          <w:u w:val="single" w:color="auto"/>
          <w:color w:val="auto"/>
        </w:rPr>
        <w:t>Unforeseeable Emergency</w:t>
      </w:r>
      <w:r>
        <w:rPr>
          <w:rFonts w:ascii="Arial" w:cs="Arial" w:eastAsia="Arial" w:hAnsi="Arial"/>
          <w:sz w:val="12"/>
          <w:szCs w:val="12"/>
          <w:b w:val="1"/>
          <w:bCs w:val="1"/>
          <w:color w:val="auto"/>
        </w:rPr>
        <w:t xml:space="preserve">. </w:t>
      </w:r>
      <w:r>
        <w:rPr>
          <w:rFonts w:ascii="Arial" w:cs="Arial" w:eastAsia="Arial" w:hAnsi="Arial"/>
          <w:sz w:val="12"/>
          <w:szCs w:val="12"/>
          <w:color w:val="auto"/>
        </w:rPr>
        <w:t>If a Participant experiences an unforeseeable emergency, the Plan Administrator, in its sole discretion, may pay to the Participant only that portion, if any, of the Participant’s Account</w:t>
      </w:r>
      <w:r>
        <w:rPr>
          <w:rFonts w:ascii="Arial" w:cs="Arial" w:eastAsia="Arial" w:hAnsi="Arial"/>
          <w:sz w:val="12"/>
          <w:szCs w:val="12"/>
          <w:b w:val="1"/>
          <w:bCs w:val="1"/>
          <w:color w:val="auto"/>
        </w:rPr>
        <w:t xml:space="preserve"> </w:t>
      </w:r>
      <w:r>
        <w:rPr>
          <w:rFonts w:ascii="Arial" w:cs="Arial" w:eastAsia="Arial" w:hAnsi="Arial"/>
          <w:sz w:val="12"/>
          <w:szCs w:val="12"/>
          <w:color w:val="auto"/>
        </w:rPr>
        <w:t>that the Plan Administrator determines is necessary to satisfy such emergency, including any amounts necessary to pay any federal, state or local income taxes reasonably anticipated to result from the distribution. A Participant requesting a distribution due to an unforeseeable emergency shall apply for the distribution in writing using a form prescribed by the Plan Administrator for that purpose and shall provide such additional information as the Plan Administrator may require. For purposes of the Plan, an “unforeseeable emergency” means a severe financial hardship resulting from:</w:t>
      </w:r>
    </w:p>
    <w:p>
      <w:pPr>
        <w:spacing w:after="0" w:line="42" w:lineRule="exact"/>
        <w:rPr>
          <w:sz w:val="20"/>
          <w:szCs w:val="20"/>
          <w:color w:val="auto"/>
        </w:rPr>
      </w:pPr>
    </w:p>
    <w:p>
      <w:pPr>
        <w:ind w:left="340" w:hanging="178"/>
        <w:spacing w:after="0"/>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Illness or accident of the Participant, his or her spouse, or a dependent of the Participant;</w:t>
      </w:r>
    </w:p>
    <w:p>
      <w:pPr>
        <w:spacing w:after="0" w:line="165" w:lineRule="exact"/>
        <w:rPr>
          <w:rFonts w:ascii="Arial" w:cs="Arial" w:eastAsia="Arial" w:hAnsi="Arial"/>
          <w:sz w:val="13"/>
          <w:szCs w:val="13"/>
          <w:color w:val="auto"/>
        </w:rPr>
      </w:pPr>
    </w:p>
    <w:p>
      <w:pPr>
        <w:ind w:left="340" w:hanging="178"/>
        <w:spacing w:after="0"/>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Loss of Participant’s property due to casualty; or</w:t>
      </w:r>
    </w:p>
    <w:p>
      <w:pPr>
        <w:spacing w:after="0" w:line="86" w:lineRule="exact"/>
        <w:rPr>
          <w:rFonts w:ascii="Arial" w:cs="Arial" w:eastAsia="Arial" w:hAnsi="Arial"/>
          <w:sz w:val="13"/>
          <w:szCs w:val="13"/>
          <w:color w:val="auto"/>
        </w:rPr>
      </w:pPr>
    </w:p>
    <w:p>
      <w:pPr>
        <w:ind w:right="460" w:firstLine="162"/>
        <w:spacing w:after="0" w:line="276"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Any other similar extraordinary and unforeseeable circumstance arising from events beyond the Participant’s control that constitutes an unforeseeable emergency within the meaning assigned that term by Section 409A of the Internal Revenue Code.</w:t>
      </w:r>
    </w:p>
    <w:p>
      <w:pPr>
        <w:spacing w:after="0" w:line="45" w:lineRule="exact"/>
        <w:rPr>
          <w:sz w:val="20"/>
          <w:szCs w:val="20"/>
          <w:color w:val="auto"/>
        </w:rPr>
      </w:pPr>
    </w:p>
    <w:p>
      <w:pPr>
        <w:ind w:right="160" w:firstLine="164"/>
        <w:spacing w:after="0" w:line="283" w:lineRule="auto"/>
        <w:rPr>
          <w:sz w:val="20"/>
          <w:szCs w:val="20"/>
          <w:color w:val="auto"/>
        </w:rPr>
      </w:pPr>
      <w:r>
        <w:rPr>
          <w:rFonts w:ascii="Arial" w:cs="Arial" w:eastAsia="Arial" w:hAnsi="Arial"/>
          <w:sz w:val="13"/>
          <w:szCs w:val="13"/>
          <w:b w:val="1"/>
          <w:bCs w:val="1"/>
          <w:color w:val="auto"/>
        </w:rPr>
        <w:t xml:space="preserve">7.4 </w:t>
      </w:r>
      <w:r>
        <w:rPr>
          <w:rFonts w:ascii="Arial" w:cs="Arial" w:eastAsia="Arial" w:hAnsi="Arial"/>
          <w:sz w:val="13"/>
          <w:szCs w:val="13"/>
          <w:b w:val="1"/>
          <w:bCs w:val="1"/>
          <w:u w:val="single" w:color="auto"/>
          <w:color w:val="auto"/>
        </w:rPr>
        <w:t>Taxes</w:t>
      </w:r>
      <w:r>
        <w:rPr>
          <w:rFonts w:ascii="Arial" w:cs="Arial" w:eastAsia="Arial" w:hAnsi="Arial"/>
          <w:sz w:val="13"/>
          <w:szCs w:val="13"/>
          <w:b w:val="1"/>
          <w:bCs w:val="1"/>
          <w:color w:val="auto"/>
        </w:rPr>
        <w:t xml:space="preserve">. </w:t>
      </w:r>
      <w:r>
        <w:rPr>
          <w:rFonts w:ascii="Arial" w:cs="Arial" w:eastAsia="Arial" w:hAnsi="Arial"/>
          <w:sz w:val="13"/>
          <w:szCs w:val="13"/>
          <w:color w:val="auto"/>
        </w:rPr>
        <w:t>Income taxes and other taxes payable with respect to an Account shall be deducted from such Account. All federal, state or local taxes that the Plan Administrator determines are required to be withheld</w:t>
      </w:r>
      <w:r>
        <w:rPr>
          <w:rFonts w:ascii="Arial" w:cs="Arial" w:eastAsia="Arial" w:hAnsi="Arial"/>
          <w:sz w:val="13"/>
          <w:szCs w:val="13"/>
          <w:b w:val="1"/>
          <w:bCs w:val="1"/>
          <w:color w:val="auto"/>
        </w:rPr>
        <w:t xml:space="preserve"> </w:t>
      </w:r>
      <w:r>
        <w:rPr>
          <w:rFonts w:ascii="Arial" w:cs="Arial" w:eastAsia="Arial" w:hAnsi="Arial"/>
          <w:sz w:val="13"/>
          <w:szCs w:val="13"/>
          <w:color w:val="auto"/>
        </w:rPr>
        <w:t>from any payments made pursuant to this Article 7 shall be withheld.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8</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PLAN ADMINISTRATION</w:t>
      </w:r>
    </w:p>
    <w:p>
      <w:pPr>
        <w:spacing w:after="0" w:line="75"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8.1 </w:t>
      </w:r>
      <w:r>
        <w:rPr>
          <w:rFonts w:ascii="Arial" w:cs="Arial" w:eastAsia="Arial" w:hAnsi="Arial"/>
          <w:sz w:val="13"/>
          <w:szCs w:val="13"/>
          <w:b w:val="1"/>
          <w:bCs w:val="1"/>
          <w:u w:val="single" w:color="auto"/>
          <w:color w:val="auto"/>
        </w:rPr>
        <w:t>Plan Administration and Interpretation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Administrator shall oversee the administration of the Plan. The Plan Administrator shall have complete control and authority to determine the rights and</w:t>
      </w:r>
      <w:r>
        <w:rPr>
          <w:rFonts w:ascii="Arial" w:cs="Arial" w:eastAsia="Arial" w:hAnsi="Arial"/>
          <w:sz w:val="13"/>
          <w:szCs w:val="13"/>
          <w:b w:val="1"/>
          <w:bCs w:val="1"/>
          <w:color w:val="auto"/>
        </w:rPr>
        <w:t xml:space="preserve"> </w:t>
      </w:r>
      <w:r>
        <w:rPr>
          <w:rFonts w:ascii="Arial" w:cs="Arial" w:eastAsia="Arial" w:hAnsi="Arial"/>
          <w:sz w:val="13"/>
          <w:szCs w:val="13"/>
          <w:color w:val="auto"/>
        </w:rPr>
        <w:t>benefits and all claims, demands and actions arising out of the provisions of the Plan of any Participant, Beneficiary, deceased Participant, or other person having or claiming to have any interest under the Plan. Benefits under the Plan shall be paid only if the Plan Administrator decides in its discretion that the Eligible Employee, Participant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1" w:name="page142"/>
    <w:bookmarkEnd w:id="141"/>
    <w:p>
      <w:pPr>
        <w:ind w:right="20"/>
        <w:spacing w:after="0" w:line="258" w:lineRule="auto"/>
        <w:rPr>
          <w:sz w:val="20"/>
          <w:szCs w:val="20"/>
          <w:color w:val="auto"/>
        </w:rPr>
      </w:pPr>
      <w:r>
        <w:rPr>
          <w:rFonts w:ascii="Arial" w:cs="Arial" w:eastAsia="Arial" w:hAnsi="Arial"/>
          <w:sz w:val="13"/>
          <w:szCs w:val="13"/>
          <w:color w:val="auto"/>
        </w:rPr>
        <w:t>Beneficiary is entitled to them. Notwithstanding any other provision of the Plan to the contrary, the Plan Administrator shall have complete discretion to interpret the Plan and to decide all matters under the Plan. Such interpretation and decision shall be final, conclusive and binding on all Participants and any person claiming under or through any Participant, in the absence of clear and convincing evidence that the Plan Administrator acted arbitrarily and capriciously. Any individual serving as Plan Administrator who is a Participant shall not vote or act on any matter relating solely to himself or herself. When making a determination or calculation, the Plan Administrator shall be entitled to rely on information furnished by a Participant, a Beneficiary, the Employer or a trustee (if any). The Plan Administrator shall have the responsibility for complying with any reporting and disclosure requirements of ERISA.</w:t>
      </w:r>
    </w:p>
    <w:p>
      <w:pPr>
        <w:spacing w:after="0" w:line="57" w:lineRule="exact"/>
        <w:rPr>
          <w:sz w:val="20"/>
          <w:szCs w:val="20"/>
          <w:color w:val="auto"/>
        </w:rPr>
      </w:pPr>
    </w:p>
    <w:p>
      <w:pPr>
        <w:ind w:right="100" w:firstLine="164"/>
        <w:spacing w:after="0" w:line="373" w:lineRule="auto"/>
        <w:rPr>
          <w:sz w:val="20"/>
          <w:szCs w:val="20"/>
          <w:color w:val="auto"/>
        </w:rPr>
      </w:pPr>
      <w:r>
        <w:rPr>
          <w:rFonts w:ascii="Arial" w:cs="Arial" w:eastAsia="Arial" w:hAnsi="Arial"/>
          <w:sz w:val="11"/>
          <w:szCs w:val="11"/>
          <w:b w:val="1"/>
          <w:bCs w:val="1"/>
          <w:color w:val="auto"/>
        </w:rPr>
        <w:t xml:space="preserve">8.2 </w:t>
      </w:r>
      <w:r>
        <w:rPr>
          <w:rFonts w:ascii="Arial" w:cs="Arial" w:eastAsia="Arial" w:hAnsi="Arial"/>
          <w:sz w:val="11"/>
          <w:szCs w:val="11"/>
          <w:b w:val="1"/>
          <w:bCs w:val="1"/>
          <w:u w:val="single" w:color="auto"/>
          <w:color w:val="auto"/>
        </w:rPr>
        <w:t>Powers, Duties, Procedures</w:t>
      </w:r>
      <w:r>
        <w:rPr>
          <w:rFonts w:ascii="Arial" w:cs="Arial" w:eastAsia="Arial" w:hAnsi="Arial"/>
          <w:sz w:val="11"/>
          <w:szCs w:val="11"/>
          <w:b w:val="1"/>
          <w:bCs w:val="1"/>
          <w:color w:val="auto"/>
        </w:rPr>
        <w:t xml:space="preserve">. </w:t>
      </w:r>
      <w:r>
        <w:rPr>
          <w:rFonts w:ascii="Arial" w:cs="Arial" w:eastAsia="Arial" w:hAnsi="Arial"/>
          <w:sz w:val="11"/>
          <w:szCs w:val="11"/>
          <w:b w:val="1"/>
          <w:bCs w:val="1"/>
          <w:u w:val="single" w:color="auto"/>
          <w:color w:val="auto"/>
        </w:rPr>
        <w:t>.</w:t>
      </w:r>
      <w:r>
        <w:rPr>
          <w:rFonts w:ascii="Arial" w:cs="Arial" w:eastAsia="Arial" w:hAnsi="Arial"/>
          <w:sz w:val="11"/>
          <w:szCs w:val="11"/>
          <w:color w:val="auto"/>
        </w:rPr>
        <w:t>The Plan Administrator shall have such powers and duties, may adopt such rules and tables, may act in accordance with such procedures, may appoint such officers or agents, may</w:t>
      </w:r>
      <w:r>
        <w:rPr>
          <w:rFonts w:ascii="Arial" w:cs="Arial" w:eastAsia="Arial" w:hAnsi="Arial"/>
          <w:sz w:val="11"/>
          <w:szCs w:val="11"/>
          <w:b w:val="1"/>
          <w:bCs w:val="1"/>
          <w:color w:val="auto"/>
        </w:rPr>
        <w:t xml:space="preserve"> </w:t>
      </w:r>
      <w:r>
        <w:rPr>
          <w:rFonts w:ascii="Arial" w:cs="Arial" w:eastAsia="Arial" w:hAnsi="Arial"/>
          <w:sz w:val="11"/>
          <w:szCs w:val="11"/>
          <w:color w:val="auto"/>
        </w:rPr>
        <w:t>delegate such powers and duties, may receive such reimbursements and compensation, and shall follow such claims and appeal procedures with respect to the Plan as the Plan Administrator may establish.</w:t>
      </w:r>
    </w:p>
    <w:p>
      <w:pPr>
        <w:ind w:firstLine="164"/>
        <w:spacing w:after="0" w:line="283" w:lineRule="auto"/>
        <w:rPr>
          <w:sz w:val="20"/>
          <w:szCs w:val="20"/>
          <w:color w:val="auto"/>
        </w:rPr>
      </w:pPr>
      <w:r>
        <w:rPr>
          <w:rFonts w:ascii="Arial" w:cs="Arial" w:eastAsia="Arial" w:hAnsi="Arial"/>
          <w:sz w:val="13"/>
          <w:szCs w:val="13"/>
          <w:b w:val="1"/>
          <w:bCs w:val="1"/>
          <w:color w:val="auto"/>
        </w:rPr>
        <w:t xml:space="preserve">8.3 </w:t>
      </w:r>
      <w:r>
        <w:rPr>
          <w:rFonts w:ascii="Arial" w:cs="Arial" w:eastAsia="Arial" w:hAnsi="Arial"/>
          <w:sz w:val="13"/>
          <w:szCs w:val="13"/>
          <w:b w:val="1"/>
          <w:bCs w:val="1"/>
          <w:u w:val="single" w:color="auto"/>
          <w:color w:val="auto"/>
        </w:rPr>
        <w:t>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To enable the Plan Administrator to perform its functions, the Employer shall supply full and timely information to the Plan Administrator on all matters relating to the compensation of Participants,</w:t>
      </w:r>
      <w:r>
        <w:rPr>
          <w:rFonts w:ascii="Arial" w:cs="Arial" w:eastAsia="Arial" w:hAnsi="Arial"/>
          <w:sz w:val="13"/>
          <w:szCs w:val="13"/>
          <w:b w:val="1"/>
          <w:bCs w:val="1"/>
          <w:color w:val="auto"/>
        </w:rPr>
        <w:t xml:space="preserve"> </w:t>
      </w:r>
      <w:r>
        <w:rPr>
          <w:rFonts w:ascii="Arial" w:cs="Arial" w:eastAsia="Arial" w:hAnsi="Arial"/>
          <w:sz w:val="13"/>
          <w:szCs w:val="13"/>
          <w:color w:val="auto"/>
        </w:rPr>
        <w:t>their employment, retirement, death, termination of employment, and such other pertinent facts as the Plan Administrator may require.</w:t>
      </w:r>
    </w:p>
    <w:p>
      <w:pPr>
        <w:spacing w:after="0" w:line="41"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8.4 </w:t>
      </w:r>
      <w:r>
        <w:rPr>
          <w:rFonts w:ascii="Arial" w:cs="Arial" w:eastAsia="Arial" w:hAnsi="Arial"/>
          <w:sz w:val="13"/>
          <w:szCs w:val="13"/>
          <w:b w:val="1"/>
          <w:bCs w:val="1"/>
          <w:u w:val="single" w:color="auto"/>
          <w:color w:val="auto"/>
        </w:rPr>
        <w:t>Indemnification of Plan Administrator</w:t>
      </w:r>
      <w:r>
        <w:rPr>
          <w:rFonts w:ascii="Arial" w:cs="Arial" w:eastAsia="Arial" w:hAnsi="Arial"/>
          <w:sz w:val="13"/>
          <w:szCs w:val="13"/>
          <w:b w:val="1"/>
          <w:bCs w:val="1"/>
          <w:color w:val="auto"/>
        </w:rPr>
        <w:t xml:space="preserve">. </w:t>
      </w:r>
      <w:r>
        <w:rPr>
          <w:rFonts w:ascii="Arial" w:cs="Arial" w:eastAsia="Arial" w:hAnsi="Arial"/>
          <w:sz w:val="13"/>
          <w:szCs w:val="13"/>
          <w:color w:val="auto"/>
        </w:rPr>
        <w:t>The Employer agrees to indemnify and to defend to the fullest extent permitted by law any director, officer or employee who serves as Plan Administrator (including any</w:t>
      </w:r>
      <w:r>
        <w:rPr>
          <w:rFonts w:ascii="Arial" w:cs="Arial" w:eastAsia="Arial" w:hAnsi="Arial"/>
          <w:sz w:val="13"/>
          <w:szCs w:val="13"/>
          <w:b w:val="1"/>
          <w:bCs w:val="1"/>
          <w:color w:val="auto"/>
        </w:rPr>
        <w:t xml:space="preserve"> </w:t>
      </w:r>
      <w:r>
        <w:rPr>
          <w:rFonts w:ascii="Arial" w:cs="Arial" w:eastAsia="Arial" w:hAnsi="Arial"/>
          <w:sz w:val="13"/>
          <w:szCs w:val="13"/>
          <w:color w:val="auto"/>
        </w:rPr>
        <w:t>such individual who formerly served as Plan Administrator) against all liabilities, damages, costs and expenses (including reasonable attorneys’ fees and amounts paid in settlement of any claims approved by the Employer in writing in advance) occasioned by any act or omission to act in connection with the Plan, if such act or omission is in good faith.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AND TERMINATION</w:t>
      </w:r>
    </w:p>
    <w:p>
      <w:pPr>
        <w:spacing w:after="0" w:line="75"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 xml:space="preserve">9.1 </w:t>
      </w:r>
      <w:r>
        <w:rPr>
          <w:rFonts w:ascii="Arial" w:cs="Arial" w:eastAsia="Arial" w:hAnsi="Arial"/>
          <w:sz w:val="13"/>
          <w:szCs w:val="13"/>
          <w:b w:val="1"/>
          <w:bCs w:val="1"/>
          <w:u w:val="single" w:color="auto"/>
          <w:color w:val="auto"/>
        </w:rPr>
        <w:t>Authority to Amend and Terminate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Section 9.2, the Plan Committee shall have the right to amend or terminate the Plan at any time. If the Plan is terminated and a trust is established (as described in</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10.1), the trust will pay benefits hereunder as they become due as if the Plan had not terminated.</w:t>
      </w:r>
    </w:p>
    <w:p>
      <w:pPr>
        <w:spacing w:after="0" w:line="41" w:lineRule="exact"/>
        <w:rPr>
          <w:sz w:val="20"/>
          <w:szCs w:val="20"/>
          <w:color w:val="auto"/>
        </w:rPr>
      </w:pPr>
    </w:p>
    <w:p>
      <w:pPr>
        <w:ind w:right="240" w:firstLine="164"/>
        <w:spacing w:after="0" w:line="283" w:lineRule="auto"/>
        <w:rPr>
          <w:sz w:val="20"/>
          <w:szCs w:val="20"/>
          <w:color w:val="auto"/>
        </w:rPr>
      </w:pPr>
      <w:r>
        <w:rPr>
          <w:rFonts w:ascii="Arial" w:cs="Arial" w:eastAsia="Arial" w:hAnsi="Arial"/>
          <w:sz w:val="13"/>
          <w:szCs w:val="13"/>
          <w:b w:val="1"/>
          <w:bCs w:val="1"/>
          <w:color w:val="auto"/>
        </w:rPr>
        <w:t xml:space="preserve">9.2 </w:t>
      </w:r>
      <w:r>
        <w:rPr>
          <w:rFonts w:ascii="Arial" w:cs="Arial" w:eastAsia="Arial" w:hAnsi="Arial"/>
          <w:sz w:val="13"/>
          <w:szCs w:val="13"/>
          <w:b w:val="1"/>
          <w:bCs w:val="1"/>
          <w:u w:val="single" w:color="auto"/>
          <w:color w:val="auto"/>
        </w:rPr>
        <w:t>Existing Rights</w:t>
      </w:r>
      <w:r>
        <w:rPr>
          <w:rFonts w:ascii="Arial" w:cs="Arial" w:eastAsia="Arial" w:hAnsi="Arial"/>
          <w:sz w:val="13"/>
          <w:szCs w:val="13"/>
          <w:b w:val="1"/>
          <w:bCs w:val="1"/>
          <w:color w:val="auto"/>
        </w:rPr>
        <w:t xml:space="preserve">. </w:t>
      </w:r>
      <w:r>
        <w:rPr>
          <w:rFonts w:ascii="Arial" w:cs="Arial" w:eastAsia="Arial" w:hAnsi="Arial"/>
          <w:sz w:val="13"/>
          <w:szCs w:val="13"/>
          <w:color w:val="auto"/>
        </w:rPr>
        <w:t>No amendment or termination of the Plan shall adversely affect the rights of any Participant with respect to amounts that have been credited to his or her Account prior to the later of the date</w:t>
      </w:r>
      <w:r>
        <w:rPr>
          <w:rFonts w:ascii="Arial" w:cs="Arial" w:eastAsia="Arial" w:hAnsi="Arial"/>
          <w:sz w:val="13"/>
          <w:szCs w:val="13"/>
          <w:b w:val="1"/>
          <w:bCs w:val="1"/>
          <w:color w:val="auto"/>
        </w:rPr>
        <w:t xml:space="preserve"> </w:t>
      </w:r>
      <w:r>
        <w:rPr>
          <w:rFonts w:ascii="Arial" w:cs="Arial" w:eastAsia="Arial" w:hAnsi="Arial"/>
          <w:sz w:val="13"/>
          <w:szCs w:val="13"/>
          <w:color w:val="auto"/>
        </w:rPr>
        <w:t>such amendment or termination is adopted or effective.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3"/>
          <w:szCs w:val="13"/>
          <w:b w:val="1"/>
          <w:bCs w:val="1"/>
          <w:color w:val="auto"/>
        </w:rPr>
        <w:t>ARTICLE 10</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MISCELLANEOUS</w:t>
      </w:r>
    </w:p>
    <w:p>
      <w:pPr>
        <w:spacing w:after="0" w:line="75"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 xml:space="preserve">10.1 </w:t>
      </w:r>
      <w:r>
        <w:rPr>
          <w:rFonts w:ascii="Arial" w:cs="Arial" w:eastAsia="Arial" w:hAnsi="Arial"/>
          <w:sz w:val="12"/>
          <w:szCs w:val="12"/>
          <w:b w:val="1"/>
          <w:bCs w:val="1"/>
          <w:u w:val="single" w:color="auto"/>
          <w:color w:val="auto"/>
        </w:rPr>
        <w:t>No Funding</w:t>
      </w:r>
      <w:r>
        <w:rPr>
          <w:rFonts w:ascii="Arial" w:cs="Arial" w:eastAsia="Arial" w:hAnsi="Arial"/>
          <w:sz w:val="12"/>
          <w:szCs w:val="12"/>
          <w:color w:val="auto"/>
        </w:rPr>
        <w:t>. The Company intends that the Plan constitute an “unfunded” plan for tax purposes and for purposes of Title I of ERISA; provided that the Plan Administrator may authorize the creation of trusts</w:t>
      </w:r>
      <w:r>
        <w:rPr>
          <w:rFonts w:ascii="Arial" w:cs="Arial" w:eastAsia="Arial" w:hAnsi="Arial"/>
          <w:sz w:val="12"/>
          <w:szCs w:val="12"/>
          <w:b w:val="1"/>
          <w:bCs w:val="1"/>
          <w:color w:val="auto"/>
        </w:rPr>
        <w:t xml:space="preserve"> </w:t>
      </w:r>
      <w:r>
        <w:rPr>
          <w:rFonts w:ascii="Arial" w:cs="Arial" w:eastAsia="Arial" w:hAnsi="Arial"/>
          <w:sz w:val="12"/>
          <w:szCs w:val="12"/>
          <w:color w:val="auto"/>
        </w:rPr>
        <w:t>and deposit therein cash or other property, or make other arrangements to meet the Company’s obligations under the Plan, and further provided that such a trust shall be established upon a Change in Control, if none has previously been established, and the Company shall make a contribution to such trust effective as of the date of the Change in Control in an amount equal to the sum of the value of all Participant Accounts (including deemed investment gains) under the Plan as of such date and all contributions made to the Trust as of the date of the Change in Control shall thereafter be irrevocable until all Accounts under the Plan have been paid in full. Such trusts or other arrangements shall be consistent with the unfunded status of the Plan, unless the Plan Administrator otherwise determines with the consent of each Participant. In the event that such a trust or other arrangement is established, any Matching Allocations under the Plan may be made in cash or in property (either in part or in whole), including common stock of the Company.</w:t>
      </w:r>
    </w:p>
    <w:p>
      <w:pPr>
        <w:spacing w:after="0" w:line="43" w:lineRule="exact"/>
        <w:rPr>
          <w:sz w:val="20"/>
          <w:szCs w:val="20"/>
          <w:color w:val="auto"/>
        </w:rPr>
      </w:pPr>
    </w:p>
    <w:p>
      <w:pPr>
        <w:ind w:right="200" w:firstLine="164"/>
        <w:spacing w:after="0" w:line="327" w:lineRule="auto"/>
        <w:rPr>
          <w:sz w:val="20"/>
          <w:szCs w:val="20"/>
          <w:color w:val="auto"/>
        </w:rPr>
      </w:pPr>
      <w:r>
        <w:rPr>
          <w:rFonts w:ascii="Arial" w:cs="Arial" w:eastAsia="Arial" w:hAnsi="Arial"/>
          <w:sz w:val="12"/>
          <w:szCs w:val="12"/>
          <w:b w:val="1"/>
          <w:bCs w:val="1"/>
          <w:color w:val="auto"/>
        </w:rPr>
        <w:t xml:space="preserve">10.2 </w:t>
      </w:r>
      <w:r>
        <w:rPr>
          <w:rFonts w:ascii="Arial" w:cs="Arial" w:eastAsia="Arial" w:hAnsi="Arial"/>
          <w:sz w:val="12"/>
          <w:szCs w:val="12"/>
          <w:b w:val="1"/>
          <w:bCs w:val="1"/>
          <w:u w:val="single" w:color="auto"/>
          <w:color w:val="auto"/>
        </w:rPr>
        <w:t>General Creditor Status</w:t>
      </w:r>
      <w:r>
        <w:rPr>
          <w:rFonts w:ascii="Arial" w:cs="Arial" w:eastAsia="Arial" w:hAnsi="Arial"/>
          <w:sz w:val="12"/>
          <w:szCs w:val="12"/>
          <w:b w:val="1"/>
          <w:bCs w:val="1"/>
          <w:color w:val="auto"/>
        </w:rPr>
        <w:t xml:space="preserve">. </w:t>
      </w:r>
      <w:r>
        <w:rPr>
          <w:rFonts w:ascii="Arial" w:cs="Arial" w:eastAsia="Arial" w:hAnsi="Arial"/>
          <w:sz w:val="12"/>
          <w:szCs w:val="12"/>
          <w:color w:val="auto"/>
        </w:rPr>
        <w:t>The Plan constitutes a mere promise by the Company to make payments in accordance with the terms of the Plan and Participants and Beneficiaries shall have the status of general</w:t>
      </w:r>
      <w:r>
        <w:rPr>
          <w:rFonts w:ascii="Arial" w:cs="Arial" w:eastAsia="Arial" w:hAnsi="Arial"/>
          <w:sz w:val="12"/>
          <w:szCs w:val="12"/>
          <w:b w:val="1"/>
          <w:bCs w:val="1"/>
          <w:color w:val="auto"/>
        </w:rPr>
        <w:t xml:space="preserve"> </w:t>
      </w:r>
      <w:r>
        <w:rPr>
          <w:rFonts w:ascii="Arial" w:cs="Arial" w:eastAsia="Arial" w:hAnsi="Arial"/>
          <w:sz w:val="12"/>
          <w:szCs w:val="12"/>
          <w:color w:val="auto"/>
        </w:rPr>
        <w:t>unsecured creditors of the Company. Nothing in the Plan will be construed to give any employee or any other person rights to any specific assets of the Company or of any other person.</w:t>
      </w:r>
    </w:p>
    <w:p>
      <w:pPr>
        <w:spacing w:after="0" w:line="17" w:lineRule="exact"/>
        <w:rPr>
          <w:sz w:val="20"/>
          <w:szCs w:val="20"/>
          <w:color w:val="auto"/>
        </w:rPr>
      </w:pPr>
    </w:p>
    <w:p>
      <w:pPr>
        <w:jc w:val="both"/>
        <w:ind w:right="20" w:firstLine="164"/>
        <w:spacing w:after="0" w:line="267" w:lineRule="auto"/>
        <w:rPr>
          <w:sz w:val="20"/>
          <w:szCs w:val="20"/>
          <w:color w:val="auto"/>
        </w:rPr>
      </w:pPr>
      <w:r>
        <w:rPr>
          <w:rFonts w:ascii="Arial" w:cs="Arial" w:eastAsia="Arial" w:hAnsi="Arial"/>
          <w:sz w:val="13"/>
          <w:szCs w:val="13"/>
          <w:b w:val="1"/>
          <w:bCs w:val="1"/>
          <w:color w:val="auto"/>
        </w:rPr>
        <w:t xml:space="preserve">10.3 </w:t>
      </w:r>
      <w:r>
        <w:rPr>
          <w:rFonts w:ascii="Arial" w:cs="Arial" w:eastAsia="Arial" w:hAnsi="Arial"/>
          <w:sz w:val="13"/>
          <w:szCs w:val="13"/>
          <w:b w:val="1"/>
          <w:bCs w:val="1"/>
          <w:u w:val="single" w:color="auto"/>
          <w:color w:val="auto"/>
        </w:rPr>
        <w:t>Non-assignability</w:t>
      </w:r>
      <w:r>
        <w:rPr>
          <w:rFonts w:ascii="Arial" w:cs="Arial" w:eastAsia="Arial" w:hAnsi="Arial"/>
          <w:sz w:val="13"/>
          <w:szCs w:val="13"/>
          <w:b w:val="1"/>
          <w:bCs w:val="1"/>
          <w:color w:val="auto"/>
        </w:rPr>
        <w:t xml:space="preserve">. </w:t>
      </w:r>
      <w:r>
        <w:rPr>
          <w:rFonts w:ascii="Arial" w:cs="Arial" w:eastAsia="Arial" w:hAnsi="Arial"/>
          <w:sz w:val="13"/>
          <w:szCs w:val="13"/>
          <w:color w:val="auto"/>
        </w:rPr>
        <w:t>None of the benefits, payments, proceeds or claims of any Participant or Beneficiary shall be subject to any claim of any creditor of any Participant or Beneficiary and, in particular, the same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be subject to attachment or garnishment or other legal process by any creditor of such Participant or Beneficiary, nor shall any Participant or Beneficiary have any right to alienate, anticipate, commute, pledge, encumber or assign any of the benefits or payments or proceeds that he or she may expect to receive, contingently or otherwise under the Plan.</w:t>
      </w:r>
    </w:p>
    <w:p>
      <w:pPr>
        <w:spacing w:after="0" w:line="52" w:lineRule="exact"/>
        <w:rPr>
          <w:sz w:val="20"/>
          <w:szCs w:val="20"/>
          <w:color w:val="auto"/>
        </w:rPr>
      </w:pPr>
    </w:p>
    <w:p>
      <w:pPr>
        <w:ind w:right="500" w:firstLine="164"/>
        <w:spacing w:after="0" w:line="283" w:lineRule="auto"/>
        <w:rPr>
          <w:sz w:val="20"/>
          <w:szCs w:val="20"/>
          <w:color w:val="auto"/>
        </w:rPr>
      </w:pPr>
      <w:r>
        <w:rPr>
          <w:rFonts w:ascii="Arial" w:cs="Arial" w:eastAsia="Arial" w:hAnsi="Arial"/>
          <w:sz w:val="13"/>
          <w:szCs w:val="13"/>
          <w:b w:val="1"/>
          <w:bCs w:val="1"/>
          <w:color w:val="auto"/>
        </w:rPr>
        <w:t xml:space="preserve">10.4 </w:t>
      </w:r>
      <w:r>
        <w:rPr>
          <w:rFonts w:ascii="Arial" w:cs="Arial" w:eastAsia="Arial" w:hAnsi="Arial"/>
          <w:sz w:val="13"/>
          <w:szCs w:val="13"/>
          <w:b w:val="1"/>
          <w:bCs w:val="1"/>
          <w:u w:val="single" w:color="auto"/>
          <w:color w:val="auto"/>
        </w:rPr>
        <w:t>Limitation of Participant’s Rights</w:t>
      </w:r>
      <w:r>
        <w:rPr>
          <w:rFonts w:ascii="Arial" w:cs="Arial" w:eastAsia="Arial" w:hAnsi="Arial"/>
          <w:sz w:val="13"/>
          <w:szCs w:val="13"/>
          <w:b w:val="1"/>
          <w:bCs w:val="1"/>
          <w:color w:val="auto"/>
        </w:rPr>
        <w:t xml:space="preserve">. </w:t>
      </w:r>
      <w:r>
        <w:rPr>
          <w:rFonts w:ascii="Arial" w:cs="Arial" w:eastAsia="Arial" w:hAnsi="Arial"/>
          <w:sz w:val="13"/>
          <w:szCs w:val="13"/>
          <w:color w:val="auto"/>
        </w:rPr>
        <w:t>Nothing contained in the Plan shall confer upon any person a right to be employed or to continue in the employ of an Employer, or to interfere, in any way, with an</w:t>
      </w:r>
      <w:r>
        <w:rPr>
          <w:rFonts w:ascii="Arial" w:cs="Arial" w:eastAsia="Arial" w:hAnsi="Arial"/>
          <w:sz w:val="13"/>
          <w:szCs w:val="13"/>
          <w:b w:val="1"/>
          <w:bCs w:val="1"/>
          <w:color w:val="auto"/>
        </w:rPr>
        <w:t xml:space="preserve"> </w:t>
      </w:r>
      <w:r>
        <w:rPr>
          <w:rFonts w:ascii="Arial" w:cs="Arial" w:eastAsia="Arial" w:hAnsi="Arial"/>
          <w:sz w:val="13"/>
          <w:szCs w:val="13"/>
          <w:color w:val="auto"/>
        </w:rPr>
        <w:t>Employer’s right to terminate the employment of a Participant in the Plan at any time, with or without cause.</w:t>
      </w:r>
    </w:p>
    <w:p>
      <w:pPr>
        <w:spacing w:after="0" w:line="41" w:lineRule="exact"/>
        <w:rPr>
          <w:sz w:val="20"/>
          <w:szCs w:val="20"/>
          <w:color w:val="auto"/>
        </w:rPr>
      </w:pPr>
    </w:p>
    <w:p>
      <w:pPr>
        <w:ind w:right="80" w:firstLine="164"/>
        <w:spacing w:after="0" w:line="283" w:lineRule="auto"/>
        <w:rPr>
          <w:sz w:val="20"/>
          <w:szCs w:val="20"/>
          <w:color w:val="auto"/>
        </w:rPr>
      </w:pPr>
      <w:r>
        <w:rPr>
          <w:rFonts w:ascii="Arial" w:cs="Arial" w:eastAsia="Arial" w:hAnsi="Arial"/>
          <w:sz w:val="13"/>
          <w:szCs w:val="13"/>
          <w:b w:val="1"/>
          <w:bCs w:val="1"/>
          <w:color w:val="auto"/>
        </w:rPr>
        <w:t xml:space="preserve">10.5 </w:t>
      </w:r>
      <w:r>
        <w:rPr>
          <w:rFonts w:ascii="Arial" w:cs="Arial" w:eastAsia="Arial" w:hAnsi="Arial"/>
          <w:sz w:val="13"/>
          <w:szCs w:val="13"/>
          <w:b w:val="1"/>
          <w:bCs w:val="1"/>
          <w:u w:val="single" w:color="auto"/>
          <w:color w:val="auto"/>
        </w:rPr>
        <w:t>Participants Bound</w:t>
      </w:r>
      <w:r>
        <w:rPr>
          <w:rFonts w:ascii="Arial" w:cs="Arial" w:eastAsia="Arial" w:hAnsi="Arial"/>
          <w:sz w:val="13"/>
          <w:szCs w:val="13"/>
          <w:b w:val="1"/>
          <w:bCs w:val="1"/>
          <w:color w:val="auto"/>
        </w:rPr>
        <w:t xml:space="preserve">. </w:t>
      </w:r>
      <w:r>
        <w:rPr>
          <w:rFonts w:ascii="Arial" w:cs="Arial" w:eastAsia="Arial" w:hAnsi="Arial"/>
          <w:sz w:val="13"/>
          <w:szCs w:val="13"/>
          <w:color w:val="auto"/>
        </w:rPr>
        <w:t>Any action with respect to the Plan taken by the Plan Administrator or a trustee (if any), or any action authorized by or taken at the direction of the Plan Administrator or a trustee (if any),</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conclusive upon all Participants and Beneficiaries entitled to benefits under the Plan.</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 xml:space="preserve">10.6 </w:t>
      </w:r>
      <w:r>
        <w:rPr>
          <w:rFonts w:ascii="Arial" w:cs="Arial" w:eastAsia="Arial" w:hAnsi="Arial"/>
          <w:sz w:val="13"/>
          <w:szCs w:val="13"/>
          <w:b w:val="1"/>
          <w:bCs w:val="1"/>
          <w:u w:val="single" w:color="auto"/>
          <w:color w:val="auto"/>
        </w:rPr>
        <w:t>Satisfaction of Claims; Unclaimed Benefits</w:t>
      </w:r>
      <w:r>
        <w:rPr>
          <w:rFonts w:ascii="Arial" w:cs="Arial" w:eastAsia="Arial" w:hAnsi="Arial"/>
          <w:sz w:val="13"/>
          <w:szCs w:val="13"/>
          <w:b w:val="1"/>
          <w:bCs w:val="1"/>
          <w:color w:val="auto"/>
        </w:rPr>
        <w:t xml:space="preserve">. </w:t>
      </w:r>
      <w:r>
        <w:rPr>
          <w:rFonts w:ascii="Arial" w:cs="Arial" w:eastAsia="Arial" w:hAnsi="Arial"/>
          <w:sz w:val="13"/>
          <w:szCs w:val="13"/>
          <w:color w:val="auto"/>
        </w:rPr>
        <w:t>Any payment to any Participant or Beneficiary in accordance with the provisions of the Plan shall, to the extent thereof, be in full satisfaction of all claims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against the Employer, the Plan Administrator and a trustee (if any) under the Plan, and the Plan Administrator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3"/>
          <w:szCs w:val="13"/>
          <w:color w:val="auto"/>
        </w:rPr>
        <w:t>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the payment or payments becoming due to such person to be made to another person for his or her benefit without responsibility on the part of the Plan Administrator, the Employer or a trustee (if any) to follow the application of such funds. In the case of a benefit payable on behalf of a Participant, if the Plan Administrator is unable to locate the Participant or beneficiary to whom such benefit is payable, upon the Plan Administrator’s determination thereof, such benefit shall be forfeited to the Company. Notwithstanding the foregoing, if subsequent to any such forfeiture the Participant or beneficiary to whom such benefit is payable makes a valid claim for such benefit, such forfeited benefit shall be restored to the Plan by the Company.</w:t>
      </w:r>
    </w:p>
    <w:p>
      <w:pPr>
        <w:spacing w:after="0" w:line="58" w:lineRule="exact"/>
        <w:rPr>
          <w:sz w:val="20"/>
          <w:szCs w:val="20"/>
          <w:color w:val="auto"/>
        </w:rPr>
      </w:pPr>
    </w:p>
    <w:p>
      <w:pPr>
        <w:ind w:right="500" w:firstLine="164"/>
        <w:spacing w:after="0" w:line="283" w:lineRule="auto"/>
        <w:rPr>
          <w:sz w:val="20"/>
          <w:szCs w:val="20"/>
          <w:color w:val="auto"/>
        </w:rPr>
      </w:pPr>
      <w:r>
        <w:rPr>
          <w:rFonts w:ascii="Arial" w:cs="Arial" w:eastAsia="Arial" w:hAnsi="Arial"/>
          <w:sz w:val="13"/>
          <w:szCs w:val="13"/>
          <w:b w:val="1"/>
          <w:bCs w:val="1"/>
          <w:color w:val="auto"/>
        </w:rPr>
        <w:t xml:space="preserve">10.7 </w:t>
      </w:r>
      <w:r>
        <w:rPr>
          <w:rFonts w:ascii="Arial" w:cs="Arial" w:eastAsia="Arial" w:hAnsi="Arial"/>
          <w:sz w:val="13"/>
          <w:szCs w:val="13"/>
          <w:b w:val="1"/>
          <w:bCs w:val="1"/>
          <w:u w:val="single" w:color="auto"/>
          <w:color w:val="auto"/>
        </w:rPr>
        <w:t>Governing Law and 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shall be construed, administered, and governed in all respects under and by the laws of the State of Texas. If any provision is held by a court of competent</w:t>
      </w:r>
      <w:r>
        <w:rPr>
          <w:rFonts w:ascii="Arial" w:cs="Arial" w:eastAsia="Arial" w:hAnsi="Arial"/>
          <w:sz w:val="13"/>
          <w:szCs w:val="13"/>
          <w:b w:val="1"/>
          <w:bCs w:val="1"/>
          <w:color w:val="auto"/>
        </w:rPr>
        <w:t xml:space="preserve"> </w:t>
      </w:r>
      <w:r>
        <w:rPr>
          <w:rFonts w:ascii="Arial" w:cs="Arial" w:eastAsia="Arial" w:hAnsi="Arial"/>
          <w:sz w:val="13"/>
          <w:szCs w:val="13"/>
          <w:color w:val="auto"/>
        </w:rPr>
        <w:t>jurisdiction to be invalid or unenforceable, the remaining provisions hereof shall continue to be fully effective.</w:t>
      </w:r>
    </w:p>
    <w:p>
      <w:pPr>
        <w:spacing w:after="0" w:line="41" w:lineRule="exact"/>
        <w:rPr>
          <w:sz w:val="20"/>
          <w:szCs w:val="20"/>
          <w:color w:val="auto"/>
        </w:rPr>
      </w:pPr>
    </w:p>
    <w:p>
      <w:pPr>
        <w:ind w:right="80" w:firstLine="164"/>
        <w:spacing w:after="0" w:line="300" w:lineRule="auto"/>
        <w:rPr>
          <w:sz w:val="20"/>
          <w:szCs w:val="20"/>
          <w:color w:val="auto"/>
        </w:rPr>
      </w:pPr>
      <w:r>
        <w:rPr>
          <w:rFonts w:ascii="Arial" w:cs="Arial" w:eastAsia="Arial" w:hAnsi="Arial"/>
          <w:sz w:val="12"/>
          <w:szCs w:val="12"/>
          <w:b w:val="1"/>
          <w:bCs w:val="1"/>
          <w:color w:val="auto"/>
        </w:rPr>
        <w:t xml:space="preserve">10.8 </w:t>
      </w:r>
      <w:r>
        <w:rPr>
          <w:rFonts w:ascii="Arial" w:cs="Arial" w:eastAsia="Arial" w:hAnsi="Arial"/>
          <w:sz w:val="12"/>
          <w:szCs w:val="12"/>
          <w:b w:val="1"/>
          <w:bCs w:val="1"/>
          <w:u w:val="single" w:color="auto"/>
          <w:color w:val="auto"/>
        </w:rPr>
        <w:t>Not Contract of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adoption and maintenance of the Plan shall not be deemed to be a contract between the Company and any person or to be consideration for the employment of any person.</w:t>
      </w:r>
      <w:r>
        <w:rPr>
          <w:rFonts w:ascii="Arial" w:cs="Arial" w:eastAsia="Arial" w:hAnsi="Arial"/>
          <w:sz w:val="12"/>
          <w:szCs w:val="12"/>
          <w:b w:val="1"/>
          <w:bCs w:val="1"/>
          <w:color w:val="auto"/>
        </w:rPr>
        <w:t xml:space="preserve"> </w:t>
      </w:r>
      <w:r>
        <w:rPr>
          <w:rFonts w:ascii="Arial" w:cs="Arial" w:eastAsia="Arial" w:hAnsi="Arial"/>
          <w:sz w:val="12"/>
          <w:szCs w:val="12"/>
          <w:color w:val="auto"/>
        </w:rPr>
        <w:t>Nothing herein contained shall be deemed to give any person the right to be retained in the employ of the Company or to restrict the right of the Company to discharge any person at any time nor shall the Plan be deemed to give the Company the right to require any person to remain in the employ of the Company or to restrict any person’s right to terminate his employment at any time.</w:t>
      </w:r>
    </w:p>
    <w:p>
      <w:pPr>
        <w:spacing w:after="0" w:line="33" w:lineRule="exact"/>
        <w:rPr>
          <w:sz w:val="20"/>
          <w:szCs w:val="20"/>
          <w:color w:val="auto"/>
        </w:rPr>
      </w:pPr>
    </w:p>
    <w:p>
      <w:pPr>
        <w:ind w:right="420" w:firstLine="164"/>
        <w:spacing w:after="0" w:line="283" w:lineRule="auto"/>
        <w:rPr>
          <w:sz w:val="20"/>
          <w:szCs w:val="20"/>
          <w:color w:val="auto"/>
        </w:rPr>
      </w:pPr>
      <w:r>
        <w:rPr>
          <w:rFonts w:ascii="Arial" w:cs="Arial" w:eastAsia="Arial" w:hAnsi="Arial"/>
          <w:sz w:val="13"/>
          <w:szCs w:val="13"/>
          <w:b w:val="1"/>
          <w:bCs w:val="1"/>
          <w:color w:val="auto"/>
        </w:rPr>
        <w:t xml:space="preserve">10.9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provision of this Plan shall be held illegal or invalid for any reason, said illegality or invalidity shall not affect the remaining provisions hereof; instead, each provision shall be fully</w:t>
      </w:r>
      <w:r>
        <w:rPr>
          <w:rFonts w:ascii="Arial" w:cs="Arial" w:eastAsia="Arial" w:hAnsi="Arial"/>
          <w:sz w:val="13"/>
          <w:szCs w:val="13"/>
          <w:b w:val="1"/>
          <w:bCs w:val="1"/>
          <w:color w:val="auto"/>
        </w:rPr>
        <w:t xml:space="preserve"> </w:t>
      </w:r>
      <w:r>
        <w:rPr>
          <w:rFonts w:ascii="Arial" w:cs="Arial" w:eastAsia="Arial" w:hAnsi="Arial"/>
          <w:sz w:val="13"/>
          <w:szCs w:val="13"/>
          <w:color w:val="auto"/>
        </w:rPr>
        <w:t>severable and the Plan shall be construed and enforced as if said illegal or invalid provision had never been included herein.</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10.10 </w:t>
      </w:r>
      <w:r>
        <w:rPr>
          <w:rFonts w:ascii="Arial" w:cs="Arial" w:eastAsia="Arial" w:hAnsi="Arial"/>
          <w:sz w:val="13"/>
          <w:szCs w:val="13"/>
          <w:b w:val="1"/>
          <w:bCs w:val="1"/>
          <w:u w:val="single" w:color="auto"/>
          <w:color w:val="auto"/>
        </w:rPr>
        <w:t>Headings</w:t>
      </w:r>
      <w:r>
        <w:rPr>
          <w:rFonts w:ascii="Arial" w:cs="Arial" w:eastAsia="Arial" w:hAnsi="Arial"/>
          <w:sz w:val="13"/>
          <w:szCs w:val="13"/>
          <w:b w:val="1"/>
          <w:bCs w:val="1"/>
          <w:color w:val="auto"/>
        </w:rPr>
        <w:t xml:space="preserve">. </w:t>
      </w:r>
      <w:r>
        <w:rPr>
          <w:rFonts w:ascii="Arial" w:cs="Arial" w:eastAsia="Arial" w:hAnsi="Arial"/>
          <w:sz w:val="13"/>
          <w:szCs w:val="13"/>
          <w:color w:val="auto"/>
        </w:rPr>
        <w:t>Headings and subheading in the Plan are inserted for convenience only and are not to be considered in the construction of the provisions hereof.</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80"/>
          </w:cols>
          <w:pgMar w:left="220" w:top="720" w:right="2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10.10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RESTRICTED STOCK UNIT AWARD AGREEMENT</w:t>
      </w:r>
    </w:p>
    <w:p>
      <w:pPr>
        <w:spacing w:after="0" w:line="90"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This Restricted Stock Unit Award Agreement (“Agreement”) is entered into effective as of January 26, 2007 (the “Grant Date”), by and between Waste Management, Inc., a Delaware corporation (together with its Subsidiaries and Affiliates, the “Company”), and «Full_NameFirst» (the “Employee”), pursuant to the Waste Management, Inc. 2004 Stock Incentive Plan (the “Plan”). Employee and the Company agree to execute such further instruments and to take such further action as may reasonably be necessary to carry out the intent of this Agreement.</w:t>
      </w:r>
    </w:p>
    <w:p>
      <w:pPr>
        <w:spacing w:after="0" w:line="57" w:lineRule="exact"/>
        <w:rPr>
          <w:sz w:val="20"/>
          <w:szCs w:val="20"/>
          <w:color w:val="auto"/>
        </w:rPr>
      </w:pPr>
    </w:p>
    <w:p>
      <w:pPr>
        <w:ind w:right="60" w:firstLine="162"/>
        <w:spacing w:after="0" w:line="264" w:lineRule="auto"/>
        <w:tabs>
          <w:tab w:leader="none" w:pos="295"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Award</w:t>
      </w:r>
      <w:r>
        <w:rPr>
          <w:rFonts w:ascii="Arial" w:cs="Arial" w:eastAsia="Arial" w:hAnsi="Arial"/>
          <w:sz w:val="13"/>
          <w:szCs w:val="13"/>
          <w:color w:val="auto"/>
        </w:rPr>
        <w:t>. The Company hereby grants to Employee «M___Units» Restricted Stock Units. Restricted Stock Units are notational units of measurement denominated in shares of common stock of Waste Management, Inc., $.01 par value (“Common Stock”). Each Restricted Stock Unit represents a hypothetical share of Common Stock, subject to the conditions and restrictions on transferability set forth below and in the Plan. The Restricted Stock Units will be credited to Employee in an unfunded bookkeeping account established for Employee.</w:t>
      </w:r>
    </w:p>
    <w:p>
      <w:pPr>
        <w:spacing w:after="0" w:line="57" w:lineRule="exact"/>
        <w:rPr>
          <w:rFonts w:ascii="Arial" w:cs="Arial" w:eastAsia="Arial" w:hAnsi="Arial"/>
          <w:sz w:val="13"/>
          <w:szCs w:val="13"/>
          <w:color w:val="auto"/>
        </w:rPr>
      </w:pPr>
    </w:p>
    <w:p>
      <w:pPr>
        <w:ind w:right="160" w:firstLine="162"/>
        <w:spacing w:after="0" w:line="258" w:lineRule="auto"/>
        <w:tabs>
          <w:tab w:leader="none" w:pos="295"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Vesting of Restricted Stock Units</w:t>
      </w:r>
      <w:r>
        <w:rPr>
          <w:rFonts w:ascii="Arial" w:cs="Arial" w:eastAsia="Arial" w:hAnsi="Arial"/>
          <w:sz w:val="13"/>
          <w:szCs w:val="13"/>
          <w:color w:val="auto"/>
        </w:rPr>
        <w:t>. The period of time between the Grant Date and the vesting of Restricted Stock Units (and the termination of restriction thereon) will be referred to herein as the “Restriction Period.” During the Restriction Period, the Restricted Stock Units will be subject to the restrictions as set forth herein. Unless timely deferred by Employee in accordance with Section 5, upon vesting, each Restricted Stock Unit will be converted into one share of Company Common Stock and Employee will be issued shares of Common Stock equal to the number of Restricted Stock Units held, free of any restrictions. Except as otherwise provided herein, the vesting of such Restricted Stock Units and any Dividend Equivalents relating thereto shall occur only if Employee is an employee of the Company on the date of vesting and has continuously been so employed since the Grant Date.</w:t>
      </w:r>
    </w:p>
    <w:p>
      <w:pPr>
        <w:spacing w:after="0" w:line="59" w:lineRule="exact"/>
        <w:rPr>
          <w:sz w:val="20"/>
          <w:szCs w:val="20"/>
          <w:color w:val="auto"/>
        </w:rPr>
      </w:pPr>
    </w:p>
    <w:p>
      <w:pPr>
        <w:ind w:left="580" w:right="80" w:firstLine="327"/>
        <w:spacing w:after="0" w:line="280" w:lineRule="auto"/>
        <w:rPr>
          <w:sz w:val="20"/>
          <w:szCs w:val="20"/>
          <w:color w:val="auto"/>
        </w:rPr>
      </w:pPr>
      <w:r>
        <w:rPr>
          <w:rFonts w:ascii="Arial" w:cs="Arial" w:eastAsia="Arial" w:hAnsi="Arial"/>
          <w:sz w:val="13"/>
          <w:szCs w:val="13"/>
          <w:color w:val="auto"/>
        </w:rPr>
        <w:t>(a)</w:t>
      </w:r>
      <w:r>
        <w:rPr>
          <w:rFonts w:ascii="Arial" w:cs="Arial" w:eastAsia="Arial" w:hAnsi="Arial"/>
          <w:sz w:val="13"/>
          <w:szCs w:val="13"/>
          <w:u w:val="single" w:color="auto"/>
          <w:color w:val="auto"/>
        </w:rPr>
        <w:t>General Vesting Schedule</w:t>
      </w:r>
      <w:r>
        <w:rPr>
          <w:rFonts w:ascii="Arial" w:cs="Arial" w:eastAsia="Arial" w:hAnsi="Arial"/>
          <w:sz w:val="13"/>
          <w:szCs w:val="13"/>
          <w:color w:val="auto"/>
        </w:rPr>
        <w:t>. The Restricted Stock Units granted pursuant to this Agreement shall vest in their entirety on the third (3</w:t>
      </w:r>
      <w:r>
        <w:rPr>
          <w:rFonts w:ascii="Arial" w:cs="Arial" w:eastAsia="Arial" w:hAnsi="Arial"/>
          <w:sz w:val="11"/>
          <w:szCs w:val="11"/>
          <w:color w:val="auto"/>
        </w:rPr>
        <w:t>rd</w:t>
      </w:r>
      <w:r>
        <w:rPr>
          <w:rFonts w:ascii="Arial" w:cs="Arial" w:eastAsia="Arial" w:hAnsi="Arial"/>
          <w:sz w:val="13"/>
          <w:szCs w:val="13"/>
          <w:color w:val="auto"/>
        </w:rPr>
        <w:t>) anniversary of the Grant Date, unless earlier vested or forfeited pursuant to the terms of this Agreement.</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3"/>
          <w:szCs w:val="13"/>
          <w:color w:val="auto"/>
        </w:rPr>
        <w:t>(b)</w:t>
      </w:r>
      <w:r>
        <w:rPr>
          <w:rFonts w:ascii="Arial" w:cs="Arial" w:eastAsia="Arial" w:hAnsi="Arial"/>
          <w:sz w:val="13"/>
          <w:szCs w:val="13"/>
          <w:u w:val="single" w:color="auto"/>
          <w:color w:val="auto"/>
        </w:rPr>
        <w:t>Accelerated Vesting of Restricted Stock Units</w:t>
      </w:r>
      <w:r>
        <w:rPr>
          <w:rFonts w:ascii="Arial" w:cs="Arial" w:eastAsia="Arial" w:hAnsi="Arial"/>
          <w:sz w:val="13"/>
          <w:szCs w:val="13"/>
          <w:color w:val="auto"/>
        </w:rPr>
        <w:t>.</w:t>
      </w:r>
    </w:p>
    <w:p>
      <w:pPr>
        <w:spacing w:after="0" w:line="86" w:lineRule="exact"/>
        <w:rPr>
          <w:sz w:val="20"/>
          <w:szCs w:val="20"/>
          <w:color w:val="auto"/>
        </w:rPr>
      </w:pPr>
    </w:p>
    <w:p>
      <w:pPr>
        <w:ind w:left="1140" w:right="120" w:firstLine="661"/>
        <w:spacing w:after="0" w:line="264" w:lineRule="auto"/>
        <w:tabs>
          <w:tab w:leader="none" w:pos="1951"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Acceleration on Death or Disability</w:t>
      </w:r>
      <w:r>
        <w:rPr>
          <w:rFonts w:ascii="Arial" w:cs="Arial" w:eastAsia="Arial" w:hAnsi="Arial"/>
          <w:sz w:val="13"/>
          <w:szCs w:val="13"/>
          <w:color w:val="auto"/>
        </w:rPr>
        <w:t>. Upon Termination of Employment from the Company by reason of Employee’s death or disability (as determined by the Committee), or upon Employee’s disability prior to a Termination of Employment (as determined by the Committee and within the meaning of Section 409A of the Internal Revenue Code of 1986, as amended (the “Internal Revenue Code”)) all Restricted Stock Units that are not vested at that time immediately will become vested in full.</w:t>
      </w:r>
    </w:p>
    <w:p>
      <w:pPr>
        <w:spacing w:after="0" w:line="57" w:lineRule="exact"/>
        <w:rPr>
          <w:rFonts w:ascii="Arial" w:cs="Arial" w:eastAsia="Arial" w:hAnsi="Arial"/>
          <w:sz w:val="13"/>
          <w:szCs w:val="13"/>
          <w:color w:val="auto"/>
        </w:rPr>
      </w:pPr>
    </w:p>
    <w:p>
      <w:pPr>
        <w:ind w:left="1140" w:right="60" w:firstLine="661"/>
        <w:spacing w:after="0" w:line="264" w:lineRule="auto"/>
        <w:tabs>
          <w:tab w:leader="none" w:pos="1988"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Pro-rated Vesting upon Involuntary Termination by the Company or Retirement by Employee</w:t>
      </w:r>
      <w:r>
        <w:rPr>
          <w:rFonts w:ascii="Arial" w:cs="Arial" w:eastAsia="Arial" w:hAnsi="Arial"/>
          <w:sz w:val="13"/>
          <w:szCs w:val="13"/>
          <w:color w:val="auto"/>
        </w:rPr>
        <w:t>. Upon either an involuntary Termination of Employment without Cause by the Company or a qualifying Retirement by Employee, Employee will be entitled to have vested under this award (including the amount of Restricted Stock Units that have already vested at that time) the amount of Restricted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5" w:name="page146"/>
    <w:bookmarkEnd w:id="145"/>
    <w:p>
      <w:pPr>
        <w:jc w:val="both"/>
        <w:ind w:left="1140" w:right="20"/>
        <w:spacing w:after="0" w:line="264" w:lineRule="auto"/>
        <w:rPr>
          <w:sz w:val="20"/>
          <w:szCs w:val="20"/>
          <w:color w:val="auto"/>
        </w:rPr>
      </w:pPr>
      <w:r>
        <w:rPr>
          <w:rFonts w:ascii="Arial" w:cs="Arial" w:eastAsia="Arial" w:hAnsi="Arial"/>
          <w:sz w:val="13"/>
          <w:szCs w:val="13"/>
          <w:color w:val="auto"/>
        </w:rPr>
        <w:t>Units equivalent to the total Restricted Stock Units granted under this Agreement multiplied by the fraction which has as its numerator the total number of days that Employee was employed by the Company during the period beginning on the Grant Date and ending on the date of Termination of Employment, and has as its denominator 1,096 (being the number of calendar days in Restriction Period).</w:t>
      </w:r>
    </w:p>
    <w:p>
      <w:pPr>
        <w:spacing w:after="0" w:line="57" w:lineRule="exact"/>
        <w:rPr>
          <w:sz w:val="20"/>
          <w:szCs w:val="20"/>
          <w:color w:val="auto"/>
        </w:rPr>
      </w:pPr>
    </w:p>
    <w:p>
      <w:pPr>
        <w:ind w:left="1140" w:right="40" w:firstLine="661"/>
        <w:spacing w:after="0" w:line="285" w:lineRule="auto"/>
        <w:tabs>
          <w:tab w:leader="none" w:pos="2024" w:val="left"/>
        </w:tabs>
        <w:numPr>
          <w:ilvl w:val="2"/>
          <w:numId w:val="98"/>
        </w:numPr>
        <w:rPr>
          <w:rFonts w:ascii="Arial" w:cs="Arial" w:eastAsia="Arial" w:hAnsi="Arial"/>
          <w:sz w:val="12"/>
          <w:szCs w:val="12"/>
          <w:color w:val="auto"/>
        </w:rPr>
      </w:pPr>
      <w:r>
        <w:rPr>
          <w:rFonts w:ascii="Arial" w:cs="Arial" w:eastAsia="Arial" w:hAnsi="Arial"/>
          <w:sz w:val="12"/>
          <w:szCs w:val="12"/>
          <w:u w:val="single" w:color="auto"/>
          <w:color w:val="auto"/>
        </w:rPr>
        <w:t>Possible Acceleration upon Change in Control or Certain Terminations Following Change in Control</w:t>
      </w:r>
      <w:r>
        <w:rPr>
          <w:rFonts w:ascii="Arial" w:cs="Arial" w:eastAsia="Arial" w:hAnsi="Arial"/>
          <w:sz w:val="12"/>
          <w:szCs w:val="12"/>
          <w:color w:val="auto"/>
        </w:rPr>
        <w:t>. If there is a Change in Control of Waste Management, Inc., all outstanding but unvested Restricted Stock Units that are not vested will become immediately vested in full, unless the successor entity assumes all awards granted under the Plan and converts the awards to equivalent grants in the successor effective as of the Change in Control. Provided, however, even if the successor entity so assumes and converts all awards granted under the Plan, if the successor entity terminates Employee’s employment during the Window Period without Cause (as each term is defined in Section 16 below), or due to Employee’s death or disability, then all outstanding but unvested Restricted Stock Units (or its equivalent grant in the successor entity) will become immediately vested in full as of such termination.</w:t>
      </w:r>
    </w:p>
    <w:p>
      <w:pPr>
        <w:spacing w:after="0" w:line="45" w:lineRule="exact"/>
        <w:rPr>
          <w:rFonts w:ascii="Arial" w:cs="Arial" w:eastAsia="Arial" w:hAnsi="Arial"/>
          <w:sz w:val="12"/>
          <w:szCs w:val="12"/>
          <w:color w:val="auto"/>
        </w:rPr>
      </w:pPr>
    </w:p>
    <w:p>
      <w:pPr>
        <w:jc w:val="both"/>
        <w:ind w:right="20" w:firstLine="326"/>
        <w:spacing w:after="0" w:line="264" w:lineRule="auto"/>
        <w:tabs>
          <w:tab w:leader="none" w:pos="458"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Forfeitures of Restricted Stock Units</w:t>
      </w:r>
      <w:r>
        <w:rPr>
          <w:rFonts w:ascii="Arial" w:cs="Arial" w:eastAsia="Arial" w:hAnsi="Arial"/>
          <w:sz w:val="13"/>
          <w:szCs w:val="13"/>
          <w:color w:val="auto"/>
        </w:rPr>
        <w:t>. Upon Termination of Employment from the Company for any reason other than as described in Section 2, Employee shall immediately forfeit all unvested Restricted Stock Units, without the payment of any consideration or further consideration by the Company. Upon forfeiture, neither Employee nor any successors, heirs, assigns, or legal representatives of Employee shall thereafter have any further rights or interest in the unvested Restricted Stock Units or certificates therefor.</w:t>
      </w:r>
    </w:p>
    <w:p>
      <w:pPr>
        <w:spacing w:after="0" w:line="57" w:lineRule="exact"/>
        <w:rPr>
          <w:rFonts w:ascii="Arial" w:cs="Arial" w:eastAsia="Arial" w:hAnsi="Arial"/>
          <w:sz w:val="13"/>
          <w:szCs w:val="13"/>
          <w:color w:val="auto"/>
        </w:rPr>
      </w:pPr>
    </w:p>
    <w:p>
      <w:pPr>
        <w:ind w:left="460" w:hanging="134"/>
        <w:spacing w:after="0"/>
        <w:tabs>
          <w:tab w:leader="none" w:pos="460"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Restrictions on Transfer Before Vesting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0" w:right="480" w:firstLine="320"/>
        <w:spacing w:after="0" w:line="276" w:lineRule="auto"/>
        <w:tabs>
          <w:tab w:leader="none" w:pos="1086" w:val="left"/>
        </w:tabs>
        <w:numPr>
          <w:ilvl w:val="1"/>
          <w:numId w:val="99"/>
        </w:numPr>
        <w:rPr>
          <w:rFonts w:ascii="Arial" w:cs="Arial" w:eastAsia="Arial" w:hAnsi="Arial"/>
          <w:sz w:val="13"/>
          <w:szCs w:val="13"/>
          <w:color w:val="auto"/>
        </w:rPr>
      </w:pPr>
      <w:r>
        <w:rPr>
          <w:rFonts w:ascii="Arial" w:cs="Arial" w:eastAsia="Arial" w:hAnsi="Arial"/>
          <w:sz w:val="13"/>
          <w:szCs w:val="13"/>
          <w:color w:val="auto"/>
        </w:rPr>
        <w:t>Absent prior written consent of the Committee, the Restricted Stock Units granted hereunder to Employee may not be sold, assigned, transferred, pledged or otherwise encumbered, whether voluntarily or involuntarily, by operation of law or otherwise, from the Grant Date until such shares have become vested and not subject to deferral.</w:t>
      </w:r>
    </w:p>
    <w:p>
      <w:pPr>
        <w:spacing w:after="0" w:line="49" w:lineRule="exact"/>
        <w:rPr>
          <w:rFonts w:ascii="Arial" w:cs="Arial" w:eastAsia="Arial" w:hAnsi="Arial"/>
          <w:sz w:val="13"/>
          <w:szCs w:val="13"/>
          <w:color w:val="auto"/>
        </w:rPr>
      </w:pPr>
    </w:p>
    <w:p>
      <w:pPr>
        <w:ind w:left="580" w:firstLine="320"/>
        <w:spacing w:after="0" w:line="285" w:lineRule="auto"/>
        <w:tabs>
          <w:tab w:leader="none" w:pos="1093" w:val="left"/>
        </w:tabs>
        <w:numPr>
          <w:ilvl w:val="1"/>
          <w:numId w:val="99"/>
        </w:numPr>
        <w:rPr>
          <w:rFonts w:ascii="Arial" w:cs="Arial" w:eastAsia="Arial" w:hAnsi="Arial"/>
          <w:sz w:val="12"/>
          <w:szCs w:val="12"/>
          <w:color w:val="auto"/>
        </w:rPr>
      </w:pPr>
      <w:r>
        <w:rPr>
          <w:rFonts w:ascii="Arial" w:cs="Arial" w:eastAsia="Arial" w:hAnsi="Arial"/>
          <w:sz w:val="12"/>
          <w:szCs w:val="12"/>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or her Beneficiary hereunder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46" w:name="page147"/>
    <w:bookmarkEnd w:id="146"/>
    <w:p>
      <w:pPr>
        <w:ind w:left="460" w:hanging="140"/>
        <w:spacing w:after="0"/>
        <w:tabs>
          <w:tab w:leader="none" w:pos="460"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Elective Deferrals Prior to Vesting.</w:t>
      </w:r>
    </w:p>
    <w:p>
      <w:pPr>
        <w:spacing w:after="0" w:line="86" w:lineRule="exact"/>
        <w:rPr>
          <w:rFonts w:ascii="Arial" w:cs="Arial" w:eastAsia="Arial" w:hAnsi="Arial"/>
          <w:sz w:val="13"/>
          <w:szCs w:val="13"/>
          <w:color w:val="auto"/>
        </w:rPr>
      </w:pPr>
    </w:p>
    <w:p>
      <w:pPr>
        <w:ind w:left="460" w:right="80" w:firstLine="318"/>
        <w:spacing w:after="0" w:line="285" w:lineRule="auto"/>
        <w:tabs>
          <w:tab w:leader="none" w:pos="966"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The Committee may establish procedures pursuant to which Employee may elect to defer, until a time or times later than the vesting of a Restricted Stock Unit, receipt of all or a portion of the shares of Common Stock deliverable in respect of a Restricted Stock Unit, all on such terms and conditions as the Committee (or its designee) shall determine in its sole discretion. The Committee further retains the authority and discretion to modify and/or terminate existing deferral elections, procedures and distribution options.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45" w:lineRule="exact"/>
        <w:rPr>
          <w:rFonts w:ascii="Arial" w:cs="Arial" w:eastAsia="Arial" w:hAnsi="Arial"/>
          <w:sz w:val="12"/>
          <w:szCs w:val="12"/>
          <w:color w:val="auto"/>
        </w:rPr>
      </w:pPr>
    </w:p>
    <w:p>
      <w:pPr>
        <w:ind w:left="460" w:right="60" w:firstLine="318"/>
        <w:spacing w:after="0" w:line="258" w:lineRule="auto"/>
        <w:tabs>
          <w:tab w:leader="none" w:pos="973" w:val="left"/>
        </w:tabs>
        <w:numPr>
          <w:ilvl w:val="1"/>
          <w:numId w:val="100"/>
        </w:numPr>
        <w:rPr>
          <w:rFonts w:ascii="Arial" w:cs="Arial" w:eastAsia="Arial" w:hAnsi="Arial"/>
          <w:sz w:val="13"/>
          <w:szCs w:val="13"/>
          <w:color w:val="auto"/>
        </w:rPr>
      </w:pPr>
      <w:r>
        <w:rPr>
          <w:rFonts w:ascii="Arial" w:cs="Arial" w:eastAsia="Arial" w:hAnsi="Arial"/>
          <w:sz w:val="13"/>
          <w:szCs w:val="13"/>
          <w:color w:val="auto"/>
        </w:rPr>
        <w:t>Notwithstanding any provision to the contrary in this Agreement, if deferral of Restricted Stock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61" w:lineRule="exact"/>
        <w:rPr>
          <w:rFonts w:ascii="Arial" w:cs="Arial" w:eastAsia="Arial" w:hAnsi="Arial"/>
          <w:sz w:val="13"/>
          <w:szCs w:val="13"/>
          <w:color w:val="auto"/>
        </w:rPr>
      </w:pPr>
    </w:p>
    <w:p>
      <w:pPr>
        <w:ind w:firstLine="320"/>
        <w:spacing w:after="0" w:line="289" w:lineRule="auto"/>
        <w:tabs>
          <w:tab w:leader="none" w:pos="458" w:val="left"/>
        </w:tabs>
        <w:numPr>
          <w:ilvl w:val="0"/>
          <w:numId w:val="100"/>
        </w:numPr>
        <w:rPr>
          <w:rFonts w:ascii="Arial" w:cs="Arial" w:eastAsia="Arial" w:hAnsi="Arial"/>
          <w:sz w:val="12"/>
          <w:szCs w:val="12"/>
          <w:color w:val="auto"/>
        </w:rPr>
      </w:pPr>
      <w:r>
        <w:rPr>
          <w:rFonts w:ascii="Arial" w:cs="Arial" w:eastAsia="Arial" w:hAnsi="Arial"/>
          <w:sz w:val="12"/>
          <w:szCs w:val="12"/>
          <w:u w:val="single" w:color="auto"/>
          <w:color w:val="auto"/>
        </w:rPr>
        <w:t>Rights as a Stockholder</w:t>
      </w:r>
      <w:r>
        <w:rPr>
          <w:rFonts w:ascii="Arial" w:cs="Arial" w:eastAsia="Arial" w:hAnsi="Arial"/>
          <w:sz w:val="12"/>
          <w:szCs w:val="12"/>
          <w:color w:val="auto"/>
        </w:rPr>
        <w:t>. Employee will have no rights as a stockholder with regard to the Restricted Stock Units prior to vesting. However, the Company will pay Dividend Equivalents on unvested Restricted Stock Units, in the form of cash at such time as dividends are paid on the Company’s outstanding shares of Common Stock; provided that, for Restricted Stock Units that are subject to a valid deferral election of Employee pursuant to Section 5, the Company will pay Dividend Equivalents in the form of additional deferred Restricted Stock Units, credited to Employee’s deferral account effective as of such time as dividends are paid on the Company’s outstanding shares of Common Stock, but not distributable until such time as directed by Employee’s deferral election.</w:t>
      </w:r>
    </w:p>
    <w:p>
      <w:pPr>
        <w:spacing w:after="0" w:line="43" w:lineRule="exact"/>
        <w:rPr>
          <w:rFonts w:ascii="Arial" w:cs="Arial" w:eastAsia="Arial" w:hAnsi="Arial"/>
          <w:sz w:val="12"/>
          <w:szCs w:val="12"/>
          <w:color w:val="auto"/>
        </w:rPr>
      </w:pPr>
    </w:p>
    <w:p>
      <w:pPr>
        <w:ind w:right="320" w:firstLine="320"/>
        <w:spacing w:after="0" w:line="320" w:lineRule="auto"/>
        <w:tabs>
          <w:tab w:leader="none" w:pos="458" w:val="left"/>
        </w:tabs>
        <w:numPr>
          <w:ilvl w:val="0"/>
          <w:numId w:val="100"/>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 To the extent that the vesting or receipt of the Restricted Stock Units or Dividend Equivalents or the lapse of any restrictions results in a taxable event to Employee for federal or state tax purposes, Employee shall deliver to the Company at the time of such receipt or lapse, as the case may be, such amount of money or shares of Common Stock received upon vesting of</w:t>
      </w:r>
    </w:p>
    <w:p>
      <w:pPr>
        <w:spacing w:after="0" w:line="84" w:lineRule="exact"/>
        <w:rPr>
          <w:sz w:val="20"/>
          <w:szCs w:val="20"/>
          <w:color w:val="auto"/>
        </w:rPr>
      </w:pPr>
    </w:p>
    <w:p>
      <w:pPr>
        <w:jc w:val="center"/>
        <w:ind w:right="5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800" w:top="720" w:right="219" w:bottom="1440" w:gutter="0" w:footer="0" w:header="0"/>
        </w:sectPr>
      </w:pPr>
    </w:p>
    <w:bookmarkStart w:id="147" w:name="page148"/>
    <w:bookmarkEnd w:id="147"/>
    <w:p>
      <w:pPr>
        <w:ind w:right="280"/>
        <w:spacing w:after="0" w:line="264" w:lineRule="auto"/>
        <w:rPr>
          <w:sz w:val="20"/>
          <w:szCs w:val="20"/>
          <w:color w:val="auto"/>
        </w:rPr>
      </w:pPr>
      <w:r>
        <w:rPr>
          <w:rFonts w:ascii="Arial" w:cs="Arial" w:eastAsia="Arial" w:hAnsi="Arial"/>
          <w:sz w:val="13"/>
          <w:szCs w:val="13"/>
          <w:color w:val="auto"/>
        </w:rPr>
        <w:t>Restricted Stock Units or other shares of Common Stock owned by employee, at Employee’s election, as the Company may require to meet its obligation under applicable tax laws or regulations, and, if Employee fails to do so, the Company is authorized to withhold from the shares of Common Stock deliverable as a result of the vesting of the Restricted Stock Units or from any cash or other form of remuneration then or thereafter payable to Employee an amount equivalent to any tax required to be withheld by reasons of such resulting taxation.</w:t>
      </w:r>
    </w:p>
    <w:p>
      <w:pPr>
        <w:spacing w:after="0" w:line="57" w:lineRule="exact"/>
        <w:rPr>
          <w:sz w:val="20"/>
          <w:szCs w:val="20"/>
          <w:color w:val="auto"/>
        </w:rPr>
      </w:pPr>
    </w:p>
    <w:p>
      <w:pPr>
        <w:ind w:right="40" w:firstLine="320"/>
        <w:spacing w:after="0" w:line="264" w:lineRule="auto"/>
        <w:tabs>
          <w:tab w:leader="none" w:pos="458"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Changes in Capital Structure</w:t>
      </w:r>
      <w:r>
        <w:rPr>
          <w:rFonts w:ascii="Arial" w:cs="Arial" w:eastAsia="Arial" w:hAnsi="Arial"/>
          <w:sz w:val="13"/>
          <w:szCs w:val="13"/>
          <w:color w:val="auto"/>
        </w:rPr>
        <w:t>. If the outstanding shares of Common Stock or other securities of Waste Management, Inc., or both, shall at any time be changed or exchanged by declaration of a stock dividend, stock split, combination of shares, or recapitalization, the number and kind of Restricted Stock Units shall be appropriately and equitably adjusted so as to maintain the proportionate number of shares.</w:t>
      </w:r>
    </w:p>
    <w:p>
      <w:pPr>
        <w:spacing w:after="0" w:line="57" w:lineRule="exact"/>
        <w:rPr>
          <w:rFonts w:ascii="Arial" w:cs="Arial" w:eastAsia="Arial" w:hAnsi="Arial"/>
          <w:sz w:val="13"/>
          <w:szCs w:val="13"/>
          <w:color w:val="auto"/>
        </w:rPr>
      </w:pPr>
    </w:p>
    <w:p>
      <w:pPr>
        <w:ind w:firstLine="320"/>
        <w:spacing w:after="0" w:line="260" w:lineRule="auto"/>
        <w:tabs>
          <w:tab w:leader="none" w:pos="458"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Compliance With Securities Laws</w:t>
      </w:r>
      <w:r>
        <w:rPr>
          <w:rFonts w:ascii="Arial" w:cs="Arial" w:eastAsia="Arial" w:hAnsi="Arial"/>
          <w:sz w:val="13"/>
          <w:szCs w:val="13"/>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59" w:lineRule="exact"/>
        <w:rPr>
          <w:rFonts w:ascii="Arial" w:cs="Arial" w:eastAsia="Arial" w:hAnsi="Arial"/>
          <w:sz w:val="13"/>
          <w:szCs w:val="13"/>
          <w:color w:val="auto"/>
        </w:rPr>
      </w:pPr>
    </w:p>
    <w:p>
      <w:pPr>
        <w:ind w:right="20" w:firstLine="320"/>
        <w:spacing w:after="0" w:line="282" w:lineRule="auto"/>
        <w:tabs>
          <w:tab w:leader="none" w:pos="524"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Assignment</w:t>
      </w:r>
      <w:r>
        <w:rPr>
          <w:rFonts w:ascii="Arial" w:cs="Arial" w:eastAsia="Arial" w:hAnsi="Arial"/>
          <w:sz w:val="12"/>
          <w:szCs w:val="12"/>
          <w:color w:val="auto"/>
        </w:rPr>
        <w:t>. The Restricted Stock Units are not transferable (either voluntarily or involuntarily), other than pursuant to a domestic relations order. Employee may designate a beneficiary or beneficiaries (the “Beneficiary”) to whom the Restricted Stock Units will pass upon Employee’s death and may change such designation from time to time by filing a written designation of Beneficiary on such form as may be prescribed by the Company; provided that no such designation shall be effective until filed with the Company. Employee may change his or her Beneficiary without the consent of any prior Beneficiary by filing a new designation with the Company; provided that no such designation shall be effective prior to receipt by the Company. Following Employee’s death, the Restricted Stock Units will pass to the designated Beneficiary and such person will be deemed Employee for purposes of any applicable provisions of this Agreement. If no such designation is made or if the designated Beneficiary does not survive Employee’s death, the Restricted Stock Units shall pass by will or, if none, then by the laws of descent and distribution.</w:t>
      </w:r>
    </w:p>
    <w:p>
      <w:pPr>
        <w:spacing w:after="0" w:line="49" w:lineRule="exact"/>
        <w:rPr>
          <w:rFonts w:ascii="Arial" w:cs="Arial" w:eastAsia="Arial" w:hAnsi="Arial"/>
          <w:sz w:val="12"/>
          <w:szCs w:val="12"/>
          <w:color w:val="auto"/>
        </w:rPr>
      </w:pPr>
    </w:p>
    <w:p>
      <w:pPr>
        <w:ind w:left="520" w:hanging="200"/>
        <w:spacing w:after="0"/>
        <w:tabs>
          <w:tab w:leader="none" w:pos="52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60" w:right="400" w:firstLine="497"/>
        <w:spacing w:after="0" w:line="371" w:lineRule="auto"/>
        <w:tabs>
          <w:tab w:leader="none" w:pos="1229" w:val="left"/>
        </w:tabs>
        <w:numPr>
          <w:ilvl w:val="1"/>
          <w:numId w:val="101"/>
        </w:numPr>
        <w:rPr>
          <w:rFonts w:ascii="Arial" w:cs="Arial" w:eastAsia="Arial" w:hAnsi="Arial"/>
          <w:sz w:val="11"/>
          <w:szCs w:val="11"/>
          <w:color w:val="auto"/>
        </w:rPr>
      </w:pPr>
      <w:r>
        <w:rPr>
          <w:rFonts w:ascii="Arial" w:cs="Arial" w:eastAsia="Arial" w:hAnsi="Arial"/>
          <w:sz w:val="11"/>
          <w:szCs w:val="11"/>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61"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800" w:top="720" w:right="259" w:bottom="1440" w:gutter="0" w:footer="0" w:header="0"/>
        </w:sectPr>
      </w:pPr>
    </w:p>
    <w:bookmarkStart w:id="148" w:name="page149"/>
    <w:bookmarkEnd w:id="148"/>
    <w:p>
      <w:pPr>
        <w:ind w:left="560" w:right="40" w:firstLine="497"/>
        <w:spacing w:after="0" w:line="264" w:lineRule="auto"/>
        <w:tabs>
          <w:tab w:leader="none" w:pos="1237" w:val="left"/>
        </w:tabs>
        <w:numPr>
          <w:ilvl w:val="2"/>
          <w:numId w:val="102"/>
        </w:numPr>
        <w:rPr>
          <w:rFonts w:ascii="Arial" w:cs="Arial" w:eastAsia="Arial" w:hAnsi="Arial"/>
          <w:sz w:val="13"/>
          <w:szCs w:val="13"/>
          <w:color w:val="auto"/>
        </w:rPr>
      </w:pPr>
      <w:r>
        <w:rPr>
          <w:rFonts w:ascii="Arial" w:cs="Arial" w:eastAsia="Arial" w:hAnsi="Arial"/>
          <w:sz w:val="13"/>
          <w:szCs w:val="13"/>
          <w:color w:val="auto"/>
        </w:rPr>
        <w:t>The Company shall require any successor (whether direct or indirect, by purchase, merger, consolidation or otherwise) to all or substantially all of the business and/or assets of the Company that assumes all Awards granted under the Plan as contemplated by Section 2(b)(iii) to assume expressly and agree to perform this Agreement in the same manner and to the same extent that the Company would be required to perform it if no such succession had taken place, subject to the vesting rights under Section 2(b)(iii).</w:t>
      </w:r>
    </w:p>
    <w:p>
      <w:pPr>
        <w:spacing w:after="0" w:line="57" w:lineRule="exact"/>
        <w:rPr>
          <w:rFonts w:ascii="Arial" w:cs="Arial" w:eastAsia="Arial" w:hAnsi="Arial"/>
          <w:sz w:val="13"/>
          <w:szCs w:val="13"/>
          <w:color w:val="auto"/>
        </w:rPr>
      </w:pPr>
    </w:p>
    <w:p>
      <w:pPr>
        <w:ind w:left="520" w:hanging="200"/>
        <w:spacing w:after="0"/>
        <w:tabs>
          <w:tab w:leader="none" w:pos="520"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Limitation of Rights</w:t>
      </w:r>
      <w:r>
        <w:rPr>
          <w:rFonts w:ascii="Arial" w:cs="Arial" w:eastAsia="Arial" w:hAnsi="Arial"/>
          <w:sz w:val="13"/>
          <w:szCs w:val="13"/>
          <w:color w:val="auto"/>
        </w:rPr>
        <w:t>. Nothing in this Agreement or the Plan may be construed to:</w:t>
      </w:r>
    </w:p>
    <w:p>
      <w:pPr>
        <w:spacing w:after="0" w:line="86" w:lineRule="exact"/>
        <w:rPr>
          <w:rFonts w:ascii="Arial" w:cs="Arial" w:eastAsia="Arial" w:hAnsi="Arial"/>
          <w:sz w:val="13"/>
          <w:szCs w:val="13"/>
          <w:color w:val="auto"/>
        </w:rPr>
      </w:pPr>
    </w:p>
    <w:p>
      <w:pPr>
        <w:ind w:left="1240" w:hanging="183"/>
        <w:spacing w:after="0"/>
        <w:tabs>
          <w:tab w:leader="none" w:pos="124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give Employee any right to be awarded any further Restricted Stock Units (or other form of stock incentive awards) other than in the sole discretion of the Committee;</w:t>
      </w:r>
    </w:p>
    <w:p>
      <w:pPr>
        <w:spacing w:after="0" w:line="86" w:lineRule="exact"/>
        <w:rPr>
          <w:rFonts w:ascii="Arial" w:cs="Arial" w:eastAsia="Arial" w:hAnsi="Arial"/>
          <w:sz w:val="13"/>
          <w:szCs w:val="13"/>
          <w:color w:val="auto"/>
        </w:rPr>
      </w:pPr>
    </w:p>
    <w:p>
      <w:pPr>
        <w:ind w:left="560" w:right="180" w:firstLine="497"/>
        <w:spacing w:after="0" w:line="276" w:lineRule="auto"/>
        <w:tabs>
          <w:tab w:leader="none" w:pos="1237" w:val="left"/>
        </w:tabs>
        <w:numPr>
          <w:ilvl w:val="2"/>
          <w:numId w:val="103"/>
        </w:numPr>
        <w:rPr>
          <w:rFonts w:ascii="Arial" w:cs="Arial" w:eastAsia="Arial" w:hAnsi="Arial"/>
          <w:sz w:val="13"/>
          <w:szCs w:val="13"/>
          <w:color w:val="auto"/>
        </w:rPr>
      </w:pPr>
      <w:r>
        <w:rPr>
          <w:rFonts w:ascii="Arial" w:cs="Arial" w:eastAsia="Arial" w:hAnsi="Arial"/>
          <w:sz w:val="13"/>
          <w:szCs w:val="13"/>
          <w:color w:val="auto"/>
        </w:rPr>
        <w:t>give Employee or any other person any interest in any fund or in any specified asset or assets of the Company (other than the Restricted Stock Units and applicable Common Stock following the vesting of such Restricted Stock Units); or</w:t>
      </w:r>
    </w:p>
    <w:p>
      <w:pPr>
        <w:spacing w:after="0" w:line="49" w:lineRule="exact"/>
        <w:rPr>
          <w:rFonts w:ascii="Arial" w:cs="Arial" w:eastAsia="Arial" w:hAnsi="Arial"/>
          <w:sz w:val="13"/>
          <w:szCs w:val="13"/>
          <w:color w:val="auto"/>
        </w:rPr>
      </w:pPr>
    </w:p>
    <w:p>
      <w:pPr>
        <w:ind w:left="1240" w:hanging="183"/>
        <w:spacing w:after="0"/>
        <w:tabs>
          <w:tab w:leader="none" w:pos="124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confer upon Employee the right to continue in the employment or service of the Company.</w:t>
      </w:r>
    </w:p>
    <w:p>
      <w:pPr>
        <w:spacing w:after="0" w:line="86" w:lineRule="exact"/>
        <w:rPr>
          <w:rFonts w:ascii="Arial" w:cs="Arial" w:eastAsia="Arial" w:hAnsi="Arial"/>
          <w:sz w:val="13"/>
          <w:szCs w:val="13"/>
          <w:color w:val="auto"/>
        </w:rPr>
      </w:pPr>
    </w:p>
    <w:p>
      <w:pPr>
        <w:ind w:left="680" w:hanging="197"/>
        <w:spacing w:after="0"/>
        <w:tabs>
          <w:tab w:leader="none" w:pos="680" w:val="left"/>
        </w:tabs>
        <w:numPr>
          <w:ilvl w:val="1"/>
          <w:numId w:val="103"/>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internal laws of the State of Texas, without reference to principles of conflict of laws.</w:t>
      </w:r>
    </w:p>
    <w:p>
      <w:pPr>
        <w:spacing w:after="0" w:line="86" w:lineRule="exact"/>
        <w:rPr>
          <w:rFonts w:ascii="Arial" w:cs="Arial" w:eastAsia="Arial" w:hAnsi="Arial"/>
          <w:sz w:val="13"/>
          <w:szCs w:val="13"/>
          <w:color w:val="auto"/>
        </w:rPr>
      </w:pPr>
    </w:p>
    <w:p>
      <w:pPr>
        <w:ind w:left="680" w:hanging="197"/>
        <w:spacing w:after="0"/>
        <w:tabs>
          <w:tab w:leader="none" w:pos="680" w:val="left"/>
        </w:tabs>
        <w:numPr>
          <w:ilvl w:val="1"/>
          <w:numId w:val="103"/>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invalidity or unenforceability of any provision of this Agreement shall not affect the validity or enforceability of any other provision of this Agreement.</w:t>
      </w:r>
    </w:p>
    <w:p>
      <w:pPr>
        <w:spacing w:after="0" w:line="86" w:lineRule="exact"/>
        <w:rPr>
          <w:rFonts w:ascii="Arial" w:cs="Arial" w:eastAsia="Arial" w:hAnsi="Arial"/>
          <w:sz w:val="13"/>
          <w:szCs w:val="13"/>
          <w:color w:val="auto"/>
        </w:rPr>
      </w:pPr>
    </w:p>
    <w:p>
      <w:pPr>
        <w:ind w:right="40" w:firstLine="483"/>
        <w:spacing w:after="0" w:line="276" w:lineRule="auto"/>
        <w:tabs>
          <w:tab w:leader="none" w:pos="688" w:val="left"/>
        </w:tabs>
        <w:numPr>
          <w:ilvl w:val="1"/>
          <w:numId w:val="103"/>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49" w:lineRule="exact"/>
        <w:rPr>
          <w:rFonts w:ascii="Arial" w:cs="Arial" w:eastAsia="Arial" w:hAnsi="Arial"/>
          <w:sz w:val="13"/>
          <w:szCs w:val="13"/>
          <w:color w:val="auto"/>
        </w:rPr>
      </w:pPr>
    </w:p>
    <w:p>
      <w:pPr>
        <w:ind w:right="200" w:firstLine="483"/>
        <w:spacing w:after="0" w:line="276" w:lineRule="auto"/>
        <w:tabs>
          <w:tab w:leader="none" w:pos="688" w:val="left"/>
        </w:tabs>
        <w:numPr>
          <w:ilvl w:val="1"/>
          <w:numId w:val="103"/>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16.</w:t>
      </w:r>
    </w:p>
    <w:p>
      <w:pPr>
        <w:spacing w:after="0" w:line="49" w:lineRule="exact"/>
        <w:rPr>
          <w:rFonts w:ascii="Arial" w:cs="Arial" w:eastAsia="Arial" w:hAnsi="Arial"/>
          <w:sz w:val="13"/>
          <w:szCs w:val="13"/>
          <w:color w:val="auto"/>
        </w:rPr>
      </w:pPr>
    </w:p>
    <w:p>
      <w:pPr>
        <w:ind w:left="1240" w:hanging="183"/>
        <w:spacing w:after="0"/>
        <w:tabs>
          <w:tab w:leader="none" w:pos="124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“Board” means the Board of Directors of Waste Management, Inc.</w:t>
      </w:r>
    </w:p>
    <w:p>
      <w:pPr>
        <w:spacing w:after="0" w:line="86" w:lineRule="exact"/>
        <w:rPr>
          <w:rFonts w:ascii="Arial" w:cs="Arial" w:eastAsia="Arial" w:hAnsi="Arial"/>
          <w:sz w:val="13"/>
          <w:szCs w:val="13"/>
          <w:color w:val="auto"/>
        </w:rPr>
      </w:pPr>
    </w:p>
    <w:p>
      <w:pPr>
        <w:ind w:left="560" w:firstLine="497"/>
        <w:spacing w:after="0" w:line="264" w:lineRule="auto"/>
        <w:tabs>
          <w:tab w:leader="none" w:pos="1237" w:val="left"/>
        </w:tabs>
        <w:numPr>
          <w:ilvl w:val="2"/>
          <w:numId w:val="103"/>
        </w:numPr>
        <w:rPr>
          <w:rFonts w:ascii="Arial" w:cs="Arial" w:eastAsia="Arial" w:hAnsi="Arial"/>
          <w:sz w:val="13"/>
          <w:szCs w:val="13"/>
          <w:color w:val="auto"/>
        </w:rPr>
      </w:pPr>
      <w:r>
        <w:rPr>
          <w:rFonts w:ascii="Arial" w:cs="Arial" w:eastAsia="Arial" w:hAnsi="Arial"/>
          <w:sz w:val="13"/>
          <w:szCs w:val="13"/>
          <w:color w:val="auto"/>
        </w:rPr>
        <w:t>“Cause”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800" w:top="720" w:right="259" w:bottom="1440" w:gutter="0" w:footer="0" w:header="0"/>
        </w:sectPr>
      </w:pPr>
    </w:p>
    <w:bookmarkStart w:id="149" w:name="page150"/>
    <w:bookmarkEnd w:id="149"/>
    <w:p>
      <w:pPr>
        <w:spacing w:after="0" w:line="260" w:lineRule="auto"/>
        <w:rPr>
          <w:sz w:val="20"/>
          <w:szCs w:val="20"/>
          <w:color w:val="auto"/>
        </w:rPr>
      </w:pPr>
      <w:r>
        <w:rPr>
          <w:rFonts w:ascii="Arial" w:cs="Arial" w:eastAsia="Arial" w:hAnsi="Arial"/>
          <w:sz w:val="13"/>
          <w:szCs w:val="13"/>
          <w:color w:val="auto"/>
        </w:rPr>
        <w:t xml:space="preserve">written notice; (ii) breach of any statutory or common law duty of loyalty to the Company; (iii) Employee has been convicted of, or pleaded </w:t>
      </w:r>
      <w:r>
        <w:rPr>
          <w:rFonts w:ascii="Arial" w:cs="Arial" w:eastAsia="Arial" w:hAnsi="Arial"/>
          <w:sz w:val="13"/>
          <w:szCs w:val="13"/>
          <w:i w:val="1"/>
          <w:iCs w:val="1"/>
          <w:color w:val="auto"/>
        </w:rPr>
        <w:t>nolo contendre</w:t>
      </w:r>
      <w:r>
        <w:rPr>
          <w:rFonts w:ascii="Arial" w:cs="Arial" w:eastAsia="Arial" w:hAnsi="Arial"/>
          <w:sz w:val="13"/>
          <w:szCs w:val="13"/>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60" w:lineRule="exact"/>
        <w:rPr>
          <w:sz w:val="20"/>
          <w:szCs w:val="20"/>
          <w:color w:val="auto"/>
        </w:rPr>
      </w:pPr>
    </w:p>
    <w:p>
      <w:pPr>
        <w:ind w:left="180" w:hanging="174"/>
        <w:spacing w:after="0"/>
        <w:tabs>
          <w:tab w:leader="none" w:pos="1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“Change in Control” means the first to occur on or after the Grant Date of any of the following events:</w:t>
      </w:r>
    </w:p>
    <w:p>
      <w:pPr>
        <w:spacing w:after="0" w:line="86" w:lineRule="exact"/>
        <w:rPr>
          <w:rFonts w:ascii="Arial" w:cs="Arial" w:eastAsia="Arial" w:hAnsi="Arial"/>
          <w:sz w:val="13"/>
          <w:szCs w:val="13"/>
          <w:color w:val="auto"/>
        </w:rPr>
      </w:pPr>
    </w:p>
    <w:p>
      <w:pPr>
        <w:ind w:right="180" w:firstLine="497"/>
        <w:spacing w:after="0" w:line="276" w:lineRule="auto"/>
        <w:tabs>
          <w:tab w:leader="none" w:pos="648"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49" w:lineRule="exact"/>
        <w:rPr>
          <w:rFonts w:ascii="Arial" w:cs="Arial" w:eastAsia="Arial" w:hAnsi="Arial"/>
          <w:sz w:val="13"/>
          <w:szCs w:val="13"/>
          <w:color w:val="auto"/>
        </w:rPr>
      </w:pPr>
    </w:p>
    <w:p>
      <w:pPr>
        <w:ind w:right="160" w:firstLine="497"/>
        <w:spacing w:after="0" w:line="258" w:lineRule="auto"/>
        <w:tabs>
          <w:tab w:leader="none" w:pos="684"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61" w:lineRule="exact"/>
        <w:rPr>
          <w:rFonts w:ascii="Arial" w:cs="Arial" w:eastAsia="Arial" w:hAnsi="Arial"/>
          <w:sz w:val="13"/>
          <w:szCs w:val="13"/>
          <w:color w:val="auto"/>
        </w:rPr>
      </w:pPr>
    </w:p>
    <w:p>
      <w:pPr>
        <w:ind w:right="40" w:firstLine="497"/>
        <w:spacing w:after="0" w:line="258" w:lineRule="auto"/>
        <w:tabs>
          <w:tab w:leader="none" w:pos="72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61" w:lineRule="exact"/>
        <w:rPr>
          <w:rFonts w:ascii="Arial" w:cs="Arial" w:eastAsia="Arial" w:hAnsi="Arial"/>
          <w:sz w:val="13"/>
          <w:szCs w:val="13"/>
          <w:color w:val="auto"/>
        </w:rPr>
      </w:pPr>
    </w:p>
    <w:p>
      <w:pPr>
        <w:ind w:right="180" w:firstLine="497"/>
        <w:spacing w:after="0" w:line="276" w:lineRule="auto"/>
        <w:tabs>
          <w:tab w:leader="none" w:pos="713"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stockholders of the Company approve a plan of complete liquidation of the Company or there is consummated an agreement for the sale or disposition by the Company of all or substantially all of the Company’s assets (or</w:t>
      </w:r>
    </w:p>
    <w:p>
      <w:pPr>
        <w:spacing w:after="0" w:line="108"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1360" w:top="720" w:right="219" w:bottom="1440" w:gutter="0" w:footer="0" w:header="0"/>
        </w:sectPr>
      </w:pPr>
    </w:p>
    <w:bookmarkStart w:id="150" w:name="page151"/>
    <w:bookmarkEnd w:id="150"/>
    <w:p>
      <w:pPr>
        <w:ind w:left="220" w:right="140"/>
        <w:spacing w:after="0" w:line="320" w:lineRule="auto"/>
        <w:rPr>
          <w:sz w:val="20"/>
          <w:szCs w:val="20"/>
          <w:color w:val="auto"/>
        </w:rPr>
      </w:pPr>
      <w:r>
        <w:rPr>
          <w:rFonts w:ascii="Arial" w:cs="Arial" w:eastAsia="Arial" w:hAnsi="Arial"/>
          <w:sz w:val="12"/>
          <w:szCs w:val="12"/>
          <w:color w:val="auto"/>
        </w:rPr>
        <w:t>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For purposes of this definition, the following terms shall have the following meanings:</w:t>
      </w:r>
    </w:p>
    <w:p>
      <w:pPr>
        <w:spacing w:after="0" w:line="86" w:lineRule="exact"/>
        <w:rPr>
          <w:sz w:val="20"/>
          <w:szCs w:val="20"/>
          <w:color w:val="auto"/>
        </w:rPr>
      </w:pPr>
    </w:p>
    <w:p>
      <w:pPr>
        <w:ind w:left="1860" w:hanging="223"/>
        <w:spacing w:after="0"/>
        <w:tabs>
          <w:tab w:leader="none" w:pos="186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“Beneficial Owner” shall have the meaning set forth in Rule 13d-3 under the Exchange Act;</w:t>
      </w:r>
    </w:p>
    <w:p>
      <w:pPr>
        <w:spacing w:after="0" w:line="86" w:lineRule="exact"/>
        <w:rPr>
          <w:rFonts w:ascii="Arial" w:cs="Arial" w:eastAsia="Arial" w:hAnsi="Arial"/>
          <w:sz w:val="13"/>
          <w:szCs w:val="13"/>
          <w:color w:val="auto"/>
        </w:rPr>
      </w:pPr>
    </w:p>
    <w:p>
      <w:pPr>
        <w:ind w:left="1840" w:hanging="203"/>
        <w:spacing w:after="0"/>
        <w:tabs>
          <w:tab w:leader="none" w:pos="184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“Exchange Act” means the Securities and Exchange Act of 1934, as amended from time to time;</w:t>
      </w:r>
    </w:p>
    <w:p>
      <w:pPr>
        <w:spacing w:after="0" w:line="86" w:lineRule="exact"/>
        <w:rPr>
          <w:rFonts w:ascii="Arial" w:cs="Arial" w:eastAsia="Arial" w:hAnsi="Arial"/>
          <w:sz w:val="13"/>
          <w:szCs w:val="13"/>
          <w:color w:val="auto"/>
        </w:rPr>
      </w:pPr>
    </w:p>
    <w:p>
      <w:pPr>
        <w:ind w:left="1840" w:hanging="203"/>
        <w:spacing w:after="0"/>
        <w:tabs>
          <w:tab w:leader="none" w:pos="184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“Person” shall have the meaning set forth in Section 3(a)(9) of the Exchange Act, as modified and used in Sections 13(d) and 14(d) thereof, except that such term shall not include</w:t>
      </w:r>
    </w:p>
    <w:p>
      <w:pPr>
        <w:spacing w:after="0" w:line="26" w:lineRule="exact"/>
        <w:rPr>
          <w:rFonts w:ascii="Arial" w:cs="Arial" w:eastAsia="Arial" w:hAnsi="Arial"/>
          <w:sz w:val="12"/>
          <w:szCs w:val="12"/>
          <w:color w:val="auto"/>
        </w:rPr>
      </w:pPr>
    </w:p>
    <w:p>
      <w:pPr>
        <w:ind w:left="1140" w:right="140" w:firstLine="6"/>
        <w:spacing w:after="0" w:line="258" w:lineRule="auto"/>
        <w:tabs>
          <w:tab w:leader="none" w:pos="1325"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61"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This definition of Change in Control will be modified if and to the extent necessary to ensure compliance with the requirements of Section 409A of the Code, and Employee and the Company agree to execute such further instruments and take such further action as reasonably may be necessary to comply with Section 409A of the Code.</w:t>
      </w:r>
    </w:p>
    <w:p>
      <w:pPr>
        <w:spacing w:after="0" w:line="49" w:lineRule="exact"/>
        <w:rPr>
          <w:sz w:val="20"/>
          <w:szCs w:val="20"/>
          <w:color w:val="auto"/>
        </w:rPr>
      </w:pPr>
    </w:p>
    <w:p>
      <w:pPr>
        <w:ind w:left="340" w:hanging="178"/>
        <w:spacing w:after="0"/>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“Committee” means the Management Development and Compensation Committee of the Board or such other committee of the Board as the Board may designate from time to time.</w:t>
      </w:r>
    </w:p>
    <w:p>
      <w:pPr>
        <w:spacing w:after="0" w:line="86" w:lineRule="exact"/>
        <w:rPr>
          <w:rFonts w:ascii="Arial" w:cs="Arial" w:eastAsia="Arial" w:hAnsi="Arial"/>
          <w:sz w:val="13"/>
          <w:szCs w:val="13"/>
          <w:color w:val="auto"/>
        </w:rPr>
      </w:pPr>
    </w:p>
    <w:p>
      <w:pPr>
        <w:ind w:firstLine="162"/>
        <w:spacing w:after="0" w:line="264" w:lineRule="auto"/>
        <w:tabs>
          <w:tab w:leader="none" w:pos="34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1" w:name="page152"/>
    <w:bookmarkEnd w:id="151"/>
    <w:p>
      <w:pPr>
        <w:ind w:left="481" w:hanging="318"/>
        <w:spacing w:after="0"/>
        <w:tabs>
          <w:tab w:leader="none" w:pos="481" w:val="left"/>
        </w:tabs>
        <w:numPr>
          <w:ilvl w:val="1"/>
          <w:numId w:val="108"/>
        </w:numPr>
        <w:rPr>
          <w:rFonts w:ascii="Arial" w:cs="Arial" w:eastAsia="Arial" w:hAnsi="Arial"/>
          <w:sz w:val="12"/>
          <w:szCs w:val="12"/>
          <w:color w:val="auto"/>
        </w:rPr>
      </w:pPr>
      <w:r>
        <w:rPr>
          <w:rFonts w:ascii="Arial" w:cs="Arial" w:eastAsia="Arial" w:hAnsi="Arial"/>
          <w:sz w:val="12"/>
          <w:szCs w:val="12"/>
          <w:color w:val="auto"/>
        </w:rPr>
        <w:t>“Retirement” means the voluntary resignation of employment by Employee, after Employee: (i) has attained the age of 55 or greater; (ii) has a sum of age plus full years of Service with the Company equal to</w:t>
      </w:r>
    </w:p>
    <w:p>
      <w:pPr>
        <w:spacing w:after="0" w:line="26" w:lineRule="exact"/>
        <w:rPr>
          <w:rFonts w:ascii="Arial" w:cs="Arial" w:eastAsia="Arial" w:hAnsi="Arial"/>
          <w:sz w:val="12"/>
          <w:szCs w:val="12"/>
          <w:color w:val="auto"/>
        </w:rPr>
      </w:pPr>
    </w:p>
    <w:p>
      <w:pPr>
        <w:ind w:left="161" w:hanging="161"/>
        <w:spacing w:after="0"/>
        <w:tabs>
          <w:tab w:leader="none" w:pos="161"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or greater; and, (iii) has completed at least 5 consecutive full years of Service with the Company during the 5 year period immediately preceding the resignation.</w:t>
      </w:r>
    </w:p>
    <w:p>
      <w:pPr>
        <w:spacing w:after="0" w:line="78" w:lineRule="exact"/>
        <w:rPr>
          <w:rFonts w:ascii="Arial" w:cs="Arial" w:eastAsia="Arial" w:hAnsi="Arial"/>
          <w:sz w:val="13"/>
          <w:szCs w:val="13"/>
          <w:color w:val="auto"/>
        </w:rPr>
      </w:pPr>
    </w:p>
    <w:p>
      <w:pPr>
        <w:ind w:left="1" w:right="80" w:firstLine="162"/>
        <w:spacing w:after="0" w:line="289" w:lineRule="auto"/>
        <w:tabs>
          <w:tab w:leader="none" w:pos="514" w:val="left"/>
        </w:tabs>
        <w:numPr>
          <w:ilvl w:val="1"/>
          <w:numId w:val="109"/>
        </w:numPr>
        <w:rPr>
          <w:rFonts w:ascii="Arial" w:cs="Arial" w:eastAsia="Arial" w:hAnsi="Arial"/>
          <w:sz w:val="12"/>
          <w:szCs w:val="12"/>
          <w:color w:val="auto"/>
        </w:rPr>
      </w:pPr>
      <w:r>
        <w:rPr>
          <w:rFonts w:ascii="Arial" w:cs="Arial" w:eastAsia="Arial" w:hAnsi="Arial"/>
          <w:sz w:val="12"/>
          <w:szCs w:val="12"/>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43" w:lineRule="exact"/>
        <w:rPr>
          <w:rFonts w:ascii="Arial" w:cs="Arial" w:eastAsia="Arial" w:hAnsi="Arial"/>
          <w:sz w:val="12"/>
          <w:szCs w:val="12"/>
          <w:color w:val="auto"/>
        </w:rPr>
      </w:pPr>
    </w:p>
    <w:p>
      <w:pPr>
        <w:ind w:left="1" w:right="180" w:firstLine="162"/>
        <w:spacing w:after="0" w:line="264" w:lineRule="auto"/>
        <w:tabs>
          <w:tab w:leader="none" w:pos="514" w:val="left"/>
        </w:tabs>
        <w:numPr>
          <w:ilvl w:val="1"/>
          <w:numId w:val="109"/>
        </w:numPr>
        <w:rPr>
          <w:rFonts w:ascii="Arial" w:cs="Arial" w:eastAsia="Arial" w:hAnsi="Arial"/>
          <w:sz w:val="13"/>
          <w:szCs w:val="13"/>
          <w:color w:val="auto"/>
        </w:rPr>
      </w:pPr>
      <w:r>
        <w:rPr>
          <w:rFonts w:ascii="Arial" w:cs="Arial" w:eastAsia="Arial" w:hAnsi="Arial"/>
          <w:sz w:val="13"/>
          <w:szCs w:val="13"/>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57" w:lineRule="exact"/>
        <w:rPr>
          <w:rFonts w:ascii="Arial" w:cs="Arial" w:eastAsia="Arial" w:hAnsi="Arial"/>
          <w:sz w:val="13"/>
          <w:szCs w:val="13"/>
          <w:color w:val="auto"/>
        </w:rPr>
      </w:pPr>
    </w:p>
    <w:p>
      <w:pPr>
        <w:ind w:left="1" w:right="280" w:firstLine="162"/>
        <w:spacing w:after="0" w:line="276" w:lineRule="auto"/>
        <w:tabs>
          <w:tab w:leader="none" w:pos="518" w:val="left"/>
        </w:tabs>
        <w:numPr>
          <w:ilvl w:val="1"/>
          <w:numId w:val="109"/>
        </w:numPr>
        <w:rPr>
          <w:rFonts w:ascii="Arial" w:cs="Arial" w:eastAsia="Arial" w:hAnsi="Arial"/>
          <w:sz w:val="13"/>
          <w:szCs w:val="13"/>
          <w:color w:val="auto"/>
        </w:rPr>
      </w:pPr>
      <w:r>
        <w:rPr>
          <w:rFonts w:ascii="Arial" w:cs="Arial" w:eastAsia="Arial" w:hAnsi="Arial"/>
          <w:sz w:val="13"/>
          <w:szCs w:val="13"/>
          <w:color w:val="auto"/>
        </w:rPr>
        <w:t>“Window Period” means the period commencing on the date six months immediately prior to the date on which a Change in Control first occurs and ending the second anniversary of the date on which a Change in Control occurs.</w:t>
      </w:r>
    </w:p>
    <w:p>
      <w:pPr>
        <w:spacing w:after="0" w:line="127" w:lineRule="exact"/>
        <w:rPr>
          <w:rFonts w:ascii="Arial" w:cs="Arial" w:eastAsia="Arial" w:hAnsi="Arial"/>
          <w:sz w:val="13"/>
          <w:szCs w:val="13"/>
          <w:color w:val="auto"/>
        </w:rPr>
      </w:pPr>
    </w:p>
    <w:p>
      <w:pPr>
        <w:ind w:left="201" w:hanging="201"/>
        <w:spacing w:after="0"/>
        <w:tabs>
          <w:tab w:leader="none" w:pos="201"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firstLine="162"/>
        <w:spacing w:after="0" w:line="264" w:lineRule="auto"/>
        <w:tabs>
          <w:tab w:leader="none" w:pos="343" w:val="left"/>
        </w:tabs>
        <w:numPr>
          <w:ilvl w:val="1"/>
          <w:numId w:val="110"/>
        </w:numPr>
        <w:rPr>
          <w:rFonts w:ascii="Arial" w:cs="Arial" w:eastAsia="Arial" w:hAnsi="Arial"/>
          <w:sz w:val="13"/>
          <w:szCs w:val="13"/>
          <w:color w:val="auto"/>
        </w:rPr>
      </w:pPr>
      <w:r>
        <w:rPr>
          <w:rFonts w:ascii="Arial" w:cs="Arial" w:eastAsia="Arial" w:hAnsi="Arial"/>
          <w:sz w:val="13"/>
          <w:szCs w:val="13"/>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57" w:lineRule="exact"/>
        <w:rPr>
          <w:rFonts w:ascii="Arial" w:cs="Arial" w:eastAsia="Arial" w:hAnsi="Arial"/>
          <w:sz w:val="13"/>
          <w:szCs w:val="13"/>
          <w:color w:val="auto"/>
        </w:rPr>
      </w:pPr>
    </w:p>
    <w:p>
      <w:pPr>
        <w:ind w:left="1" w:right="160" w:firstLine="162"/>
        <w:spacing w:after="0" w:line="276" w:lineRule="auto"/>
        <w:tabs>
          <w:tab w:leader="none" w:pos="35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52" w:name="page153"/>
    <w:bookmarkEnd w:id="152"/>
    <w:p>
      <w:pPr>
        <w:ind w:left="220" w:firstLine="172"/>
        <w:spacing w:after="0" w:line="276" w:lineRule="auto"/>
        <w:tabs>
          <w:tab w:leader="none" w:pos="559" w:val="left"/>
        </w:tabs>
        <w:numPr>
          <w:ilvl w:val="1"/>
          <w:numId w:val="111"/>
        </w:numPr>
        <w:rPr>
          <w:rFonts w:ascii="Arial" w:cs="Arial" w:eastAsia="Arial" w:hAnsi="Arial"/>
          <w:sz w:val="13"/>
          <w:szCs w:val="13"/>
          <w:color w:val="auto"/>
        </w:rPr>
      </w:pPr>
      <w:r>
        <w:rPr>
          <w:rFonts w:ascii="Arial" w:cs="Arial" w:eastAsia="Arial" w:hAnsi="Arial"/>
          <w:sz w:val="13"/>
          <w:szCs w:val="13"/>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49" w:lineRule="exact"/>
        <w:rPr>
          <w:rFonts w:ascii="Arial" w:cs="Arial" w:eastAsia="Arial" w:hAnsi="Arial"/>
          <w:sz w:val="13"/>
          <w:szCs w:val="13"/>
          <w:color w:val="auto"/>
        </w:rPr>
      </w:pPr>
    </w:p>
    <w:p>
      <w:pPr>
        <w:ind w:right="20" w:firstLine="162"/>
        <w:spacing w:after="0" w:line="264" w:lineRule="auto"/>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deliver any documents related to the Restricted Stock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which together shall constitute one and the same original.</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12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Chief Executive Officer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122555</wp:posOffset>
            </wp:positionV>
            <wp:extent cx="25965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00"/>
          </w:cols>
          <w:pgMar w:left="220" w:top="721" w:right="2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10.11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SHARE UNIT AWARD AGREEMENT</w:t>
      </w:r>
    </w:p>
    <w:p>
      <w:pPr>
        <w:spacing w:after="0" w:line="90"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This Performance Share Unit Award Agreement (“Agreement”) is entered into effective as of January 26, 2007 the “Grant Date”), by and between Waste Management, Inc., a Delaware corporation (together with its Subsidiaries and Affiliates, the “Company”), and «Full_NameFirst» (the “Employee”), pursuant to the Waste Management, Inc. 2004 Stock Incentive Plan (the “Plan”). Employee and the Company agree to execute such further instruments and to take such further action as may reasonably be necessary to carry out the intent of this Agreement.</w:t>
      </w:r>
    </w:p>
    <w:p>
      <w:pPr>
        <w:spacing w:after="0" w:line="57" w:lineRule="exact"/>
        <w:rPr>
          <w:sz w:val="20"/>
          <w:szCs w:val="20"/>
          <w:color w:val="auto"/>
        </w:rPr>
      </w:pPr>
    </w:p>
    <w:p>
      <w:pPr>
        <w:jc w:val="both"/>
        <w:ind w:right="180" w:firstLine="162"/>
        <w:spacing w:after="0" w:line="264" w:lineRule="auto"/>
        <w:tabs>
          <w:tab w:leader="none" w:pos="295"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Grant.</w:t>
      </w:r>
      <w:r>
        <w:rPr>
          <w:rFonts w:ascii="Arial" w:cs="Arial" w:eastAsia="Arial" w:hAnsi="Arial"/>
          <w:sz w:val="13"/>
          <w:szCs w:val="13"/>
          <w:color w:val="auto"/>
        </w:rPr>
        <w:t xml:space="preserve"> In accordance with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Performance Vesting Requirement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140" w:firstLine="172"/>
        <w:spacing w:after="0" w:line="371" w:lineRule="auto"/>
        <w:tabs>
          <w:tab w:leader="none" w:pos="562" w:val="left"/>
        </w:tabs>
        <w:numPr>
          <w:ilvl w:val="1"/>
          <w:numId w:val="113"/>
        </w:numPr>
        <w:rPr>
          <w:rFonts w:ascii="Arial" w:cs="Arial" w:eastAsia="Arial" w:hAnsi="Arial"/>
          <w:sz w:val="11"/>
          <w:szCs w:val="11"/>
          <w:color w:val="auto"/>
        </w:rPr>
      </w:pPr>
      <w:r>
        <w:rPr>
          <w:rFonts w:ascii="Arial" w:cs="Arial" w:eastAsia="Arial" w:hAnsi="Arial"/>
          <w:sz w:val="11"/>
          <w:szCs w:val="11"/>
          <w:color w:val="auto"/>
        </w:rPr>
        <w:t>The “Performance Period” for this Award shall be the 36-month period commencing on January 1, 2007 and ending on December 31, 2009. The Award shall be subject to performance vesting requirements based upon the achievement of the Performance Target specified below, subject to certification of the degree of achievement of such Performance Target by the Committee pursuant to Section 7 of the Plan.</w:t>
      </w:r>
    </w:p>
    <w:p>
      <w:pPr>
        <w:spacing w:after="0" w:line="2" w:lineRule="exact"/>
        <w:rPr>
          <w:rFonts w:ascii="Arial" w:cs="Arial" w:eastAsia="Arial" w:hAnsi="Arial"/>
          <w:sz w:val="11"/>
          <w:szCs w:val="11"/>
          <w:color w:val="auto"/>
        </w:rPr>
      </w:pPr>
    </w:p>
    <w:p>
      <w:pPr>
        <w:ind w:left="220" w:right="260" w:firstLine="172"/>
        <w:spacing w:after="0" w:line="264" w:lineRule="auto"/>
        <w:tabs>
          <w:tab w:leader="none" w:pos="56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measurement tool for determining level of achievement shall be the average Return on Invested Capital (“ROIC”) for the 36-month period beginning January 1, 2007 and ending December 31, 2009. ROIC is defined to mean (i) the Company’s average “as reported” Net Operating Profit After Taxes (“NOPAT”) for the Performance Period, divided by (ii) the Company’s average Invested Capital for the Performance Period. For purposes of this Agreement, the average ROIC for the Performance Period will be calculated using the following equation:</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(2007 NOPAT + 2008 NOPAT + 2009 NOPAT)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(2007 Invested Capital + 2008 Invested Capital + 2009 Invested Capital)</w:t>
      </w:r>
    </w:p>
    <w:p>
      <w:pPr>
        <w:spacing w:after="0" w:line="79" w:lineRule="exact"/>
        <w:rPr>
          <w:sz w:val="20"/>
          <w:szCs w:val="20"/>
          <w:color w:val="auto"/>
        </w:rPr>
      </w:pPr>
    </w:p>
    <w:p>
      <w:pPr>
        <w:ind w:left="300" w:hanging="138"/>
        <w:spacing w:after="0"/>
        <w:tabs>
          <w:tab w:leader="none" w:pos="300"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Determining Number of Performance Share Units Earned</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340" w:firstLine="172"/>
        <w:spacing w:after="0" w:line="320" w:lineRule="auto"/>
        <w:tabs>
          <w:tab w:leader="none" w:pos="562"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“Target Award” for Employee under this Agreement is «M___Units» Performance Share Units. The actual number of Performance Share Units earned by Employee will be determined as described below, based upon the actual achievement of ROIC for the Performance Period. The “Threshold ROIC” is the minimum ROIC that must be achieved to qualify for any Award; “Target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4" w:name="page155"/>
    <w:bookmarkEnd w:id="154"/>
    <w:p>
      <w:pPr>
        <w:ind w:left="220" w:right="100"/>
        <w:spacing w:after="0" w:line="264" w:lineRule="auto"/>
        <w:rPr>
          <w:sz w:val="20"/>
          <w:szCs w:val="20"/>
          <w:color w:val="auto"/>
        </w:rPr>
      </w:pPr>
      <w:r>
        <w:rPr>
          <w:rFonts w:ascii="Arial" w:cs="Arial" w:eastAsia="Arial" w:hAnsi="Arial"/>
          <w:sz w:val="13"/>
          <w:szCs w:val="13"/>
          <w:color w:val="auto"/>
        </w:rPr>
        <w:t>ROIC” is the expected achievement in ROIC; and “Maximum ROIC” is the maximum ROIC that could be achieved that would result in an increase in the number of Performance Share Units earned under this Award. These targets will be announced to Employee by March 15, 2007, following calculation of year-end financial reporting for 2006. Subject to adjustment pursuant to Subsection 3(b), 3(c) and 3(d), each such percentage correlates to a number of Performance Share Units that may be earned under this Award,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00" w:type="dxa"/>
            <w:vAlign w:val="bottom"/>
          </w:tcPr>
          <w:p>
            <w:pPr>
              <w:jc w:val="center"/>
              <w:spacing w:after="0"/>
              <w:rPr>
                <w:sz w:val="20"/>
                <w:szCs w:val="20"/>
                <w:color w:val="auto"/>
              </w:rPr>
            </w:pPr>
            <w:r>
              <w:rPr>
                <w:rFonts w:ascii="Arial" w:cs="Arial" w:eastAsia="Arial" w:hAnsi="Arial"/>
                <w:sz w:val="10"/>
                <w:szCs w:val="10"/>
                <w:color w:val="auto"/>
                <w:w w:val="97"/>
              </w:rPr>
              <w:t>Average ROIC Achieved During</w:t>
            </w:r>
          </w:p>
        </w:tc>
        <w:tc>
          <w:tcPr>
            <w:tcW w:w="68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color w:val="auto"/>
                <w:w w:val="94"/>
              </w:rPr>
              <w:t>Resulting Performance Share Units</w:t>
            </w:r>
          </w:p>
        </w:tc>
      </w:tr>
      <w:tr>
        <w:trPr>
          <w:trHeight w:val="12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Performance Period</w:t>
            </w:r>
          </w:p>
        </w:tc>
        <w:tc>
          <w:tcPr>
            <w:tcW w:w="68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Earned</w:t>
            </w:r>
          </w:p>
        </w:tc>
      </w:tr>
      <w:tr>
        <w:trPr>
          <w:trHeight w:val="147"/>
        </w:trPr>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1"/>
              </w:rPr>
              <w:t>Threshold ROIC</w:t>
            </w:r>
          </w:p>
        </w:tc>
        <w:tc>
          <w:tcPr>
            <w:tcW w:w="6880" w:type="dxa"/>
            <w:vAlign w:val="bottom"/>
            <w:shd w:val="clear" w:color="auto" w:fill="CCEEFF"/>
          </w:tcPr>
          <w:p>
            <w:pPr>
              <w:spacing w:after="0"/>
              <w:rPr>
                <w:sz w:val="12"/>
                <w:szCs w:val="12"/>
                <w:color w:val="auto"/>
              </w:rPr>
            </w:pPr>
          </w:p>
        </w:tc>
        <w:tc>
          <w:tcPr>
            <w:tcW w:w="22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1"/>
              </w:rPr>
              <w:t>50% of Target Award</w:t>
            </w:r>
          </w:p>
        </w:tc>
      </w:tr>
      <w:tr>
        <w:trPr>
          <w:trHeight w:val="157"/>
        </w:trPr>
        <w:tc>
          <w:tcPr>
            <w:tcW w:w="2300" w:type="dxa"/>
            <w:vAlign w:val="bottom"/>
          </w:tcPr>
          <w:p>
            <w:pPr>
              <w:jc w:val="center"/>
              <w:spacing w:after="0"/>
              <w:rPr>
                <w:sz w:val="20"/>
                <w:szCs w:val="20"/>
                <w:color w:val="auto"/>
              </w:rPr>
            </w:pPr>
            <w:r>
              <w:rPr>
                <w:rFonts w:ascii="Arial" w:cs="Arial" w:eastAsia="Arial" w:hAnsi="Arial"/>
                <w:sz w:val="13"/>
                <w:szCs w:val="13"/>
                <w:color w:val="auto"/>
                <w:w w:val="89"/>
              </w:rPr>
              <w:t>Target ROIC</w:t>
            </w:r>
          </w:p>
        </w:tc>
        <w:tc>
          <w:tcPr>
            <w:tcW w:w="688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1"/>
              </w:rPr>
              <w:t>100% of Target Award</w:t>
            </w:r>
          </w:p>
        </w:tc>
      </w:tr>
      <w:tr>
        <w:trPr>
          <w:trHeight w:val="157"/>
        </w:trPr>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Maximum ROIC</w:t>
            </w:r>
          </w:p>
        </w:tc>
        <w:tc>
          <w:tcPr>
            <w:tcW w:w="6880" w:type="dxa"/>
            <w:vAlign w:val="bottom"/>
            <w:shd w:val="clear" w:color="auto" w:fill="CCEEFF"/>
          </w:tcPr>
          <w:p>
            <w:pPr>
              <w:spacing w:after="0"/>
              <w:rPr>
                <w:sz w:val="13"/>
                <w:szCs w:val="1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200% of Target Award</w:t>
            </w:r>
          </w:p>
        </w:tc>
      </w:tr>
    </w:tbl>
    <w:p>
      <w:pPr>
        <w:spacing w:after="0" w:line="70" w:lineRule="exact"/>
        <w:rPr>
          <w:sz w:val="20"/>
          <w:szCs w:val="20"/>
          <w:color w:val="auto"/>
        </w:rPr>
      </w:pPr>
    </w:p>
    <w:p>
      <w:pPr>
        <w:ind w:left="340" w:hanging="178"/>
        <w:spacing w:after="0"/>
        <w:tabs>
          <w:tab w:leader="none" w:pos="3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the event that the Company’s actual performance does not meet the Threshold ROIC, no Performance Shares Units shall be earned under this Award.</w:t>
      </w:r>
    </w:p>
    <w:p>
      <w:pPr>
        <w:spacing w:after="0" w:line="86" w:lineRule="exact"/>
        <w:rPr>
          <w:rFonts w:ascii="Arial" w:cs="Arial" w:eastAsia="Arial" w:hAnsi="Arial"/>
          <w:sz w:val="13"/>
          <w:szCs w:val="13"/>
          <w:color w:val="auto"/>
        </w:rPr>
      </w:pPr>
    </w:p>
    <w:p>
      <w:pPr>
        <w:ind w:right="200" w:firstLine="162"/>
        <w:spacing w:after="0" w:line="276" w:lineRule="auto"/>
        <w:tabs>
          <w:tab w:leader="none" w:pos="342"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the Company’s actual ROIC for the Performance Period is between Threshold ROIC and Target ROIC, the number of Performance Share Units earned shall be equal to the sum of (i) the Performance Shares Units for achievement of Threshold ROIC plus (ii) the number of Performance Shares determined under the following formula:</w:t>
      </w:r>
    </w:p>
    <w:p>
      <w:pPr>
        <w:spacing w:after="0" w:line="1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(TAS – TS) x (</w:t>
      </w:r>
      <w:r>
        <w:rPr>
          <w:rFonts w:ascii="Arial" w:cs="Arial" w:eastAsia="Arial" w:hAnsi="Arial"/>
          <w:sz w:val="13"/>
          <w:szCs w:val="13"/>
          <w:b w:val="1"/>
          <w:bCs w:val="1"/>
          <w:u w:val="single" w:color="auto"/>
          <w:color w:val="auto"/>
        </w:rPr>
        <w:t>AP – TP</w:t>
      </w:r>
      <w:r>
        <w:rPr>
          <w:rFonts w:ascii="Arial" w:cs="Arial" w:eastAsia="Arial" w:hAnsi="Arial"/>
          <w:sz w:val="13"/>
          <w:szCs w:val="13"/>
          <w:color w:val="auto"/>
        </w:rPr>
        <w:t>)</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TAP -TP</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TAS = Performance Share Units earned for achievement of the Target ROIC.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TS = Performance Share Units earned for achievement of the Threshold ROIC.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 = The percent payment earned based on actual ROIC performance.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TP = The percent payment earned based on Threshold ROIC performance.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TAP = The percent payment earned based on Target ROIC performance.</w:t>
      </w:r>
    </w:p>
    <w:p>
      <w:pPr>
        <w:spacing w:after="0" w:line="79" w:lineRule="exact"/>
        <w:rPr>
          <w:sz w:val="20"/>
          <w:szCs w:val="20"/>
          <w:color w:val="auto"/>
        </w:rPr>
      </w:pPr>
    </w:p>
    <w:p>
      <w:pPr>
        <w:ind w:right="220" w:firstLine="162"/>
        <w:spacing w:after="0" w:line="276" w:lineRule="auto"/>
        <w:tabs>
          <w:tab w:leader="none" w:pos="34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If the Company’s actual ROIC for the Performance Period is between Target ROIC and Maximum ROIC, the number of Performance Share Units earned shall be equal to the sum of (i) the Performance Share Units earned for achievement of Target ROIC plus (ii) the number of Performance Share Units determined under the following formula:</w:t>
      </w:r>
    </w:p>
    <w:p>
      <w:pPr>
        <w:spacing w:after="0" w:line="1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 xml:space="preserve">(MS – TAS) x </w:t>
      </w:r>
      <w:r>
        <w:rPr>
          <w:rFonts w:ascii="Arial" w:cs="Arial" w:eastAsia="Arial" w:hAnsi="Arial"/>
          <w:sz w:val="13"/>
          <w:szCs w:val="13"/>
          <w:b w:val="1"/>
          <w:bCs w:val="1"/>
          <w:u w:val="single" w:color="auto"/>
          <w:color w:val="auto"/>
        </w:rPr>
        <w:t>(AP – TAP)</w:t>
      </w:r>
    </w:p>
    <w:p>
      <w:pPr>
        <w:spacing w:after="0" w:line="19"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MP-TAP</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MS = Performance Share Units earned for achievement of the Maximum ROIC.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TAS = Performance Share Units earned for achievement of the Target ROIC.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AP = The percent payment earned based on actual ROIC performance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TAP = The percent payment earned based on Target ROIC performance.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MP = The percent payment earned based on Maximum ROIC performance.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5" w:name="page156"/>
    <w:bookmarkEnd w:id="155"/>
    <w:p>
      <w:pPr>
        <w:ind w:firstLine="162"/>
        <w:spacing w:after="0" w:line="334" w:lineRule="auto"/>
        <w:tabs>
          <w:tab w:leader="none" w:pos="295" w:val="left"/>
        </w:tabs>
        <w:numPr>
          <w:ilvl w:val="0"/>
          <w:numId w:val="117"/>
        </w:numPr>
        <w:rPr>
          <w:rFonts w:ascii="Arial" w:cs="Arial" w:eastAsia="Arial" w:hAnsi="Arial"/>
          <w:sz w:val="11"/>
          <w:szCs w:val="11"/>
          <w:color w:val="auto"/>
        </w:rPr>
      </w:pPr>
      <w:r>
        <w:rPr>
          <w:rFonts w:ascii="Arial" w:cs="Arial" w:eastAsia="Arial" w:hAnsi="Arial"/>
          <w:sz w:val="11"/>
          <w:szCs w:val="11"/>
          <w:u w:val="single" w:color="auto"/>
          <w:color w:val="auto"/>
        </w:rPr>
        <w:t>Timing and Form of Payout</w:t>
      </w:r>
      <w:r>
        <w:rPr>
          <w:rFonts w:ascii="Arial" w:cs="Arial" w:eastAsia="Arial" w:hAnsi="Arial"/>
          <w:sz w:val="11"/>
          <w:szCs w:val="11"/>
          <w:color w:val="auto"/>
        </w:rPr>
        <w:t>. Except as hereinafter provided, after the end of the Performance Period, Employee shall be entitled to receive his total number of Performance Shares Units determined under Section 3 and Dividend Equivalents under Section 10. Unless timely deferred by Employee in accordance with Section 11,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w:t>
      </w:r>
    </w:p>
    <w:p>
      <w:pPr>
        <w:spacing w:after="0" w:line="22" w:lineRule="exact"/>
        <w:rPr>
          <w:rFonts w:ascii="Arial" w:cs="Arial" w:eastAsia="Arial" w:hAnsi="Arial"/>
          <w:sz w:val="11"/>
          <w:szCs w:val="11"/>
          <w:color w:val="auto"/>
        </w:rPr>
      </w:pPr>
    </w:p>
    <w:p>
      <w:pPr>
        <w:ind w:right="60" w:firstLine="162"/>
        <w:spacing w:after="0" w:line="258" w:lineRule="auto"/>
        <w:tabs>
          <w:tab w:leader="none" w:pos="295"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 Due to Death or Disability</w:t>
      </w:r>
      <w:r>
        <w:rPr>
          <w:rFonts w:ascii="Arial" w:cs="Arial" w:eastAsia="Arial" w:hAnsi="Arial"/>
          <w:sz w:val="13"/>
          <w:szCs w:val="13"/>
          <w:color w:val="auto"/>
        </w:rPr>
        <w:t>. Upon Termination of Employment from the Company by reason of Employee’s death or disability (as determined by the Committee), or upon Employee’s disability prior to a Termination of Employment (as determined by the Committee and within the meaning of Section 409A of the Internal Revenue Code of 1986, as amended (the “Internal Revenue Code”)) Employee (or in the case of Employee’s death, Employee’s beneficiary) shall be entitled to receive the Performance Share Units Employee would have been entitled to under Section 3 if he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1" w:lineRule="exact"/>
        <w:rPr>
          <w:rFonts w:ascii="Arial" w:cs="Arial" w:eastAsia="Arial" w:hAnsi="Arial"/>
          <w:sz w:val="13"/>
          <w:szCs w:val="13"/>
          <w:color w:val="auto"/>
        </w:rPr>
      </w:pPr>
    </w:p>
    <w:p>
      <w:pPr>
        <w:ind w:right="40" w:firstLine="162"/>
        <w:spacing w:after="0" w:line="285" w:lineRule="auto"/>
        <w:tabs>
          <w:tab w:leader="none" w:pos="295" w:val="left"/>
        </w:tabs>
        <w:numPr>
          <w:ilvl w:val="0"/>
          <w:numId w:val="117"/>
        </w:numPr>
        <w:rPr>
          <w:rFonts w:ascii="Arial" w:cs="Arial" w:eastAsia="Arial" w:hAnsi="Arial"/>
          <w:sz w:val="12"/>
          <w:szCs w:val="12"/>
          <w:color w:val="auto"/>
        </w:rPr>
      </w:pPr>
      <w:r>
        <w:rPr>
          <w:rFonts w:ascii="Arial" w:cs="Arial" w:eastAsia="Arial" w:hAnsi="Arial"/>
          <w:sz w:val="12"/>
          <w:szCs w:val="12"/>
          <w:u w:val="single" w:color="auto"/>
          <w:color w:val="auto"/>
        </w:rPr>
        <w:t>Involuntary Termination of Employment Without Cause by the Company or Retirement by Employee</w:t>
      </w:r>
      <w:r>
        <w:rPr>
          <w:rFonts w:ascii="Arial" w:cs="Arial" w:eastAsia="Arial" w:hAnsi="Arial"/>
          <w:sz w:val="12"/>
          <w:szCs w:val="12"/>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he or she had remained employed until the last day of the Performance Period, multiplied by the fraction which has as its numerator the total number of days that Employee was employed by the Company during the Performance Period and has as it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45" w:lineRule="exact"/>
        <w:rPr>
          <w:rFonts w:ascii="Arial" w:cs="Arial" w:eastAsia="Arial" w:hAnsi="Arial"/>
          <w:sz w:val="12"/>
          <w:szCs w:val="12"/>
          <w:color w:val="auto"/>
        </w:rPr>
      </w:pPr>
    </w:p>
    <w:p>
      <w:pPr>
        <w:ind w:right="340" w:firstLine="162"/>
        <w:spacing w:after="0" w:line="276" w:lineRule="auto"/>
        <w:tabs>
          <w:tab w:leader="none" w:pos="295"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 for Any Other Reason.</w:t>
      </w:r>
      <w:r>
        <w:rPr>
          <w:rFonts w:ascii="Arial" w:cs="Arial" w:eastAsia="Arial" w:hAnsi="Arial"/>
          <w:sz w:val="13"/>
          <w:szCs w:val="13"/>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49"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Acceleration upon Change in Control.</w:t>
      </w:r>
      <w:r>
        <w:rPr>
          <w:rFonts w:ascii="Arial" w:cs="Arial" w:eastAsia="Arial" w:hAnsi="Arial"/>
          <w:sz w:val="13"/>
          <w:szCs w:val="13"/>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ind w:firstLine="172"/>
        <w:spacing w:after="0" w:line="289" w:lineRule="auto"/>
        <w:tabs>
          <w:tab w:leader="none" w:pos="342"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Performance Share Units that he would have otherwise received based upon achievement of ROIC after reducing the Performance Period so that it ends on the last day of the quarter preceding the Change in Control (the “Early Measurement Date”) and making adjustments to Target ROIC so as to be equal to the ROIC budgeted for that period and appropriate adjustments to Threshold ROIC and Maximum ROIC so that they bear the same ratio to the Threshold ROIC and Maximum ROIC amounts above as the revised Target ROIC amount bear to the Target ROIC amount above, converted into a cash payment equivalent to the number of Performance Share Units earned under this Section 8 multiplied by the closing price of the Common Stock on the Early Measurement Date; and</w:t>
      </w:r>
    </w:p>
    <w:p>
      <w:pPr>
        <w:spacing w:after="0" w:line="43" w:lineRule="exact"/>
        <w:rPr>
          <w:rFonts w:ascii="Arial" w:cs="Arial" w:eastAsia="Arial" w:hAnsi="Arial"/>
          <w:sz w:val="12"/>
          <w:szCs w:val="12"/>
          <w:color w:val="auto"/>
        </w:rPr>
      </w:pPr>
    </w:p>
    <w:p>
      <w:pPr>
        <w:ind w:left="360" w:hanging="188"/>
        <w:spacing w:after="0"/>
        <w:tabs>
          <w:tab w:leader="none" w:pos="3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as a substitute award for the lost opportunity to earn Performance Stock Units for the entire length of the original Performance Period:</w:t>
      </w:r>
    </w:p>
    <w:p>
      <w:pPr>
        <w:spacing w:after="0" w:line="86" w:lineRule="exact"/>
        <w:rPr>
          <w:rFonts w:ascii="Arial" w:cs="Arial" w:eastAsia="Arial" w:hAnsi="Arial"/>
          <w:sz w:val="13"/>
          <w:szCs w:val="13"/>
          <w:color w:val="auto"/>
        </w:rPr>
      </w:pPr>
    </w:p>
    <w:p>
      <w:pPr>
        <w:ind w:left="240" w:right="180" w:firstLine="161"/>
        <w:spacing w:after="0" w:line="276" w:lineRule="auto"/>
        <w:tabs>
          <w:tab w:leader="none" w:pos="56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product of the following equation:</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u w:val="single" w:color="auto"/>
          <w:color w:val="auto"/>
        </w:rPr>
        <w:t>TAP x EMD x CP</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1096-EMD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TAP = the number of Performance Share Units that could be earned for achievement of the original Target ROIC specified in Section 3(a)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EMD = the number of days occurring from the Grant Date to the Early Measurement Date</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CP = the closing price of a share of Common Stock of Waste Management, Inc. on the Early Measurement Date</w:t>
      </w:r>
    </w:p>
    <w:p>
      <w:pPr>
        <w:spacing w:after="0" w:line="79" w:lineRule="exact"/>
        <w:rPr>
          <w:sz w:val="20"/>
          <w:szCs w:val="20"/>
          <w:color w:val="auto"/>
        </w:rPr>
      </w:pPr>
    </w:p>
    <w:p>
      <w:pPr>
        <w:ind w:left="240" w:right="60"/>
        <w:spacing w:after="0" w:line="264" w:lineRule="auto"/>
        <w:rPr>
          <w:sz w:val="20"/>
          <w:szCs w:val="20"/>
          <w:color w:val="auto"/>
        </w:rPr>
      </w:pPr>
      <w:r>
        <w:rPr>
          <w:rFonts w:ascii="Arial" w:cs="Arial" w:eastAsia="Arial" w:hAnsi="Arial"/>
          <w:sz w:val="13"/>
          <w:szCs w:val="13"/>
          <w:color w:val="auto"/>
        </w:rPr>
        <w:t>Any restricted stock units in the successor entity awarded under this Section 8(b)(i) will vest completely on or before December 31, 2009,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restricted stock units in the successor entity awarded pursuant to this Section 8(b)(i).</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57" w:name="page158"/>
    <w:bookmarkEnd w:id="157"/>
    <w:p>
      <w:pPr>
        <w:ind w:left="600"/>
        <w:spacing w:after="0"/>
        <w:rPr>
          <w:sz w:val="20"/>
          <w:szCs w:val="20"/>
          <w:color w:val="auto"/>
        </w:rPr>
      </w:pPr>
      <w:r>
        <w:rPr>
          <w:rFonts w:ascii="Arial" w:cs="Arial" w:eastAsia="Arial" w:hAnsi="Arial"/>
          <w:sz w:val="13"/>
          <w:szCs w:val="13"/>
          <w:color w:val="auto"/>
        </w:rPr>
        <w:t>(ii) if the successor entity was not a publicly traded company as of the Early Measurement Date, a cash payment equal to the product of the following equation: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TAP x EMD__ x CP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1096-EMD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TAP = the number of Performance Share Units that could be earned for achievement of the original Target ROIC specified in Section 3(a)</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EMD = the number of days occurring from the Grant Date to the Early Measurement Date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CP = the closing price of a share of Common Stock of Waste Management, Inc. on the Early Measurement Date</w:t>
      </w:r>
    </w:p>
    <w:p>
      <w:pPr>
        <w:spacing w:after="0" w:line="79" w:lineRule="exact"/>
        <w:rPr>
          <w:sz w:val="20"/>
          <w:szCs w:val="20"/>
          <w:color w:val="auto"/>
        </w:rPr>
      </w:pPr>
    </w:p>
    <w:p>
      <w:pPr>
        <w:ind w:left="440" w:right="100"/>
        <w:spacing w:after="0" w:line="264" w:lineRule="auto"/>
        <w:rPr>
          <w:sz w:val="20"/>
          <w:szCs w:val="20"/>
          <w:color w:val="auto"/>
        </w:rPr>
      </w:pPr>
      <w:r>
        <w:rPr>
          <w:rFonts w:ascii="Arial" w:cs="Arial" w:eastAsia="Arial" w:hAnsi="Arial"/>
          <w:sz w:val="13"/>
          <w:szCs w:val="13"/>
          <w:color w:val="auto"/>
        </w:rPr>
        <w:t>Any cash payment calculated under this Section 8(b)(ii) will be paid to Employee on December 31, 2009,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8(b)(ii).</w:t>
      </w:r>
    </w:p>
    <w:p>
      <w:pPr>
        <w:spacing w:after="0" w:line="57" w:lineRule="exact"/>
        <w:rPr>
          <w:sz w:val="20"/>
          <w:szCs w:val="20"/>
          <w:color w:val="auto"/>
        </w:rPr>
      </w:pPr>
    </w:p>
    <w:p>
      <w:pPr>
        <w:ind w:left="-20" w:right="200" w:firstLine="162"/>
        <w:spacing w:after="0" w:line="264" w:lineRule="auto"/>
        <w:tabs>
          <w:tab w:leader="none" w:pos="275"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Forfeiture of Award.</w:t>
      </w:r>
      <w:r>
        <w:rPr>
          <w:rFonts w:ascii="Arial" w:cs="Arial" w:eastAsia="Arial" w:hAnsi="Arial"/>
          <w:sz w:val="13"/>
          <w:szCs w:val="13"/>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57" w:lineRule="exact"/>
        <w:rPr>
          <w:rFonts w:ascii="Arial" w:cs="Arial" w:eastAsia="Arial" w:hAnsi="Arial"/>
          <w:sz w:val="13"/>
          <w:szCs w:val="13"/>
          <w:color w:val="auto"/>
        </w:rPr>
      </w:pPr>
    </w:p>
    <w:p>
      <w:pPr>
        <w:ind w:left="-20" w:firstLine="162"/>
        <w:spacing w:after="0" w:line="282" w:lineRule="auto"/>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u w:val="single" w:color="auto"/>
          <w:color w:val="auto"/>
        </w:rPr>
        <w:t>Dividend Equivalents</w:t>
      </w:r>
      <w:r>
        <w:rPr>
          <w:rFonts w:ascii="Arial" w:cs="Arial" w:eastAsia="Arial" w:hAnsi="Arial"/>
          <w:sz w:val="12"/>
          <w:szCs w:val="12"/>
          <w:color w:val="auto"/>
        </w:rPr>
        <w:t>. No Dividend Equivalents will be paid on the Performance Share Units until such time as: (i) the Performance Period has ended; (ii) 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11. With respect to validly deferred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auto"/>
        </w:rPr>
        <w:t>and vested Performance Share Units, the Company will pay Dividend Equivalents in cash at such times as dividends are paid on the Company’s outstanding shares of Common Stock.</w:t>
      </w:r>
    </w:p>
    <w:p>
      <w:pPr>
        <w:spacing w:after="0" w:line="86" w:lineRule="exact"/>
        <w:rPr>
          <w:sz w:val="20"/>
          <w:szCs w:val="20"/>
          <w:color w:val="auto"/>
        </w:rPr>
      </w:pPr>
    </w:p>
    <w:p>
      <w:pPr>
        <w:ind w:left="360" w:hanging="198"/>
        <w:spacing w:after="0"/>
        <w:tabs>
          <w:tab w:leader="none" w:pos="360"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Elective Deferrals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firstLine="172"/>
        <w:spacing w:after="0" w:line="257" w:lineRule="auto"/>
        <w:tabs>
          <w:tab w:leader="none" w:pos="562" w:val="left"/>
        </w:tabs>
        <w:numPr>
          <w:ilvl w:val="1"/>
          <w:numId w:val="120"/>
        </w:numPr>
        <w:rPr>
          <w:rFonts w:ascii="Arial" w:cs="Arial" w:eastAsia="Arial" w:hAnsi="Arial"/>
          <w:sz w:val="13"/>
          <w:szCs w:val="13"/>
          <w:color w:val="auto"/>
        </w:rPr>
      </w:pPr>
      <w:r>
        <w:rPr>
          <w:rFonts w:ascii="Arial" w:cs="Arial" w:eastAsia="Arial" w:hAnsi="Arial"/>
          <w:sz w:val="13"/>
          <w:szCs w:val="13"/>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61" w:lineRule="exact"/>
        <w:rPr>
          <w:rFonts w:ascii="Arial" w:cs="Arial" w:eastAsia="Arial" w:hAnsi="Arial"/>
          <w:sz w:val="13"/>
          <w:szCs w:val="13"/>
          <w:color w:val="auto"/>
        </w:rPr>
      </w:pPr>
    </w:p>
    <w:p>
      <w:pPr>
        <w:ind w:left="220" w:right="60" w:firstLine="172"/>
        <w:spacing w:after="0" w:line="258" w:lineRule="auto"/>
        <w:tabs>
          <w:tab w:leader="none" w:pos="569" w:val="left"/>
        </w:tabs>
        <w:numPr>
          <w:ilvl w:val="1"/>
          <w:numId w:val="120"/>
        </w:numPr>
        <w:rPr>
          <w:rFonts w:ascii="Arial" w:cs="Arial" w:eastAsia="Arial" w:hAnsi="Arial"/>
          <w:sz w:val="13"/>
          <w:szCs w:val="13"/>
          <w:color w:val="auto"/>
        </w:rPr>
      </w:pPr>
      <w:r>
        <w:rPr>
          <w:rFonts w:ascii="Arial" w:cs="Arial" w:eastAsia="Arial" w:hAnsi="Arial"/>
          <w:sz w:val="13"/>
          <w:szCs w:val="13"/>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61" w:lineRule="exact"/>
        <w:rPr>
          <w:rFonts w:ascii="Arial" w:cs="Arial" w:eastAsia="Arial" w:hAnsi="Arial"/>
          <w:sz w:val="13"/>
          <w:szCs w:val="13"/>
          <w:color w:val="auto"/>
        </w:rPr>
      </w:pPr>
    </w:p>
    <w:p>
      <w:pPr>
        <w:ind w:left="360" w:hanging="198"/>
        <w:spacing w:after="0"/>
        <w:tabs>
          <w:tab w:leader="none" w:pos="360"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Restrictions on Transfer.</w:t>
      </w:r>
    </w:p>
    <w:p>
      <w:pPr>
        <w:spacing w:after="0" w:line="86" w:lineRule="exact"/>
        <w:rPr>
          <w:rFonts w:ascii="Arial" w:cs="Arial" w:eastAsia="Arial" w:hAnsi="Arial"/>
          <w:sz w:val="13"/>
          <w:szCs w:val="13"/>
          <w:color w:val="auto"/>
        </w:rPr>
      </w:pPr>
    </w:p>
    <w:p>
      <w:pPr>
        <w:ind w:left="220" w:right="40" w:firstLine="172"/>
        <w:spacing w:after="0" w:line="371" w:lineRule="auto"/>
        <w:tabs>
          <w:tab w:leader="none" w:pos="562" w:val="left"/>
        </w:tabs>
        <w:numPr>
          <w:ilvl w:val="1"/>
          <w:numId w:val="120"/>
        </w:numPr>
        <w:rPr>
          <w:rFonts w:ascii="Arial" w:cs="Arial" w:eastAsia="Arial" w:hAnsi="Arial"/>
          <w:sz w:val="11"/>
          <w:szCs w:val="11"/>
          <w:color w:val="auto"/>
        </w:rPr>
      </w:pPr>
      <w:r>
        <w:rPr>
          <w:rFonts w:ascii="Arial" w:cs="Arial" w:eastAsia="Arial" w:hAnsi="Arial"/>
          <w:sz w:val="11"/>
          <w:szCs w:val="11"/>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2" w:lineRule="exact"/>
        <w:rPr>
          <w:rFonts w:ascii="Arial" w:cs="Arial" w:eastAsia="Arial" w:hAnsi="Arial"/>
          <w:sz w:val="11"/>
          <w:szCs w:val="11"/>
          <w:color w:val="auto"/>
        </w:rPr>
      </w:pPr>
    </w:p>
    <w:p>
      <w:pPr>
        <w:ind w:left="220" w:right="160" w:firstLine="172"/>
        <w:spacing w:after="0" w:line="276" w:lineRule="auto"/>
        <w:tabs>
          <w:tab w:leader="none" w:pos="569" w:val="left"/>
        </w:tabs>
        <w:numPr>
          <w:ilvl w:val="1"/>
          <w:numId w:val="120"/>
        </w:numPr>
        <w:rPr>
          <w:rFonts w:ascii="Arial" w:cs="Arial" w:eastAsia="Arial" w:hAnsi="Arial"/>
          <w:sz w:val="13"/>
          <w:szCs w:val="13"/>
          <w:color w:val="auto"/>
        </w:rPr>
      </w:pPr>
      <w:r>
        <w:rPr>
          <w:rFonts w:ascii="Arial" w:cs="Arial" w:eastAsia="Arial" w:hAnsi="Arial"/>
          <w:sz w:val="13"/>
          <w:szCs w:val="13"/>
          <w:color w:val="auto"/>
        </w:rPr>
        <w:t>Consistent with the foregoing, except as contemplated by Section 13, no right or benefit under this Agreement shall be subject to transfer, anticipation, alienation, sale, assignment, pledge, encumbrance or charge, whether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59" w:name="page160"/>
    <w:bookmarkEnd w:id="159"/>
    <w:p>
      <w:pPr>
        <w:ind w:left="200"/>
        <w:spacing w:after="0" w:line="260" w:lineRule="auto"/>
        <w:rPr>
          <w:sz w:val="20"/>
          <w:szCs w:val="20"/>
          <w:color w:val="auto"/>
        </w:rPr>
      </w:pPr>
      <w:r>
        <w:rPr>
          <w:rFonts w:ascii="Arial" w:cs="Arial" w:eastAsia="Arial" w:hAnsi="Arial"/>
          <w:sz w:val="13"/>
          <w:szCs w:val="13"/>
          <w:color w:val="auto"/>
        </w:rPr>
        <w:t>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13, or if any creditor shall attempt to subject the same to a writ of garnishment, attachment, execution sequestration, or any other form of process or involuntary lien or seizure, then such attempt shall have no effect and shall be void.</w:t>
      </w:r>
    </w:p>
    <w:p>
      <w:pPr>
        <w:spacing w:after="0" w:line="60" w:lineRule="exact"/>
        <w:rPr>
          <w:sz w:val="20"/>
          <w:szCs w:val="20"/>
          <w:color w:val="auto"/>
        </w:rPr>
      </w:pPr>
    </w:p>
    <w:p>
      <w:pPr>
        <w:ind w:left="-20" w:firstLine="162"/>
        <w:spacing w:after="0" w:line="316" w:lineRule="auto"/>
        <w:tabs>
          <w:tab w:leader="none" w:pos="340" w:val="left"/>
        </w:tabs>
        <w:numPr>
          <w:ilvl w:val="0"/>
          <w:numId w:val="121"/>
        </w:numPr>
        <w:rPr>
          <w:rFonts w:ascii="Arial" w:cs="Arial" w:eastAsia="Arial" w:hAnsi="Arial"/>
          <w:sz w:val="11"/>
          <w:szCs w:val="11"/>
          <w:color w:val="auto"/>
        </w:rPr>
      </w:pPr>
      <w:r>
        <w:rPr>
          <w:rFonts w:ascii="Arial" w:cs="Arial" w:eastAsia="Arial" w:hAnsi="Arial"/>
          <w:sz w:val="11"/>
          <w:szCs w:val="11"/>
          <w:u w:val="single" w:color="auto"/>
          <w:color w:val="auto"/>
        </w:rPr>
        <w:t>Assignment and Transfers.</w:t>
      </w:r>
      <w:r>
        <w:rPr>
          <w:rFonts w:ascii="Arial" w:cs="Arial" w:eastAsia="Arial" w:hAnsi="Arial"/>
          <w:sz w:val="11"/>
          <w:szCs w:val="11"/>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32" w:lineRule="exact"/>
        <w:rPr>
          <w:rFonts w:ascii="Arial" w:cs="Arial" w:eastAsia="Arial" w:hAnsi="Arial"/>
          <w:sz w:val="11"/>
          <w:szCs w:val="11"/>
          <w:color w:val="auto"/>
        </w:rPr>
      </w:pPr>
    </w:p>
    <w:p>
      <w:pPr>
        <w:ind w:left="-20" w:right="40" w:firstLine="162"/>
        <w:spacing w:after="0" w:line="260" w:lineRule="auto"/>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Withholding Tax.</w:t>
      </w:r>
      <w:r>
        <w:rPr>
          <w:rFonts w:ascii="Arial" w:cs="Arial" w:eastAsia="Arial" w:hAnsi="Arial"/>
          <w:sz w:val="13"/>
          <w:szCs w:val="13"/>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59" w:lineRule="exact"/>
        <w:rPr>
          <w:rFonts w:ascii="Arial" w:cs="Arial" w:eastAsia="Arial" w:hAnsi="Arial"/>
          <w:sz w:val="13"/>
          <w:szCs w:val="13"/>
          <w:color w:val="auto"/>
        </w:rPr>
      </w:pPr>
    </w:p>
    <w:p>
      <w:pPr>
        <w:ind w:left="-20" w:right="240" w:firstLine="162"/>
        <w:spacing w:after="0" w:line="320" w:lineRule="auto"/>
        <w:tabs>
          <w:tab w:leader="none" w:pos="340"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Changes in Capital Structure.</w:t>
      </w:r>
      <w:r>
        <w:rPr>
          <w:rFonts w:ascii="Arial" w:cs="Arial" w:eastAsia="Arial" w:hAnsi="Arial"/>
          <w:sz w:val="12"/>
          <w:szCs w:val="12"/>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25" w:lineRule="exact"/>
        <w:rPr>
          <w:rFonts w:ascii="Arial" w:cs="Arial" w:eastAsia="Arial" w:hAnsi="Arial"/>
          <w:sz w:val="12"/>
          <w:szCs w:val="12"/>
          <w:color w:val="auto"/>
        </w:rPr>
      </w:pPr>
    </w:p>
    <w:p>
      <w:pPr>
        <w:ind w:left="-20" w:right="340" w:firstLine="162"/>
        <w:spacing w:after="0" w:line="276" w:lineRule="auto"/>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Compliance with Securities Laws.</w:t>
      </w:r>
      <w:r>
        <w:rPr>
          <w:rFonts w:ascii="Arial" w:cs="Arial" w:eastAsia="Arial" w:hAnsi="Arial"/>
          <w:sz w:val="13"/>
          <w:szCs w:val="13"/>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60" w:name="page161"/>
    <w:bookmarkEnd w:id="160"/>
    <w:p>
      <w:pPr>
        <w:ind w:right="500"/>
        <w:spacing w:after="0" w:line="276" w:lineRule="auto"/>
        <w:rPr>
          <w:sz w:val="20"/>
          <w:szCs w:val="20"/>
          <w:color w:val="auto"/>
        </w:rPr>
      </w:pPr>
      <w:r>
        <w:rPr>
          <w:rFonts w:ascii="Arial" w:cs="Arial" w:eastAsia="Arial" w:hAnsi="Arial"/>
          <w:sz w:val="13"/>
          <w:szCs w:val="13"/>
          <w:color w:val="auto"/>
        </w:rPr>
        <w:t>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49" w:lineRule="exact"/>
        <w:rPr>
          <w:sz w:val="20"/>
          <w:szCs w:val="20"/>
          <w:color w:val="auto"/>
        </w:rPr>
      </w:pPr>
    </w:p>
    <w:p>
      <w:pPr>
        <w:ind w:firstLine="162"/>
        <w:spacing w:after="0" w:line="276" w:lineRule="auto"/>
        <w:tabs>
          <w:tab w:leader="none" w:pos="36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Employee to Have no Rights as a Stockholder.</w:t>
      </w:r>
      <w:r>
        <w:rPr>
          <w:rFonts w:ascii="Arial" w:cs="Arial" w:eastAsia="Arial" w:hAnsi="Arial"/>
          <w:sz w:val="13"/>
          <w:szCs w:val="13"/>
          <w:color w:val="auto"/>
        </w:rPr>
        <w:t xml:space="preserve"> Employee shall have no rights as a stockholder with respect to any shares of Common Stock subject to this Award prior to the date on which he or she is recorded as the holder of such shares of Common Stock on the records of the Company.</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440" w:firstLine="172"/>
        <w:spacing w:after="0" w:line="320" w:lineRule="auto"/>
        <w:tabs>
          <w:tab w:leader="none" w:pos="562" w:val="left"/>
        </w:tabs>
        <w:numPr>
          <w:ilvl w:val="1"/>
          <w:numId w:val="122"/>
        </w:numPr>
        <w:rPr>
          <w:rFonts w:ascii="Arial" w:cs="Arial" w:eastAsia="Arial" w:hAnsi="Arial"/>
          <w:sz w:val="12"/>
          <w:szCs w:val="12"/>
          <w:color w:val="auto"/>
        </w:rPr>
      </w:pPr>
      <w:r>
        <w:rPr>
          <w:rFonts w:ascii="Arial" w:cs="Arial" w:eastAsia="Arial" w:hAnsi="Arial"/>
          <w:sz w:val="12"/>
          <w:szCs w:val="12"/>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25" w:lineRule="exact"/>
        <w:rPr>
          <w:rFonts w:ascii="Arial" w:cs="Arial" w:eastAsia="Arial" w:hAnsi="Arial"/>
          <w:sz w:val="12"/>
          <w:szCs w:val="12"/>
          <w:color w:val="auto"/>
        </w:rPr>
      </w:pPr>
    </w:p>
    <w:p>
      <w:pPr>
        <w:ind w:left="220" w:right="420" w:firstLine="172"/>
        <w:spacing w:after="0" w:line="320" w:lineRule="auto"/>
        <w:tabs>
          <w:tab w:leader="none" w:pos="569" w:val="left"/>
        </w:tabs>
        <w:numPr>
          <w:ilvl w:val="1"/>
          <w:numId w:val="122"/>
        </w:numPr>
        <w:rPr>
          <w:rFonts w:ascii="Arial" w:cs="Arial" w:eastAsia="Arial" w:hAnsi="Arial"/>
          <w:sz w:val="12"/>
          <w:szCs w:val="12"/>
          <w:color w:val="auto"/>
        </w:rPr>
      </w:pPr>
      <w:r>
        <w:rPr>
          <w:rFonts w:ascii="Arial" w:cs="Arial" w:eastAsia="Arial" w:hAnsi="Arial"/>
          <w:sz w:val="12"/>
          <w:szCs w:val="12"/>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25" w:lineRule="exact"/>
        <w:rPr>
          <w:rFonts w:ascii="Arial" w:cs="Arial" w:eastAsia="Arial" w:hAnsi="Arial"/>
          <w:sz w:val="12"/>
          <w:szCs w:val="12"/>
          <w:color w:val="auto"/>
        </w:rPr>
      </w:pPr>
    </w:p>
    <w:p>
      <w:pPr>
        <w:ind w:left="360" w:hanging="198"/>
        <w:spacing w:after="0"/>
        <w:tabs>
          <w:tab w:leader="none" w:pos="36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Limitation of Rights</w:t>
      </w:r>
      <w:r>
        <w:rPr>
          <w:rFonts w:ascii="Arial" w:cs="Arial" w:eastAsia="Arial" w:hAnsi="Arial"/>
          <w:sz w:val="13"/>
          <w:szCs w:val="13"/>
          <w:color w:val="auto"/>
        </w:rPr>
        <w:t>. Nothing in this Agreement or the Plan may be construed to:</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give Employee any right to be awarded any further Performance Share Units (or other form of stock incentive awards) other than in the sole discretion of the Committee;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give Employee or any other person any interest in any fund or in any specified asset or assets of the Company (other than the Award and applicable Common Stock following the vesting of such Award); or</w:t>
      </w:r>
    </w:p>
    <w:p>
      <w:pPr>
        <w:spacing w:after="0" w:line="97" w:lineRule="exact"/>
        <w:rPr>
          <w:rFonts w:ascii="Arial" w:cs="Arial" w:eastAsia="Arial" w:hAnsi="Arial"/>
          <w:sz w:val="12"/>
          <w:szCs w:val="12"/>
          <w:color w:val="auto"/>
        </w:rPr>
      </w:pPr>
    </w:p>
    <w:p>
      <w:pPr>
        <w:ind w:left="560" w:hanging="168"/>
        <w:spacing w:after="0"/>
        <w:tabs>
          <w:tab w:leader="none" w:pos="56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confer upon Employee the right to continue in the employment or service of the Company.</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internal laws of the State of Texas, without reference to principles of conflict of laws.</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invalidity or unenforceability of any provision of this Agreement shall not affect the validity or enforceability of any other provision of this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1" w:name="page162"/>
    <w:bookmarkEnd w:id="161"/>
    <w:p>
      <w:pPr>
        <w:ind w:left="-20" w:right="420" w:firstLine="162"/>
        <w:spacing w:after="0" w:line="276" w:lineRule="auto"/>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49" w:lineRule="exact"/>
        <w:rPr>
          <w:rFonts w:ascii="Arial" w:cs="Arial" w:eastAsia="Arial" w:hAnsi="Arial"/>
          <w:sz w:val="13"/>
          <w:szCs w:val="13"/>
          <w:color w:val="auto"/>
        </w:rPr>
      </w:pPr>
    </w:p>
    <w:p>
      <w:pPr>
        <w:ind w:left="-20" w:right="260" w:firstLine="162"/>
        <w:spacing w:after="0" w:line="276" w:lineRule="auto"/>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23.</w:t>
      </w:r>
    </w:p>
    <w:p>
      <w:pPr>
        <w:spacing w:after="0" w:line="49" w:lineRule="exact"/>
        <w:rPr>
          <w:rFonts w:ascii="Arial" w:cs="Arial" w:eastAsia="Arial" w:hAnsi="Arial"/>
          <w:sz w:val="13"/>
          <w:szCs w:val="13"/>
          <w:color w:val="auto"/>
        </w:rPr>
      </w:pPr>
    </w:p>
    <w:p>
      <w:pPr>
        <w:ind w:left="540" w:hanging="168"/>
        <w:spacing w:after="0"/>
        <w:tabs>
          <w:tab w:leader="none" w:pos="54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“Board” means the Board of Directors of Waste Management, Inc.</w:t>
      </w:r>
    </w:p>
    <w:p>
      <w:pPr>
        <w:spacing w:after="0" w:line="86" w:lineRule="exact"/>
        <w:rPr>
          <w:rFonts w:ascii="Arial" w:cs="Arial" w:eastAsia="Arial" w:hAnsi="Arial"/>
          <w:sz w:val="13"/>
          <w:szCs w:val="13"/>
          <w:color w:val="auto"/>
        </w:rPr>
      </w:pPr>
    </w:p>
    <w:p>
      <w:pPr>
        <w:ind w:left="200" w:firstLine="172"/>
        <w:spacing w:after="0" w:line="257" w:lineRule="auto"/>
        <w:tabs>
          <w:tab w:leader="none" w:pos="549" w:val="left"/>
        </w:tabs>
        <w:numPr>
          <w:ilvl w:val="1"/>
          <w:numId w:val="123"/>
        </w:numPr>
        <w:rPr>
          <w:rFonts w:ascii="Arial" w:cs="Arial" w:eastAsia="Arial" w:hAnsi="Arial"/>
          <w:sz w:val="13"/>
          <w:szCs w:val="13"/>
          <w:color w:val="auto"/>
        </w:rPr>
      </w:pPr>
      <w:r>
        <w:rPr>
          <w:rFonts w:ascii="Arial" w:cs="Arial" w:eastAsia="Arial" w:hAnsi="Arial"/>
          <w:sz w:val="13"/>
          <w:szCs w:val="13"/>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3"/>
          <w:szCs w:val="13"/>
          <w:i w:val="1"/>
          <w:iCs w:val="1"/>
          <w:color w:val="auto"/>
        </w:rPr>
        <w:t>nolo contendre</w:t>
      </w:r>
      <w:r>
        <w:rPr>
          <w:rFonts w:ascii="Arial" w:cs="Arial" w:eastAsia="Arial" w:hAnsi="Arial"/>
          <w:sz w:val="13"/>
          <w:szCs w:val="13"/>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61" w:lineRule="exact"/>
        <w:rPr>
          <w:rFonts w:ascii="Arial" w:cs="Arial" w:eastAsia="Arial" w:hAnsi="Arial"/>
          <w:sz w:val="13"/>
          <w:szCs w:val="13"/>
          <w:color w:val="auto"/>
        </w:rPr>
      </w:pPr>
    </w:p>
    <w:p>
      <w:pPr>
        <w:ind w:left="540" w:hanging="168"/>
        <w:spacing w:after="0"/>
        <w:tabs>
          <w:tab w:leader="none" w:pos="54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“Change in Control” means the first to occur on or after the Grant Date of any of the following events:</w:t>
      </w:r>
    </w:p>
    <w:p>
      <w:pPr>
        <w:spacing w:after="0" w:line="86" w:lineRule="exact"/>
        <w:rPr>
          <w:rFonts w:ascii="Arial" w:cs="Arial" w:eastAsia="Arial" w:hAnsi="Arial"/>
          <w:sz w:val="13"/>
          <w:szCs w:val="13"/>
          <w:color w:val="auto"/>
        </w:rPr>
      </w:pPr>
    </w:p>
    <w:p>
      <w:pPr>
        <w:ind w:left="440" w:right="100" w:firstLine="161"/>
        <w:spacing w:after="0" w:line="276" w:lineRule="auto"/>
        <w:tabs>
          <w:tab w:leader="none" w:pos="760" w:val="left"/>
        </w:tabs>
        <w:numPr>
          <w:ilvl w:val="2"/>
          <w:numId w:val="123"/>
        </w:numPr>
        <w:rPr>
          <w:rFonts w:ascii="Arial" w:cs="Arial" w:eastAsia="Arial" w:hAnsi="Arial"/>
          <w:sz w:val="13"/>
          <w:szCs w:val="13"/>
          <w:color w:val="auto"/>
        </w:rPr>
      </w:pPr>
      <w:r>
        <w:rPr>
          <w:rFonts w:ascii="Arial" w:cs="Arial" w:eastAsia="Arial" w:hAnsi="Arial"/>
          <w:sz w:val="13"/>
          <w:szCs w:val="13"/>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49" w:lineRule="exact"/>
        <w:rPr>
          <w:rFonts w:ascii="Arial" w:cs="Arial" w:eastAsia="Arial" w:hAnsi="Arial"/>
          <w:sz w:val="13"/>
          <w:szCs w:val="13"/>
          <w:color w:val="auto"/>
        </w:rPr>
      </w:pPr>
    </w:p>
    <w:p>
      <w:pPr>
        <w:ind w:left="440" w:right="20" w:firstLine="161"/>
        <w:spacing w:after="0" w:line="289" w:lineRule="auto"/>
        <w:tabs>
          <w:tab w:leader="none" w:pos="797" w:val="left"/>
        </w:tabs>
        <w:numPr>
          <w:ilvl w:val="2"/>
          <w:numId w:val="123"/>
        </w:numPr>
        <w:rPr>
          <w:rFonts w:ascii="Arial" w:cs="Arial" w:eastAsia="Arial" w:hAnsi="Arial"/>
          <w:sz w:val="12"/>
          <w:szCs w:val="12"/>
          <w:color w:val="auto"/>
        </w:rPr>
      </w:pPr>
      <w:r>
        <w:rPr>
          <w:rFonts w:ascii="Arial" w:cs="Arial" w:eastAsia="Arial" w:hAnsi="Arial"/>
          <w:sz w:val="12"/>
          <w:szCs w:val="12"/>
          <w:color w:val="auto"/>
        </w:rPr>
        <w:t>the following individuals cease for any reason to constitute a majority of the number of directors then serving: individuals who, on the Grant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(2/3rds) of the directors then still in office who either were directors on the Grant Date or whose appointment, election or nomination for election was previously so approved or recommended (the “Incumbent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62" w:name="page163"/>
    <w:bookmarkEnd w:id="162"/>
    <w:p>
      <w:pPr>
        <w:ind w:firstLine="172"/>
        <w:spacing w:after="0" w:line="289" w:lineRule="auto"/>
        <w:tabs>
          <w:tab w:leader="none" w:pos="393"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43" w:lineRule="exact"/>
        <w:rPr>
          <w:rFonts w:ascii="Arial" w:cs="Arial" w:eastAsia="Arial" w:hAnsi="Arial"/>
          <w:sz w:val="12"/>
          <w:szCs w:val="12"/>
          <w:color w:val="auto"/>
        </w:rPr>
      </w:pPr>
    </w:p>
    <w:p>
      <w:pPr>
        <w:ind w:right="220" w:firstLine="172"/>
        <w:spacing w:after="0" w:line="296" w:lineRule="auto"/>
        <w:tabs>
          <w:tab w:leader="none" w:pos="386"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 purposes of this definition, the following terms shall have the following meanings:</w:t>
      </w:r>
    </w:p>
    <w:p>
      <w:pPr>
        <w:spacing w:after="0" w:line="86" w:lineRule="exact"/>
        <w:rPr>
          <w:sz w:val="20"/>
          <w:szCs w:val="20"/>
          <w:color w:val="auto"/>
        </w:rPr>
      </w:pPr>
    </w:p>
    <w:p>
      <w:pPr>
        <w:ind w:left="620" w:hanging="219"/>
        <w:spacing w:after="0"/>
        <w:tabs>
          <w:tab w:leader="none" w:pos="6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“Beneficial Owner” shall have the meaning set forth in Rule 13d-3 under the Exchange Act;</w:t>
      </w:r>
    </w:p>
    <w:p>
      <w:pPr>
        <w:spacing w:after="0" w:line="86" w:lineRule="exact"/>
        <w:rPr>
          <w:rFonts w:ascii="Arial" w:cs="Arial" w:eastAsia="Arial" w:hAnsi="Arial"/>
          <w:sz w:val="13"/>
          <w:szCs w:val="13"/>
          <w:color w:val="auto"/>
        </w:rPr>
      </w:pPr>
    </w:p>
    <w:p>
      <w:pPr>
        <w:ind w:left="600" w:hanging="199"/>
        <w:spacing w:after="0"/>
        <w:tabs>
          <w:tab w:leader="none" w:pos="6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“Exchange Act” means the Securities and Exchange Act of 1934, as amended from time to time;</w:t>
      </w:r>
    </w:p>
    <w:p>
      <w:pPr>
        <w:spacing w:after="0" w:line="86" w:lineRule="exact"/>
        <w:rPr>
          <w:rFonts w:ascii="Arial" w:cs="Arial" w:eastAsia="Arial" w:hAnsi="Arial"/>
          <w:sz w:val="13"/>
          <w:szCs w:val="13"/>
          <w:color w:val="auto"/>
        </w:rPr>
      </w:pPr>
    </w:p>
    <w:p>
      <w:pPr>
        <w:ind w:left="240" w:right="40" w:firstLine="161"/>
        <w:spacing w:after="0" w:line="296" w:lineRule="auto"/>
        <w:tabs>
          <w:tab w:leader="none" w:pos="611" w:val="left"/>
        </w:tabs>
        <w:numPr>
          <w:ilvl w:val="0"/>
          <w:numId w:val="125"/>
        </w:numPr>
        <w:rPr>
          <w:rFonts w:ascii="Arial" w:cs="Arial" w:eastAsia="Arial" w:hAnsi="Arial"/>
          <w:sz w:val="12"/>
          <w:szCs w:val="12"/>
          <w:color w:val="auto"/>
        </w:rPr>
      </w:pPr>
      <w:r>
        <w:rPr>
          <w:rFonts w:ascii="Arial" w:cs="Arial" w:eastAsia="Arial" w:hAnsi="Arial"/>
          <w:sz w:val="12"/>
          <w:szCs w:val="12"/>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63" w:name="page164"/>
    <w:bookmarkEnd w:id="163"/>
    <w:p>
      <w:pPr>
        <w:ind w:right="20" w:firstLine="161"/>
        <w:spacing w:after="0" w:line="276" w:lineRule="auto"/>
        <w:rPr>
          <w:sz w:val="20"/>
          <w:szCs w:val="20"/>
          <w:color w:val="auto"/>
        </w:rPr>
      </w:pPr>
      <w:r>
        <w:rPr>
          <w:rFonts w:ascii="Arial" w:cs="Arial" w:eastAsia="Arial" w:hAnsi="Arial"/>
          <w:sz w:val="13"/>
          <w:szCs w:val="13"/>
          <w:color w:val="auto"/>
        </w:rPr>
        <w:t>This definition of Change in Control will be modified if and to the extent necessary to ensure compliance with the requirements of Section 409A of the Internal Revenue Code, and Employee and the Company agree to execute such further instruments and take such further action as reasonably may be necessary to comply with Section 409A of the Internal Revenue Code.</w:t>
      </w:r>
    </w:p>
    <w:p>
      <w:pPr>
        <w:spacing w:after="0" w:line="49" w:lineRule="exact"/>
        <w:rPr>
          <w:sz w:val="20"/>
          <w:szCs w:val="20"/>
          <w:color w:val="auto"/>
        </w:rPr>
      </w:pPr>
    </w:p>
    <w:p>
      <w:pPr>
        <w:ind w:left="340" w:hanging="178"/>
        <w:spacing w:after="0"/>
        <w:tabs>
          <w:tab w:leader="none" w:pos="34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“Committee” means the Management Development and Compensation Committee of the Board or such other committee of the Board as the Board may designate from time to time.</w:t>
      </w:r>
    </w:p>
    <w:p>
      <w:pPr>
        <w:spacing w:after="0" w:line="86" w:lineRule="exact"/>
        <w:rPr>
          <w:rFonts w:ascii="Arial" w:cs="Arial" w:eastAsia="Arial" w:hAnsi="Arial"/>
          <w:sz w:val="13"/>
          <w:szCs w:val="13"/>
          <w:color w:val="auto"/>
        </w:rPr>
      </w:pPr>
    </w:p>
    <w:p>
      <w:pPr>
        <w:ind w:right="20" w:firstLine="162"/>
        <w:spacing w:after="0" w:line="276" w:lineRule="auto"/>
        <w:tabs>
          <w:tab w:leader="none" w:pos="34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“Depreciation and Amortization Costs and Expenses” has the meaning assigned in Item 6 of the Form 10-K filed with the Securities and Exchange Commission by Waste Management, Inc. on February 20, 2004, and, for purposes of this Award, shall be calculated in accordance with the accounting pronouncements, polices and classifications used in that Form 10-K.</w:t>
      </w:r>
    </w:p>
    <w:p>
      <w:pPr>
        <w:spacing w:after="0" w:line="49" w:lineRule="exact"/>
        <w:rPr>
          <w:rFonts w:ascii="Arial" w:cs="Arial" w:eastAsia="Arial" w:hAnsi="Arial"/>
          <w:sz w:val="13"/>
          <w:szCs w:val="13"/>
          <w:color w:val="auto"/>
        </w:rPr>
      </w:pPr>
    </w:p>
    <w:p>
      <w:pPr>
        <w:ind w:right="660" w:firstLine="162"/>
        <w:spacing w:after="0" w:line="276" w:lineRule="auto"/>
        <w:tabs>
          <w:tab w:leader="none" w:pos="32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“Dividend Equivalent” means an amount of cash equal to all dividends and other distributions (or the economic equivalent thereof) that are payable by the Company on one share of Common Stock to stockholders of record.</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“EBIT” means the sum of Operating Revenue, less Operating Costs and Expenses, less Selling, General and Administrative Costs and Expenses, less Depreciation and Amortization Costs and Expenses.</w:t>
      </w:r>
    </w:p>
    <w:p>
      <w:pPr>
        <w:spacing w:after="0" w:line="97" w:lineRule="exact"/>
        <w:rPr>
          <w:rFonts w:ascii="Arial" w:cs="Arial" w:eastAsia="Arial" w:hAnsi="Arial"/>
          <w:sz w:val="12"/>
          <w:szCs w:val="12"/>
          <w:color w:val="auto"/>
        </w:rPr>
      </w:pPr>
    </w:p>
    <w:p>
      <w:pPr>
        <w:ind w:firstLine="162"/>
        <w:spacing w:after="0" w:line="276" w:lineRule="auto"/>
        <w:tabs>
          <w:tab w:leader="none" w:pos="349" w:val="left"/>
        </w:tabs>
        <w:numPr>
          <w:ilvl w:val="0"/>
          <w:numId w:val="126"/>
        </w:numPr>
        <w:rPr>
          <w:rFonts w:ascii="Arial" w:cs="Arial" w:eastAsia="Arial" w:hAnsi="Arial"/>
          <w:sz w:val="13"/>
          <w:szCs w:val="13"/>
          <w:color w:val="auto"/>
        </w:rPr>
      </w:pPr>
      <w:r>
        <w:rPr>
          <w:rFonts w:ascii="Arial" w:cs="Arial" w:eastAsia="Arial" w:hAnsi="Arial"/>
          <w:sz w:val="13"/>
          <w:szCs w:val="13"/>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Waste Management, Inc. as of December 31 for each applicable year.</w:t>
      </w:r>
    </w:p>
    <w:p>
      <w:pPr>
        <w:spacing w:after="0" w:line="49" w:lineRule="exact"/>
        <w:rPr>
          <w:rFonts w:ascii="Arial" w:cs="Arial" w:eastAsia="Arial" w:hAnsi="Arial"/>
          <w:sz w:val="13"/>
          <w:szCs w:val="13"/>
          <w:color w:val="auto"/>
        </w:rPr>
      </w:pPr>
    </w:p>
    <w:p>
      <w:pPr>
        <w:ind w:right="60" w:firstLine="162"/>
        <w:spacing w:after="0" w:line="264" w:lineRule="auto"/>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“Invested Capital” means economic resources that are expected to help generate future cash inflows or help reduce future cash outflows. Invested Capital is equivalent to current maturities of long term debt, plus long term debt, plus shareholders equity, less cash and less Goodwill. For purposes of calculation of this Award, the value of Invested Capital shall be the balance of such as reported by Waste Management, Inc. as of December 31 for each applicable year.</w:t>
      </w:r>
    </w:p>
    <w:p>
      <w:pPr>
        <w:spacing w:after="0" w:line="57" w:lineRule="exact"/>
        <w:rPr>
          <w:rFonts w:ascii="Arial" w:cs="Arial" w:eastAsia="Arial" w:hAnsi="Arial"/>
          <w:sz w:val="13"/>
          <w:szCs w:val="13"/>
          <w:color w:val="auto"/>
        </w:rPr>
      </w:pPr>
    </w:p>
    <w:p>
      <w:pPr>
        <w:ind w:left="320" w:hanging="158"/>
        <w:spacing w:after="0"/>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“Net Operating Profit After Taxes” or “NOPAT” means the product of EBIT multiplied by the sum of 1 minus the Tax Rate.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“Operating Costs and Expenses” has the meaning assigned in Item 6 of the Form 10-K filed with the Securities and Exchange Commission by Waste Management, Inc. on February 20, 2004, exclusive of</w:t>
      </w:r>
    </w:p>
    <w:p>
      <w:pPr>
        <w:spacing w:after="0" w:line="26" w:lineRule="exact"/>
        <w:rPr>
          <w:rFonts w:ascii="Arial" w:cs="Arial" w:eastAsia="Arial" w:hAnsi="Arial"/>
          <w:sz w:val="12"/>
          <w:szCs w:val="12"/>
          <w:color w:val="auto"/>
        </w:rPr>
      </w:pPr>
    </w:p>
    <w:p>
      <w:pPr>
        <w:ind w:right="80"/>
        <w:spacing w:after="0" w:line="264" w:lineRule="auto"/>
        <w:rPr>
          <w:rFonts w:ascii="Arial" w:cs="Arial" w:eastAsia="Arial" w:hAnsi="Arial"/>
          <w:sz w:val="12"/>
          <w:szCs w:val="12"/>
          <w:color w:val="auto"/>
        </w:rPr>
      </w:pPr>
      <w:r>
        <w:rPr>
          <w:rFonts w:ascii="Arial" w:cs="Arial" w:eastAsia="Arial" w:hAnsi="Arial"/>
          <w:sz w:val="13"/>
          <w:szCs w:val="13"/>
          <w:color w:val="auto"/>
        </w:rPr>
        <w:t>Depreciation and Amortization, and, for purposes of this Award, Operating Costs and Expenses shall be calculated in accordance with the accounting pronouncements, policies and classifications used in that Form 10-K.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4" w:name="page165"/>
    <w:bookmarkEnd w:id="164"/>
    <w:p>
      <w:pPr>
        <w:ind w:left="-20" w:right="20" w:firstLine="162"/>
        <w:spacing w:after="0" w:line="276" w:lineRule="auto"/>
        <w:tabs>
          <w:tab w:leader="none" w:pos="3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“Operating Revenue” has the meaning assigned in Item 6 of the Form 10-K filed with the Securities and Exchange Commission by Waste Management, Inc. on February 20, 2004, and, for purposes of this Award, Operating Revenue shall be calculated in accordance with the accounting pronouncements, polices and classifications used in that Form 10-K.</w:t>
      </w:r>
    </w:p>
    <w:p>
      <w:pPr>
        <w:spacing w:after="0" w:line="49" w:lineRule="exact"/>
        <w:rPr>
          <w:rFonts w:ascii="Arial" w:cs="Arial" w:eastAsia="Arial" w:hAnsi="Arial"/>
          <w:sz w:val="13"/>
          <w:szCs w:val="13"/>
          <w:color w:val="auto"/>
        </w:rPr>
      </w:pPr>
    </w:p>
    <w:p>
      <w:pPr>
        <w:ind w:left="-20" w:right="20" w:firstLine="162"/>
        <w:spacing w:after="0" w:line="276" w:lineRule="auto"/>
        <w:tabs>
          <w:tab w:leader="none" w:pos="366" w:val="left"/>
        </w:tabs>
        <w:numPr>
          <w:ilvl w:val="0"/>
          <w:numId w:val="127"/>
        </w:numPr>
        <w:rPr>
          <w:rFonts w:ascii="Arial" w:cs="Arial" w:eastAsia="Arial" w:hAnsi="Arial"/>
          <w:sz w:val="13"/>
          <w:szCs w:val="13"/>
          <w:color w:val="auto"/>
        </w:rPr>
      </w:pPr>
      <w:r>
        <w:rPr>
          <w:rFonts w:ascii="Arial" w:cs="Arial" w:eastAsia="Arial" w:hAnsi="Arial"/>
          <w:sz w:val="13"/>
          <w:szCs w:val="13"/>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49" w:lineRule="exact"/>
        <w:rPr>
          <w:rFonts w:ascii="Arial" w:cs="Arial" w:eastAsia="Arial" w:hAnsi="Arial"/>
          <w:sz w:val="13"/>
          <w:szCs w:val="13"/>
          <w:color w:val="auto"/>
        </w:rPr>
      </w:pPr>
    </w:p>
    <w:p>
      <w:pPr>
        <w:ind w:left="-20" w:firstLine="162"/>
        <w:spacing w:after="0" w:line="371" w:lineRule="auto"/>
        <w:tabs>
          <w:tab w:leader="none" w:pos="329" w:val="left"/>
        </w:tabs>
        <w:numPr>
          <w:ilvl w:val="0"/>
          <w:numId w:val="127"/>
        </w:numPr>
        <w:rPr>
          <w:rFonts w:ascii="Arial" w:cs="Arial" w:eastAsia="Arial" w:hAnsi="Arial"/>
          <w:sz w:val="11"/>
          <w:szCs w:val="11"/>
          <w:color w:val="auto"/>
        </w:rPr>
      </w:pPr>
      <w:r>
        <w:rPr>
          <w:rFonts w:ascii="Arial" w:cs="Arial" w:eastAsia="Arial" w:hAnsi="Arial"/>
          <w:sz w:val="11"/>
          <w:szCs w:val="11"/>
          <w:color w:val="auto"/>
        </w:rPr>
        <w:t>“Selling, General and Administrative Costs and Expenses” has the meaning assigned in Item 6 of the Form 10-K filed with the Securities and Exchange Commission by Waste Management, Inc. on February 20, 2004, and, for purposes of this Award, Selling, General and Administrative Costs and Expenses shall be calculated in accordance with the accounting pronouncements, polices and classifications used in that Form 10-K.</w:t>
      </w:r>
    </w:p>
    <w:p>
      <w:pPr>
        <w:spacing w:after="0" w:line="2" w:lineRule="exact"/>
        <w:rPr>
          <w:rFonts w:ascii="Arial" w:cs="Arial" w:eastAsia="Arial" w:hAnsi="Arial"/>
          <w:sz w:val="11"/>
          <w:szCs w:val="11"/>
          <w:color w:val="auto"/>
        </w:rPr>
      </w:pPr>
    </w:p>
    <w:p>
      <w:pPr>
        <w:jc w:val="both"/>
        <w:ind w:left="-20" w:right="120" w:firstLine="162"/>
        <w:spacing w:after="0" w:line="289" w:lineRule="auto"/>
        <w:tabs>
          <w:tab w:leader="none" w:pos="32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43" w:lineRule="exact"/>
        <w:rPr>
          <w:rFonts w:ascii="Arial" w:cs="Arial" w:eastAsia="Arial" w:hAnsi="Arial"/>
          <w:sz w:val="12"/>
          <w:szCs w:val="12"/>
          <w:color w:val="auto"/>
        </w:rPr>
      </w:pPr>
    </w:p>
    <w:p>
      <w:pPr>
        <w:ind w:left="320" w:hanging="178"/>
        <w:spacing w:after="0"/>
        <w:tabs>
          <w:tab w:leader="none" w:pos="3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“Tax Rate” is equal to 38.8%, and shall be assumed to remain constant for the Performance Period.</w:t>
      </w:r>
    </w:p>
    <w:p>
      <w:pPr>
        <w:spacing w:after="0" w:line="86" w:lineRule="exact"/>
        <w:rPr>
          <w:rFonts w:ascii="Arial" w:cs="Arial" w:eastAsia="Arial" w:hAnsi="Arial"/>
          <w:sz w:val="13"/>
          <w:szCs w:val="13"/>
          <w:color w:val="auto"/>
        </w:rPr>
      </w:pPr>
    </w:p>
    <w:p>
      <w:pPr>
        <w:jc w:val="both"/>
        <w:ind w:left="-20" w:right="100" w:firstLine="162"/>
        <w:spacing w:after="0" w:line="264" w:lineRule="auto"/>
        <w:tabs>
          <w:tab w:leader="none" w:pos="329"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65" w:name="page166"/>
    <w:bookmarkEnd w:id="165"/>
    <w:p>
      <w:pPr>
        <w:ind w:left="180" w:firstLine="172"/>
        <w:spacing w:after="0" w:line="276" w:lineRule="auto"/>
        <w:tabs>
          <w:tab w:leader="none" w:pos="507" w:val="left"/>
        </w:tabs>
        <w:numPr>
          <w:ilvl w:val="1"/>
          <w:numId w:val="128"/>
        </w:numPr>
        <w:rPr>
          <w:rFonts w:ascii="Arial" w:cs="Arial" w:eastAsia="Arial" w:hAnsi="Arial"/>
          <w:sz w:val="13"/>
          <w:szCs w:val="13"/>
          <w:color w:val="auto"/>
        </w:rPr>
      </w:pPr>
      <w:r>
        <w:rPr>
          <w:rFonts w:ascii="Arial" w:cs="Arial" w:eastAsia="Arial" w:hAnsi="Arial"/>
          <w:sz w:val="13"/>
          <w:szCs w:val="13"/>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49" w:lineRule="exact"/>
        <w:rPr>
          <w:rFonts w:ascii="Arial" w:cs="Arial" w:eastAsia="Arial" w:hAnsi="Arial"/>
          <w:sz w:val="13"/>
          <w:szCs w:val="13"/>
          <w:color w:val="auto"/>
        </w:rPr>
      </w:pPr>
    </w:p>
    <w:p>
      <w:pPr>
        <w:ind w:left="320" w:hanging="198"/>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hanging="168"/>
        <w:spacing w:after="0"/>
        <w:tabs>
          <w:tab w:leader="none" w:pos="520" w:val="left"/>
        </w:tabs>
        <w:numPr>
          <w:ilvl w:val="1"/>
          <w:numId w:val="129"/>
        </w:numPr>
        <w:rPr>
          <w:rFonts w:ascii="Arial" w:cs="Arial" w:eastAsia="Arial" w:hAnsi="Arial"/>
          <w:sz w:val="12"/>
          <w:szCs w:val="12"/>
          <w:color w:val="auto"/>
        </w:rPr>
      </w:pPr>
      <w:r>
        <w:rPr>
          <w:rFonts w:ascii="Arial" w:cs="Arial" w:eastAsia="Arial" w:hAnsi="Arial"/>
          <w:sz w:val="12"/>
          <w:szCs w:val="12"/>
          <w:color w:val="auto"/>
        </w:rPr>
        <w:t>Employee hereby acknowledges that he has received, reviewed and accepted the terms and conditions applicable to this Agreement. Employee hereby accepts such terms and conditions, subject to the</w:t>
      </w:r>
    </w:p>
    <w:p>
      <w:pPr>
        <w:spacing w:after="0" w:line="26" w:lineRule="exact"/>
        <w:rPr>
          <w:rFonts w:ascii="Arial" w:cs="Arial" w:eastAsia="Arial" w:hAnsi="Arial"/>
          <w:sz w:val="12"/>
          <w:szCs w:val="12"/>
          <w:color w:val="auto"/>
        </w:rPr>
      </w:pPr>
    </w:p>
    <w:p>
      <w:pPr>
        <w:ind w:left="180" w:right="80"/>
        <w:spacing w:after="0" w:line="264" w:lineRule="auto"/>
        <w:rPr>
          <w:rFonts w:ascii="Arial" w:cs="Arial" w:eastAsia="Arial" w:hAnsi="Arial"/>
          <w:sz w:val="12"/>
          <w:szCs w:val="12"/>
          <w:color w:val="auto"/>
        </w:rPr>
      </w:pPr>
      <w:r>
        <w:rPr>
          <w:rFonts w:ascii="Arial" w:cs="Arial" w:eastAsia="Arial" w:hAnsi="Arial"/>
          <w:sz w:val="13"/>
          <w:szCs w:val="13"/>
          <w:color w:val="auto"/>
        </w:rPr>
        <w:t>provisions of the Plan and administrative interpretations thereof. Employee further agrees that such terms and conditions will control this Agreement, notwithstanding any provisions in any employment agreement or in any prior awards.</w:t>
      </w:r>
    </w:p>
    <w:p>
      <w:pPr>
        <w:spacing w:after="0" w:line="56" w:lineRule="exact"/>
        <w:rPr>
          <w:rFonts w:ascii="Arial" w:cs="Arial" w:eastAsia="Arial" w:hAnsi="Arial"/>
          <w:sz w:val="12"/>
          <w:szCs w:val="12"/>
          <w:color w:val="auto"/>
        </w:rPr>
      </w:pPr>
    </w:p>
    <w:p>
      <w:pPr>
        <w:ind w:left="180" w:right="320" w:firstLine="172"/>
        <w:spacing w:after="0" w:line="276" w:lineRule="auto"/>
        <w:tabs>
          <w:tab w:leader="none" w:pos="529" w:val="left"/>
        </w:tabs>
        <w:numPr>
          <w:ilvl w:val="1"/>
          <w:numId w:val="129"/>
        </w:numPr>
        <w:rPr>
          <w:rFonts w:ascii="Arial" w:cs="Arial" w:eastAsia="Arial" w:hAnsi="Arial"/>
          <w:sz w:val="13"/>
          <w:szCs w:val="13"/>
          <w:color w:val="auto"/>
        </w:rPr>
      </w:pPr>
      <w:r>
        <w:rPr>
          <w:rFonts w:ascii="Arial" w:cs="Arial" w:eastAsia="Arial" w:hAnsi="Arial"/>
          <w:sz w:val="13"/>
          <w:szCs w:val="13"/>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49" w:lineRule="exact"/>
        <w:rPr>
          <w:rFonts w:ascii="Arial" w:cs="Arial" w:eastAsia="Arial" w:hAnsi="Arial"/>
          <w:sz w:val="13"/>
          <w:szCs w:val="13"/>
          <w:color w:val="auto"/>
        </w:rPr>
      </w:pPr>
    </w:p>
    <w:p>
      <w:pPr>
        <w:ind w:left="180" w:right="40" w:firstLine="172"/>
        <w:spacing w:after="0" w:line="276" w:lineRule="auto"/>
        <w:tabs>
          <w:tab w:leader="none" w:pos="522" w:val="left"/>
        </w:tabs>
        <w:numPr>
          <w:ilvl w:val="1"/>
          <w:numId w:val="129"/>
        </w:numPr>
        <w:rPr>
          <w:rFonts w:ascii="Arial" w:cs="Arial" w:eastAsia="Arial" w:hAnsi="Arial"/>
          <w:sz w:val="13"/>
          <w:szCs w:val="13"/>
          <w:color w:val="auto"/>
        </w:rPr>
      </w:pPr>
      <w:r>
        <w:rPr>
          <w:rFonts w:ascii="Arial" w:cs="Arial" w:eastAsia="Arial" w:hAnsi="Arial"/>
          <w:sz w:val="13"/>
          <w:szCs w:val="13"/>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49" w:lineRule="exact"/>
        <w:rPr>
          <w:rFonts w:ascii="Arial" w:cs="Arial" w:eastAsia="Arial" w:hAnsi="Arial"/>
          <w:sz w:val="13"/>
          <w:szCs w:val="13"/>
          <w:color w:val="auto"/>
        </w:rPr>
      </w:pPr>
    </w:p>
    <w:p>
      <w:pPr>
        <w:jc w:val="both"/>
        <w:ind w:left="-40" w:right="20" w:firstLine="162"/>
        <w:spacing w:after="0" w:line="264" w:lineRule="auto"/>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57" w:lineRule="exact"/>
        <w:rPr>
          <w:rFonts w:ascii="Arial" w:cs="Arial" w:eastAsia="Arial" w:hAnsi="Arial"/>
          <w:sz w:val="13"/>
          <w:szCs w:val="13"/>
          <w:color w:val="auto"/>
        </w:rPr>
      </w:pPr>
    </w:p>
    <w:p>
      <w:pPr>
        <w:ind w:left="320" w:hanging="198"/>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which together shall constitute one and the same original.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66" w:name="page167"/>
    <w:bookmarkEnd w:id="166"/>
    <w:p>
      <w:pPr>
        <w:ind w:firstLine="164"/>
        <w:spacing w:after="0" w:line="276" w:lineRule="auto"/>
        <w:rPr>
          <w:sz w:val="20"/>
          <w:szCs w:val="20"/>
          <w:color w:val="auto"/>
        </w:rPr>
      </w:pPr>
      <w:r>
        <w:rPr>
          <w:rFonts w:ascii="Arial" w:cs="Arial" w:eastAsia="Arial" w:hAnsi="Arial"/>
          <w:sz w:val="13"/>
          <w:szCs w:val="13"/>
          <w:color w:val="auto"/>
        </w:rPr>
        <w:t>IN WITNESS WHEREOF, Waste Management, Inc. has caused this Agreement to be duly executed by one of its officers thereunto duly authorized, which execution may be facsimile, engraved or printed, which shall be deemed an original, and Employee has executed this Agreement, effective as of the day and year first above written.</w:t>
      </w:r>
    </w:p>
    <w:p>
      <w:pPr>
        <w:spacing w:after="0" w:line="12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WASTE MANAGEMENT, INC.</w:t>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Chief Executive Officer</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122555</wp:posOffset>
            </wp:positionV>
            <wp:extent cx="259651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220" w:top="720"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auto"/>
        </w:rPr>
        <w:t>EXHIBIT 12.1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Years Ended December 31,</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cumulative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effect of change in accounting principle,</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losses in equity investments and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minority interests</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1,560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4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40" w:type="dxa"/>
            <w:vAlign w:val="bottom"/>
          </w:tcPr>
          <w:p>
            <w:pPr>
              <w:spacing w:after="0"/>
              <w:rPr>
                <w:sz w:val="20"/>
                <w:szCs w:val="20"/>
                <w:color w:val="auto"/>
              </w:rPr>
            </w:pPr>
            <w:r>
              <w:rPr>
                <w:rFonts w:ascii="Arial" w:cs="Arial" w:eastAsia="Arial" w:hAnsi="Arial"/>
                <w:sz w:val="13"/>
                <w:szCs w:val="13"/>
                <w:color w:val="auto"/>
              </w:rPr>
              <w:t>Fixed charges deducted from income:</w:t>
            </w: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545</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7340" w:type="dxa"/>
            <w:vAlign w:val="bottom"/>
          </w:tcPr>
          <w:p>
            <w:pPr>
              <w:ind w:left="140"/>
              <w:spacing w:after="0"/>
              <w:rPr>
                <w:sz w:val="20"/>
                <w:szCs w:val="20"/>
                <w:color w:val="auto"/>
              </w:rPr>
            </w:pPr>
            <w:r>
              <w:rPr>
                <w:rFonts w:ascii="Arial" w:cs="Arial" w:eastAsia="Arial" w:hAnsi="Arial"/>
                <w:sz w:val="13"/>
                <w:szCs w:val="13"/>
                <w:color w:val="auto"/>
              </w:rPr>
              <w:t>Implicit interest in rents</w:t>
            </w: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00"/>
              <w:spacing w:after="0"/>
              <w:rPr>
                <w:sz w:val="20"/>
                <w:szCs w:val="20"/>
                <w:color w:val="auto"/>
              </w:rPr>
            </w:pPr>
            <w:r>
              <w:rPr>
                <w:rFonts w:ascii="Arial" w:cs="Arial" w:eastAsia="Arial" w:hAnsi="Arial"/>
                <w:sz w:val="13"/>
                <w:szCs w:val="13"/>
                <w:color w:val="auto"/>
              </w:rPr>
              <w:t>Earnings available for fixed charges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2,154</w:t>
            </w: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1,800</w:t>
            </w:r>
          </w:p>
        </w:tc>
        <w:tc>
          <w:tcPr>
            <w:tcW w:w="46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4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7340" w:type="dxa"/>
            <w:vAlign w:val="bottom"/>
          </w:tcPr>
          <w:p>
            <w:pPr>
              <w:spacing w:after="0"/>
              <w:rPr>
                <w:sz w:val="20"/>
                <w:szCs w:val="20"/>
                <w:color w:val="auto"/>
              </w:rPr>
            </w:pPr>
            <w:r>
              <w:rPr>
                <w:rFonts w:ascii="Arial" w:cs="Arial" w:eastAsia="Arial" w:hAnsi="Arial"/>
                <w:sz w:val="13"/>
                <w:szCs w:val="13"/>
                <w:color w:val="auto"/>
              </w:rPr>
              <w:t>Capitalized interest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5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40" w:type="dxa"/>
            <w:vAlign w:val="bottom"/>
          </w:tcPr>
          <w:p>
            <w:pPr>
              <w:ind w:left="300"/>
              <w:spacing w:after="0"/>
              <w:rPr>
                <w:sz w:val="20"/>
                <w:szCs w:val="20"/>
                <w:color w:val="auto"/>
              </w:rPr>
            </w:pPr>
            <w:r>
              <w:rPr>
                <w:rFonts w:ascii="Arial" w:cs="Arial" w:eastAsia="Arial" w:hAnsi="Arial"/>
                <w:sz w:val="13"/>
                <w:szCs w:val="13"/>
                <w:color w:val="auto"/>
              </w:rPr>
              <w:t>Total fixed charges</w:t>
            </w:r>
          </w:p>
        </w:tc>
        <w:tc>
          <w:tcPr>
            <w:tcW w:w="5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612</w:t>
            </w: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556</w:t>
            </w:r>
          </w:p>
        </w:tc>
        <w:tc>
          <w:tcPr>
            <w:tcW w:w="46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33"/>
        </w:trPr>
        <w:tc>
          <w:tcPr>
            <w:tcW w:w="7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Ratio of earnings to fixed charges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3.5x</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3.2x</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3.5x</w:t>
            </w:r>
          </w:p>
        </w:tc>
        <w:tc>
          <w:tcPr>
            <w:tcW w:w="0" w:type="dxa"/>
            <w:vAlign w:val="bottom"/>
          </w:tcPr>
          <w:p>
            <w:pPr>
              <w:spacing w:after="0"/>
              <w:rPr>
                <w:sz w:val="1"/>
                <w:szCs w:val="1"/>
                <w:color w:val="auto"/>
              </w:rPr>
            </w:pPr>
          </w:p>
        </w:tc>
      </w:tr>
      <w:tr>
        <w:trPr>
          <w:trHeight w:val="29"/>
        </w:trPr>
        <w:tc>
          <w:tcPr>
            <w:tcW w:w="7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716" w:right="21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4940" w:type="dxa"/>
            <w:vAlign w:val="bottom"/>
          </w:tcPr>
          <w:p>
            <w:pPr>
              <w:ind w:left="4280"/>
              <w:spacing w:after="0"/>
              <w:rPr>
                <w:sz w:val="20"/>
                <w:szCs w:val="20"/>
                <w:color w:val="auto"/>
              </w:rPr>
            </w:pPr>
            <w:r>
              <w:rPr>
                <w:rFonts w:ascii="Arial" w:cs="Arial" w:eastAsia="Arial" w:hAnsi="Arial"/>
                <w:sz w:val="13"/>
                <w:szCs w:val="13"/>
                <w:b w:val="1"/>
                <w:bCs w:val="1"/>
                <w:color w:val="auto"/>
                <w:w w:val="88"/>
              </w:rPr>
              <w:t>Exhibit 21.1</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4940" w:type="dxa"/>
            <w:vAlign w:val="bottom"/>
          </w:tcPr>
          <w:p>
            <w:pPr>
              <w:jc w:val="center"/>
              <w:ind w:left="317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5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940" w:type="dxa"/>
            <w:vAlign w:val="bottom"/>
          </w:tcPr>
          <w:p>
            <w:pPr>
              <w:jc w:val="center"/>
              <w:ind w:left="317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520" w:type="dxa"/>
            <w:vAlign w:val="bottom"/>
            <w:vMerge w:val="continue"/>
          </w:tcPr>
          <w:p>
            <w:pPr>
              <w:spacing w:after="0"/>
              <w:rPr>
                <w:sz w:val="10"/>
                <w:szCs w:val="10"/>
                <w:color w:val="auto"/>
              </w:rPr>
            </w:pPr>
          </w:p>
        </w:tc>
        <w:tc>
          <w:tcPr>
            <w:tcW w:w="4940" w:type="dxa"/>
            <w:vAlign w:val="bottom"/>
          </w:tcPr>
          <w:p>
            <w:pPr>
              <w:jc w:val="center"/>
              <w:ind w:left="317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1019726 Alberta Ltd.</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2"/>
              </w:rPr>
              <w:t>Alberta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1329409 Ontario Inc.</w:t>
            </w:r>
          </w:p>
        </w:tc>
        <w:tc>
          <w:tcPr>
            <w:tcW w:w="4940" w:type="dxa"/>
            <w:vAlign w:val="bottom"/>
          </w:tcPr>
          <w:p>
            <w:pPr>
              <w:jc w:val="center"/>
              <w:ind w:left="3155"/>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3368084 Canada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83"/>
              </w:rPr>
              <w:t>Canada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635952 Ontario Inc.</w:t>
            </w:r>
          </w:p>
        </w:tc>
        <w:tc>
          <w:tcPr>
            <w:tcW w:w="4940" w:type="dxa"/>
            <w:vAlign w:val="bottom"/>
          </w:tcPr>
          <w:p>
            <w:pPr>
              <w:jc w:val="center"/>
              <w:ind w:left="3155"/>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Advanced Environmental Technical Services,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Akron Regional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Alabama Waste Disposal Solutions,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89"/>
              </w:rPr>
              <w:t>Alabama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Alliance Sanitary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Alpharetta Transfer Station,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American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American RRT Fiber Supply, L.P.</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Anderson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Antelope Valley Recycling and Disposal Facility,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Arden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Atlantic Waste Disposal,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Automated Salvage Transport Co.,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Azusa Land Reclamation,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B&amp;B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Barre Landfill Gas Associates, L.P.</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Bayside of Marion,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Beecher Development Company</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Bestan Inc.</w:t>
            </w:r>
          </w:p>
        </w:tc>
        <w:tc>
          <w:tcPr>
            <w:tcW w:w="4940" w:type="dxa"/>
            <w:vAlign w:val="bottom"/>
          </w:tcPr>
          <w:p>
            <w:pPr>
              <w:jc w:val="center"/>
              <w:ind w:left="3155"/>
              <w:spacing w:after="0"/>
              <w:rPr>
                <w:sz w:val="20"/>
                <w:szCs w:val="20"/>
                <w:color w:val="auto"/>
              </w:rPr>
            </w:pPr>
            <w:r>
              <w:rPr>
                <w:rFonts w:ascii="Arial" w:cs="Arial" w:eastAsia="Arial" w:hAnsi="Arial"/>
                <w:sz w:val="13"/>
                <w:szCs w:val="13"/>
                <w:color w:val="auto"/>
                <w:w w:val="87"/>
              </w:rPr>
              <w:t>Quebec</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Big Dipper Enterprises,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1"/>
              </w:rPr>
              <w:t>North Dakota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Bio-Energy Partners</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Bluegrass Containment,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Brazoria County Recycling Center,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Burnsville Sanitary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C&amp;C Disposal,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C.I.D.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5"/>
              </w:rPr>
              <w:t>New York</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 Newco,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Cal Sierra Disposal</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California Asbestos Monofill,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Canadian Waste Services Holdings Inc.</w:t>
            </w:r>
          </w:p>
        </w:tc>
        <w:tc>
          <w:tcPr>
            <w:tcW w:w="4940" w:type="dxa"/>
            <w:vAlign w:val="bottom"/>
          </w:tcPr>
          <w:p>
            <w:pPr>
              <w:jc w:val="center"/>
              <w:ind w:left="3155"/>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CAP/CRA,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Capital Sanitation Company</w:t>
            </w:r>
          </w:p>
        </w:tc>
        <w:tc>
          <w:tcPr>
            <w:tcW w:w="4940" w:type="dxa"/>
            <w:vAlign w:val="bottom"/>
          </w:tcPr>
          <w:p>
            <w:pPr>
              <w:jc w:val="center"/>
              <w:ind w:left="315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Capitol Disposal,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7"/>
              </w:rPr>
              <w:t>Alaska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Carolina Grading,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Carver Transfer &amp; Processing, LLC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65"/>
        </w:trPr>
        <w:tc>
          <w:tcPr>
            <w:tcW w:w="6520" w:type="dxa"/>
            <w:vAlign w:val="bottom"/>
          </w:tcPr>
          <w:p>
            <w:pPr>
              <w:spacing w:after="0"/>
              <w:rPr>
                <w:sz w:val="20"/>
                <w:szCs w:val="20"/>
                <w:color w:val="auto"/>
              </w:rPr>
            </w:pPr>
            <w:r>
              <w:rPr>
                <w:rFonts w:ascii="Arial" w:cs="Arial" w:eastAsia="Arial" w:hAnsi="Arial"/>
                <w:sz w:val="13"/>
                <w:szCs w:val="13"/>
                <w:color w:val="auto"/>
              </w:rPr>
              <w:t>Cedar Ridge Landfill, Inc.</w:t>
            </w:r>
          </w:p>
        </w:tc>
        <w:tc>
          <w:tcPr>
            <w:tcW w:w="494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65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4980" w:type="dxa"/>
            <w:vAlign w:val="bottom"/>
          </w:tcPr>
          <w:p>
            <w:pPr>
              <w:jc w:val="center"/>
              <w:ind w:left="321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4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980" w:type="dxa"/>
            <w:vAlign w:val="bottom"/>
          </w:tcPr>
          <w:p>
            <w:pPr>
              <w:jc w:val="center"/>
              <w:ind w:left="321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480" w:type="dxa"/>
            <w:vAlign w:val="bottom"/>
            <w:vMerge w:val="continue"/>
          </w:tcPr>
          <w:p>
            <w:pPr>
              <w:spacing w:after="0"/>
              <w:rPr>
                <w:sz w:val="10"/>
                <w:szCs w:val="10"/>
                <w:color w:val="auto"/>
              </w:rPr>
            </w:pPr>
          </w:p>
        </w:tc>
        <w:tc>
          <w:tcPr>
            <w:tcW w:w="4980" w:type="dxa"/>
            <w:vAlign w:val="bottom"/>
          </w:tcPr>
          <w:p>
            <w:pPr>
              <w:jc w:val="center"/>
              <w:ind w:left="321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Central Disposal Systems,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Iowa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Central Missouri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Missouri</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Chadwick Road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Chambers Clearview Environmental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2"/>
              </w:rPr>
              <w:t>Mississippi</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Chambers Development Company,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Chambers Development of Ohio,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Chambers of Georgia,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Chambers of Mississippi,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2"/>
              </w:rPr>
              <w:t>Mississippi</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Chastang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Chemical Waste Management of Indiana,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Chemical Waste Management of the Northwest,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Washington</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Chemical Waste Management,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Chesser Island Road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Disposal Systems,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Environmental Services, Inc. of Waters</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Environmental,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Management Corporation</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Cleburne Landfill Company Corp.</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89"/>
              </w:rPr>
              <w:t>Alabama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Coast Waste Management,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Colorado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Connecticut Valley Sanitary Waste Disposal,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Conservation Services,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Colorado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Container Recycling Alliance,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Continental Waste Industries Arizona,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1"/>
              </w:rPr>
              <w:t>New Jersey</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Coshocton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Cougar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Countryside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Cuyahoga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CWM Chemical Services,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Dafter Sanitary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Dauphin Meadows,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Deep Valley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Deer Track Park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Del Almo Landfill,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Deland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Delaware Recyclable Products,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Dickinson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Disposal Service, Incorporated</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1"/>
              </w:rPr>
              <w:t>West Virginia</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E.C. Waste,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1"/>
              </w:rPr>
              <w:t>Puerto Rico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Earthmovers Landfill,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East Liverpool Landfill,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Eastern One Land Corporation</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eCycling Services, L.L.C.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480" w:type="dxa"/>
            <w:vAlign w:val="bottom"/>
          </w:tcPr>
          <w:p>
            <w:pPr>
              <w:spacing w:after="0"/>
              <w:rPr>
                <w:sz w:val="20"/>
                <w:szCs w:val="20"/>
                <w:color w:val="auto"/>
              </w:rPr>
            </w:pPr>
            <w:r>
              <w:rPr>
                <w:rFonts w:ascii="Arial" w:cs="Arial" w:eastAsia="Arial" w:hAnsi="Arial"/>
                <w:sz w:val="13"/>
                <w:szCs w:val="13"/>
                <w:color w:val="auto"/>
              </w:rPr>
              <w:t>El Coqui Landfill Company, Inc.</w:t>
            </w:r>
          </w:p>
        </w:tc>
        <w:tc>
          <w:tcPr>
            <w:tcW w:w="4980" w:type="dxa"/>
            <w:vAlign w:val="bottom"/>
          </w:tcPr>
          <w:p>
            <w:pPr>
              <w:jc w:val="center"/>
              <w:ind w:left="3215"/>
              <w:spacing w:after="0"/>
              <w:rPr>
                <w:sz w:val="20"/>
                <w:szCs w:val="20"/>
                <w:color w:val="auto"/>
              </w:rPr>
            </w:pPr>
            <w:r>
              <w:rPr>
                <w:rFonts w:ascii="Arial" w:cs="Arial" w:eastAsia="Arial" w:hAnsi="Arial"/>
                <w:sz w:val="13"/>
                <w:szCs w:val="13"/>
                <w:color w:val="auto"/>
                <w:w w:val="91"/>
              </w:rPr>
              <w:t>Puerto Rico</w:t>
            </w:r>
          </w:p>
        </w:tc>
        <w:tc>
          <w:tcPr>
            <w:tcW w:w="0" w:type="dxa"/>
            <w:vAlign w:val="bottom"/>
          </w:tcPr>
          <w:p>
            <w:pPr>
              <w:spacing w:after="0"/>
              <w:rPr>
                <w:sz w:val="1"/>
                <w:szCs w:val="1"/>
                <w:color w:val="auto"/>
              </w:rPr>
            </w:pPr>
          </w:p>
        </w:tc>
      </w:tr>
      <w:tr>
        <w:trPr>
          <w:trHeight w:val="458"/>
        </w:trPr>
        <w:tc>
          <w:tcPr>
            <w:tcW w:w="648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15"/>
        </w:trPr>
        <w:tc>
          <w:tcPr>
            <w:tcW w:w="6320" w:type="dxa"/>
            <w:vAlign w:val="bottom"/>
          </w:tcPr>
          <w:p>
            <w:pPr>
              <w:spacing w:after="0"/>
              <w:rPr>
                <w:sz w:val="10"/>
                <w:szCs w:val="10"/>
                <w:color w:val="auto"/>
              </w:rPr>
            </w:pPr>
          </w:p>
        </w:tc>
        <w:tc>
          <w:tcPr>
            <w:tcW w:w="5140" w:type="dxa"/>
            <w:vAlign w:val="bottom"/>
          </w:tcPr>
          <w:p>
            <w:pPr>
              <w:jc w:val="center"/>
              <w:ind w:left="337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3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140" w:type="dxa"/>
            <w:vAlign w:val="bottom"/>
          </w:tcPr>
          <w:p>
            <w:pPr>
              <w:jc w:val="center"/>
              <w:ind w:left="337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320" w:type="dxa"/>
            <w:vAlign w:val="bottom"/>
            <w:vMerge w:val="continue"/>
          </w:tcPr>
          <w:p>
            <w:pPr>
              <w:spacing w:after="0"/>
              <w:rPr>
                <w:sz w:val="10"/>
                <w:szCs w:val="10"/>
                <w:color w:val="auto"/>
              </w:rPr>
            </w:pPr>
          </w:p>
        </w:tc>
        <w:tc>
          <w:tcPr>
            <w:tcW w:w="5140" w:type="dxa"/>
            <w:vAlign w:val="bottom"/>
          </w:tcPr>
          <w:p>
            <w:pPr>
              <w:jc w:val="center"/>
              <w:ind w:left="337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El Coqui Waste Disposal,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ELDA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Elk River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Envirofil of Illinois,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Evergreen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Evergreen National Indemnity Company</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Evergreen Recycling and Disposal Facility,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Farmer’s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4"/>
              </w:rPr>
              <w:t>Missouri</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Feather River Disposal,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Fernley Disposal, Inc.</w:t>
            </w:r>
          </w:p>
        </w:tc>
        <w:tc>
          <w:tcPr>
            <w:tcW w:w="5140" w:type="dxa"/>
            <w:vAlign w:val="bottom"/>
          </w:tcPr>
          <w:p>
            <w:pPr>
              <w:jc w:val="center"/>
              <w:ind w:left="335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Front Range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G.I. Industries</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4"/>
              </w:rPr>
              <w:t>Utah</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GA Landfills,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Gallia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Garnet of Maryland,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Gateway Transfer Station,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Georgia Waste Systems,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Gestion Des Rebuts D.M.P. Inc.</w:t>
            </w:r>
          </w:p>
        </w:tc>
        <w:tc>
          <w:tcPr>
            <w:tcW w:w="5140" w:type="dxa"/>
            <w:vAlign w:val="bottom"/>
          </w:tcPr>
          <w:p>
            <w:pPr>
              <w:jc w:val="center"/>
              <w:ind w:left="3355"/>
              <w:spacing w:after="0"/>
              <w:rPr>
                <w:sz w:val="20"/>
                <w:szCs w:val="20"/>
                <w:color w:val="auto"/>
              </w:rPr>
            </w:pPr>
            <w:r>
              <w:rPr>
                <w:rFonts w:ascii="Arial" w:cs="Arial" w:eastAsia="Arial" w:hAnsi="Arial"/>
                <w:sz w:val="13"/>
                <w:szCs w:val="13"/>
                <w:color w:val="auto"/>
                <w:w w:val="87"/>
              </w:rPr>
              <w:t>Quebec</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Giordano Recycling,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Glen’s Sanitary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Grand Central Sanitary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Guadalupe Mines Mutual Water Company</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Guadalupe Rubbish Disposal Co.,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Guam Resource Recovery Partners, L.P.</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Harris Sanitation,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Harwood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Hillsboro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87"/>
              </w:rPr>
              <w:t>Oregon</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Holyoke Sanitary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IN Landfills,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Independent Sanitation Company</w:t>
            </w:r>
          </w:p>
        </w:tc>
        <w:tc>
          <w:tcPr>
            <w:tcW w:w="5140" w:type="dxa"/>
            <w:vAlign w:val="bottom"/>
          </w:tcPr>
          <w:p>
            <w:pPr>
              <w:jc w:val="center"/>
              <w:ind w:left="335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Jahner Sanitation,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1"/>
              </w:rPr>
              <w:t>North Dakota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Jay County Landfill,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Jones Sanitation,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 and W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Kahle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4"/>
              </w:rPr>
              <w:t>Missouri</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Keene Road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Kelly Run Sanitation,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Key Disposal Ltd.</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5"/>
              </w:rPr>
              <w:t>British Columbia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King George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6"/>
              </w:rPr>
              <w:t>Virginia</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L&amp;M Landfill,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Lakeville Recycling, L.P.</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Land Reclamation Company,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Land South Holdings, LLC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320" w:type="dxa"/>
            <w:vAlign w:val="bottom"/>
          </w:tcPr>
          <w:p>
            <w:pPr>
              <w:spacing w:after="0"/>
              <w:rPr>
                <w:sz w:val="20"/>
                <w:szCs w:val="20"/>
                <w:color w:val="auto"/>
              </w:rPr>
            </w:pPr>
            <w:r>
              <w:rPr>
                <w:rFonts w:ascii="Arial" w:cs="Arial" w:eastAsia="Arial" w:hAnsi="Arial"/>
                <w:sz w:val="13"/>
                <w:szCs w:val="13"/>
                <w:color w:val="auto"/>
              </w:rPr>
              <w:t>Landfill of Pine Ridge, Inc.</w:t>
            </w:r>
          </w:p>
        </w:tc>
        <w:tc>
          <w:tcPr>
            <w:tcW w:w="5140" w:type="dxa"/>
            <w:vAlign w:val="bottom"/>
          </w:tcPr>
          <w:p>
            <w:pPr>
              <w:jc w:val="center"/>
              <w:ind w:left="33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15"/>
        </w:trPr>
        <w:tc>
          <w:tcPr>
            <w:tcW w:w="6440" w:type="dxa"/>
            <w:vAlign w:val="bottom"/>
          </w:tcPr>
          <w:p>
            <w:pPr>
              <w:spacing w:after="0"/>
              <w:rPr>
                <w:sz w:val="10"/>
                <w:szCs w:val="10"/>
                <w:color w:val="auto"/>
              </w:rPr>
            </w:pPr>
          </w:p>
        </w:tc>
        <w:tc>
          <w:tcPr>
            <w:tcW w:w="5020" w:type="dxa"/>
            <w:vAlign w:val="bottom"/>
          </w:tcPr>
          <w:p>
            <w:pPr>
              <w:jc w:val="center"/>
              <w:ind w:left="325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4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020" w:type="dxa"/>
            <w:vAlign w:val="bottom"/>
          </w:tcPr>
          <w:p>
            <w:pPr>
              <w:jc w:val="center"/>
              <w:ind w:left="325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440" w:type="dxa"/>
            <w:vAlign w:val="bottom"/>
            <w:vMerge w:val="continue"/>
          </w:tcPr>
          <w:p>
            <w:pPr>
              <w:spacing w:after="0"/>
              <w:rPr>
                <w:sz w:val="10"/>
                <w:szCs w:val="10"/>
                <w:color w:val="auto"/>
              </w:rPr>
            </w:pPr>
          </w:p>
        </w:tc>
        <w:tc>
          <w:tcPr>
            <w:tcW w:w="5020" w:type="dxa"/>
            <w:vAlign w:val="bottom"/>
          </w:tcPr>
          <w:p>
            <w:pPr>
              <w:jc w:val="center"/>
              <w:ind w:left="325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Landfill Services of Charleston,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1"/>
              </w:rPr>
              <w:t>West Virginia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Laurel Highlands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LCS Services,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1"/>
              </w:rPr>
              <w:t>West Virginia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Liberty Landfill,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Liberty Lane West Owners’ Association</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2"/>
              </w:rPr>
              <w:t>New Hampshire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Liquid Waste Management,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Longleaf C&amp;D Disposal Facility,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Longmont Landfill,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M.S.T.S. Limited Partnership</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M.S.T.S.,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Mahoning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Marangi Bros.,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1"/>
              </w:rPr>
              <w:t>New Jersey</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Mass Gravel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Mc Ginnes Industrial Maintenance Corporation</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McDaniel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1"/>
              </w:rPr>
              <w:t>North Dakota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McGill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Meadowfill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Michigan Environs,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Midwest One Land Corporation</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Modern-Mallard Energy,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Modesto Garbage Co.,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Moor Refuse,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Mountain Indemnity Insurance Company</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3"/>
              </w:rPr>
              <w:t>Vermont</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Mountainview Landfill, Inc. (MD)</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Mountainview Landfill, Inc. (UT)</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4"/>
              </w:rPr>
              <w:t>Utah</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Nassau Landfill,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National Guaranty Insurance Company of Vermont</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3"/>
              </w:rPr>
              <w:t>Vermont</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New England CR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New Milford Landfill,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New Orleans Landfill,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NH/VT Energy Recovery Corporation</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2"/>
              </w:rPr>
              <w:t>New Hampshire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North America One Land Company,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Northwestern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Nu-Way Live Oak Reclamation,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Oakridge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Oakwood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Okeechobee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Orange County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Ozark Ridge Landfill,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2"/>
              </w:rPr>
              <w:t>Arkansas</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P &amp; R Environmental Industries,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3"/>
              </w:rPr>
              <w:t>North Carolina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Pacific Waste Management L.L.C.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Palo Alto Sanitation Company</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20"/>
                <w:szCs w:val="20"/>
                <w:color w:val="auto"/>
              </w:rPr>
            </w:pPr>
            <w:r>
              <w:rPr>
                <w:rFonts w:ascii="Arial" w:cs="Arial" w:eastAsia="Arial" w:hAnsi="Arial"/>
                <w:sz w:val="13"/>
                <w:szCs w:val="13"/>
                <w:color w:val="auto"/>
              </w:rPr>
              <w:t>Paper Recycling International, L.P.</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440" w:type="dxa"/>
            <w:vAlign w:val="bottom"/>
          </w:tcPr>
          <w:p>
            <w:pPr>
              <w:spacing w:after="0"/>
              <w:rPr>
                <w:sz w:val="20"/>
                <w:szCs w:val="20"/>
                <w:color w:val="auto"/>
              </w:rPr>
            </w:pPr>
            <w:r>
              <w:rPr>
                <w:rFonts w:ascii="Arial" w:cs="Arial" w:eastAsia="Arial" w:hAnsi="Arial"/>
                <w:sz w:val="13"/>
                <w:szCs w:val="13"/>
                <w:color w:val="auto"/>
              </w:rPr>
              <w:t>Pappy, Inc.</w:t>
            </w:r>
          </w:p>
        </w:tc>
        <w:tc>
          <w:tcPr>
            <w:tcW w:w="5020" w:type="dxa"/>
            <w:vAlign w:val="bottom"/>
          </w:tcPr>
          <w:p>
            <w:pPr>
              <w:jc w:val="center"/>
              <w:ind w:left="325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458"/>
        </w:trPr>
        <w:tc>
          <w:tcPr>
            <w:tcW w:w="64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5360" w:type="dxa"/>
            <w:vAlign w:val="bottom"/>
          </w:tcPr>
          <w:p>
            <w:pPr>
              <w:jc w:val="center"/>
              <w:ind w:left="359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1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360" w:type="dxa"/>
            <w:vAlign w:val="bottom"/>
          </w:tcPr>
          <w:p>
            <w:pPr>
              <w:jc w:val="center"/>
              <w:ind w:left="359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100" w:type="dxa"/>
            <w:vAlign w:val="bottom"/>
            <w:vMerge w:val="continue"/>
          </w:tcPr>
          <w:p>
            <w:pPr>
              <w:spacing w:after="0"/>
              <w:rPr>
                <w:sz w:val="10"/>
                <w:szCs w:val="10"/>
                <w:color w:val="auto"/>
              </w:rPr>
            </w:pPr>
          </w:p>
        </w:tc>
        <w:tc>
          <w:tcPr>
            <w:tcW w:w="5360" w:type="dxa"/>
            <w:vAlign w:val="bottom"/>
          </w:tcPr>
          <w:p>
            <w:pPr>
              <w:jc w:val="center"/>
              <w:ind w:left="359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Peltz H.C.,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1"/>
              </w:rPr>
              <w:t>Wisconsin</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Pen-Rob,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5"/>
              </w:rPr>
              <w:t>Arizona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Penuelas Valley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1"/>
              </w:rPr>
              <w:t>Puerto Rico</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People’s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Peterson Demolition,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Phoenix Resources,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Pine Grove Landfill, Inc. (DE)</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Pine Grove Landfill, Inc. (PA)</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Pine Ridge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Pine Tree Acres,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Plantation Oaks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PPP Corporation</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Prairie Bluff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Pulaski Grading,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Pullman-Hoffman,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Quail Hollow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 &amp; B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RAA Colorado,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4"/>
              </w:rPr>
              <w:t>Colorado</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RAA Trucking,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1"/>
              </w:rPr>
              <w:t>Wisconsin</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Rail Cycle North Ltd.</w:t>
            </w:r>
          </w:p>
        </w:tc>
        <w:tc>
          <w:tcPr>
            <w:tcW w:w="5360" w:type="dxa"/>
            <w:vAlign w:val="bottom"/>
          </w:tcPr>
          <w:p>
            <w:pPr>
              <w:jc w:val="center"/>
              <w:ind w:left="3575"/>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RCI Hudson,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Recycle America Co.,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Recycle America Holdings,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RE-CY-CO,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Redwood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Refuse Services,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Refuse, Inc.</w:t>
            </w:r>
          </w:p>
        </w:tc>
        <w:tc>
          <w:tcPr>
            <w:tcW w:w="5360" w:type="dxa"/>
            <w:vAlign w:val="bottom"/>
          </w:tcPr>
          <w:p>
            <w:pPr>
              <w:jc w:val="center"/>
              <w:ind w:left="357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REI Holdings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Reliable Landfill,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Remote Landfill Services,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3"/>
              </w:rPr>
              <w:t>Tennessee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Reno Disposal Co.</w:t>
            </w:r>
          </w:p>
        </w:tc>
        <w:tc>
          <w:tcPr>
            <w:tcW w:w="5360" w:type="dxa"/>
            <w:vAlign w:val="bottom"/>
          </w:tcPr>
          <w:p>
            <w:pPr>
              <w:jc w:val="center"/>
              <w:ind w:left="357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Resco Holdings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Resource Control Composting,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Resource Control,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Reuter Recycling of Florida,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Richland County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Riegel Ridge, LLC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3"/>
              </w:rPr>
              <w:t>North Carolina</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Riverbend Landfill Co.</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87"/>
              </w:rPr>
              <w:t>Oregon</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Rolling Meadows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RRT Design &amp; Construction Corp.</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RRT Empire of Monroe County,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5"/>
              </w:rPr>
              <w:t>New York</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RTS Landfill,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Rust Engineering &amp; Construction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Rust International Inc.</w:t>
            </w:r>
          </w:p>
        </w:tc>
        <w:tc>
          <w:tcPr>
            <w:tcW w:w="5360" w:type="dxa"/>
            <w:vAlign w:val="bottom"/>
          </w:tcPr>
          <w:p>
            <w:pPr>
              <w:jc w:val="center"/>
              <w:ind w:left="35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610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15"/>
        </w:trPr>
        <w:tc>
          <w:tcPr>
            <w:tcW w:w="6420" w:type="dxa"/>
            <w:vAlign w:val="bottom"/>
          </w:tcPr>
          <w:p>
            <w:pPr>
              <w:spacing w:after="0"/>
              <w:rPr>
                <w:sz w:val="10"/>
                <w:szCs w:val="10"/>
                <w:color w:val="auto"/>
              </w:rPr>
            </w:pPr>
          </w:p>
        </w:tc>
        <w:tc>
          <w:tcPr>
            <w:tcW w:w="5040" w:type="dxa"/>
            <w:vAlign w:val="bottom"/>
          </w:tcPr>
          <w:p>
            <w:pPr>
              <w:jc w:val="center"/>
              <w:ind w:left="327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4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040" w:type="dxa"/>
            <w:vAlign w:val="bottom"/>
          </w:tcPr>
          <w:p>
            <w:pPr>
              <w:jc w:val="center"/>
              <w:ind w:left="327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420" w:type="dxa"/>
            <w:vAlign w:val="bottom"/>
            <w:vMerge w:val="continue"/>
          </w:tcPr>
          <w:p>
            <w:pPr>
              <w:spacing w:after="0"/>
              <w:rPr>
                <w:sz w:val="10"/>
                <w:szCs w:val="10"/>
                <w:color w:val="auto"/>
              </w:rPr>
            </w:pPr>
          </w:p>
        </w:tc>
        <w:tc>
          <w:tcPr>
            <w:tcW w:w="5040" w:type="dxa"/>
            <w:vAlign w:val="bottom"/>
          </w:tcPr>
          <w:p>
            <w:pPr>
              <w:jc w:val="center"/>
              <w:ind w:left="327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 &amp; S Grading,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1"/>
              </w:rPr>
              <w:t>West Virginia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 V. Farming Corp.</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1"/>
              </w:rPr>
              <w:t>New Jersey</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Sanifill de Mexico (US),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Sanifill Power Corporation</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SC Holdings,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SES Bridgeport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SES Connecticut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Shade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Sierra Estrella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5"/>
              </w:rPr>
              <w:t>Arizona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Smyrna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Southern Alleghenies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Southern One Land Corporation</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Southern Plains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1"/>
              </w:rPr>
              <w:t>Oklahoma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Southern Waste Services,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Spruce Ridge,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Stony Hollow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Storey County Sanitation, Inc.</w:t>
            </w:r>
          </w:p>
        </w:tc>
        <w:tc>
          <w:tcPr>
            <w:tcW w:w="5040" w:type="dxa"/>
            <w:vAlign w:val="bottom"/>
          </w:tcPr>
          <w:p>
            <w:pPr>
              <w:jc w:val="center"/>
              <w:ind w:left="325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Suburban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Texarkana Landfill,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The Peltz Group of Ohio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The Peltz Group,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1"/>
              </w:rPr>
              <w:t>Wisconsin</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The Waste Management Charitable Foundation</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The Woodlands of Van Buren,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TNT Sands,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Trail Ridge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Transamerican Waste Central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Transamerican Waste Industries Southeast,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Trash Hunters,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2"/>
              </w:rPr>
              <w:t>Mississippi</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Tri-County Sanitary Landfill,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TX Newco,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United Waste Systems Leasing,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United Waste Systems of Gardner,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South Hills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Valley Facility,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Geneva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Industrial Services,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Landfill Operations and Transfer,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of California,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of New York City,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of Pennsylvania, LLC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of Texas Landfills,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of Virginia Landfills,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USA Waste San Antonio Landfill, Inc.</w:t>
            </w:r>
          </w:p>
        </w:tc>
        <w:tc>
          <w:tcPr>
            <w:tcW w:w="5040" w:type="dxa"/>
            <w:vAlign w:val="bottom"/>
          </w:tcPr>
          <w:p>
            <w:pPr>
              <w:jc w:val="center"/>
              <w:ind w:left="327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420" w:type="dxa"/>
            <w:vAlign w:val="bottom"/>
          </w:tcPr>
          <w:p>
            <w:pPr>
              <w:spacing w:after="0"/>
              <w:rPr>
                <w:sz w:val="20"/>
                <w:szCs w:val="20"/>
                <w:color w:val="auto"/>
              </w:rPr>
            </w:pPr>
            <w:r>
              <w:rPr>
                <w:rFonts w:ascii="Arial" w:cs="Arial" w:eastAsia="Arial" w:hAnsi="Arial"/>
                <w:sz w:val="13"/>
                <w:szCs w:val="13"/>
                <w:color w:val="auto"/>
              </w:rPr>
              <w:t>USA Waste Services of Nevada, Inc.</w:t>
            </w:r>
          </w:p>
        </w:tc>
        <w:tc>
          <w:tcPr>
            <w:tcW w:w="5040" w:type="dxa"/>
            <w:vAlign w:val="bottom"/>
          </w:tcPr>
          <w:p>
            <w:pPr>
              <w:jc w:val="center"/>
              <w:ind w:left="325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458"/>
        </w:trPr>
        <w:tc>
          <w:tcPr>
            <w:tcW w:w="642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15"/>
        </w:trPr>
        <w:tc>
          <w:tcPr>
            <w:tcW w:w="6960" w:type="dxa"/>
            <w:vAlign w:val="bottom"/>
          </w:tcPr>
          <w:p>
            <w:pPr>
              <w:spacing w:after="0"/>
              <w:rPr>
                <w:sz w:val="10"/>
                <w:szCs w:val="10"/>
                <w:color w:val="auto"/>
              </w:rPr>
            </w:pPr>
          </w:p>
        </w:tc>
        <w:tc>
          <w:tcPr>
            <w:tcW w:w="4500" w:type="dxa"/>
            <w:vAlign w:val="bottom"/>
          </w:tcPr>
          <w:p>
            <w:pPr>
              <w:jc w:val="center"/>
              <w:ind w:left="273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96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500" w:type="dxa"/>
            <w:vAlign w:val="bottom"/>
          </w:tcPr>
          <w:p>
            <w:pPr>
              <w:jc w:val="center"/>
              <w:ind w:left="273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960" w:type="dxa"/>
            <w:vAlign w:val="bottom"/>
            <w:vMerge w:val="continue"/>
          </w:tcPr>
          <w:p>
            <w:pPr>
              <w:spacing w:after="0"/>
              <w:rPr>
                <w:sz w:val="10"/>
                <w:szCs w:val="10"/>
                <w:color w:val="auto"/>
              </w:rPr>
            </w:pPr>
          </w:p>
        </w:tc>
        <w:tc>
          <w:tcPr>
            <w:tcW w:w="4500" w:type="dxa"/>
            <w:vAlign w:val="bottom"/>
          </w:tcPr>
          <w:p>
            <w:pPr>
              <w:jc w:val="center"/>
              <w:ind w:left="273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USA Waste Services of NYC,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USA Waste-Management Resources, LLC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5"/>
              </w:rPr>
              <w:t>New York</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USA-Crinc, L.L.C.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UWS Barre,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Valley Garbage and Rubbish Company,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Vern’s Refuse Service,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1"/>
              </w:rPr>
              <w:t>North Dakota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Vickery Environmental,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Vista Landfill, LLC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Voyageur Disposal Processing,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Warner Company</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Away Group,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89"/>
              </w:rPr>
              <w:t>Alabama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Arizona Landfills,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Buckeye, L.L.C.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Canadian Finance L.P.</w:t>
            </w:r>
          </w:p>
        </w:tc>
        <w:tc>
          <w:tcPr>
            <w:tcW w:w="4500" w:type="dxa"/>
            <w:vAlign w:val="bottom"/>
          </w:tcPr>
          <w:p>
            <w:pPr>
              <w:jc w:val="center"/>
              <w:ind w:left="2715"/>
              <w:spacing w:after="0"/>
              <w:rPr>
                <w:sz w:val="20"/>
                <w:szCs w:val="20"/>
                <w:color w:val="auto"/>
              </w:rPr>
            </w:pPr>
            <w:r>
              <w:rPr>
                <w:rFonts w:ascii="Arial" w:cs="Arial" w:eastAsia="Arial" w:hAnsi="Arial"/>
                <w:sz w:val="13"/>
                <w:szCs w:val="13"/>
                <w:color w:val="auto"/>
                <w:w w:val="87"/>
              </w:rPr>
              <w:t>Quebec</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Collection and Recycling,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Colorado,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4"/>
              </w:rPr>
              <w:t>Colorado</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Maine,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5"/>
              </w:rPr>
              <w:t>Maine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Maryland,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Massachusetts,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Oregon,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Pennsylvania,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Disposal Services of Virginia,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Financing Corporation</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Holdings,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Inc. of Florida</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Indycoke, L.L.C.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International,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International, Ltd.</w:t>
            </w:r>
          </w:p>
        </w:tc>
        <w:tc>
          <w:tcPr>
            <w:tcW w:w="4500" w:type="dxa"/>
            <w:vAlign w:val="bottom"/>
          </w:tcPr>
          <w:p>
            <w:pPr>
              <w:jc w:val="center"/>
              <w:ind w:left="2715"/>
              <w:spacing w:after="0"/>
              <w:rPr>
                <w:sz w:val="20"/>
                <w:szCs w:val="20"/>
                <w:color w:val="auto"/>
              </w:rPr>
            </w:pPr>
            <w:r>
              <w:rPr>
                <w:rFonts w:ascii="Arial" w:cs="Arial" w:eastAsia="Arial" w:hAnsi="Arial"/>
                <w:sz w:val="13"/>
                <w:szCs w:val="13"/>
                <w:color w:val="auto"/>
                <w:w w:val="90"/>
              </w:rPr>
              <w:t>Bermuda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Municipal Services of California,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National Services,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New England Environmental Transport,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Alameda County,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Alaska,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Arizona,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Arkansas,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California,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Canada Corporation</w:t>
            </w:r>
          </w:p>
        </w:tc>
        <w:tc>
          <w:tcPr>
            <w:tcW w:w="4500" w:type="dxa"/>
            <w:vAlign w:val="bottom"/>
          </w:tcPr>
          <w:p>
            <w:pPr>
              <w:jc w:val="center"/>
              <w:ind w:left="2715"/>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Carolinas,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3"/>
              </w:rPr>
              <w:t>North Carolina</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Colorado,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4"/>
              </w:rPr>
              <w:t>Colorado</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Connecticut,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Delaware,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Five Oaks Recycling and Disposal Facility,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Georgia,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65"/>
        </w:trPr>
        <w:tc>
          <w:tcPr>
            <w:tcW w:w="6960" w:type="dxa"/>
            <w:vAlign w:val="bottom"/>
          </w:tcPr>
          <w:p>
            <w:pPr>
              <w:spacing w:after="0"/>
              <w:rPr>
                <w:sz w:val="20"/>
                <w:szCs w:val="20"/>
                <w:color w:val="auto"/>
              </w:rPr>
            </w:pPr>
            <w:r>
              <w:rPr>
                <w:rFonts w:ascii="Arial" w:cs="Arial" w:eastAsia="Arial" w:hAnsi="Arial"/>
                <w:sz w:val="13"/>
                <w:szCs w:val="13"/>
                <w:color w:val="auto"/>
              </w:rPr>
              <w:t>Waste Management of Hawaii, Inc.</w:t>
            </w:r>
          </w:p>
        </w:tc>
        <w:tc>
          <w:tcPr>
            <w:tcW w:w="4500" w:type="dxa"/>
            <w:vAlign w:val="bottom"/>
          </w:tcPr>
          <w:p>
            <w:pPr>
              <w:jc w:val="center"/>
              <w:ind w:left="273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696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4820" w:type="dxa"/>
            <w:vAlign w:val="bottom"/>
          </w:tcPr>
          <w:p>
            <w:pPr>
              <w:jc w:val="center"/>
              <w:ind w:left="305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6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820" w:type="dxa"/>
            <w:vAlign w:val="bottom"/>
          </w:tcPr>
          <w:p>
            <w:pPr>
              <w:jc w:val="center"/>
              <w:ind w:left="305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640" w:type="dxa"/>
            <w:vAlign w:val="bottom"/>
            <w:vMerge w:val="continue"/>
          </w:tcPr>
          <w:p>
            <w:pPr>
              <w:spacing w:after="0"/>
              <w:rPr>
                <w:sz w:val="10"/>
                <w:szCs w:val="10"/>
                <w:color w:val="auto"/>
              </w:rPr>
            </w:pPr>
          </w:p>
        </w:tc>
        <w:tc>
          <w:tcPr>
            <w:tcW w:w="4820" w:type="dxa"/>
            <w:vAlign w:val="bottom"/>
          </w:tcPr>
          <w:p>
            <w:pPr>
              <w:jc w:val="center"/>
              <w:ind w:left="305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Idaho,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2"/>
              </w:rPr>
              <w:t>Idaho</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Illinois Holdings,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Illinois,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Indiana Holdings One,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Indiana Holdings Two,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Indiana,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Iowa,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4"/>
              </w:rPr>
              <w:t>Iowa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Kansas,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7"/>
              </w:rPr>
              <w:t>Kansas</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Kentucky Holdings,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Kentucky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Leon County,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Londonderry,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Louisiana Holdings One,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Louisiana,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Maine,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5"/>
              </w:rPr>
              <w:t>Maine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Maryland,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Massachusetts,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Metro Atlanta,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Michigan,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Minnesota,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9"/>
              </w:rPr>
              <w:t>Minnesota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Mississippi,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2"/>
              </w:rPr>
              <w:t>Mississippi</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Missouri,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Montana,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Nebraska,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Nevada, Inc.</w:t>
            </w:r>
          </w:p>
        </w:tc>
        <w:tc>
          <w:tcPr>
            <w:tcW w:w="4820" w:type="dxa"/>
            <w:vAlign w:val="bottom"/>
          </w:tcPr>
          <w:p>
            <w:pPr>
              <w:jc w:val="center"/>
              <w:ind w:left="303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New Hampshire,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Connecticut</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New Jersey,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New Mexico, Inc.</w:t>
            </w:r>
          </w:p>
        </w:tc>
        <w:tc>
          <w:tcPr>
            <w:tcW w:w="4820" w:type="dxa"/>
            <w:vAlign w:val="bottom"/>
          </w:tcPr>
          <w:p>
            <w:pPr>
              <w:jc w:val="center"/>
              <w:ind w:left="3035"/>
              <w:spacing w:after="0"/>
              <w:rPr>
                <w:sz w:val="20"/>
                <w:szCs w:val="20"/>
                <w:color w:val="auto"/>
              </w:rPr>
            </w:pPr>
            <w:r>
              <w:rPr>
                <w:rFonts w:ascii="Arial" w:cs="Arial" w:eastAsia="Arial" w:hAnsi="Arial"/>
                <w:sz w:val="13"/>
                <w:szCs w:val="13"/>
                <w:color w:val="auto"/>
                <w:w w:val="95"/>
              </w:rPr>
              <w:t>New Mexico</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New York,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North Dakota,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Ohio,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4"/>
              </w:rPr>
              <w:t>Ohio</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Oklahoma,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1"/>
              </w:rPr>
              <w:t>Oklahoma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Oregon,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7"/>
              </w:rPr>
              <w:t>Oregon</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Pennsylvania Gas Recovery,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Pennsylvania,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Plainfield, L.L.C.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Rhode Island,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South Carolina,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South Carolina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South Dakota,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8"/>
              </w:rPr>
              <w:t>South Dakota</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Texas Holdings,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Texas,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Texas, L.P.</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Waste Management of Tunica Landfill,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2"/>
              </w:rPr>
              <w:t>Mississippi</w:t>
            </w:r>
          </w:p>
        </w:tc>
        <w:tc>
          <w:tcPr>
            <w:tcW w:w="0" w:type="dxa"/>
            <w:vAlign w:val="bottom"/>
          </w:tcPr>
          <w:p>
            <w:pPr>
              <w:spacing w:after="0"/>
              <w:rPr>
                <w:sz w:val="1"/>
                <w:szCs w:val="1"/>
                <w:color w:val="auto"/>
              </w:rPr>
            </w:pPr>
          </w:p>
        </w:tc>
      </w:tr>
      <w:tr>
        <w:trPr>
          <w:trHeight w:val="165"/>
        </w:trPr>
        <w:tc>
          <w:tcPr>
            <w:tcW w:w="6640" w:type="dxa"/>
            <w:vAlign w:val="bottom"/>
          </w:tcPr>
          <w:p>
            <w:pPr>
              <w:spacing w:after="0"/>
              <w:rPr>
                <w:sz w:val="20"/>
                <w:szCs w:val="20"/>
                <w:color w:val="auto"/>
              </w:rPr>
            </w:pPr>
            <w:r>
              <w:rPr>
                <w:rFonts w:ascii="Arial" w:cs="Arial" w:eastAsia="Arial" w:hAnsi="Arial"/>
                <w:sz w:val="13"/>
                <w:szCs w:val="13"/>
                <w:color w:val="auto"/>
              </w:rPr>
              <w:t>Waste Management of Utah, Inc.</w:t>
            </w:r>
          </w:p>
        </w:tc>
        <w:tc>
          <w:tcPr>
            <w:tcW w:w="4820" w:type="dxa"/>
            <w:vAlign w:val="bottom"/>
          </w:tcPr>
          <w:p>
            <w:pPr>
              <w:jc w:val="center"/>
              <w:ind w:left="3055"/>
              <w:spacing w:after="0"/>
              <w:rPr>
                <w:sz w:val="20"/>
                <w:szCs w:val="20"/>
                <w:color w:val="auto"/>
              </w:rPr>
            </w:pPr>
            <w:r>
              <w:rPr>
                <w:rFonts w:ascii="Arial" w:cs="Arial" w:eastAsia="Arial" w:hAnsi="Arial"/>
                <w:sz w:val="13"/>
                <w:szCs w:val="13"/>
                <w:color w:val="auto"/>
                <w:w w:val="94"/>
              </w:rPr>
              <w:t>Utah</w:t>
            </w:r>
          </w:p>
        </w:tc>
        <w:tc>
          <w:tcPr>
            <w:tcW w:w="0" w:type="dxa"/>
            <w:vAlign w:val="bottom"/>
          </w:tcPr>
          <w:p>
            <w:pPr>
              <w:spacing w:after="0"/>
              <w:rPr>
                <w:sz w:val="1"/>
                <w:szCs w:val="1"/>
                <w:color w:val="auto"/>
              </w:rPr>
            </w:pPr>
          </w:p>
        </w:tc>
      </w:tr>
      <w:tr>
        <w:trPr>
          <w:trHeight w:val="458"/>
        </w:trPr>
        <w:tc>
          <w:tcPr>
            <w:tcW w:w="664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4460" w:type="dxa"/>
            <w:vAlign w:val="bottom"/>
          </w:tcPr>
          <w:p>
            <w:pPr>
              <w:jc w:val="center"/>
              <w:ind w:left="269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70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460" w:type="dxa"/>
            <w:vAlign w:val="bottom"/>
          </w:tcPr>
          <w:p>
            <w:pPr>
              <w:jc w:val="center"/>
              <w:ind w:left="269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7000" w:type="dxa"/>
            <w:vAlign w:val="bottom"/>
            <w:vMerge w:val="continue"/>
          </w:tcPr>
          <w:p>
            <w:pPr>
              <w:spacing w:after="0"/>
              <w:rPr>
                <w:sz w:val="10"/>
                <w:szCs w:val="10"/>
                <w:color w:val="auto"/>
              </w:rPr>
            </w:pPr>
          </w:p>
        </w:tc>
        <w:tc>
          <w:tcPr>
            <w:tcW w:w="4460" w:type="dxa"/>
            <w:vAlign w:val="bottom"/>
          </w:tcPr>
          <w:p>
            <w:pPr>
              <w:jc w:val="center"/>
              <w:ind w:left="269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of Virginia,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6"/>
              </w:rPr>
              <w:t>Virginia</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of Washington,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of West Virginia,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of Wisconsin,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1"/>
              </w:rPr>
              <w:t>Wisconsin</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of Wyoming,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Paper Stock Company,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Partners,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Plastic Products,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Recycling and Disposal Services of California,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Recycling of New Jersey, L.L.C.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Security, L.L.C.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Service Center,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Technology Center,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Management, Inc. of Tennessee</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83"/>
              </w:rPr>
              <w:t>Tennessee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Resources of Tennessee,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83"/>
              </w:rPr>
              <w:t>Tennessee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Services of Kentucky, L.L.C.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 to Energy Holdings,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Wastech Inc.</w:t>
            </w:r>
          </w:p>
        </w:tc>
        <w:tc>
          <w:tcPr>
            <w:tcW w:w="4460" w:type="dxa"/>
            <w:vAlign w:val="bottom"/>
          </w:tcPr>
          <w:p>
            <w:pPr>
              <w:jc w:val="center"/>
              <w:ind w:left="2675"/>
              <w:spacing w:after="0"/>
              <w:rPr>
                <w:sz w:val="20"/>
                <w:szCs w:val="20"/>
                <w:color w:val="auto"/>
              </w:rPr>
            </w:pPr>
            <w:r>
              <w:rPr>
                <w:rFonts w:ascii="Arial" w:cs="Arial" w:eastAsia="Arial" w:hAnsi="Arial"/>
                <w:sz w:val="13"/>
                <w:szCs w:val="13"/>
                <w:color w:val="auto"/>
                <w:w w:val="89"/>
              </w:rPr>
              <w:t>Nevada</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WESI Baltimore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WESI Capital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WESI Peekskill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WESI Westchester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Western One Land Corporation</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Western Waste Industries</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8"/>
              </w:rPr>
              <w:t>California</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Western Waste of Texas, L.L.C.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Baltimore L.L.C.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Baltimore,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3"/>
              </w:rPr>
              <w:t>Maryland</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Bridgeport,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Cedar Creek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Claremont Company,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Claremont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Concord Company,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Concord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Connecticut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Culm Services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Environmental Systems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Falls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Frackville Energy Company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Frackville Properties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Fuel Services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Gloucester Company, L.P.</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1"/>
              </w:rPr>
              <w:t>New Jersey</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Gloucester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Wheelabrator Guam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Wheelabrator Hudson Energy Company Inc.</w:t>
            </w:r>
          </w:p>
        </w:tc>
        <w:tc>
          <w:tcPr>
            <w:tcW w:w="4460" w:type="dxa"/>
            <w:vAlign w:val="bottom"/>
          </w:tcPr>
          <w:p>
            <w:pPr>
              <w:jc w:val="center"/>
              <w:ind w:left="269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700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5120" w:type="dxa"/>
            <w:vAlign w:val="bottom"/>
          </w:tcPr>
          <w:p>
            <w:pPr>
              <w:jc w:val="center"/>
              <w:ind w:left="3355"/>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3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120" w:type="dxa"/>
            <w:vAlign w:val="bottom"/>
          </w:tcPr>
          <w:p>
            <w:pPr>
              <w:jc w:val="center"/>
              <w:ind w:left="3355"/>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340" w:type="dxa"/>
            <w:vAlign w:val="bottom"/>
            <w:vMerge w:val="continue"/>
          </w:tcPr>
          <w:p>
            <w:pPr>
              <w:spacing w:after="0"/>
              <w:rPr>
                <w:sz w:val="10"/>
                <w:szCs w:val="10"/>
                <w:color w:val="auto"/>
              </w:rPr>
            </w:pPr>
          </w:p>
        </w:tc>
        <w:tc>
          <w:tcPr>
            <w:tcW w:w="5120" w:type="dxa"/>
            <w:vAlign w:val="bottom"/>
          </w:tcPr>
          <w:p>
            <w:pPr>
              <w:jc w:val="center"/>
              <w:ind w:left="3355"/>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Hudson Falls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Land Resources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Lassen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Lisbon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Martell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McKay Bay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5"/>
              </w:rPr>
              <w:t>Florida</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Millbury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New Hampshire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New Jersey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NHC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North Andover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North Broward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North Shore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Norwalk Energy Company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Penacook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Pinellas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Putnam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Ridge Energy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Saugus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Saugus, J.V.</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85"/>
              </w:rPr>
              <w:t>Massachusetts</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Shasta Energy Company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Sherman Energy Company, G.P.</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5"/>
              </w:rPr>
              <w:t>Maine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Sherman Station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Sherman Station One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South Broward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Spokane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Technologies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Technologies International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Wheelabrator Westchester, L.P.</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White Lake Landfill,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6"/>
              </w:rPr>
              <w:t>Michigan</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Williams Landfill,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Willow Oak Landfill,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Georgia</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Arizona Operations,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Corporate Services Holdings,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Emergency Employee Support Fund,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Energy Solutions,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Healthcare Solutions,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Illinois Renewable Energy,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International Holdings,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Landfills of Georgia,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Landfills of Ohio,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Landfills of Tennessee, Inc.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WM Leasing of Arizona, L.L.C.</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WM Leasing of Texas, L.P.</w:t>
            </w:r>
          </w:p>
        </w:tc>
        <w:tc>
          <w:tcPr>
            <w:tcW w:w="5120" w:type="dxa"/>
            <w:vAlign w:val="bottom"/>
          </w:tcPr>
          <w:p>
            <w:pPr>
              <w:jc w:val="center"/>
              <w:ind w:left="3355"/>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3" w:right="2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15"/>
        </w:trPr>
        <w:tc>
          <w:tcPr>
            <w:tcW w:w="6140" w:type="dxa"/>
            <w:vAlign w:val="bottom"/>
          </w:tcPr>
          <w:p>
            <w:pPr>
              <w:spacing w:after="0"/>
              <w:rPr>
                <w:sz w:val="10"/>
                <w:szCs w:val="10"/>
                <w:color w:val="auto"/>
              </w:rPr>
            </w:pPr>
          </w:p>
        </w:tc>
        <w:tc>
          <w:tcPr>
            <w:tcW w:w="4840" w:type="dxa"/>
            <w:vAlign w:val="bottom"/>
          </w:tcPr>
          <w:p>
            <w:pPr>
              <w:jc w:val="center"/>
              <w:ind w:left="4036"/>
              <w:spacing w:after="0"/>
              <w:rPr>
                <w:sz w:val="20"/>
                <w:szCs w:val="20"/>
                <w:color w:val="auto"/>
              </w:rPr>
            </w:pPr>
            <w:r>
              <w:rPr>
                <w:rFonts w:ascii="Arial" w:cs="Arial" w:eastAsia="Arial" w:hAnsi="Arial"/>
                <w:sz w:val="10"/>
                <w:szCs w:val="10"/>
                <w:b w:val="1"/>
                <w:bCs w:val="1"/>
                <w:color w:val="auto"/>
                <w:w w:val="95"/>
              </w:rPr>
              <w:t>Jurisdiction of</w:t>
            </w:r>
          </w:p>
        </w:tc>
        <w:tc>
          <w:tcPr>
            <w:tcW w:w="0" w:type="dxa"/>
            <w:vAlign w:val="bottom"/>
          </w:tcPr>
          <w:p>
            <w:pPr>
              <w:spacing w:after="0"/>
              <w:rPr>
                <w:sz w:val="1"/>
                <w:szCs w:val="1"/>
                <w:color w:val="auto"/>
              </w:rPr>
            </w:pPr>
          </w:p>
        </w:tc>
      </w:tr>
      <w:tr>
        <w:trPr>
          <w:trHeight w:val="108"/>
        </w:trPr>
        <w:tc>
          <w:tcPr>
            <w:tcW w:w="61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4840" w:type="dxa"/>
            <w:vAlign w:val="bottom"/>
          </w:tcPr>
          <w:p>
            <w:pPr>
              <w:jc w:val="center"/>
              <w:ind w:left="4036"/>
              <w:spacing w:after="0" w:line="108" w:lineRule="exact"/>
              <w:rPr>
                <w:sz w:val="20"/>
                <w:szCs w:val="20"/>
                <w:color w:val="auto"/>
              </w:rPr>
            </w:pPr>
            <w:r>
              <w:rPr>
                <w:rFonts w:ascii="Arial" w:cs="Arial" w:eastAsia="Arial" w:hAnsi="Arial"/>
                <w:sz w:val="10"/>
                <w:szCs w:val="10"/>
                <w:b w:val="1"/>
                <w:bCs w:val="1"/>
                <w:color w:val="auto"/>
                <w:w w:val="95"/>
              </w:rPr>
              <w:t>Incorporation or</w:t>
            </w:r>
          </w:p>
        </w:tc>
        <w:tc>
          <w:tcPr>
            <w:tcW w:w="0" w:type="dxa"/>
            <w:vAlign w:val="bottom"/>
          </w:tcPr>
          <w:p>
            <w:pPr>
              <w:spacing w:after="0"/>
              <w:rPr>
                <w:sz w:val="1"/>
                <w:szCs w:val="1"/>
                <w:color w:val="auto"/>
              </w:rPr>
            </w:pPr>
          </w:p>
        </w:tc>
      </w:tr>
      <w:tr>
        <w:trPr>
          <w:trHeight w:val="116"/>
        </w:trPr>
        <w:tc>
          <w:tcPr>
            <w:tcW w:w="6140" w:type="dxa"/>
            <w:vAlign w:val="bottom"/>
            <w:vMerge w:val="continue"/>
          </w:tcPr>
          <w:p>
            <w:pPr>
              <w:spacing w:after="0"/>
              <w:rPr>
                <w:sz w:val="10"/>
                <w:szCs w:val="10"/>
                <w:color w:val="auto"/>
              </w:rPr>
            </w:pPr>
          </w:p>
        </w:tc>
        <w:tc>
          <w:tcPr>
            <w:tcW w:w="4840" w:type="dxa"/>
            <w:vAlign w:val="bottom"/>
          </w:tcPr>
          <w:p>
            <w:pPr>
              <w:jc w:val="center"/>
              <w:ind w:left="4036"/>
              <w:spacing w:after="0"/>
              <w:rPr>
                <w:sz w:val="20"/>
                <w:szCs w:val="20"/>
                <w:color w:val="auto"/>
              </w:rPr>
            </w:pPr>
            <w:r>
              <w:rPr>
                <w:rFonts w:ascii="Arial" w:cs="Arial" w:eastAsia="Arial" w:hAnsi="Arial"/>
                <w:sz w:val="10"/>
                <w:szCs w:val="10"/>
                <w:b w:val="1"/>
                <w:bCs w:val="1"/>
                <w:color w:val="auto"/>
                <w:w w:val="93"/>
              </w:rPr>
              <w:t>Formation</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Organic Growth,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Partnership Holdings,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Quebec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83"/>
              </w:rPr>
              <w:t>Canada</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RA Canada Inc.</w:t>
            </w:r>
          </w:p>
        </w:tc>
        <w:tc>
          <w:tcPr>
            <w:tcW w:w="4840" w:type="dxa"/>
            <w:vAlign w:val="bottom"/>
          </w:tcPr>
          <w:p>
            <w:pPr>
              <w:jc w:val="center"/>
              <w:ind w:left="4016"/>
              <w:spacing w:after="0"/>
              <w:rPr>
                <w:sz w:val="20"/>
                <w:szCs w:val="20"/>
                <w:color w:val="auto"/>
              </w:rPr>
            </w:pPr>
            <w:r>
              <w:rPr>
                <w:rFonts w:ascii="Arial" w:cs="Arial" w:eastAsia="Arial" w:hAnsi="Arial"/>
                <w:sz w:val="13"/>
                <w:szCs w:val="13"/>
                <w:color w:val="auto"/>
                <w:w w:val="93"/>
              </w:rPr>
              <w:t>Ontario</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Recycle America,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Renewable Energy,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Resources,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Pennsylvania</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Safety Services,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Security Services,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Service Center,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Services SA</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6"/>
              </w:rPr>
              <w:t>Argentina</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 Tontitown Landfill,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2"/>
              </w:rPr>
              <w:t>Arkansas</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WMI Medical Services of Indiana,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89"/>
              </w:rPr>
              <w:t>Indiana</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WMI Mexico Holdings,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WMNA Container Recycling,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WMSALSA,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84"/>
              </w:rPr>
              <w:t>Texas</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WMST Illinois,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rPr>
              <w:t>Illinois</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WTI Air Pollution Control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WTI Financial L.L.C.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WTI International Holdings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WTI Rust Holdings Inc.</w:t>
            </w:r>
          </w:p>
        </w:tc>
        <w:tc>
          <w:tcPr>
            <w:tcW w:w="4840" w:type="dxa"/>
            <w:vAlign w:val="bottom"/>
          </w:tcPr>
          <w:p>
            <w:pPr>
              <w:jc w:val="center"/>
              <w:ind w:left="4036"/>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bl>
    <w:p>
      <w:pPr>
        <w:sectPr>
          <w:pgSz w:w="11900" w:h="16838" w:orient="portrait"/>
          <w:cols w:equalWidth="0" w:num="1">
            <w:col w:w="10980"/>
          </w:cols>
          <w:pgMar w:left="220" w:top="863" w:right="6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86" w:lineRule="exact"/>
        <w:rPr>
          <w:sz w:val="20"/>
          <w:szCs w:val="20"/>
          <w:color w:val="auto"/>
        </w:rPr>
      </w:pPr>
    </w:p>
    <w:p>
      <w:pPr>
        <w:ind w:left="220" w:right="140" w:firstLine="8"/>
        <w:spacing w:after="0" w:line="276" w:lineRule="auto"/>
        <w:tabs>
          <w:tab w:leader="none" w:pos="40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S-8 No. 333-45062) of Waste Management, Inc. pertaining to the issuance of shares of common stock pursuant to the Waste Management Retirement Savings Plan and the Waste Management Retirement Savings Plan for Bargaining Unit Employees,</w:t>
      </w:r>
    </w:p>
    <w:p>
      <w:pPr>
        <w:spacing w:after="0" w:line="49" w:lineRule="exact"/>
        <w:rPr>
          <w:rFonts w:ascii="Arial" w:cs="Arial" w:eastAsia="Arial" w:hAnsi="Arial"/>
          <w:sz w:val="13"/>
          <w:szCs w:val="13"/>
          <w:color w:val="auto"/>
        </w:rPr>
      </w:pPr>
    </w:p>
    <w:p>
      <w:pPr>
        <w:ind w:left="220" w:right="560" w:firstLine="8"/>
        <w:spacing w:after="0" w:line="276" w:lineRule="auto"/>
        <w:tabs>
          <w:tab w:leader="none" w:pos="40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S-8 No. 333-110293) of Waste Management, Inc. pertaining to the issuance of shares of common stock pursuant to the 2003 Waste Management, Inc. Directors’ Deferred Compensation Plan,</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Registration Statement (Form S-8 No. 333-135379) of Waste Management, Inc. pertaining to the issuance of shares of common stock pursuant to the Waste Management, Inc. Employee Stock Purchase Plan,</w:t>
      </w:r>
    </w:p>
    <w:p>
      <w:pPr>
        <w:spacing w:after="0" w:line="109" w:lineRule="exact"/>
        <w:rPr>
          <w:rFonts w:ascii="Arial" w:cs="Arial" w:eastAsia="Arial" w:hAnsi="Arial"/>
          <w:sz w:val="11"/>
          <w:szCs w:val="11"/>
          <w:color w:val="auto"/>
        </w:rPr>
      </w:pPr>
    </w:p>
    <w:p>
      <w:pPr>
        <w:jc w:val="both"/>
        <w:ind w:left="220" w:right="40" w:firstLine="8"/>
        <w:spacing w:after="0" w:line="260" w:lineRule="auto"/>
        <w:tabs>
          <w:tab w:leader="none" w:pos="40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S-8 No. 333-45066) of Waste Management, Inc. pertaining to the issuance of shares of common stock pursuant to the WMI 2000 Stock Incentive Plan, WMI 2000 Broad-Based Stock Plan, WMI 1993 Stock Incentive Plan, WMI 1996 Stock Option Plan for Non-Employee Directors, Waste Management Holdings, Inc. 1997 Equity Incentive Plan, Waste Management Holdings, Inc. 1992 Stock Option Plan, Waste Management Holdings, Inc. 1992 Stock Option Plan for Non-Employee Directors, Wheelabrator Technologies Inc. 1992 Stock Option Plan and Eastern Environmental Services, Inc. 1997 Stock Option Plan.</w:t>
      </w:r>
    </w:p>
    <w:p>
      <w:pPr>
        <w:spacing w:after="0" w:line="59" w:lineRule="exact"/>
        <w:rPr>
          <w:rFonts w:ascii="Arial" w:cs="Arial" w:eastAsia="Arial" w:hAnsi="Arial"/>
          <w:sz w:val="13"/>
          <w:szCs w:val="13"/>
          <w:color w:val="auto"/>
        </w:rPr>
      </w:pPr>
    </w:p>
    <w:p>
      <w:pPr>
        <w:ind w:left="420" w:hanging="192"/>
        <w:spacing w:after="0"/>
        <w:tabs>
          <w:tab w:leader="none" w:pos="4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S-8 No. 333-115932) of Waste Management, Inc. pertaining to the issuance of shares of common stock pursuant to the 2004 Stock Incentive Plan,</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S-3 Automatic Shelf Registration No. 333-137526-01) of Waste Management, Inc., and</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Registration Statement (Form S-4 No. 333-32805) of Waste Management, Inc.</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of our report dated February 14, 2007, with respect to the consolidated financial statements of Waste Management, Inc., our report dated February 14, 2007, with respect to Waste Management, Inc. management’s assessment of the effectiveness of internal control over financial reporting and the effectiveness of internal control over financial reporting of Waste Management, Inc., included herein, and our report with respect to the financial statement schedule of Waste Management, Inc. included in this Annual Report (Form 10-K) of Waste Management, Inc.</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February 14, 2007</w:t>
      </w:r>
    </w:p>
    <w:p>
      <w:pPr>
        <w:sectPr>
          <w:pgSz w:w="11900" w:h="16838" w:orient="portrait"/>
          <w:cols w:equalWidth="0" w:num="1">
            <w:col w:w="11460"/>
          </w:cols>
          <w:pgMar w:left="220" w:top="736" w:right="2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color w:val="auto"/>
        </w:rPr>
        <w:t>EXHIBIT 31.1</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440" w:hanging="215"/>
        <w:spacing w:after="0"/>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440" w:right="260" w:hanging="215"/>
        <w:spacing w:after="0" w:line="276" w:lineRule="auto"/>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40" w:right="80" w:hanging="215"/>
        <w:spacing w:after="0" w:line="276" w:lineRule="auto"/>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40" w:right="20" w:hanging="215"/>
        <w:spacing w:after="0" w:line="276" w:lineRule="auto"/>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 — 15 (f))for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40" w:right="60" w:hanging="215"/>
        <w:spacing w:after="0" w:line="276" w:lineRule="auto"/>
        <w:tabs>
          <w:tab w:leader="none" w:pos="4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15, 2007</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David P. Steiner</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David P. Steiner</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r>
    </w:tbl>
    <w:p>
      <w:pPr>
        <w:sectPr>
          <w:pgSz w:w="11900" w:h="16838" w:orient="portrait"/>
          <w:cols w:equalWidth="0" w:num="1">
            <w:col w:w="11460"/>
          </w:cols>
          <w:pgMar w:left="220" w:top="720" w:right="2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color w:val="auto"/>
        </w:rPr>
        <w:t>EXHIBIT 31.2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440" w:hanging="215"/>
        <w:spacing w:after="0"/>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440" w:right="260" w:hanging="215"/>
        <w:spacing w:after="0" w:line="276" w:lineRule="auto"/>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40" w:right="80" w:hanging="215"/>
        <w:spacing w:after="0" w:line="276" w:lineRule="auto"/>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40" w:right="20" w:hanging="215"/>
        <w:spacing w:after="0" w:line="276" w:lineRule="auto"/>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40" w:right="60" w:hanging="215"/>
        <w:spacing w:after="0" w:line="276" w:lineRule="auto"/>
        <w:tabs>
          <w:tab w:leader="none" w:pos="4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15, 2007</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Robert G. Simpson</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Robert G. Simpson</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Senior Vice President and Chief Financial Officer</w:t>
            </w:r>
          </w:p>
        </w:tc>
      </w:tr>
    </w:tbl>
    <w:p>
      <w:pPr>
        <w:sectPr>
          <w:pgSz w:w="11900" w:h="16838" w:orient="portrait"/>
          <w:cols w:equalWidth="0" w:num="1">
            <w:col w:w="11460"/>
          </w:cols>
          <w:pgMar w:left="220" w:top="720" w:right="2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color w:val="auto"/>
        </w:rPr>
        <w:t>EXHIBIT 32.1</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2006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302069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20695" cy="635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15, 2007</w:t>
      </w:r>
    </w:p>
    <w:p>
      <w:pPr>
        <w:sectPr>
          <w:pgSz w:w="11900" w:h="16838" w:orient="portrait"/>
          <w:cols w:equalWidth="0" w:num="1">
            <w:col w:w="11460"/>
          </w:cols>
          <w:pgMar w:left="220" w:top="721"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color w:val="auto"/>
        </w:rPr>
        <w:t>EXHIBIT 32.2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2006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202882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2882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15, 2007</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o"/>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lowerLetter"/>
      <w:start w:val="1"/>
    </w:lvl>
  </w:abstractNum>
  <w:abstractNum w:abstractNumId="6">
    <w:nsid w:val="98A3148"/>
    <w:multiLevelType w:val="hybridMultilevel"/>
    <w:lvl w:ilvl="0">
      <w:lvlJc w:val="left"/>
      <w:lvlText w:val="(%1)"/>
      <w:numFmt w:val="lowerLetter"/>
      <w:start w:val="1"/>
    </w:lvl>
  </w:abstractNum>
  <w:abstractNum w:abstractNumId="7">
    <w:nsid w:val="799D0247"/>
    <w:multiLevelType w:val="hybridMultilevel"/>
    <w:lvl w:ilvl="0">
      <w:lvlJc w:val="left"/>
      <w:lvlText w:val="(%1)"/>
      <w:numFmt w:val="lowerLetter"/>
      <w:start w:val="1"/>
    </w:lvl>
  </w:abstractNum>
  <w:abstractNum w:abstractNumId="8">
    <w:nsid w:val="6B94764"/>
    <w:multiLevelType w:val="hybridMultilevel"/>
    <w:lvl w:ilvl="0">
      <w:lvlJc w:val="left"/>
      <w:lvlText w:val="(%1)"/>
      <w:numFmt w:val="lowerLetter"/>
      <w:start w:val="3"/>
    </w:lvl>
  </w:abstractNum>
  <w:abstractNum w:abstractNumId="9">
    <w:nsid w:val="42C296BD"/>
    <w:multiLevelType w:val="hybridMultilevel"/>
    <w:lvl w:ilvl="0">
      <w:lvlJc w:val="left"/>
      <w:lvlText w:val="(%1)"/>
      <w:numFmt w:val="lowerLetter"/>
      <w:start w:val="7"/>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lowerLetter"/>
      <w:start w:val="1"/>
    </w:lvl>
  </w:abstractNum>
  <w:abstractNum w:abstractNumId="16">
    <w:nsid w:val="51D9C564"/>
    <w:multiLevelType w:val="hybridMultilevel"/>
    <w:lvl w:ilvl="0">
      <w:lvlJc w:val="left"/>
      <w:lvlText w:val="(%1)"/>
      <w:numFmt w:val="lowerLetter"/>
      <w:start w:val="1"/>
    </w:lvl>
  </w:abstractNum>
  <w:abstractNum w:abstractNumId="17">
    <w:nsid w:val="613EFDC5"/>
    <w:multiLevelType w:val="hybridMultilevel"/>
    <w:lvl w:ilvl="0">
      <w:lvlJc w:val="left"/>
      <w:lvlText w:val="(%1)"/>
      <w:numFmt w:val="lowerLetter"/>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1)"/>
      <w:numFmt w:val="lowerRoman"/>
      <w:start w:val="5"/>
    </w:lvl>
  </w:abstractNum>
  <w:abstractNum w:abstractNumId="24">
    <w:nsid w:val="3B0FD379"/>
    <w:multiLevelType w:val="hybridMultilevel"/>
    <w:lvl w:ilvl="0">
      <w:lvlJc w:val="left"/>
      <w:lvlText w:val="(%1)"/>
      <w:numFmt w:val="lowerRoman"/>
      <w:start w:val="9"/>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1)"/>
      <w:numFmt w:val="lowerLetter"/>
      <w:start w:val="1"/>
    </w:lvl>
  </w:abstractNum>
  <w:abstractNum w:abstractNumId="29">
    <w:nsid w:val="14330624"/>
    <w:multiLevelType w:val="hybridMultilevel"/>
    <w:lvl w:ilvl="0">
      <w:lvlJc w:val="left"/>
      <w:lvlText w:val="(%1)"/>
      <w:numFmt w:val="lowerLetter"/>
      <w:start w:val="1"/>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1."/>
      <w:numFmt w:val="decimal"/>
      <w:start w:val="2"/>
    </w:lvl>
  </w:abstractNum>
  <w:abstractNum w:abstractNumId="32">
    <w:nsid w:val="71EA1109"/>
    <w:multiLevelType w:val="hybridMultilevel"/>
    <w:lvl w:ilvl="0">
      <w:lvlJc w:val="left"/>
      <w:lvlText w:val="(%1)"/>
      <w:numFmt w:val="lowerRoman"/>
      <w:start w:val="1"/>
    </w:lvl>
  </w:abstractNum>
  <w:abstractNum w:abstractNumId="33">
    <w:nsid w:val="100F59DC"/>
    <w:multiLevelType w:val="hybridMultilevel"/>
    <w:lvl w:ilvl="0">
      <w:lvlJc w:val="left"/>
      <w:lvlText w:val="%1."/>
      <w:numFmt w:val="decimal"/>
      <w:start w:val="3"/>
    </w:lvl>
  </w:abstractNum>
  <w:abstractNum w:abstractNumId="34">
    <w:nsid w:val="7FB7E0AA"/>
    <w:multiLevelType w:val="hybridMultilevel"/>
    <w:lvl w:ilvl="0">
      <w:lvlJc w:val="left"/>
      <w:lvlText w:val="(%1)"/>
      <w:numFmt w:val="lowerRoman"/>
      <w:start w:val="3"/>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lvl w:ilvl="1">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lowerRoman"/>
      <w:start w:val="4"/>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lowerRoman"/>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1."/>
      <w:numFmt w:val="decimal"/>
      <w:start w:val="4"/>
    </w:lvl>
  </w:abstractNum>
  <w:abstractNum w:abstractNumId="45">
    <w:nsid w:val="68EBC550"/>
    <w:multiLevelType w:val="hybridMultilevel"/>
    <w:lvl w:ilvl="0">
      <w:lvlJc w:val="left"/>
      <w:lvlText w:val="(%1)"/>
      <w:numFmt w:val="lowerRoman"/>
      <w:start w:val="1"/>
    </w:lvl>
  </w:abstractNum>
  <w:abstractNum w:abstractNumId="46">
    <w:nsid w:val="2DF6D648"/>
    <w:multiLevelType w:val="hybridMultilevel"/>
    <w:lvl w:ilvl="0">
      <w:lvlJc w:val="left"/>
      <w:lvlText w:val="%1."/>
      <w:numFmt w:val="decimal"/>
      <w:start w:val="6"/>
    </w:lvl>
  </w:abstractNum>
  <w:abstractNum w:abstractNumId="47">
    <w:nsid w:val="46B7D447"/>
    <w:multiLevelType w:val="hybridMultilevel"/>
    <w:lvl w:ilvl="0">
      <w:lvlJc w:val="left"/>
      <w:lvlText w:val="(%1)"/>
      <w:numFmt w:val="lowerLetter"/>
      <w:start w:val="1"/>
    </w:lvl>
  </w:abstractNum>
  <w:abstractNum w:abstractNumId="48">
    <w:nsid w:val="4A2AC315"/>
    <w:multiLevelType w:val="hybridMultilevel"/>
    <w:lvl w:ilvl="0">
      <w:lvlJc w:val="left"/>
      <w:lvlText w:val="(%1)"/>
      <w:numFmt w:val="lowerLetter"/>
      <w:start w:val="1"/>
    </w:lvl>
  </w:abstractNum>
  <w:abstractNum w:abstractNumId="49">
    <w:nsid w:val="39EE015C"/>
    <w:multiLevelType w:val="hybridMultilevel"/>
    <w:lvl w:ilvl="0">
      <w:lvlJc w:val="left"/>
      <w:lvlText w:val="%1."/>
      <w:numFmt w:val="decimal"/>
      <w:start w:val="8"/>
    </w:lvl>
  </w:abstractNum>
  <w:abstractNum w:abstractNumId="50">
    <w:nsid w:val="57FC4FBB"/>
    <w:multiLevelType w:val="hybridMultilevel"/>
    <w:lvl w:ilvl="0">
      <w:lvlJc w:val="left"/>
      <w:lvlText w:val="(%1)"/>
      <w:numFmt w:val="lowerLetter"/>
      <w:start w:val="1"/>
    </w:lvl>
  </w:abstractNum>
  <w:abstractNum w:abstractNumId="51">
    <w:nsid w:val="CC1016F"/>
    <w:multiLevelType w:val="hybridMultilevel"/>
    <w:lvl w:ilvl="0">
      <w:lvlJc w:val="left"/>
      <w:lvlText w:val="(%1)"/>
      <w:numFmt w:val="lowerLetter"/>
      <w:start w:val="1"/>
    </w:lvl>
  </w:abstractNum>
  <w:abstractNum w:abstractNumId="52">
    <w:nsid w:val="43F18422"/>
    <w:multiLevelType w:val="hybridMultilevel"/>
    <w:lvl w:ilvl="0">
      <w:lvlJc w:val="left"/>
      <w:lvlText w:val="%1."/>
      <w:numFmt w:val="decimal"/>
      <w:start w:val="9"/>
    </w:lvl>
  </w:abstractNum>
  <w:abstractNum w:abstractNumId="53">
    <w:nsid w:val="60EF0119"/>
    <w:multiLevelType w:val="hybridMultilevel"/>
    <w:lvl w:ilvl="0">
      <w:lvlJc w:val="left"/>
      <w:lvlText w:val="%1."/>
      <w:numFmt w:val="decimal"/>
      <w:start w:val="10"/>
    </w:lvl>
  </w:abstractNum>
  <w:abstractNum w:abstractNumId="54">
    <w:nsid w:val="26F324BA"/>
    <w:multiLevelType w:val="hybridMultilevel"/>
    <w:lvl w:ilvl="0">
      <w:lvlJc w:val="left"/>
      <w:lvlText w:val="(%1)"/>
      <w:numFmt w:val="lowerLetter"/>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1."/>
      <w:numFmt w:val="decimal"/>
      <w:start w:val="11"/>
    </w:lvl>
  </w:abstractNum>
  <w:abstractNum w:abstractNumId="60">
    <w:nsid w:val="488AC1A"/>
    <w:multiLevelType w:val="hybridMultilevel"/>
    <w:lvl w:ilvl="0">
      <w:lvlJc w:val="left"/>
      <w:lvlText w:val="%1."/>
      <w:numFmt w:val="decimal"/>
      <w:start w:val="12"/>
    </w:lvl>
  </w:abstractNum>
  <w:abstractNum w:abstractNumId="61">
    <w:nsid w:val="5FB8011C"/>
    <w:multiLevelType w:val="hybridMultilevel"/>
    <w:lvl w:ilvl="0">
      <w:lvlJc w:val="left"/>
      <w:lvlText w:val="(%1)"/>
      <w:numFmt w:val="lowerRoman"/>
      <w:start w:val="3"/>
    </w:lvl>
  </w:abstractNum>
  <w:abstractNum w:abstractNumId="62">
    <w:nsid w:val="6AA78F7F"/>
    <w:multiLevelType w:val="hybridMultilevel"/>
    <w:lvl w:ilvl="0">
      <w:lvlJc w:val="left"/>
      <w:lvlText w:val="%1."/>
      <w:numFmt w:val="decimal"/>
      <w:start w:val="14"/>
    </w:lvl>
  </w:abstractNum>
  <w:abstractNum w:abstractNumId="63">
    <w:nsid w:val="7672BD23"/>
    <w:multiLevelType w:val="hybridMultilevel"/>
    <w:lvl w:ilvl="0">
      <w:lvlJc w:val="left"/>
      <w:lvlText w:val="%1."/>
      <w:numFmt w:val="decimal"/>
      <w:start w:val="15"/>
    </w:lvl>
  </w:abstractNum>
  <w:abstractNum w:abstractNumId="64">
    <w:nsid w:val="6FC75AF8"/>
    <w:multiLevelType w:val="hybridMultilevel"/>
    <w:lvl w:ilvl="0">
      <w:lvlJc w:val="left"/>
      <w:lvlText w:val="(%1)"/>
      <w:numFmt w:val="lowerLetter"/>
      <w:start w:val="1"/>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decimal"/>
      <w:start w:val="16"/>
    </w:lvl>
  </w:abstractNum>
  <w:abstractNum w:abstractNumId="67">
    <w:nsid w:val="5F3534A4"/>
    <w:multiLevelType w:val="hybridMultilevel"/>
    <w:lvl w:ilvl="0">
      <w:lvlJc w:val="left"/>
      <w:lvlText w:val="%1."/>
      <w:numFmt w:val="decimal"/>
      <w:start w:val="17"/>
    </w:lvl>
  </w:abstractNum>
  <w:abstractNum w:abstractNumId="68">
    <w:nsid w:val="73A1821B"/>
    <w:multiLevelType w:val="hybridMultilevel"/>
    <w:lvl w:ilvl="0">
      <w:lvlJc w:val="left"/>
      <w:lvlText w:val="%1."/>
      <w:numFmt w:val="decimal"/>
      <w:start w:val="18"/>
    </w:lvl>
  </w:abstractNum>
  <w:abstractNum w:abstractNumId="69">
    <w:nsid w:val="7DE67713"/>
    <w:multiLevelType w:val="hybridMultilevel"/>
    <w:lvl w:ilvl="0">
      <w:lvlJc w:val="left"/>
      <w:lvlText w:val="%1."/>
      <w:numFmt w:val="decimal"/>
      <w:start w:val="19"/>
    </w:lvl>
  </w:abstractNum>
  <w:abstractNum w:abstractNumId="70">
    <w:nsid w:val="555C55B5"/>
    <w:multiLevelType w:val="hybridMultilevel"/>
    <w:lvl w:ilvl="0">
      <w:lvlJc w:val="left"/>
      <w:lvlText w:val="(%1)"/>
      <w:numFmt w:val="lowerRoman"/>
      <w:start w:val="2"/>
    </w:lvl>
  </w:abstractNum>
  <w:abstractNum w:abstractNumId="71">
    <w:nsid w:val="3FA62ACA"/>
    <w:multiLevelType w:val="hybridMultilevel"/>
    <w:lvl w:ilvl="0">
      <w:lvlJc w:val="left"/>
      <w:lvlText w:val="%1."/>
      <w:numFmt w:val="decimal"/>
      <w:start w:val="20"/>
    </w:lvl>
  </w:abstractNum>
  <w:abstractNum w:abstractNumId="72">
    <w:nsid w:val="14FCE74E"/>
    <w:multiLevelType w:val="hybridMultilevel"/>
    <w:lvl w:ilvl="0">
      <w:lvlJc w:val="left"/>
      <w:lvlText w:val="(%1)"/>
      <w:numFmt w:val="lowerLetter"/>
      <w:start w:val="1"/>
    </w:lvl>
  </w:abstractNum>
  <w:abstractNum w:abstractNumId="73">
    <w:nsid w:val="6A3DD3E8"/>
    <w:multiLevelType w:val="hybridMultilevel"/>
    <w:lvl w:ilvl="0">
      <w:lvlJc w:val="left"/>
      <w:lvlText w:val="(%1)"/>
      <w:numFmt w:val="lowerLetter"/>
      <w:start w:val="5"/>
    </w:lvl>
  </w:abstractNum>
  <w:abstractNum w:abstractNumId="74">
    <w:nsid w:val="71C91298"/>
    <w:multiLevelType w:val="hybridMultilevel"/>
    <w:lvl w:ilvl="0">
      <w:lvlJc w:val="left"/>
      <w:lvlText w:val="(%1)"/>
      <w:numFmt w:val="lowerRoman"/>
      <w:start w:val="1"/>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decimal"/>
      <w:start w:val="21"/>
    </w:lvl>
  </w:abstractNum>
  <w:abstractNum w:abstractNumId="77">
    <w:nsid w:val="1FBFE8E0"/>
    <w:multiLevelType w:val="hybridMultilevel"/>
    <w:lvl w:ilvl="0">
      <w:lvlJc w:val="left"/>
      <w:lvlText w:val="(%1)"/>
      <w:numFmt w:val="lowerLetter"/>
      <w:start w:val="1"/>
    </w:lvl>
  </w:abstractNum>
  <w:abstractNum w:abstractNumId="78">
    <w:nsid w:val="5092CA79"/>
    <w:multiLevelType w:val="hybridMultilevel"/>
    <w:lvl w:ilvl="0">
      <w:lvlJc w:val="left"/>
      <w:lvlText w:val="(%1)"/>
      <w:numFmt w:val="lowerLetter"/>
      <w:start w:val="5"/>
    </w:lvl>
  </w:abstractNum>
  <w:abstractNum w:abstractNumId="79">
    <w:nsid w:val="1D545C4D"/>
    <w:multiLevelType w:val="hybridMultilevel"/>
    <w:lvl w:ilvl="0">
      <w:lvlJc w:val="left"/>
      <w:lvlText w:val="%1."/>
      <w:numFmt w:val="decimal"/>
      <w:start w:val="22"/>
    </w:lvl>
  </w:abstractNum>
  <w:abstractNum w:abstractNumId="80">
    <w:nsid w:val="59ADEA3D"/>
    <w:multiLevelType w:val="hybridMultilevel"/>
    <w:lvl w:ilvl="0">
      <w:lvlJc w:val="left"/>
      <w:lvlText w:val="%1."/>
      <w:numFmt w:val="decimal"/>
      <w:start w:val="23"/>
    </w:lvl>
  </w:abstractNum>
  <w:abstractNum w:abstractNumId="81">
    <w:nsid w:val="288F1A34"/>
    <w:multiLevelType w:val="hybridMultilevel"/>
    <w:lvl w:ilvl="0">
      <w:lvlJc w:val="left"/>
      <w:lvlText w:val="(%1)"/>
      <w:numFmt w:val="lowerLetter"/>
      <w:start w:val="1"/>
    </w:lvl>
  </w:abstractNum>
  <w:abstractNum w:abstractNumId="82">
    <w:nsid w:val="2A155DBC"/>
    <w:multiLevelType w:val="hybridMultilevel"/>
    <w:lvl w:ilvl="0">
      <w:lvlJc w:val="left"/>
      <w:lvlText w:val="(%1)"/>
      <w:numFmt w:val="lowerLetter"/>
      <w:start w:val="4"/>
    </w:lvl>
  </w:abstractNum>
  <w:abstractNum w:abstractNumId="83">
    <w:nsid w:val="1D9F6E5F"/>
    <w:multiLevelType w:val="hybridMultilevel"/>
    <w:lvl w:ilvl="0">
      <w:lvlJc w:val="left"/>
      <w:lvlText w:val="(%1)"/>
      <w:numFmt w:val="lowerLetter"/>
      <w:start w:val="2"/>
    </w:lvl>
  </w:abstractNum>
  <w:abstractNum w:abstractNumId="84">
    <w:nsid w:val="97E1B4E"/>
    <w:multiLevelType w:val="hybridMultilevel"/>
    <w:lvl w:ilvl="0">
      <w:lvlJc w:val="left"/>
      <w:lvlText w:val="(%1)"/>
      <w:numFmt w:val="upperLetter"/>
      <w:start w:val="1"/>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53584BCB"/>
    <w:multiLevelType w:val="hybridMultilevel"/>
    <w:lvl w:ilvl="0">
      <w:lvlJc w:val="left"/>
      <w:lvlText w:val="(%1)"/>
      <w:numFmt w:val="lowerLetter"/>
      <w:start w:val="1"/>
    </w:lvl>
  </w:abstractNum>
  <w:abstractNum w:abstractNumId="88">
    <w:nsid w:val="415E286C"/>
    <w:multiLevelType w:val="hybridMultilevel"/>
    <w:lvl w:ilvl="0">
      <w:lvlJc w:val="left"/>
      <w:lvlText w:val="(%1)"/>
      <w:numFmt w:val="lowerLetter"/>
      <w:start w:val="1"/>
    </w:lvl>
  </w:abstractNum>
  <w:abstractNum w:abstractNumId="89">
    <w:nsid w:val="7C58FD05"/>
    <w:multiLevelType w:val="hybridMultilevel"/>
    <w:lvl w:ilvl="0">
      <w:lvlJc w:val="left"/>
      <w:lvlText w:val="(%1)"/>
      <w:numFmt w:val="lowerLetter"/>
      <w:start w:val="3"/>
    </w:lvl>
  </w:abstractNum>
  <w:abstractNum w:abstractNumId="90">
    <w:nsid w:val="23D86AAC"/>
    <w:multiLevelType w:val="hybridMultilevel"/>
    <w:lvl w:ilvl="0">
      <w:lvlJc w:val="left"/>
      <w:lvlText w:val="(%1)"/>
      <w:numFmt w:val="lowerLetter"/>
      <w:start w:val="1"/>
    </w:lvl>
    <w:lvl w:ilvl="1">
      <w:lvlJc w:val="left"/>
      <w:lvlText w:val="(%2)"/>
      <w:numFmt w:val="lowerRoman"/>
      <w:start w:val="1"/>
    </w:lvl>
  </w:abstractNum>
  <w:abstractNum w:abstractNumId="91">
    <w:nsid w:val="45E6D48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2">
    <w:nsid w:val="5C10FE21"/>
    <w:multiLevelType w:val="hybridMultilevel"/>
    <w:lvl w:ilvl="0">
      <w:lvlJc w:val="left"/>
      <w:lvlText w:val="(%1)"/>
      <w:numFmt w:val="lowerLetter"/>
      <w:start w:val="1"/>
    </w:lvl>
  </w:abstractNum>
  <w:abstractNum w:abstractNumId="93">
    <w:nsid w:val="E7FFA2B"/>
    <w:multiLevelType w:val="hybridMultilevel"/>
    <w:lvl w:ilvl="0">
      <w:lvlJc w:val="left"/>
      <w:lvlText w:val="(%1)"/>
      <w:numFmt w:val="lowerLetter"/>
      <w:start w:val="2"/>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lowerRoman"/>
      <w:start w:val="1"/>
    </w:lvl>
  </w:abstractNum>
  <w:abstractNum w:abstractNumId="97">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8">
    <w:nsid w:val="2B0D8DB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9">
    <w:nsid w:val="6C80EC70"/>
    <w:multiLevelType w:val="hybridMultilevel"/>
    <w:lvl w:ilvl="0">
      <w:lvlJc w:val="left"/>
      <w:lvlText w:val="%1."/>
      <w:numFmt w:val="decimal"/>
      <w:start w:val="5"/>
    </w:lvl>
    <w:lvl w:ilvl="1">
      <w:lvlJc w:val="left"/>
      <w:lvlText w:val="(%2)"/>
      <w:numFmt w:val="lowerLetter"/>
      <w:start w:val="1"/>
    </w:lvl>
  </w:abstractNum>
  <w:abstractNum w:abstractNumId="100">
    <w:nsid w:val="379E21B5"/>
    <w:multiLevelType w:val="hybridMultilevel"/>
    <w:lvl w:ilvl="0">
      <w:lvlJc w:val="left"/>
      <w:lvlText w:val="%1."/>
      <w:numFmt w:val="decimal"/>
      <w:start w:val="8"/>
    </w:lvl>
    <w:lvl w:ilvl="1">
      <w:lvlJc w:val="left"/>
      <w:lvlText w:val="(%2)"/>
      <w:numFmt w:val="lowerLetter"/>
      <w:start w:val="1"/>
    </w:lvl>
  </w:abstractNum>
  <w:abstractNum w:abstractNumId="101">
    <w:nsid w:val="69E3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2">
    <w:nsid w:val="2C27173B"/>
    <w:multiLevelType w:val="hybridMultilevel"/>
    <w:lvl w:ilvl="0">
      <w:lvlJc w:val="left"/>
      <w:lvlText w:val="%1."/>
      <w:numFmt w:val="decimal"/>
      <w:start w:val="12"/>
    </w:lvl>
    <w:lvl w:ilvl="1">
      <w:lvlJc w:val="left"/>
      <w:lvlText w:val="%2."/>
      <w:numFmt w:val="decimal"/>
      <w:start w:val="12"/>
    </w:lvl>
    <w:lvl w:ilvl="2">
      <w:lvlJc w:val="left"/>
      <w:lvlText w:val="(%3)"/>
      <w:numFmt w:val="lowerLetter"/>
      <w:start w:val="1"/>
    </w:lvl>
  </w:abstractNum>
  <w:abstractNum w:abstractNumId="103">
    <w:nsid w:val="4C9B0904"/>
    <w:multiLevelType w:val="hybridMultilevel"/>
    <w:lvl w:ilvl="0">
      <w:lvlJc w:val="left"/>
      <w:lvlText w:val="(%1)"/>
      <w:numFmt w:val="lowerLetter"/>
      <w:start w:val="3"/>
    </w:lvl>
    <w:lvl w:ilvl="1">
      <w:lvlJc w:val="left"/>
      <w:lvlText w:val="(%2)"/>
      <w:numFmt w:val="lowerRoman"/>
      <w:start w:val="1"/>
    </w:lvl>
  </w:abstractNum>
  <w:abstractNum w:abstractNumId="104">
    <w:nsid w:val="6AA7B75C"/>
    <w:multiLevelType w:val="hybridMultilevel"/>
    <w:lvl w:ilvl="0">
      <w:lvlJc w:val="left"/>
      <w:lvlText w:val="%1"/>
      <w:numFmt w:val="decimal"/>
      <w:start w:val="1"/>
    </w:lvl>
    <w:lvl w:ilvl="1">
      <w:lvlJc w:val="left"/>
      <w:lvlText w:val="(%2)"/>
      <w:numFmt w:val="upperLetter"/>
      <w:start w:val="1"/>
    </w:lvl>
  </w:abstractNum>
  <w:abstractNum w:abstractNumId="105">
    <w:nsid w:val="1DF029D3"/>
    <w:multiLevelType w:val="hybridMultilevel"/>
    <w:lvl w:ilvl="0">
      <w:lvlJc w:val="left"/>
      <w:lvlText w:val="(%1)"/>
      <w:numFmt w:val="decimal"/>
      <w:start w:val="1"/>
    </w:lvl>
    <w:lvl w:ilvl="1">
      <w:lvlJc w:val="left"/>
      <w:lvlText w:val="%2"/>
      <w:numFmt w:val="upperLetter"/>
      <w:start w:val="1"/>
    </w:lvl>
  </w:abstractNum>
  <w:abstractNum w:abstractNumId="106">
    <w:nsid w:val="5675FF36"/>
    <w:multiLevelType w:val="hybridMultilevel"/>
    <w:lvl w:ilvl="0">
      <w:lvlJc w:val="left"/>
      <w:lvlText w:val="(%1)"/>
      <w:numFmt w:val="lowerLetter"/>
      <w:start w:val="4"/>
    </w:lvl>
  </w:abstractNum>
  <w:abstractNum w:abstractNumId="107">
    <w:nsid w:val="3DD15094"/>
    <w:multiLevelType w:val="hybridMultilevel"/>
    <w:lvl w:ilvl="0">
      <w:lvlJc w:val="left"/>
      <w:lvlText w:val="%1"/>
      <w:numFmt w:val="decimal"/>
      <w:start w:val="1"/>
    </w:lvl>
    <w:lvl w:ilvl="1">
      <w:lvlJc w:val="left"/>
      <w:lvlText w:val="(%2)"/>
      <w:numFmt w:val="lowerLetter"/>
      <w:start w:val="6"/>
    </w:lvl>
  </w:abstractNum>
  <w:abstractNum w:abstractNumId="108">
    <w:nsid w:val="3DB012B3"/>
    <w:multiLevelType w:val="hybridMultilevel"/>
    <w:lvl w:ilvl="0">
      <w:lvlJc w:val="left"/>
      <w:lvlText w:val="%1"/>
      <w:numFmt w:val="decimal"/>
      <w:start w:val="65"/>
    </w:lvl>
    <w:lvl w:ilvl="1">
      <w:lvlJc w:val="left"/>
      <w:lvlText w:val="(%2)"/>
      <w:numFmt w:val="lowerLetter"/>
      <w:start w:val="7"/>
    </w:lvl>
  </w:abstractNum>
  <w:abstractNum w:abstractNumId="109">
    <w:nsid w:val="2708C9AF"/>
    <w:multiLevelType w:val="hybridMultilevel"/>
    <w:lvl w:ilvl="0">
      <w:lvlJc w:val="left"/>
      <w:lvlText w:val="%1."/>
      <w:numFmt w:val="decimal"/>
      <w:start w:val="17"/>
    </w:lvl>
    <w:lvl w:ilvl="1">
      <w:lvlJc w:val="left"/>
      <w:lvlText w:val="(%2)"/>
      <w:numFmt w:val="lowerLetter"/>
      <w:start w:val="1"/>
    </w:lvl>
  </w:abstractNum>
  <w:abstractNum w:abstractNumId="110">
    <w:nsid w:val="5B25ACE2"/>
    <w:multiLevelType w:val="hybridMultilevel"/>
    <w:lvl w:ilvl="0">
      <w:lvlJc w:val="left"/>
      <w:lvlText w:val="%1"/>
      <w:numFmt w:val="decimal"/>
      <w:start w:val="1"/>
    </w:lvl>
    <w:lvl w:ilvl="1">
      <w:lvlJc w:val="left"/>
      <w:lvlText w:val="(%2)"/>
      <w:numFmt w:val="lowerLetter"/>
      <w:start w:val="3"/>
    </w:lvl>
  </w:abstractNum>
  <w:abstractNum w:abstractNumId="111">
    <w:nsid w:val="175DFCF0"/>
    <w:multiLevelType w:val="hybridMultilevel"/>
    <w:lvl w:ilvl="0">
      <w:lvlJc w:val="left"/>
      <w:lvlText w:val="%1."/>
      <w:numFmt w:val="decimal"/>
      <w:start w:val="18"/>
    </w:lvl>
    <w:lvl w:ilvl="1">
      <w:lvlJc w:val="left"/>
      <w:lvlText w:val="%2"/>
      <w:numFmt w:val="lowerLetter"/>
      <w:start w:val="1"/>
    </w:lvl>
  </w:abstractNum>
  <w:abstractNum w:abstractNumId="112">
    <w:nsid w:val="4F97E3E4"/>
    <w:multiLevelType w:val="hybridMultilevel"/>
    <w:lvl w:ilvl="0">
      <w:lvlJc w:val="left"/>
      <w:lvlText w:val="%1."/>
      <w:numFmt w:val="decimal"/>
      <w:start w:val="1"/>
    </w:lvl>
    <w:lvl w:ilvl="1">
      <w:lvlJc w:val="left"/>
      <w:lvlText w:val="(%2)"/>
      <w:numFmt w:val="lowerLetter"/>
      <w:start w:val="1"/>
    </w:lvl>
  </w:abstractNum>
  <w:abstractNum w:abstractNumId="113">
    <w:nsid w:val="53B0A9E"/>
    <w:multiLevelType w:val="hybridMultilevel"/>
    <w:lvl w:ilvl="0">
      <w:lvlJc w:val="left"/>
      <w:lvlText w:val="%1."/>
      <w:numFmt w:val="decimal"/>
      <w:start w:val="3"/>
    </w:lvl>
    <w:lvl w:ilvl="1">
      <w:lvlJc w:val="left"/>
      <w:lvlText w:val="(%2)"/>
      <w:numFmt w:val="lowerLetter"/>
      <w:start w:val="1"/>
    </w:lvl>
  </w:abstractNum>
  <w:abstractNum w:abstractNumId="114">
    <w:nsid w:val="34FD6B4F"/>
    <w:multiLevelType w:val="hybridMultilevel"/>
    <w:lvl w:ilvl="0">
      <w:lvlJc w:val="left"/>
      <w:lvlText w:val="(%1)"/>
      <w:numFmt w:val="lowerLetter"/>
      <w:start w:val="2"/>
    </w:lvl>
  </w:abstractNum>
  <w:abstractNum w:abstractNumId="115">
    <w:nsid w:val="5915FF32"/>
    <w:multiLevelType w:val="hybridMultilevel"/>
    <w:lvl w:ilvl="0">
      <w:lvlJc w:val="left"/>
      <w:lvlText w:val="(%1)"/>
      <w:numFmt w:val="lowerLetter"/>
      <w:start w:val="4"/>
    </w:lvl>
  </w:abstractNum>
  <w:abstractNum w:abstractNumId="116">
    <w:nsid w:val="56438D15"/>
    <w:multiLevelType w:val="hybridMultilevel"/>
    <w:lvl w:ilvl="0">
      <w:lvlJc w:val="left"/>
      <w:lvlText w:val="%1."/>
      <w:numFmt w:val="decimal"/>
      <w:start w:val="4"/>
    </w:lvl>
  </w:abstractNum>
  <w:abstractNum w:abstractNumId="117">
    <w:nsid w:val="519E3149"/>
    <w:multiLevelType w:val="hybridMultilevel"/>
    <w:lvl w:ilvl="0">
      <w:lvlJc w:val="left"/>
      <w:lvlText w:val="(%1)"/>
      <w:numFmt w:val="lowerLetter"/>
      <w:start w:val="1"/>
    </w:lvl>
    <w:lvl w:ilvl="1">
      <w:lvlJc w:val="left"/>
      <w:lvlText w:val="(%2)"/>
      <w:numFmt w:val="lowerLetter"/>
      <w:start w:val="9"/>
    </w:lvl>
  </w:abstractNum>
  <w:abstractNum w:abstractNumId="118">
    <w:nsid w:val="2C6E4AFD"/>
    <w:multiLevelType w:val="hybridMultilevel"/>
    <w:lvl w:ilvl="0">
      <w:lvlJc w:val="left"/>
      <w:lvlText w:val="%1."/>
      <w:numFmt w:val="decimal"/>
      <w:start w:val="9"/>
    </w:lvl>
  </w:abstractNum>
  <w:abstractNum w:abstractNumId="119">
    <w:nsid w:val="17A1B582"/>
    <w:multiLevelType w:val="hybridMultilevel"/>
    <w:lvl w:ilvl="0">
      <w:lvlJc w:val="left"/>
      <w:lvlText w:val="%1."/>
      <w:numFmt w:val="decimal"/>
      <w:start w:val="11"/>
    </w:lvl>
    <w:lvl w:ilvl="1">
      <w:lvlJc w:val="left"/>
      <w:lvlText w:val="(%2)"/>
      <w:numFmt w:val="lowerLetter"/>
      <w:start w:val="1"/>
    </w:lvl>
  </w:abstractNum>
  <w:abstractNum w:abstractNumId="120">
    <w:nsid w:val="4DF72E4E"/>
    <w:multiLevelType w:val="hybridMultilevel"/>
    <w:lvl w:ilvl="0">
      <w:lvlJc w:val="left"/>
      <w:lvlText w:val="%1."/>
      <w:numFmt w:val="decimal"/>
      <w:start w:val="13"/>
    </w:lvl>
  </w:abstractNum>
  <w:abstractNum w:abstractNumId="121">
    <w:nsid w:val="5046B5A9"/>
    <w:multiLevelType w:val="hybridMultilevel"/>
    <w:lvl w:ilvl="0">
      <w:lvlJc w:val="left"/>
      <w:lvlText w:val="%1."/>
      <w:numFmt w:val="decimal"/>
      <w:start w:val="17"/>
    </w:lvl>
    <w:lvl w:ilvl="1">
      <w:lvlJc w:val="left"/>
      <w:lvlText w:val="(%2)"/>
      <w:numFmt w:val="lowerLetter"/>
      <w:start w:val="1"/>
    </w:lvl>
  </w:abstractNum>
  <w:abstractNum w:abstractNumId="122">
    <w:nsid w:val="5D888A08"/>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123">
    <w:nsid w:val="2A082C70"/>
    <w:multiLevelType w:val="hybridMultilevel"/>
    <w:lvl w:ilvl="0">
      <w:lvlJc w:val="left"/>
      <w:lvlText w:val="(%1)"/>
      <w:numFmt w:val="lowerRoman"/>
      <w:start w:val="3"/>
    </w:lvl>
  </w:abstractNum>
  <w:abstractNum w:abstractNumId="124">
    <w:nsid w:val="5EC6AFD4"/>
    <w:multiLevelType w:val="hybridMultilevel"/>
    <w:lvl w:ilvl="0">
      <w:lvlJc w:val="left"/>
      <w:lvlText w:val="(%1)"/>
      <w:numFmt w:val="upperLetter"/>
      <w:start w:val="1"/>
    </w:lvl>
  </w:abstractNum>
  <w:abstractNum w:abstractNumId="125">
    <w:nsid w:val="19E21BB2"/>
    <w:multiLevelType w:val="hybridMultilevel"/>
    <w:lvl w:ilvl="0">
      <w:lvlJc w:val="left"/>
      <w:lvlText w:val="(%1)"/>
      <w:numFmt w:val="lowerLetter"/>
      <w:start w:val="4"/>
    </w:lvl>
  </w:abstractNum>
  <w:abstractNum w:abstractNumId="126">
    <w:nsid w:val="75E0858A"/>
    <w:multiLevelType w:val="hybridMultilevel"/>
    <w:lvl w:ilvl="0">
      <w:lvlJc w:val="left"/>
      <w:lvlText w:val="(%1)"/>
      <w:numFmt w:val="lowerLetter"/>
      <w:start w:val="12"/>
    </w:lvl>
  </w:abstractNum>
  <w:abstractNum w:abstractNumId="127">
    <w:nsid w:val="57A61A29"/>
    <w:multiLevelType w:val="hybridMultilevel"/>
    <w:lvl w:ilvl="0">
      <w:lvlJc w:val="left"/>
      <w:lvlText w:val="%1"/>
      <w:numFmt w:val="decimal"/>
      <w:start w:val="1"/>
    </w:lvl>
    <w:lvl w:ilvl="1">
      <w:lvlJc w:val="left"/>
      <w:lvlText w:val="(%2)"/>
      <w:numFmt w:val="lowerLetter"/>
      <w:start w:val="18"/>
    </w:lvl>
  </w:abstractNum>
  <w:abstractNum w:abstractNumId="128">
    <w:nsid w:val="5399C654"/>
    <w:multiLevelType w:val="hybridMultilevel"/>
    <w:lvl w:ilvl="0">
      <w:lvlJc w:val="left"/>
      <w:lvlText w:val="%1."/>
      <w:numFmt w:val="decimal"/>
      <w:start w:val="24"/>
    </w:lvl>
    <w:lvl w:ilvl="1">
      <w:lvlJc w:val="left"/>
      <w:lvlText w:val="(%2)"/>
      <w:numFmt w:val="lowerLetter"/>
      <w:start w:val="1"/>
    </w:lvl>
  </w:abstractNum>
  <w:abstractNum w:abstractNumId="129">
    <w:nsid w:val="20EE1348"/>
    <w:multiLevelType w:val="hybridMultilevel"/>
    <w:lvl w:ilvl="0">
      <w:lvlJc w:val="left"/>
      <w:lvlText w:val="(%1)"/>
      <w:numFmt w:val="decimal"/>
      <w:start w:val="1"/>
    </w:lvl>
  </w:abstractNum>
  <w:abstractNum w:abstractNumId="130">
    <w:nsid w:val="4427069A"/>
    <w:multiLevelType w:val="hybridMultilevel"/>
    <w:lvl w:ilvl="0">
      <w:lvlJc w:val="left"/>
      <w:lvlText w:val="%1."/>
      <w:numFmt w:val="decimal"/>
      <w:start w:val="1"/>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2019-12-11T20:50:00Z</dcterms:created>
  <dcterms:modified xsi:type="dcterms:W3CDTF">2019-12-11T20:50:00Z</dcterms:modified>
</cp:coreProperties>
</file>