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29,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368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2500" w:type="dxa"/>
            <w:vAlign w:val="bottom"/>
          </w:tcPr>
          <w:p>
            <w:pPr>
              <w:jc w:val="center"/>
              <w:ind w:right="302"/>
              <w:spacing w:after="0"/>
              <w:rPr>
                <w:sz w:val="20"/>
                <w:szCs w:val="20"/>
                <w:color w:val="auto"/>
              </w:rPr>
            </w:pPr>
            <w:r>
              <w:rPr>
                <w:rFonts w:ascii="Arial" w:cs="Arial" w:eastAsia="Arial" w:hAnsi="Arial"/>
                <w:sz w:val="18"/>
                <w:szCs w:val="18"/>
                <w:b w:val="1"/>
                <w:bCs w:val="1"/>
                <w:color w:val="auto"/>
                <w:w w:val="90"/>
              </w:rPr>
              <w:t>1-12154</w:t>
            </w:r>
          </w:p>
        </w:tc>
        <w:tc>
          <w:tcPr>
            <w:tcW w:w="2880" w:type="dxa"/>
            <w:vAlign w:val="bottom"/>
          </w:tcPr>
          <w:p>
            <w:pPr>
              <w:jc w:val="center"/>
              <w:ind w:left="1681"/>
              <w:spacing w:after="0"/>
              <w:rPr>
                <w:sz w:val="20"/>
                <w:szCs w:val="20"/>
                <w:color w:val="auto"/>
              </w:rPr>
            </w:pPr>
            <w:r>
              <w:rPr>
                <w:rFonts w:ascii="Arial" w:cs="Arial" w:eastAsia="Arial" w:hAnsi="Arial"/>
                <w:sz w:val="18"/>
                <w:szCs w:val="18"/>
                <w:b w:val="1"/>
                <w:bCs w:val="1"/>
                <w:color w:val="auto"/>
                <w:w w:val="91"/>
              </w:rPr>
              <w:t>73-1309529</w:t>
            </w:r>
          </w:p>
        </w:tc>
      </w:tr>
      <w:tr>
        <w:trPr>
          <w:trHeight w:val="149"/>
        </w:trPr>
        <w:tc>
          <w:tcPr>
            <w:tcW w:w="368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500" w:type="dxa"/>
            <w:vAlign w:val="bottom"/>
          </w:tcPr>
          <w:p>
            <w:pPr>
              <w:jc w:val="center"/>
              <w:ind w:right="30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880" w:type="dxa"/>
            <w:vAlign w:val="bottom"/>
          </w:tcPr>
          <w:p>
            <w:pPr>
              <w:jc w:val="center"/>
              <w:ind w:left="16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80" w:type="dxa"/>
            <w:vAlign w:val="bottom"/>
          </w:tcPr>
          <w:p>
            <w:pPr>
              <w:jc w:val="center"/>
              <w:ind w:right="1899"/>
              <w:spacing w:after="0"/>
              <w:rPr>
                <w:sz w:val="20"/>
                <w:szCs w:val="20"/>
                <w:color w:val="auto"/>
              </w:rPr>
            </w:pPr>
            <w:r>
              <w:rPr>
                <w:rFonts w:ascii="Arial" w:cs="Arial" w:eastAsia="Arial" w:hAnsi="Arial"/>
                <w:sz w:val="14"/>
                <w:szCs w:val="14"/>
                <w:b w:val="1"/>
                <w:bCs w:val="1"/>
                <w:color w:val="auto"/>
                <w:w w:val="94"/>
              </w:rPr>
              <w:t>of Incorporation)</w:t>
            </w:r>
          </w:p>
        </w:tc>
        <w:tc>
          <w:tcPr>
            <w:tcW w:w="2500" w:type="dxa"/>
            <w:vAlign w:val="bottom"/>
          </w:tcPr>
          <w:p>
            <w:pPr>
              <w:jc w:val="center"/>
              <w:ind w:right="302"/>
              <w:spacing w:after="0"/>
              <w:rPr>
                <w:sz w:val="20"/>
                <w:szCs w:val="20"/>
                <w:color w:val="auto"/>
              </w:rPr>
            </w:pPr>
            <w:r>
              <w:rPr>
                <w:rFonts w:ascii="Arial" w:cs="Arial" w:eastAsia="Arial" w:hAnsi="Arial"/>
                <w:sz w:val="14"/>
                <w:szCs w:val="14"/>
                <w:b w:val="1"/>
                <w:bCs w:val="1"/>
                <w:color w:val="auto"/>
                <w:w w:val="98"/>
              </w:rPr>
              <w:t>File Number)</w:t>
            </w:r>
          </w:p>
        </w:tc>
        <w:tc>
          <w:tcPr>
            <w:tcW w:w="2880" w:type="dxa"/>
            <w:vAlign w:val="bottom"/>
          </w:tcPr>
          <w:p>
            <w:pPr>
              <w:jc w:val="center"/>
              <w:ind w:left="168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0"/>
              </w:rPr>
              <w:t>1001 Fannin, Suite 4000</w:t>
            </w:r>
          </w:p>
        </w:tc>
        <w:tc>
          <w:tcPr>
            <w:tcW w:w="25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5"/>
        </w:trPr>
        <w:tc>
          <w:tcPr>
            <w:tcW w:w="36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Houston, Texas</w:t>
            </w:r>
          </w:p>
        </w:tc>
        <w:tc>
          <w:tcPr>
            <w:tcW w:w="2500" w:type="dxa"/>
            <w:vAlign w:val="bottom"/>
          </w:tcPr>
          <w:p>
            <w:pPr>
              <w:spacing w:after="0"/>
              <w:rPr>
                <w:sz w:val="19"/>
                <w:szCs w:val="19"/>
                <w:color w:val="auto"/>
              </w:rPr>
            </w:pPr>
          </w:p>
        </w:tc>
        <w:tc>
          <w:tcPr>
            <w:tcW w:w="2880" w:type="dxa"/>
            <w:vAlign w:val="bottom"/>
          </w:tcPr>
          <w:p>
            <w:pPr>
              <w:jc w:val="right"/>
              <w:ind w:right="1201"/>
              <w:spacing w:after="0"/>
              <w:rPr>
                <w:sz w:val="20"/>
                <w:szCs w:val="20"/>
                <w:color w:val="auto"/>
              </w:rPr>
            </w:pPr>
            <w:r>
              <w:rPr>
                <w:rFonts w:ascii="Arial" w:cs="Arial" w:eastAsia="Arial" w:hAnsi="Arial"/>
                <w:sz w:val="18"/>
                <w:szCs w:val="18"/>
                <w:b w:val="1"/>
                <w:bCs w:val="1"/>
                <w:color w:val="auto"/>
              </w:rPr>
              <w:t>77002</w:t>
            </w:r>
          </w:p>
        </w:tc>
      </w:tr>
      <w:tr>
        <w:trPr>
          <w:trHeight w:val="186"/>
        </w:trPr>
        <w:tc>
          <w:tcPr>
            <w:tcW w:w="368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500" w:type="dxa"/>
            <w:vAlign w:val="bottom"/>
          </w:tcPr>
          <w:p>
            <w:pPr>
              <w:spacing w:after="0"/>
              <w:rPr>
                <w:sz w:val="16"/>
                <w:szCs w:val="16"/>
                <w:color w:val="auto"/>
              </w:rPr>
            </w:pPr>
          </w:p>
        </w:tc>
        <w:tc>
          <w:tcPr>
            <w:tcW w:w="288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480695</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1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quarter ended September 30, 2014, a copy of which is attached hereto as Exhibit 99.1. The Company is holding a conference call to discuss these results beginning at 9:00 a.m. Central Time this morning. The call will be webcast live and may be heard by accessing the Company’s website at www.wm.com. The call may also be heard by dialing (877) 710-6139 and entering access code 8203798.</w:t>
      </w:r>
    </w:p>
    <w:p>
      <w:pPr>
        <w:spacing w:after="0" w:line="187"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that are included in the Company’s press release. The Company has provided information regarding its use of the non-GAAP measures contained in its press release and reconciliations of such measures to their most comparable GAAP measures.</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the non-GAAP measures contained and reconciled in the press release, management is also expected to discuss Adjusted Income from Operations, Adjusted Income from Operations as a percent of Revenue, Adjusted Operating EBITDA and Adjusted Operating EBITDA as a percent of Revenue. Each of these non-GAAP measures excludes certain items noted in the table below. Management uses these non-GAAP measures as an indicator of the Company’s operating performance and ability to pay dividends, fund acquisitions, capital expenditures and other investments and, in the absence of refinancing, to repay debt obligations. Management believes these non-GAAP measures are helpful to investors evaluating the Company’s operating performance because certain non-cash costs and other items that management believes are not representative of our performance or indicative of our results of operations are excluded. Reconciliations of these non-GAAP measures to the most comparable GAAP measures are shown below.</w:t>
      </w:r>
    </w:p>
    <w:p>
      <w:pPr>
        <w:spacing w:after="0" w:line="16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Company defines Operating EBITDA as income from operations before depreciation and amortization; this measure may not be comparable to similarly titled measures reported by other companies. Adjusted Operating EBITDA should not be considered an alternative to net income, income from operations or net cash provided by operating activities.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Non-GAAP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71"/>
        </w:trPr>
        <w:tc>
          <w:tcPr>
            <w:tcW w:w="9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 2014</w:t>
            </w:r>
          </w:p>
        </w:tc>
        <w:tc>
          <w:tcPr>
            <w:tcW w:w="0" w:type="dxa"/>
            <w:vAlign w:val="bottom"/>
          </w:tcPr>
          <w:p>
            <w:pPr>
              <w:spacing w:after="0"/>
              <w:rPr>
                <w:sz w:val="1"/>
                <w:szCs w:val="1"/>
                <w:color w:val="auto"/>
              </w:rPr>
            </w:pPr>
          </w:p>
        </w:tc>
      </w:tr>
      <w:tr>
        <w:trPr>
          <w:trHeight w:val="119"/>
        </w:trPr>
        <w:tc>
          <w:tcPr>
            <w:tcW w:w="94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Income from Operations; Adjusted Operating EBITDA and each as a percent of Revenues</w:t>
            </w:r>
          </w:p>
        </w:tc>
        <w:tc>
          <w:tcPr>
            <w:tcW w:w="108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As a %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80" w:type="dxa"/>
            <w:vAlign w:val="bottom"/>
            <w:vMerge w:val="continue"/>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10"/>
        </w:trPr>
        <w:tc>
          <w:tcPr>
            <w:tcW w:w="94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revenues, as reported</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$3,602</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b w:val="1"/>
                <w:bCs w:val="1"/>
                <w:color w:val="auto"/>
              </w:rPr>
              <w:t>Income from operations, as reported</w:t>
            </w:r>
          </w:p>
        </w:tc>
        <w:tc>
          <w:tcPr>
            <w:tcW w:w="1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546</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Adjustments to Income from operations: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720"/>
              <w:spacing w:after="0"/>
              <w:rPr>
                <w:sz w:val="20"/>
                <w:szCs w:val="20"/>
                <w:color w:val="auto"/>
              </w:rPr>
            </w:pPr>
            <w:r>
              <w:rPr>
                <w:rFonts w:ascii="Arial" w:cs="Arial" w:eastAsia="Arial" w:hAnsi="Arial"/>
                <w:sz w:val="18"/>
                <w:szCs w:val="18"/>
                <w:color w:val="auto"/>
              </w:rPr>
              <w:t>Restructuring charges</w:t>
            </w:r>
          </w:p>
        </w:tc>
        <w:tc>
          <w:tcPr>
            <w:tcW w:w="1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Legal reserves</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tcPr>
          <w:p>
            <w:pPr>
              <w:ind w:left="720"/>
              <w:spacing w:after="0"/>
              <w:rPr>
                <w:sz w:val="20"/>
                <w:szCs w:val="20"/>
                <w:color w:val="auto"/>
              </w:rPr>
            </w:pPr>
            <w:r>
              <w:rPr>
                <w:rFonts w:ascii="Arial" w:cs="Arial" w:eastAsia="Arial" w:hAnsi="Arial"/>
                <w:sz w:val="18"/>
                <w:szCs w:val="18"/>
                <w:color w:val="auto"/>
              </w:rPr>
              <w:t>(Income) from divestitures, asset impairments and unusual items</w:t>
            </w:r>
          </w:p>
        </w:tc>
        <w:tc>
          <w:tcPr>
            <w:tcW w:w="180" w:type="dxa"/>
            <w:vAlign w:val="bottom"/>
          </w:tcPr>
          <w:p>
            <w:pPr>
              <w:spacing w:after="0"/>
              <w:rPr>
                <w:sz w:val="19"/>
                <w:szCs w:val="19"/>
                <w:color w:val="auto"/>
              </w:rPr>
            </w:pPr>
          </w:p>
        </w:tc>
        <w:tc>
          <w:tcPr>
            <w:tcW w:w="900" w:type="dxa"/>
            <w:vAlign w:val="bottom"/>
            <w:gridSpan w:val="3"/>
          </w:tcPr>
          <w:p>
            <w:pPr>
              <w:jc w:val="right"/>
              <w:ind w:right="500"/>
              <w:spacing w:after="0"/>
              <w:rPr>
                <w:sz w:val="20"/>
                <w:szCs w:val="20"/>
                <w:color w:val="auto"/>
              </w:rPr>
            </w:pPr>
            <w:r>
              <w:rPr>
                <w:rFonts w:ascii="Arial" w:cs="Arial" w:eastAsia="Arial" w:hAnsi="Arial"/>
                <w:sz w:val="18"/>
                <w:szCs w:val="18"/>
                <w:color w:val="auto"/>
              </w:rPr>
              <w:t>(16)</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tcPr>
          <w:p>
            <w:pPr>
              <w:ind w:left="360"/>
              <w:spacing w:after="0"/>
              <w:rPr>
                <w:sz w:val="20"/>
                <w:szCs w:val="20"/>
                <w:color w:val="auto"/>
              </w:rPr>
            </w:pPr>
            <w:r>
              <w:rPr>
                <w:rFonts w:ascii="Arial" w:cs="Arial" w:eastAsia="Arial" w:hAnsi="Arial"/>
                <w:sz w:val="18"/>
                <w:szCs w:val="18"/>
                <w:b w:val="1"/>
                <w:bCs w:val="1"/>
                <w:color w:val="auto"/>
              </w:rPr>
              <w:t>Adjusted Income from Operations and Adjusted Income from Operations as a percent of Revenues</w:t>
            </w:r>
          </w:p>
        </w:tc>
        <w:tc>
          <w:tcPr>
            <w:tcW w:w="180" w:type="dxa"/>
            <w:vAlign w:val="bottom"/>
          </w:tcPr>
          <w:p>
            <w:pPr>
              <w:spacing w:after="0"/>
              <w:rPr>
                <w:sz w:val="19"/>
                <w:szCs w:val="19"/>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628(a)</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17.4%(a)</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tcPr>
          <w:p>
            <w:pPr>
              <w:ind w:left="360"/>
              <w:spacing w:after="0"/>
              <w:rPr>
                <w:sz w:val="20"/>
                <w:szCs w:val="20"/>
                <w:color w:val="auto"/>
              </w:rPr>
            </w:pPr>
            <w:r>
              <w:rPr>
                <w:rFonts w:ascii="Arial" w:cs="Arial" w:eastAsia="Arial" w:hAnsi="Arial"/>
                <w:sz w:val="18"/>
                <w:szCs w:val="18"/>
                <w:b w:val="1"/>
                <w:bCs w:val="1"/>
                <w:color w:val="auto"/>
              </w:rPr>
              <w:t>Adjusted Operating EBITDA and Adjusted Operating EBITDA as a percent of Revenues</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957</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6"/>
              </w:rPr>
              <w:t>(b)</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26.6%(b)</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9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71"/>
        </w:trPr>
        <w:tc>
          <w:tcPr>
            <w:tcW w:w="9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 2013</w:t>
            </w:r>
          </w:p>
        </w:tc>
        <w:tc>
          <w:tcPr>
            <w:tcW w:w="0" w:type="dxa"/>
            <w:vAlign w:val="bottom"/>
          </w:tcPr>
          <w:p>
            <w:pPr>
              <w:spacing w:after="0"/>
              <w:rPr>
                <w:sz w:val="1"/>
                <w:szCs w:val="1"/>
                <w:color w:val="auto"/>
              </w:rPr>
            </w:pPr>
          </w:p>
        </w:tc>
      </w:tr>
      <w:tr>
        <w:trPr>
          <w:trHeight w:val="119"/>
        </w:trPr>
        <w:tc>
          <w:tcPr>
            <w:tcW w:w="94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Income from Operations; Adjusted Operating EBITDA and each as a percent of Revenues</w:t>
            </w:r>
          </w:p>
        </w:tc>
        <w:tc>
          <w:tcPr>
            <w:tcW w:w="108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As a %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80" w:type="dxa"/>
            <w:vAlign w:val="bottom"/>
            <w:vMerge w:val="continue"/>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10"/>
        </w:trPr>
        <w:tc>
          <w:tcPr>
            <w:tcW w:w="94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revenues, as reported</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$3,621</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360"/>
              <w:spacing w:after="0"/>
              <w:rPr>
                <w:sz w:val="20"/>
                <w:szCs w:val="20"/>
                <w:color w:val="auto"/>
              </w:rPr>
            </w:pPr>
            <w:r>
              <w:rPr>
                <w:rFonts w:ascii="Arial" w:cs="Arial" w:eastAsia="Arial" w:hAnsi="Arial"/>
                <w:sz w:val="18"/>
                <w:szCs w:val="18"/>
                <w:b w:val="1"/>
                <w:bCs w:val="1"/>
                <w:color w:val="auto"/>
              </w:rPr>
              <w:t>Income from operations, as reported</w:t>
            </w:r>
          </w:p>
        </w:tc>
        <w:tc>
          <w:tcPr>
            <w:tcW w:w="1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577</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Adjustments to Income from operations: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720"/>
              <w:spacing w:after="0"/>
              <w:rPr>
                <w:sz w:val="20"/>
                <w:szCs w:val="20"/>
                <w:color w:val="auto"/>
              </w:rPr>
            </w:pPr>
            <w:r>
              <w:rPr>
                <w:rFonts w:ascii="Arial" w:cs="Arial" w:eastAsia="Arial" w:hAnsi="Arial"/>
                <w:sz w:val="18"/>
                <w:szCs w:val="18"/>
                <w:color w:val="auto"/>
              </w:rPr>
              <w:t>Asset impairments and unusual items</w:t>
            </w:r>
          </w:p>
        </w:tc>
        <w:tc>
          <w:tcPr>
            <w:tcW w:w="1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Partial withdrawal from multiemployer pension plan</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tcPr>
          <w:p>
            <w:pPr>
              <w:ind w:left="720"/>
              <w:spacing w:after="0"/>
              <w:rPr>
                <w:sz w:val="20"/>
                <w:szCs w:val="20"/>
                <w:color w:val="auto"/>
              </w:rPr>
            </w:pPr>
            <w:r>
              <w:rPr>
                <w:rFonts w:ascii="Arial" w:cs="Arial" w:eastAsia="Arial" w:hAnsi="Arial"/>
                <w:sz w:val="18"/>
                <w:szCs w:val="18"/>
                <w:color w:val="auto"/>
              </w:rPr>
              <w:t>Restructuring charges</w:t>
            </w: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tcPr>
          <w:p>
            <w:pPr>
              <w:ind w:left="360"/>
              <w:spacing w:after="0"/>
              <w:rPr>
                <w:sz w:val="20"/>
                <w:szCs w:val="20"/>
                <w:color w:val="auto"/>
              </w:rPr>
            </w:pPr>
            <w:r>
              <w:rPr>
                <w:rFonts w:ascii="Arial" w:cs="Arial" w:eastAsia="Arial" w:hAnsi="Arial"/>
                <w:sz w:val="18"/>
                <w:szCs w:val="18"/>
                <w:b w:val="1"/>
                <w:bCs w:val="1"/>
                <w:color w:val="auto"/>
              </w:rPr>
              <w:t>Adjusted Income from Operations and Adjusted Income from Operations as a percent of Revenues</w:t>
            </w:r>
          </w:p>
        </w:tc>
        <w:tc>
          <w:tcPr>
            <w:tcW w:w="180" w:type="dxa"/>
            <w:vAlign w:val="bottom"/>
          </w:tcPr>
          <w:p>
            <w:pPr>
              <w:spacing w:after="0"/>
              <w:rPr>
                <w:sz w:val="19"/>
                <w:szCs w:val="19"/>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608(a)</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16.8%(a)</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tcPr>
          <w:p>
            <w:pPr>
              <w:ind w:left="360"/>
              <w:spacing w:after="0"/>
              <w:rPr>
                <w:sz w:val="20"/>
                <w:szCs w:val="20"/>
                <w:color w:val="auto"/>
              </w:rPr>
            </w:pPr>
            <w:r>
              <w:rPr>
                <w:rFonts w:ascii="Arial" w:cs="Arial" w:eastAsia="Arial" w:hAnsi="Arial"/>
                <w:sz w:val="18"/>
                <w:szCs w:val="18"/>
                <w:b w:val="1"/>
                <w:bCs w:val="1"/>
                <w:color w:val="auto"/>
              </w:rPr>
              <w:t>Adjusted Operating EBITDA and Adjusted Operating EBITDA as a percent of Revenues</w:t>
            </w: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952</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6"/>
              </w:rPr>
              <w:t>(b)</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26.3%(b)</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2"/>
        <w:spacing w:after="0" w:line="258"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income from operations for the third quarter of 2014 increased $20 million, or 60 basis points, as compared with adjusted results for the same period prior year.</w:t>
      </w:r>
    </w:p>
    <w:p>
      <w:pPr>
        <w:spacing w:after="0" w:line="1" w:lineRule="exact"/>
        <w:rPr>
          <w:rFonts w:ascii="Arial" w:cs="Arial" w:eastAsia="Arial" w:hAnsi="Arial"/>
          <w:sz w:val="18"/>
          <w:szCs w:val="18"/>
          <w:b w:val="1"/>
          <w:bCs w:val="1"/>
          <w:color w:val="auto"/>
        </w:rPr>
      </w:pPr>
    </w:p>
    <w:p>
      <w:pPr>
        <w:ind w:left="460" w:right="40" w:hanging="452"/>
        <w:spacing w:after="0" w:line="261"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Operating EBITDA increased $5 million, or 30 basis points as a percent of revenues, compared with adjusted results for the same period prior year.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Exhibit 99.1: Press Release dated October 29, 2014 regarding Third Quarter 2014 Earnings.</w:t>
      </w:r>
    </w:p>
    <w:p>
      <w:pPr>
        <w:spacing w:after="0" w:line="1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0"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740" w:type="dxa"/>
            <w:vAlign w:val="bottom"/>
            <w:gridSpan w:val="2"/>
          </w:tcPr>
          <w:p>
            <w:pPr>
              <w:ind w:left="2220"/>
              <w:spacing w:after="0"/>
              <w:rPr>
                <w:sz w:val="20"/>
                <w:szCs w:val="20"/>
                <w:color w:val="auto"/>
              </w:rPr>
            </w:pPr>
            <w:r>
              <w:rPr>
                <w:rFonts w:ascii="Arial" w:cs="Arial" w:eastAsia="Arial" w:hAnsi="Arial"/>
                <w:sz w:val="18"/>
                <w:szCs w:val="18"/>
                <w:color w:val="auto"/>
              </w:rPr>
              <w:t>WASTE MANAGEMENT, INC.</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October 29, 2014</w:t>
            </w:r>
          </w:p>
        </w:tc>
        <w:tc>
          <w:tcPr>
            <w:tcW w:w="7740" w:type="dxa"/>
            <w:vAlign w:val="bottom"/>
            <w:gridSpan w:val="2"/>
          </w:tcPr>
          <w:p>
            <w:pPr>
              <w:ind w:left="2220"/>
              <w:spacing w:after="0"/>
              <w:rPr>
                <w:sz w:val="20"/>
                <w:szCs w:val="20"/>
                <w:color w:val="auto"/>
              </w:rPr>
            </w:pPr>
            <w:r>
              <w:rPr>
                <w:rFonts w:ascii="Arial" w:cs="Arial" w:eastAsia="Arial" w:hAnsi="Arial"/>
                <w:sz w:val="18"/>
                <w:szCs w:val="18"/>
                <w:color w:val="auto"/>
              </w:rPr>
              <w:t>By: /s/ Barry H. Caldwell</w:t>
            </w:r>
          </w:p>
        </w:tc>
      </w:tr>
      <w:tr>
        <w:trPr>
          <w:trHeight w:val="195"/>
        </w:trPr>
        <w:tc>
          <w:tcPr>
            <w:tcW w:w="3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Barry H. Caldwell</w:t>
            </w:r>
          </w:p>
        </w:tc>
      </w:tr>
      <w:tr>
        <w:trPr>
          <w:trHeight w:val="216"/>
        </w:trPr>
        <w:tc>
          <w:tcPr>
            <w:tcW w:w="36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Corporate Affairs</w:t>
            </w:r>
          </w:p>
        </w:tc>
      </w:tr>
      <w:tr>
        <w:trPr>
          <w:trHeight w:val="230"/>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Legal Officer</w:t>
            </w:r>
          </w:p>
        </w:tc>
      </w:tr>
      <w:tr>
        <w:trPr>
          <w:trHeight w:val="378"/>
        </w:trPr>
        <w:tc>
          <w:tcPr>
            <w:tcW w:w="3680" w:type="dxa"/>
            <w:vAlign w:val="bottom"/>
          </w:tcPr>
          <w:p>
            <w:pPr>
              <w:spacing w:after="0"/>
              <w:rPr>
                <w:sz w:val="24"/>
                <w:szCs w:val="24"/>
                <w:color w:val="auto"/>
              </w:rPr>
            </w:pPr>
          </w:p>
        </w:tc>
        <w:tc>
          <w:tcPr>
            <w:tcW w:w="250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5" w:name="page6"/>
    <w:bookmarkEnd w:id="5"/>
    <w:p>
      <w:pPr>
        <w:ind w:left="51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80" w:lineRule="auto"/>
        <w:tabs>
          <w:tab w:leader="none" w:pos="1060"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u w:val="single" w:color="auto"/>
          <w:color w:val="auto"/>
        </w:rPr>
        <w:t>Description</w:t>
      </w:r>
    </w:p>
    <w:p>
      <w:pPr>
        <w:spacing w:after="0" w:line="1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October 29, 2014 regarding Third Quarter 2014 Earnings</w:t>
      </w:r>
    </w:p>
    <w:p>
      <w:pPr>
        <w:spacing w:after="0" w:line="1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270" w:right="1440" w:bottom="1440" w:gutter="0" w:footer="0" w:header="0"/>
        </w:sectPr>
      </w:pPr>
    </w:p>
    <w:bookmarkStart w:id="6" w:name="page7"/>
    <w:bookmarkEnd w:id="6"/>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165" w:lineRule="exact"/>
        <w:rPr>
          <w:sz w:val="20"/>
          <w:szCs w:val="20"/>
          <w:color w:val="auto"/>
        </w:rPr>
      </w:pPr>
    </w:p>
    <w:p>
      <w:pPr>
        <w:jc w:val="center"/>
        <w:ind w:left="140" w:right="200"/>
        <w:spacing w:after="0" w:line="262" w:lineRule="auto"/>
        <w:rPr>
          <w:sz w:val="20"/>
          <w:szCs w:val="20"/>
          <w:color w:val="auto"/>
        </w:rPr>
      </w:pPr>
      <w:r>
        <w:rPr>
          <w:rFonts w:ascii="Arial" w:cs="Arial" w:eastAsia="Arial" w:hAnsi="Arial"/>
          <w:sz w:val="40"/>
          <w:szCs w:val="40"/>
          <w:b w:val="1"/>
          <w:bCs w:val="1"/>
          <w:color w:val="auto"/>
        </w:rPr>
        <w:t>Waste Management Announces Third Quarter Earnings</w:t>
      </w:r>
    </w:p>
    <w:p>
      <w:pPr>
        <w:spacing w:after="0" w:line="124" w:lineRule="exact"/>
        <w:rPr>
          <w:sz w:val="20"/>
          <w:szCs w:val="20"/>
          <w:color w:val="auto"/>
        </w:rPr>
      </w:pPr>
    </w:p>
    <w:p>
      <w:pPr>
        <w:jc w:val="center"/>
        <w:ind w:left="140"/>
        <w:spacing w:after="0"/>
        <w:rPr>
          <w:sz w:val="20"/>
          <w:szCs w:val="20"/>
          <w:color w:val="auto"/>
        </w:rPr>
      </w:pPr>
      <w:r>
        <w:rPr>
          <w:rFonts w:ascii="Arial" w:cs="Arial" w:eastAsia="Arial" w:hAnsi="Arial"/>
          <w:sz w:val="22"/>
          <w:szCs w:val="22"/>
          <w:b w:val="1"/>
          <w:bCs w:val="1"/>
          <w:color w:val="auto"/>
        </w:rPr>
        <w:t>Yield and Cost Controls Continue to Drive Strong Operating Profit</w:t>
      </w:r>
    </w:p>
    <w:p>
      <w:pPr>
        <w:spacing w:after="0" w:line="21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HOUSTON — October 29, 2014 </w:t>
      </w:r>
      <w:r>
        <w:rPr>
          <w:rFonts w:ascii="Arial" w:cs="Arial" w:eastAsia="Arial" w:hAnsi="Arial"/>
          <w:sz w:val="16"/>
          <w:szCs w:val="16"/>
          <w:color w:val="auto"/>
        </w:rPr>
        <w:t>— Waste Management, Inc. (NYSE: WM) today announced financial results for</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its quarter ended September 30, 2014. Revenues for the third quarter of 2014 were $3.60 billion compared with</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$3.62 billion for the same 2013 period. Net income </w:t>
      </w:r>
      <w:r>
        <w:rPr>
          <w:rFonts w:ascii="Arial" w:cs="Arial" w:eastAsia="Arial" w:hAnsi="Arial"/>
          <w:sz w:val="13"/>
          <w:szCs w:val="13"/>
          <w:color w:val="auto"/>
        </w:rPr>
        <w:t>(a)</w:t>
      </w:r>
      <w:r>
        <w:rPr>
          <w:rFonts w:ascii="Arial" w:cs="Arial" w:eastAsia="Arial" w:hAnsi="Arial"/>
          <w:sz w:val="16"/>
          <w:szCs w:val="16"/>
          <w:color w:val="auto"/>
        </w:rPr>
        <w:t xml:space="preserve"> for the quarter was $270 million, or $0.58 per diluted share,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compared with $291 million, or $0.62 per diluted share, for the third quarter of 2013. Results in the third quarter of</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2014 included approximately $66 million of after-tax net charges primarily related to the restructuring of several</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corporate functions and legal reserves. Excluding these impacts, net income would have been $336 million, or</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$0.72 per diluted share, in the third quarter of 2014, compared to adjusted earnings per diluted share of $0.65 in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third quarter of 2013.</w:t>
      </w:r>
      <w:r>
        <w:rPr>
          <w:rFonts w:ascii="Arial" w:cs="Arial" w:eastAsia="Arial" w:hAnsi="Arial"/>
          <w:sz w:val="15"/>
          <w:szCs w:val="15"/>
          <w:color w:val="auto"/>
        </w:rPr>
        <w:t>(b)</w:t>
      </w:r>
    </w:p>
    <w:p>
      <w:pPr>
        <w:spacing w:after="0" w:line="211" w:lineRule="exact"/>
        <w:rPr>
          <w:sz w:val="20"/>
          <w:szCs w:val="20"/>
          <w:color w:val="auto"/>
        </w:rPr>
      </w:pPr>
    </w:p>
    <w:p>
      <w:pPr>
        <w:ind w:left="140" w:right="60"/>
        <w:spacing w:after="0" w:line="255" w:lineRule="auto"/>
        <w:rPr>
          <w:sz w:val="20"/>
          <w:szCs w:val="20"/>
          <w:color w:val="auto"/>
        </w:rPr>
      </w:pPr>
      <w:r>
        <w:rPr>
          <w:rFonts w:ascii="Arial" w:cs="Arial" w:eastAsia="Arial" w:hAnsi="Arial"/>
          <w:sz w:val="18"/>
          <w:szCs w:val="18"/>
          <w:color w:val="auto"/>
        </w:rPr>
        <w:t xml:space="preserve">“Once again, our strong yield and cost controls delivered growth in our traditional solid waste business as income from operations grew $13 million and income from operations margin rose by 60 basis points compared to the third quarter of 2013 results,” commented David P. Steiner, President and Chief Executive Officer of Waste Management. </w:t>
      </w:r>
      <w:r>
        <w:rPr>
          <w:rFonts w:ascii="Arial" w:cs="Arial" w:eastAsia="Arial" w:hAnsi="Arial"/>
          <w:sz w:val="15"/>
          <w:szCs w:val="15"/>
          <w:color w:val="auto"/>
        </w:rPr>
        <w:t>(b)</w:t>
      </w:r>
      <w:r>
        <w:rPr>
          <w:rFonts w:ascii="Arial" w:cs="Arial" w:eastAsia="Arial" w:hAnsi="Arial"/>
          <w:sz w:val="18"/>
          <w:szCs w:val="18"/>
          <w:color w:val="auto"/>
        </w:rPr>
        <w:t xml:space="preserve"> “For the sixth consecutive quarter, our yield exceeded both 2.0% and CPI. Our cost of operations improved by $26 million and as a percent of revenue improved 40 basis points compared to the prior year third quarter.</w:t>
      </w:r>
    </w:p>
    <w:p>
      <w:pPr>
        <w:spacing w:after="0" w:line="193" w:lineRule="exact"/>
        <w:rPr>
          <w:sz w:val="20"/>
          <w:szCs w:val="20"/>
          <w:color w:val="auto"/>
        </w:rPr>
      </w:pPr>
    </w:p>
    <w:p>
      <w:pPr>
        <w:jc w:val="both"/>
        <w:ind w:left="140" w:right="40"/>
        <w:spacing w:after="0" w:line="288" w:lineRule="auto"/>
        <w:rPr>
          <w:sz w:val="20"/>
          <w:szCs w:val="20"/>
          <w:color w:val="auto"/>
        </w:rPr>
      </w:pPr>
      <w:r>
        <w:rPr>
          <w:rFonts w:ascii="Arial" w:cs="Arial" w:eastAsia="Arial" w:hAnsi="Arial"/>
          <w:sz w:val="16"/>
          <w:szCs w:val="16"/>
          <w:color w:val="auto"/>
        </w:rPr>
        <w:t>“These results demonstrate our commitment to growing the income generated from our operations, and in the third quarter we took another important step to expand our operating margins by reducing our corporate overhead costs. That action continued the alignment of our corporate leadership and staff with the needs of our field operations.</w:t>
      </w:r>
    </w:p>
    <w:p>
      <w:pPr>
        <w:ind w:left="140" w:right="100"/>
        <w:spacing w:after="0" w:line="254" w:lineRule="auto"/>
        <w:rPr>
          <w:sz w:val="20"/>
          <w:szCs w:val="20"/>
          <w:color w:val="auto"/>
        </w:rPr>
      </w:pPr>
      <w:r>
        <w:rPr>
          <w:rFonts w:ascii="Arial" w:cs="Arial" w:eastAsia="Arial" w:hAnsi="Arial"/>
          <w:sz w:val="18"/>
          <w:szCs w:val="18"/>
          <w:color w:val="auto"/>
        </w:rPr>
        <w:t>It’s the natural progression from the 2012 restructuring of our field organization, which focused directly on better aligning our corporate and field leadership and empowering our customer-facing employees. We anticipate saving in excess of $100 million annually from these actions when fully implemented in 2015. This resulted in a restructuring charge of $0.09 per diluted share in the third quarter.”</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KEY HIGHLIGHTS FOR THE THIRD QUARTER 2014</w:t>
      </w:r>
    </w:p>
    <w:p>
      <w:pPr>
        <w:spacing w:after="0" w:line="135" w:lineRule="exact"/>
        <w:rPr>
          <w:sz w:val="20"/>
          <w:szCs w:val="20"/>
          <w:color w:val="auto"/>
        </w:rPr>
      </w:pPr>
    </w:p>
    <w:p>
      <w:pPr>
        <w:ind w:left="900" w:right="20" w:hanging="304"/>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decreased by 0.5%, or $19 million, but would have increased by 0.5%, or $17 million, if not for a $24 million decline related to divestitures of operations and a $12 million decline related to foreign currency translation adjustments.</w:t>
      </w:r>
    </w:p>
    <w:p>
      <w:pPr>
        <w:spacing w:after="0" w:line="86" w:lineRule="exact"/>
        <w:rPr>
          <w:rFonts w:ascii="Arial" w:cs="Arial" w:eastAsia="Arial" w:hAnsi="Arial"/>
          <w:sz w:val="18"/>
          <w:szCs w:val="18"/>
          <w:color w:val="auto"/>
        </w:rPr>
      </w:pPr>
    </w:p>
    <w:p>
      <w:pPr>
        <w:ind w:left="900" w:hanging="30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Internal revenue growth from yield for collection and disposal operations was 2.3%.</w:t>
      </w:r>
    </w:p>
    <w:p>
      <w:pPr>
        <w:spacing w:after="0" w:line="130" w:lineRule="exact"/>
        <w:rPr>
          <w:rFonts w:ascii="Arial" w:cs="Arial" w:eastAsia="Arial" w:hAnsi="Arial"/>
          <w:sz w:val="18"/>
          <w:szCs w:val="18"/>
          <w:color w:val="auto"/>
        </w:rPr>
      </w:pPr>
    </w:p>
    <w:p>
      <w:pPr>
        <w:ind w:left="900" w:right="180" w:hanging="304"/>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Core price, which consists of price increases and fees, other than the Company’s fuel surcharge, net of rollbacks, was 3.8%.</w:t>
      </w:r>
    </w:p>
    <w:p>
      <w:pPr>
        <w:spacing w:after="0" w:line="75" w:lineRule="exact"/>
        <w:rPr>
          <w:rFonts w:ascii="Arial" w:cs="Arial" w:eastAsia="Arial" w:hAnsi="Arial"/>
          <w:sz w:val="18"/>
          <w:szCs w:val="18"/>
          <w:color w:val="auto"/>
        </w:rPr>
      </w:pPr>
    </w:p>
    <w:p>
      <w:pPr>
        <w:ind w:left="900" w:right="40" w:hanging="304"/>
        <w:spacing w:after="0" w:line="30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Internal revenue growth from volume was negative 1.3%, a 10 basis point sequential improvement from the second quarter of 2014 and the third consecutive quarter of sequential improvement.</w:t>
      </w:r>
    </w:p>
    <w:p>
      <w:pPr>
        <w:spacing w:after="0" w:line="51" w:lineRule="exact"/>
        <w:rPr>
          <w:rFonts w:ascii="Arial" w:cs="Arial" w:eastAsia="Arial" w:hAnsi="Arial"/>
          <w:sz w:val="17"/>
          <w:szCs w:val="17"/>
          <w:color w:val="auto"/>
        </w:rPr>
      </w:pPr>
    </w:p>
    <w:p>
      <w:pPr>
        <w:jc w:val="both"/>
        <w:ind w:left="900" w:right="120" w:hanging="304"/>
        <w:spacing w:after="0" w:line="31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Earnings from the Company’s recycling operations increased slightly when compared to the prior year, despite an average OCC commodity price decline of 17.1%, reflecting the Company’s continued focus on enforcement of restrictions on contaminated loads and modifications to customer rebate structures.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www.wm.com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Toni Beck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tbeck3@wm.com</w:t>
      </w:r>
    </w:p>
    <w:p>
      <w:pPr>
        <w:sectPr>
          <w:pgSz w:w="11900" w:h="16838" w:orient="portrait"/>
          <w:cols w:equalWidth="0" w:num="2">
            <w:col w:w="8440" w:space="460"/>
            <w:col w:w="2520"/>
          </w:cols>
          <w:pgMar w:left="240" w:top="121" w:right="239" w:bottom="1440" w:gutter="0" w:footer="0" w:header="0"/>
        </w:sectPr>
      </w:pPr>
    </w:p>
    <w:bookmarkStart w:id="7" w:name="page8"/>
    <w:bookmarkEnd w:id="7"/>
    <w:p>
      <w:pPr>
        <w:ind w:left="760" w:right="2119" w:hanging="303"/>
        <w:spacing w:after="0" w:line="279"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expenses as a percent of revenue were 63.8% in the third quarter of 2014, as compared to 64.2% in the third quarter of 2013, an improvement of 40 basis points. Overall operating expenses improved by $26 million compared to the prior year period, primarily driven by operating cost improvements in both the Company’s solid waste and recycling operations.</w:t>
      </w:r>
    </w:p>
    <w:p>
      <w:pPr>
        <w:spacing w:after="0" w:line="76" w:lineRule="exact"/>
        <w:rPr>
          <w:rFonts w:ascii="Arial" w:cs="Arial" w:eastAsia="Arial" w:hAnsi="Arial"/>
          <w:sz w:val="17"/>
          <w:szCs w:val="17"/>
          <w:color w:val="auto"/>
        </w:rPr>
      </w:pPr>
    </w:p>
    <w:p>
      <w:pPr>
        <w:ind w:left="760" w:right="1739" w:hanging="303"/>
        <w:spacing w:after="0" w:line="26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Earnings were negatively affected by $0.01 per diluted share from the accounting impact of a decrease in the 10-year risk free interest rate, which is used to calculate the present value of our remediation liabilities.</w:t>
      </w:r>
    </w:p>
    <w:p>
      <w:pPr>
        <w:spacing w:after="0" w:line="86" w:lineRule="exact"/>
        <w:rPr>
          <w:rFonts w:ascii="Arial" w:cs="Arial" w:eastAsia="Arial" w:hAnsi="Arial"/>
          <w:sz w:val="18"/>
          <w:szCs w:val="18"/>
          <w:color w:val="auto"/>
        </w:rPr>
      </w:pPr>
    </w:p>
    <w:p>
      <w:pPr>
        <w:ind w:left="760" w:right="1779" w:hanging="303"/>
        <w:spacing w:after="0" w:line="30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SG&amp;A expenses increased $28 million when compared to the third quarter of 2013 primarily due to the recognition of legal reserves for ongoing matters. Adjusting for the $31 million of legal reserves, SG&amp;A expense improved $3 million to $346 million and was flat as a percent of revenue at 9.6% compared to the prior year period. </w:t>
      </w:r>
      <w:r>
        <w:rPr>
          <w:rFonts w:ascii="Arial" w:cs="Arial" w:eastAsia="Arial" w:hAnsi="Arial"/>
          <w:sz w:val="13"/>
          <w:szCs w:val="13"/>
          <w:color w:val="auto"/>
        </w:rPr>
        <w:t>(b)</w:t>
      </w:r>
      <w:r>
        <w:rPr>
          <w:rFonts w:ascii="Arial" w:cs="Arial" w:eastAsia="Arial" w:hAnsi="Arial"/>
          <w:sz w:val="16"/>
          <w:szCs w:val="16"/>
          <w:color w:val="auto"/>
        </w:rPr>
        <w:t xml:space="preserve"> The legal reserves relate to three matters that are currently in litigation.</w:t>
      </w:r>
    </w:p>
    <w:p>
      <w:pPr>
        <w:spacing w:after="0" w:line="59" w:lineRule="exact"/>
        <w:rPr>
          <w:rFonts w:ascii="Arial" w:cs="Arial" w:eastAsia="Arial" w:hAnsi="Arial"/>
          <w:sz w:val="16"/>
          <w:szCs w:val="16"/>
          <w:color w:val="auto"/>
        </w:rPr>
      </w:pPr>
    </w:p>
    <w:p>
      <w:pPr>
        <w:ind w:left="760" w:hanging="303"/>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Net cash provided by operating activities was $672 million. Capital expenditures were $307 million.</w:t>
      </w:r>
    </w:p>
    <w:p>
      <w:pPr>
        <w:spacing w:after="0" w:line="142" w:lineRule="exact"/>
        <w:rPr>
          <w:rFonts w:ascii="Arial" w:cs="Arial" w:eastAsia="Arial" w:hAnsi="Arial"/>
          <w:sz w:val="17"/>
          <w:szCs w:val="17"/>
          <w:color w:val="auto"/>
        </w:rPr>
      </w:pPr>
    </w:p>
    <w:p>
      <w:pPr>
        <w:ind w:left="760" w:right="1719" w:hanging="303"/>
        <w:spacing w:after="0" w:line="276"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Free cash flow was $418 million, a decrease of $34 million compared to the third quarter of 2013. </w:t>
      </w:r>
      <w:r>
        <w:rPr>
          <w:rFonts w:ascii="Arial" w:cs="Arial" w:eastAsia="Arial" w:hAnsi="Arial"/>
          <w:sz w:val="14"/>
          <w:szCs w:val="14"/>
          <w:color w:val="auto"/>
        </w:rPr>
        <w:t>(b)</w:t>
      </w:r>
      <w:r>
        <w:rPr>
          <w:rFonts w:ascii="Arial" w:cs="Arial" w:eastAsia="Arial" w:hAnsi="Arial"/>
          <w:sz w:val="17"/>
          <w:szCs w:val="17"/>
          <w:color w:val="auto"/>
        </w:rPr>
        <w:t xml:space="preserve"> The difference was driven by an increase of $58 million in cash taxes due mostly to the expiration of bonus depreciation and the repatriation of earnings from the divestiture of our operations in Puerto Rico. The Company had $53 million of divestiture proceeds in the quarter, primarily related to the sale of certain landfill and collection operations in the Company’s Eastern Canada market.</w:t>
      </w:r>
    </w:p>
    <w:p>
      <w:pPr>
        <w:spacing w:after="0" w:line="77" w:lineRule="exact"/>
        <w:rPr>
          <w:rFonts w:ascii="Arial" w:cs="Arial" w:eastAsia="Arial" w:hAnsi="Arial"/>
          <w:sz w:val="17"/>
          <w:szCs w:val="17"/>
          <w:color w:val="auto"/>
        </w:rPr>
      </w:pPr>
    </w:p>
    <w:p>
      <w:pPr>
        <w:ind w:left="760" w:right="1999" w:hanging="303"/>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returned $772 million to shareholders — $600 million for an accelerated repurchase of shares announced in July, and $172 million in dividends.</w:t>
      </w:r>
    </w:p>
    <w:p>
      <w:pPr>
        <w:spacing w:after="0" w:line="75" w:lineRule="exact"/>
        <w:rPr>
          <w:rFonts w:ascii="Arial" w:cs="Arial" w:eastAsia="Arial" w:hAnsi="Arial"/>
          <w:sz w:val="18"/>
          <w:szCs w:val="18"/>
          <w:color w:val="auto"/>
        </w:rPr>
      </w:pPr>
    </w:p>
    <w:p>
      <w:pPr>
        <w:ind w:left="760" w:right="1699" w:hanging="303"/>
        <w:spacing w:after="0" w:line="286"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effective tax rate was approximately 32.1%, compared to 34.3% in the third quarter of 2013. The rate was lower than the Company’s expected rate of 35% primarily due to state audit settlements and adjustments to our accruals and related deferred taxes resulting from the filing of our 2013 returns.</w:t>
      </w:r>
    </w:p>
    <w:p>
      <w:pPr>
        <w:spacing w:after="0" w:line="166" w:lineRule="exact"/>
        <w:rPr>
          <w:sz w:val="20"/>
          <w:szCs w:val="20"/>
          <w:color w:val="auto"/>
        </w:rPr>
      </w:pPr>
    </w:p>
    <w:p>
      <w:pPr>
        <w:ind w:right="1679"/>
        <w:spacing w:after="0" w:line="255" w:lineRule="auto"/>
        <w:rPr>
          <w:sz w:val="20"/>
          <w:szCs w:val="20"/>
          <w:color w:val="auto"/>
        </w:rPr>
      </w:pPr>
      <w:r>
        <w:rPr>
          <w:rFonts w:ascii="Arial" w:cs="Arial" w:eastAsia="Arial" w:hAnsi="Arial"/>
          <w:sz w:val="18"/>
          <w:szCs w:val="18"/>
          <w:color w:val="auto"/>
        </w:rPr>
        <w:t xml:space="preserve">Steiner concluded, “We have seen three successive strong quarters in 2014, and we expect that strength to continue into the fourth quarter. We are confident that we can meet the analysts’ fourth quarter consensus of $0.60 of adjusted earnings per diluted share. That would lead to full year adjusted earnings per diluted share of $2.41, $0.06 above the high end of our previous range. Cash flow has also been strong through the first three quarters, and we expect that we will also exceed the $1.5 billion high end of our free cash flow guidance. The strength of our business in the first three quarters and the reorganization of our corporate functions sets us up to continue to grow our core business in 2015.” </w:t>
      </w:r>
      <w:r>
        <w:rPr>
          <w:rFonts w:ascii="Arial" w:cs="Arial" w:eastAsia="Arial" w:hAnsi="Arial"/>
          <w:sz w:val="15"/>
          <w:szCs w:val="15"/>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5342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2890" cy="8890"/>
                    </a:xfrm>
                    <a:prstGeom prst="rect">
                      <a:avLst/>
                    </a:prstGeom>
                    <a:noFill/>
                  </pic:spPr>
                </pic:pic>
              </a:graphicData>
            </a:graphic>
          </wp:anchor>
        </w:drawing>
      </w:r>
    </w:p>
    <w:p>
      <w:pPr>
        <w:spacing w:after="0" w:line="138" w:lineRule="exact"/>
        <w:rPr>
          <w:sz w:val="20"/>
          <w:szCs w:val="20"/>
          <w:color w:val="auto"/>
        </w:rPr>
      </w:pPr>
    </w:p>
    <w:p>
      <w:pPr>
        <w:ind w:left="580" w:right="1819" w:hanging="217"/>
        <w:spacing w:after="0" w:line="230" w:lineRule="auto"/>
        <w:tabs>
          <w:tab w:leader="none" w:pos="580" w:val="left"/>
        </w:tabs>
        <w:numPr>
          <w:ilvl w:val="0"/>
          <w:numId w:val="5"/>
        </w:numPr>
        <w:rPr>
          <w:rFonts w:ascii="Arial" w:cs="Arial" w:eastAsia="Arial" w:hAnsi="Arial"/>
          <w:sz w:val="12"/>
          <w:szCs w:val="12"/>
          <w:color w:val="auto"/>
        </w:rPr>
      </w:pPr>
      <w:r>
        <w:rPr>
          <w:rFonts w:ascii="Arial" w:cs="Arial" w:eastAsia="Arial" w:hAnsi="Arial"/>
          <w:sz w:val="14"/>
          <w:szCs w:val="14"/>
          <w:color w:val="auto"/>
        </w:rPr>
        <w:t>For purposes of this press release, all references to “Net income” refer to the financial statement line item “Net income attributable to Waste Management, Inc.”</w:t>
      </w:r>
    </w:p>
    <w:p>
      <w:pPr>
        <w:ind w:left="580" w:right="1859" w:hanging="217"/>
        <w:spacing w:after="0" w:line="226" w:lineRule="auto"/>
        <w:tabs>
          <w:tab w:leader="none" w:pos="580" w:val="left"/>
        </w:tabs>
        <w:numPr>
          <w:ilvl w:val="0"/>
          <w:numId w:val="5"/>
        </w:numPr>
        <w:rPr>
          <w:rFonts w:ascii="Arial" w:cs="Arial" w:eastAsia="Arial" w:hAnsi="Arial"/>
          <w:sz w:val="12"/>
          <w:szCs w:val="12"/>
          <w:color w:val="auto"/>
        </w:rPr>
      </w:pPr>
      <w:r>
        <w:rPr>
          <w:rFonts w:ascii="Arial" w:cs="Arial" w:eastAsia="Arial" w:hAnsi="Arial"/>
          <w:sz w:val="14"/>
          <w:szCs w:val="14"/>
          <w:color w:val="auto"/>
        </w:rPr>
        <w:t>This press release includes adjusted net income, adjusted earnings per diluted share, and adjusted SG&amp;A expense, which are non-GAAP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our results of operations and (ii) financial measures the Company uses in the management of its business.</w:t>
      </w:r>
    </w:p>
    <w:p>
      <w:pPr>
        <w:spacing w:after="0" w:line="212" w:lineRule="exact"/>
        <w:rPr>
          <w:rFonts w:ascii="Arial" w:cs="Arial" w:eastAsia="Arial" w:hAnsi="Arial"/>
          <w:sz w:val="12"/>
          <w:szCs w:val="12"/>
          <w:color w:val="auto"/>
        </w:rPr>
      </w:pPr>
    </w:p>
    <w:p>
      <w:pPr>
        <w:ind w:left="580" w:right="1699"/>
        <w:spacing w:after="0" w:line="226" w:lineRule="auto"/>
        <w:rPr>
          <w:rFonts w:ascii="Arial" w:cs="Arial" w:eastAsia="Arial" w:hAnsi="Arial"/>
          <w:sz w:val="12"/>
          <w:szCs w:val="12"/>
          <w:color w:val="auto"/>
        </w:rPr>
      </w:pPr>
      <w:r>
        <w:rPr>
          <w:rFonts w:ascii="Arial" w:cs="Arial" w:eastAsia="Arial" w:hAnsi="Arial"/>
          <w:sz w:val="14"/>
          <w:szCs w:val="14"/>
          <w:color w:val="auto"/>
        </w:rPr>
        <w:t>The Company’s projected full year 2014 and fourth quarter earnings per diluted share are not based on GAAP net earnings per diluted share and are anticipated to be adjusted to exclude the effects of events or circumstances in 2014 that are not representative or indicative of the Company’s results of operations, including, in the case of full year earnings approximately $69 million of after-tax charges primarily related to the divestiture of operations in Puerto Rico in the second quarter of 2014 and approximately $66 of after-tax charges discussed in the first paragraph of this press release. Projected GAAP earnings per diluted share for the full year or fourth quarter would require estimation of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or fourth quarter earnings per diluted share to a GAAP earnings per diluted share projection.</w:t>
      </w:r>
    </w:p>
    <w:p>
      <w:pPr>
        <w:sectPr>
          <w:pgSz w:w="11900" w:h="16838" w:orient="portrait"/>
          <w:cols w:equalWidth="0" w:num="1">
            <w:col w:w="10079"/>
          </w:cols>
          <w:pgMar w:left="380" w:top="463" w:right="1440" w:bottom="1440" w:gutter="0" w:footer="0" w:header="0"/>
        </w:sectPr>
      </w:pPr>
    </w:p>
    <w:bookmarkStart w:id="8" w:name="page9"/>
    <w:bookmarkEnd w:id="8"/>
    <w:p>
      <w:pPr>
        <w:ind w:left="580" w:right="1779"/>
        <w:spacing w:after="0" w:line="22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also discusses free cash flow and provides a projection of free cash flow, which is a non-GAAP measure, because it believes that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the Company believes free cash flow gives investors useful insight into how the Company views its liquidity. Nevertheless, the use of free cash flow as a liquidity measure has material limitations because it excludes certain expenditures that are required or that the Company has committed to, such as declared dividend payments and debt service requirements. The Company’s definition of free cash flow may not be comparable to similarly titled measures presented by other companies, and therefore is not subject to comparison. The Company defines free cash flow as:</w:t>
      </w:r>
    </w:p>
    <w:p>
      <w:pPr>
        <w:spacing w:after="0" w:line="210" w:lineRule="exact"/>
        <w:rPr>
          <w:sz w:val="20"/>
          <w:szCs w:val="20"/>
          <w:color w:val="auto"/>
        </w:rPr>
      </w:pPr>
    </w:p>
    <w:p>
      <w:pPr>
        <w:ind w:left="900" w:hanging="240"/>
        <w:spacing w:after="0"/>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cash provided by operating activities</w:t>
      </w:r>
    </w:p>
    <w:p>
      <w:pPr>
        <w:spacing w:after="0" w:line="109" w:lineRule="exact"/>
        <w:rPr>
          <w:rFonts w:ascii="Arial" w:cs="Arial" w:eastAsia="Arial" w:hAnsi="Arial"/>
          <w:sz w:val="14"/>
          <w:szCs w:val="14"/>
          <w:color w:val="auto"/>
        </w:rPr>
      </w:pPr>
    </w:p>
    <w:p>
      <w:pPr>
        <w:ind w:left="900" w:hanging="240"/>
        <w:spacing w:after="0"/>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Less, capital expenditures</w:t>
      </w:r>
    </w:p>
    <w:p>
      <w:pPr>
        <w:spacing w:after="0" w:line="109" w:lineRule="exact"/>
        <w:rPr>
          <w:rFonts w:ascii="Arial" w:cs="Arial" w:eastAsia="Arial" w:hAnsi="Arial"/>
          <w:sz w:val="14"/>
          <w:szCs w:val="14"/>
          <w:color w:val="auto"/>
        </w:rPr>
      </w:pPr>
    </w:p>
    <w:p>
      <w:pPr>
        <w:ind w:left="900" w:hanging="240"/>
        <w:spacing w:after="0"/>
        <w:tabs>
          <w:tab w:leader="none" w:pos="900" w:val="left"/>
        </w:tabs>
        <w:numPr>
          <w:ilvl w:val="0"/>
          <w:numId w:val="6"/>
        </w:numPr>
        <w:rPr>
          <w:rFonts w:ascii="Arial" w:cs="Arial" w:eastAsia="Arial" w:hAnsi="Arial"/>
          <w:sz w:val="14"/>
          <w:szCs w:val="14"/>
          <w:color w:val="auto"/>
        </w:rPr>
      </w:pPr>
      <w:r>
        <w:rPr>
          <w:rFonts w:ascii="Arial" w:cs="Arial" w:eastAsia="Arial" w:hAnsi="Arial"/>
          <w:sz w:val="14"/>
          <w:szCs w:val="14"/>
          <w:color w:val="auto"/>
        </w:rPr>
        <w:t>Plus, proceeds from divestitures of businesses and other assets (net of cash divested).</w:t>
      </w:r>
    </w:p>
    <w:p>
      <w:pPr>
        <w:spacing w:after="0" w:line="231" w:lineRule="exact"/>
        <w:rPr>
          <w:sz w:val="20"/>
          <w:szCs w:val="20"/>
          <w:color w:val="auto"/>
        </w:rPr>
      </w:pPr>
    </w:p>
    <w:p>
      <w:pPr>
        <w:ind w:left="580" w:right="1819"/>
        <w:spacing w:after="0" w:line="273" w:lineRule="auto"/>
        <w:rPr>
          <w:sz w:val="20"/>
          <w:szCs w:val="20"/>
          <w:color w:val="auto"/>
        </w:rPr>
      </w:pPr>
      <w:r>
        <w:rPr>
          <w:rFonts w:ascii="Arial" w:cs="Arial" w:eastAsia="Arial" w:hAnsi="Arial"/>
          <w:sz w:val="12"/>
          <w:szCs w:val="12"/>
          <w:color w:val="auto"/>
        </w:rPr>
        <w:t>The quantitative reconciliations of non-GAAP measures used herein to the most comparable GAAP measures are included in the accompanying schedules, with the exception of (i) projected earnings per diluted share and (ii) growth in income from operations and income from operations margin for our traditional solid waste business, which is comprised of collection, landfill, and transfer station services, as such measures include only on a subset of our operations and are not calculated using GAAP measures available in our financial statements. Non-GAAP measures should not be considered a substitute for financial measures presented in accordance with GAAP, and investors are urged to take into account GAAP measures as well as non-GAAP measures in evaluating the Company.</w:t>
      </w:r>
    </w:p>
    <w:p>
      <w:pPr>
        <w:spacing w:after="0" w:line="170" w:lineRule="exact"/>
        <w:rPr>
          <w:sz w:val="20"/>
          <w:szCs w:val="20"/>
          <w:color w:val="auto"/>
        </w:rPr>
      </w:pPr>
    </w:p>
    <w:p>
      <w:pPr>
        <w:ind w:right="1779"/>
        <w:spacing w:after="0" w:line="264" w:lineRule="auto"/>
        <w:rPr>
          <w:sz w:val="20"/>
          <w:szCs w:val="20"/>
          <w:color w:val="auto"/>
        </w:rPr>
      </w:pPr>
      <w:r>
        <w:rPr>
          <w:rFonts w:ascii="Arial" w:cs="Arial" w:eastAsia="Arial" w:hAnsi="Arial"/>
          <w:sz w:val="18"/>
          <w:szCs w:val="18"/>
          <w:color w:val="auto"/>
        </w:rPr>
        <w:t>The Company will host a conference call at 10:00 AM (Eastern) today to discuss the third quarter 2014 results. Information contained within this press release will be referenced and should be considered in conjunction with the call.</w:t>
      </w:r>
    </w:p>
    <w:p>
      <w:pPr>
        <w:spacing w:after="0" w:line="181" w:lineRule="exact"/>
        <w:rPr>
          <w:sz w:val="20"/>
          <w:szCs w:val="20"/>
          <w:color w:val="auto"/>
        </w:rPr>
      </w:pPr>
    </w:p>
    <w:p>
      <w:pPr>
        <w:ind w:right="1919"/>
        <w:spacing w:after="0" w:line="302" w:lineRule="auto"/>
        <w:rPr>
          <w:sz w:val="20"/>
          <w:szCs w:val="20"/>
          <w:color w:val="auto"/>
        </w:rPr>
      </w:pPr>
      <w:r>
        <w:rPr>
          <w:rFonts w:ascii="Arial" w:cs="Arial" w:eastAsia="Arial" w:hAnsi="Arial"/>
          <w:sz w:val="16"/>
          <w:szCs w:val="16"/>
          <w:color w:val="auto"/>
        </w:rPr>
        <w:t>The conference call will be webcast live from the Investor Relations section of Waste Management’s website www.wm.com. To access the conference call by telephone, please dial (877) 710-6139 approximately 10 minutes prior to the scheduled start of the call. If you are calling from outside of the United States or Canada, please dial (706) 643-7398. Please utilize conference ID number 8203798 when prompted by the conference call operator.</w:t>
      </w:r>
    </w:p>
    <w:p>
      <w:pPr>
        <w:spacing w:after="0" w:line="154" w:lineRule="exact"/>
        <w:rPr>
          <w:sz w:val="20"/>
          <w:szCs w:val="20"/>
          <w:color w:val="auto"/>
        </w:rPr>
      </w:pPr>
    </w:p>
    <w:p>
      <w:pPr>
        <w:ind w:right="1839"/>
        <w:spacing w:after="0" w:line="302" w:lineRule="auto"/>
        <w:rPr>
          <w:sz w:val="20"/>
          <w:szCs w:val="20"/>
          <w:color w:val="auto"/>
        </w:rPr>
      </w:pPr>
      <w:r>
        <w:rPr>
          <w:rFonts w:ascii="Arial" w:cs="Arial" w:eastAsia="Arial" w:hAnsi="Arial"/>
          <w:sz w:val="16"/>
          <w:szCs w:val="16"/>
          <w:color w:val="auto"/>
        </w:rPr>
        <w:t>A replay of the conference call will be available on the Company’s website www.wm.com and by telephone from approximately 1:00 PM (Eastern) Wednesday, October 29, 2014 through 5:00 PM (Eastern) on Wednesday, November 12, 2014. To access the replay telephonically, please dial (855) 859-2056, or from outside of the United States or Canada dial (404) 537-3406, and use the replay conference ID number 8203798.</w:t>
      </w:r>
    </w:p>
    <w:p>
      <w:pPr>
        <w:spacing w:after="0" w:line="150" w:lineRule="exact"/>
        <w:rPr>
          <w:sz w:val="20"/>
          <w:szCs w:val="20"/>
          <w:color w:val="auto"/>
        </w:rPr>
      </w:pPr>
    </w:p>
    <w:p>
      <w:pPr>
        <w:ind w:right="1679"/>
        <w:spacing w:after="0" w:line="241" w:lineRule="auto"/>
        <w:rPr>
          <w:sz w:val="20"/>
          <w:szCs w:val="20"/>
          <w:color w:val="auto"/>
        </w:rPr>
      </w:pPr>
      <w:r>
        <w:rPr>
          <w:rFonts w:ascii="Arial" w:cs="Arial" w:eastAsia="Arial" w:hAnsi="Arial"/>
          <w:sz w:val="13"/>
          <w:szCs w:val="13"/>
          <w:i w:val="1"/>
          <w:iCs w:val="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regarding, 2014 full year and fourth quarter earnings per diluted share; 2014 free cash flow; strength and growth of the business and free cash flow; growth of income generated from operations; expansion of operating margins; annual cost savings from the recent restructuring and reduction in corporate overhead; pending litigation; improvement in recycling operations and enforcement of restrictions; achievement of full-year targets; and future results from pricing and cost control initiatives.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our August 2014 restructuring may not achieve the goals and cost savings intended, our Wheelabrator divestiture may not be completed as anticipated and may present financial, managerial and operational risks;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ectPr>
          <w:pgSz w:w="11900" w:h="16838" w:orient="portrait"/>
          <w:cols w:equalWidth="0" w:num="1">
            <w:col w:w="10079"/>
          </w:cols>
          <w:pgMar w:left="380" w:top="458"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WASTE MANAGEMENT</w:t>
      </w:r>
    </w:p>
    <w:p>
      <w:pPr>
        <w:spacing w:after="0" w:line="121" w:lineRule="exact"/>
        <w:rPr>
          <w:sz w:val="20"/>
          <w:szCs w:val="20"/>
          <w:color w:val="auto"/>
        </w:rPr>
      </w:pPr>
    </w:p>
    <w:p>
      <w:pPr>
        <w:ind w:right="1859"/>
        <w:spacing w:after="0" w:line="273" w:lineRule="auto"/>
        <w:rPr>
          <w:sz w:val="20"/>
          <w:szCs w:val="20"/>
          <w:color w:val="auto"/>
        </w:rPr>
      </w:pPr>
      <w:r>
        <w:rPr>
          <w:rFonts w:ascii="Arial" w:cs="Arial" w:eastAsia="Arial" w:hAnsi="Arial"/>
          <w:sz w:val="17"/>
          <w:szCs w:val="17"/>
          <w:color w:val="auto"/>
        </w:rPr>
        <w:t xml:space="preserve">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7"/>
          <w:szCs w:val="17"/>
          <w:u w:val="single" w:color="auto"/>
          <w:color w:val="auto"/>
        </w:rPr>
        <w:t>www.wm.com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www.thinkgreen.com</w:t>
      </w:r>
      <w:r>
        <w:rPr>
          <w:rFonts w:ascii="Arial" w:cs="Arial" w:eastAsia="Arial" w:hAnsi="Arial"/>
          <w:sz w:val="17"/>
          <w:szCs w:val="17"/>
          <w:color w:val="auto"/>
        </w:rPr>
        <w:t>.</w:t>
      </w:r>
    </w:p>
    <w:p>
      <w:pPr>
        <w:spacing w:after="0" w:line="17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79"/>
          </w:cols>
          <w:pgMar w:left="380" w:top="459"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4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2,299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377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1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attributable to noncontrolling interests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0.375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0.365</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(1)</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4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0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270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457.9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1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460.8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0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1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jc w:val="right"/>
              <w:ind w:right="2090"/>
              <w:spacing w:after="0"/>
              <w:rPr>
                <w:sz w:val="20"/>
                <w:szCs w:val="20"/>
                <w:color w:val="auto"/>
              </w:rPr>
            </w:pPr>
            <w:r>
              <w:rPr>
                <w:rFonts w:ascii="Arial" w:cs="Arial" w:eastAsia="Arial" w:hAnsi="Arial"/>
                <w:sz w:val="18"/>
                <w:szCs w:val="18"/>
                <w:b w:val="1"/>
                <w:bCs w:val="1"/>
                <w:color w:val="auto"/>
              </w:rPr>
              <w:t>(2)</w:t>
            </w: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80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10,559</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9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6,832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1,105</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9,012</w:t>
            </w:r>
          </w:p>
        </w:tc>
        <w:tc>
          <w:tcPr>
            <w:tcW w:w="4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1,547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48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464.0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466.4</w:t>
            </w:r>
          </w:p>
        </w:tc>
        <w:tc>
          <w:tcPr>
            <w:tcW w:w="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1.125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9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72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708</w:t>
            </w: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457.9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gridSpan w:val="2"/>
            <w:vMerge w:val="continue"/>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w:t>
            </w:r>
          </w:p>
        </w:tc>
        <w:tc>
          <w:tcPr>
            <w:tcW w:w="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jc w:val="right"/>
              <w:ind w:right="2810"/>
              <w:spacing w:after="0"/>
              <w:rPr>
                <w:sz w:val="20"/>
                <w:szCs w:val="20"/>
                <w:color w:val="auto"/>
              </w:rPr>
            </w:pPr>
            <w:r>
              <w:rPr>
                <w:rFonts w:ascii="Arial" w:cs="Arial" w:eastAsia="Arial" w:hAnsi="Arial"/>
                <w:sz w:val="18"/>
                <w:szCs w:val="18"/>
                <w:b w:val="1"/>
                <w:bCs w:val="1"/>
                <w:color w:val="auto"/>
              </w:rPr>
              <w:t>(4)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7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020" w:type="dxa"/>
            <w:vAlign w:val="bottom"/>
            <w:gridSpan w:val="2"/>
            <w:shd w:val="clear" w:color="auto" w:fill="CCEEFF"/>
          </w:tcPr>
          <w:p>
            <w:pPr>
              <w:ind w:left="38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1,713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Businesses held-for-sale</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Other</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368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10,849</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5,766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464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38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22,211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Accounts payable, accrued liabilities, and deferred revenues</w:t>
            </w:r>
          </w:p>
        </w:tc>
        <w:tc>
          <w:tcPr>
            <w:tcW w:w="4020" w:type="dxa"/>
            <w:vAlign w:val="bottom"/>
            <w:gridSpan w:val="2"/>
            <w:shd w:val="clear" w:color="auto" w:fill="CCEEFF"/>
          </w:tcPr>
          <w:p>
            <w:pPr>
              <w:ind w:left="38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2,279</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1,141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Businesses held-for-sale</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3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3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9,023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liabilities</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3,736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16,548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16,601</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Waste Management, Inc. stockholders’ equity</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5,364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299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equity</w:t>
            </w: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5,663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700"/>
              <w:spacing w:after="0"/>
              <w:rPr>
                <w:sz w:val="20"/>
                <w:szCs w:val="20"/>
                <w:color w:val="auto"/>
              </w:rPr>
            </w:pPr>
            <w:r>
              <w:rPr>
                <w:rFonts w:ascii="Arial" w:cs="Arial" w:eastAsia="Arial" w:hAnsi="Arial"/>
                <w:sz w:val="18"/>
                <w:szCs w:val="18"/>
                <w:color w:val="auto"/>
              </w:rPr>
              <w:t>Total liabilities and equity</w:t>
            </w:r>
          </w:p>
        </w:tc>
        <w:tc>
          <w:tcPr>
            <w:tcW w:w="38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22,211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820" w:type="dxa"/>
            <w:vAlign w:val="bottom"/>
            <w:vMerge w:val="restart"/>
          </w:tcPr>
          <w:p>
            <w:pPr>
              <w:jc w:val="right"/>
              <w:ind w:right="3070"/>
              <w:spacing w:after="0"/>
              <w:rPr>
                <w:sz w:val="20"/>
                <w:szCs w:val="20"/>
                <w:color w:val="auto"/>
              </w:rPr>
            </w:pPr>
            <w:r>
              <w:rPr>
                <w:rFonts w:ascii="Arial" w:cs="Arial" w:eastAsia="Arial" w:hAnsi="Arial"/>
                <w:sz w:val="18"/>
                <w:szCs w:val="18"/>
                <w:b w:val="1"/>
                <w:bCs w:val="1"/>
                <w:color w:val="auto"/>
              </w:rPr>
              <w:t>(5)</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Consolidated net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740</w:t>
            </w:r>
          </w:p>
        </w:tc>
        <w:tc>
          <w:tcPr>
            <w:tcW w:w="5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985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7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(781)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New borrowings</w:t>
            </w:r>
          </w:p>
        </w:tc>
        <w:tc>
          <w:tcPr>
            <w:tcW w:w="16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2,364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repayments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(2,392)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Common stock repurchases</w:t>
            </w: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40"/>
              <w:spacing w:after="0"/>
              <w:rPr>
                <w:sz w:val="20"/>
                <w:szCs w:val="20"/>
                <w:color w:val="auto"/>
              </w:rPr>
            </w:pPr>
            <w:r>
              <w:rPr>
                <w:rFonts w:ascii="Arial" w:cs="Arial" w:eastAsia="Arial" w:hAnsi="Arial"/>
                <w:sz w:val="18"/>
                <w:szCs w:val="18"/>
                <w:color w:val="auto"/>
              </w:rPr>
              <w:t>Exercise of common stock options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(6)</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Quarters Ended</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June 30,</w:t>
            </w:r>
          </w:p>
        </w:tc>
        <w:tc>
          <w:tcPr>
            <w:tcW w:w="80" w:type="dxa"/>
            <w:vAlign w:val="bottom"/>
          </w:tcPr>
          <w:p>
            <w:pPr>
              <w:spacing w:after="0"/>
              <w:rPr>
                <w:sz w:val="10"/>
                <w:szCs w:val="10"/>
                <w:color w:val="auto"/>
              </w:rPr>
            </w:pP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9"/>
              </w:rPr>
              <w:t>2014</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Operating Revenues by Lines of Business</w:t>
            </w:r>
          </w:p>
        </w:tc>
        <w:tc>
          <w:tcPr>
            <w:tcW w:w="2360" w:type="dxa"/>
            <w:vAlign w:val="bottom"/>
            <w:tcBorders>
              <w:bottom w:val="single" w:sz="8" w:color="CCEEFF"/>
            </w:tcBorders>
            <w:gridSpan w:val="2"/>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left w:val="single" w:sz="8" w:color="CCEEFF"/>
              <w:bottom w:val="single" w:sz="8" w:color="CCEEFF"/>
            </w:tcBorders>
            <w:shd w:val="clear" w:color="auto" w:fill="CCEEFF"/>
          </w:tcPr>
          <w:p>
            <w:pPr>
              <w:spacing w:after="0"/>
              <w:rPr>
                <w:sz w:val="15"/>
                <w:szCs w:val="15"/>
                <w:color w:val="auto"/>
              </w:rPr>
            </w:pPr>
          </w:p>
        </w:tc>
        <w:tc>
          <w:tcPr>
            <w:tcW w:w="42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tcPr>
          <w:p>
            <w:pPr>
              <w:ind w:left="340"/>
              <w:spacing w:after="0"/>
              <w:rPr>
                <w:sz w:val="20"/>
                <w:szCs w:val="20"/>
                <w:color w:val="auto"/>
              </w:rPr>
            </w:pPr>
            <w:r>
              <w:rPr>
                <w:rFonts w:ascii="Arial" w:cs="Arial" w:eastAsia="Arial" w:hAnsi="Arial"/>
                <w:sz w:val="18"/>
                <w:szCs w:val="18"/>
                <w:color w:val="auto"/>
              </w:rPr>
              <w:t>Collection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Commercial</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853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856</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93"/>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tcPr>
          <w:p>
            <w:pPr>
              <w:ind w:left="700"/>
              <w:spacing w:after="0"/>
              <w:rPr>
                <w:sz w:val="20"/>
                <w:szCs w:val="20"/>
                <w:color w:val="auto"/>
              </w:rPr>
            </w:pPr>
            <w:r>
              <w:rPr>
                <w:rFonts w:ascii="Arial" w:cs="Arial" w:eastAsia="Arial" w:hAnsi="Arial"/>
                <w:sz w:val="18"/>
                <w:szCs w:val="18"/>
                <w:color w:val="auto"/>
              </w:rPr>
              <w:t>Residential</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636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8"/>
                <w:szCs w:val="18"/>
                <w:color w:val="auto"/>
              </w:rPr>
              <w:t>643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center"/>
              <w:ind w:left="312"/>
              <w:spacing w:after="0"/>
              <w:rPr>
                <w:sz w:val="20"/>
                <w:szCs w:val="20"/>
                <w:color w:val="auto"/>
              </w:rPr>
            </w:pPr>
            <w:r>
              <w:rPr>
                <w:rFonts w:ascii="Arial" w:cs="Arial" w:eastAsia="Arial" w:hAnsi="Arial"/>
                <w:sz w:val="18"/>
                <w:szCs w:val="18"/>
                <w:color w:val="auto"/>
                <w:w w:val="93"/>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Industrial</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586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93"/>
              </w:rPr>
              <w:t>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4"/>
          </w:tcPr>
          <w:p>
            <w:pPr>
              <w:ind w:left="70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Collection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2,165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8"/>
              </w:rPr>
              <w:t>2,161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tcPr>
          <w:p>
            <w:pPr>
              <w:ind w:left="340"/>
              <w:spacing w:after="0"/>
              <w:rPr>
                <w:sz w:val="20"/>
                <w:szCs w:val="20"/>
                <w:color w:val="auto"/>
              </w:rPr>
            </w:pPr>
            <w:r>
              <w:rPr>
                <w:rFonts w:ascii="Arial" w:cs="Arial" w:eastAsia="Arial" w:hAnsi="Arial"/>
                <w:sz w:val="18"/>
                <w:szCs w:val="18"/>
                <w:color w:val="auto"/>
              </w:rPr>
              <w:t>Landfill</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758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8"/>
                <w:szCs w:val="18"/>
                <w:color w:val="auto"/>
              </w:rPr>
              <w:t>732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center"/>
              <w:ind w:left="312"/>
              <w:spacing w:after="0"/>
              <w:rPr>
                <w:sz w:val="20"/>
                <w:szCs w:val="20"/>
                <w:color w:val="auto"/>
              </w:rPr>
            </w:pPr>
            <w:r>
              <w:rPr>
                <w:rFonts w:ascii="Arial" w:cs="Arial" w:eastAsia="Arial" w:hAnsi="Arial"/>
                <w:sz w:val="18"/>
                <w:szCs w:val="18"/>
                <w:color w:val="auto"/>
                <w:w w:val="93"/>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Transfer</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93"/>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tcPr>
          <w:p>
            <w:pPr>
              <w:ind w:left="340"/>
              <w:spacing w:after="0"/>
              <w:rPr>
                <w:sz w:val="20"/>
                <w:szCs w:val="20"/>
                <w:color w:val="auto"/>
              </w:rPr>
            </w:pPr>
            <w:r>
              <w:rPr>
                <w:rFonts w:ascii="Arial" w:cs="Arial" w:eastAsia="Arial" w:hAnsi="Arial"/>
                <w:sz w:val="18"/>
                <w:szCs w:val="18"/>
                <w:color w:val="auto"/>
              </w:rPr>
              <w:t>Wheelabrator</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center"/>
              <w:ind w:left="312"/>
              <w:spacing w:after="0"/>
              <w:rPr>
                <w:sz w:val="20"/>
                <w:szCs w:val="20"/>
                <w:color w:val="auto"/>
              </w:rPr>
            </w:pPr>
            <w:r>
              <w:rPr>
                <w:rFonts w:ascii="Arial" w:cs="Arial" w:eastAsia="Arial" w:hAnsi="Arial"/>
                <w:sz w:val="18"/>
                <w:szCs w:val="18"/>
                <w:color w:val="auto"/>
                <w:w w:val="93"/>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Recycling</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93"/>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tcPr>
          <w:p>
            <w:pPr>
              <w:ind w:left="34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405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center"/>
              <w:ind w:left="312"/>
              <w:spacing w:after="0"/>
              <w:rPr>
                <w:sz w:val="20"/>
                <w:szCs w:val="20"/>
                <w:color w:val="auto"/>
              </w:rPr>
            </w:pPr>
            <w:r>
              <w:rPr>
                <w:rFonts w:ascii="Arial" w:cs="Arial" w:eastAsia="Arial" w:hAnsi="Arial"/>
                <w:sz w:val="18"/>
                <w:szCs w:val="18"/>
                <w:color w:val="auto"/>
                <w:w w:val="93"/>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(636)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95"/>
              </w:rPr>
              <w:t>(662)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4"/>
          </w:tcPr>
          <w:p>
            <w:pPr>
              <w:ind w:left="700"/>
              <w:spacing w:after="0"/>
              <w:rPr>
                <w:sz w:val="20"/>
                <w:szCs w:val="20"/>
                <w:color w:val="auto"/>
              </w:rPr>
            </w:pPr>
            <w:r>
              <w:rPr>
                <w:rFonts w:ascii="Arial" w:cs="Arial" w:eastAsia="Arial" w:hAnsi="Arial"/>
                <w:sz w:val="18"/>
                <w:szCs w:val="18"/>
                <w:color w:val="auto"/>
              </w:rPr>
              <w:t>Operating revenues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3,602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3,561</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9"/>
          </w:tcPr>
          <w:p>
            <w:pPr>
              <w:jc w:val="right"/>
              <w:ind w:right="22"/>
              <w:spacing w:after="0"/>
              <w:rPr>
                <w:sz w:val="20"/>
                <w:szCs w:val="20"/>
                <w:color w:val="auto"/>
              </w:rPr>
            </w:pPr>
            <w:r>
              <w:rPr>
                <w:rFonts w:ascii="Arial" w:cs="Arial" w:eastAsia="Arial" w:hAnsi="Arial"/>
                <w:sz w:val="14"/>
                <w:szCs w:val="14"/>
                <w:b w:val="1"/>
                <w:bCs w:val="1"/>
                <w:color w:val="auto"/>
              </w:rPr>
              <w:t>Quarters Ended</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6"/>
          </w:tcPr>
          <w:p>
            <w:pPr>
              <w:jc w:val="right"/>
              <w:ind w:right="42"/>
              <w:spacing w:after="0" w:line="142" w:lineRule="exact"/>
              <w:rPr>
                <w:sz w:val="20"/>
                <w:szCs w:val="20"/>
                <w:color w:val="auto"/>
              </w:rPr>
            </w:pPr>
            <w:r>
              <w:rPr>
                <w:rFonts w:ascii="Arial" w:cs="Arial" w:eastAsia="Arial" w:hAnsi="Arial"/>
                <w:sz w:val="14"/>
                <w:szCs w:val="14"/>
                <w:b w:val="1"/>
                <w:bCs w:val="1"/>
                <w:color w:val="auto"/>
              </w:rPr>
              <w:t>September 30, 2014</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6"/>
          </w:tcPr>
          <w:p>
            <w:pPr>
              <w:jc w:val="right"/>
              <w:ind w:right="292"/>
              <w:spacing w:after="0" w:line="142" w:lineRule="exact"/>
              <w:rPr>
                <w:sz w:val="20"/>
                <w:szCs w:val="20"/>
                <w:color w:val="auto"/>
              </w:rPr>
            </w:pPr>
            <w:r>
              <w:rPr>
                <w:rFonts w:ascii="Arial" w:cs="Arial" w:eastAsia="Arial" w:hAnsi="Arial"/>
                <w:sz w:val="14"/>
                <w:szCs w:val="14"/>
                <w:b w:val="1"/>
                <w:bCs w:val="1"/>
                <w:color w:val="auto"/>
                <w:w w:val="99"/>
              </w:rPr>
              <w:t>September 30, 2013</w:t>
            </w:r>
          </w:p>
        </w:tc>
        <w:tc>
          <w:tcPr>
            <w:tcW w:w="2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3"/>
          </w:tcPr>
          <w:p>
            <w:pPr>
              <w:jc w:val="center"/>
              <w:spacing w:after="0" w:line="123" w:lineRule="exact"/>
              <w:rPr>
                <w:sz w:val="20"/>
                <w:szCs w:val="20"/>
                <w:color w:val="auto"/>
              </w:rPr>
            </w:pPr>
            <w:r>
              <w:rPr>
                <w:rFonts w:ascii="Arial" w:cs="Arial" w:eastAsia="Arial" w:hAnsi="Arial"/>
                <w:sz w:val="14"/>
                <w:szCs w:val="14"/>
                <w:color w:val="auto"/>
                <w:w w:val="96"/>
              </w:rPr>
              <w:t>As a % of</w:t>
            </w:r>
          </w:p>
        </w:tc>
        <w:tc>
          <w:tcPr>
            <w:tcW w:w="26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32"/>
              <w:spacing w:after="0" w:line="123" w:lineRule="exact"/>
              <w:rPr>
                <w:sz w:val="20"/>
                <w:szCs w:val="20"/>
                <w:color w:val="auto"/>
              </w:rPr>
            </w:pPr>
            <w:r>
              <w:rPr>
                <w:rFonts w:ascii="Arial" w:cs="Arial" w:eastAsia="Arial" w:hAnsi="Arial"/>
                <w:sz w:val="14"/>
                <w:szCs w:val="14"/>
                <w:color w:val="auto"/>
                <w:w w:val="96"/>
              </w:rPr>
              <w:t>As a % of</w:t>
            </w: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5"/>
          </w:tcPr>
          <w:p>
            <w:pPr>
              <w:jc w:val="right"/>
              <w:ind w:right="400"/>
              <w:spacing w:after="0"/>
              <w:rPr>
                <w:sz w:val="20"/>
                <w:szCs w:val="20"/>
                <w:color w:val="auto"/>
              </w:rPr>
            </w:pPr>
            <w:r>
              <w:rPr>
                <w:rFonts w:ascii="Arial" w:cs="Arial" w:eastAsia="Arial" w:hAnsi="Arial"/>
                <w:sz w:val="14"/>
                <w:szCs w:val="14"/>
                <w:color w:val="auto"/>
                <w:w w:val="86"/>
              </w:rPr>
              <w:t>Amount</w:t>
            </w:r>
          </w:p>
        </w:tc>
        <w:tc>
          <w:tcPr>
            <w:tcW w:w="200" w:type="dxa"/>
            <w:vAlign w:val="bottom"/>
          </w:tcPr>
          <w:p>
            <w:pPr>
              <w:spacing w:after="0"/>
              <w:rPr>
                <w:sz w:val="14"/>
                <w:szCs w:val="14"/>
                <w:color w:val="auto"/>
              </w:rPr>
            </w:pPr>
          </w:p>
        </w:tc>
        <w:tc>
          <w:tcPr>
            <w:tcW w:w="1320" w:type="dxa"/>
            <w:vAlign w:val="bottom"/>
            <w:gridSpan w:val="7"/>
          </w:tcPr>
          <w:p>
            <w:pPr>
              <w:jc w:val="center"/>
              <w:ind w:right="440"/>
              <w:spacing w:after="0"/>
              <w:rPr>
                <w:sz w:val="20"/>
                <w:szCs w:val="20"/>
                <w:color w:val="auto"/>
              </w:rPr>
            </w:pPr>
            <w:r>
              <w:rPr>
                <w:rFonts w:ascii="Arial" w:cs="Arial" w:eastAsia="Arial" w:hAnsi="Arial"/>
                <w:sz w:val="14"/>
                <w:szCs w:val="14"/>
                <w:color w:val="auto"/>
                <w:w w:val="92"/>
              </w:rPr>
              <w:t>Total Company</w:t>
            </w:r>
          </w:p>
        </w:tc>
        <w:tc>
          <w:tcPr>
            <w:tcW w:w="260" w:type="dxa"/>
            <w:vAlign w:val="bottom"/>
          </w:tcPr>
          <w:p>
            <w:pPr>
              <w:spacing w:after="0"/>
              <w:rPr>
                <w:sz w:val="14"/>
                <w:szCs w:val="14"/>
                <w:color w:val="auto"/>
              </w:rPr>
            </w:pPr>
          </w:p>
        </w:tc>
        <w:tc>
          <w:tcPr>
            <w:tcW w:w="1100" w:type="dxa"/>
            <w:vAlign w:val="bottom"/>
            <w:gridSpan w:val="6"/>
          </w:tcPr>
          <w:p>
            <w:pPr>
              <w:spacing w:after="0"/>
              <w:rPr>
                <w:sz w:val="20"/>
                <w:szCs w:val="20"/>
                <w:color w:val="auto"/>
              </w:rPr>
            </w:pPr>
            <w:r>
              <w:rPr>
                <w:rFonts w:ascii="Arial" w:cs="Arial" w:eastAsia="Arial" w:hAnsi="Arial"/>
                <w:sz w:val="14"/>
                <w:szCs w:val="14"/>
                <w:color w:val="auto"/>
              </w:rPr>
              <w:t>Amount</w:t>
            </w:r>
          </w:p>
        </w:tc>
        <w:tc>
          <w:tcPr>
            <w:tcW w:w="1060" w:type="dxa"/>
            <w:vAlign w:val="bottom"/>
            <w:gridSpan w:val="5"/>
          </w:tcPr>
          <w:p>
            <w:pPr>
              <w:jc w:val="center"/>
              <w:ind w:right="200"/>
              <w:spacing w:after="0"/>
              <w:rPr>
                <w:sz w:val="20"/>
                <w:szCs w:val="20"/>
                <w:color w:val="auto"/>
              </w:rPr>
            </w:pPr>
            <w:r>
              <w:rPr>
                <w:rFonts w:ascii="Arial" w:cs="Arial" w:eastAsia="Arial" w:hAnsi="Arial"/>
                <w:sz w:val="14"/>
                <w:szCs w:val="14"/>
                <w:color w:val="auto"/>
                <w:w w:val="90"/>
              </w:rPr>
              <w:t>Total Company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2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Analysis of Change in Year Over Year Revenues</w:t>
            </w:r>
          </w:p>
        </w:tc>
        <w:tc>
          <w:tcPr>
            <w:tcW w:w="5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left w:val="single" w:sz="8" w:color="CCEEFF"/>
            </w:tcBorders>
            <w:shd w:val="clear" w:color="auto" w:fill="CCEEFF"/>
          </w:tcPr>
          <w:p>
            <w:pPr>
              <w:spacing w:after="0"/>
              <w:rPr>
                <w:sz w:val="15"/>
                <w:szCs w:val="15"/>
                <w:color w:val="auto"/>
              </w:rPr>
            </w:pPr>
          </w:p>
        </w:tc>
        <w:tc>
          <w:tcPr>
            <w:tcW w:w="420" w:type="dxa"/>
            <w:vAlign w:val="bottom"/>
            <w:tcBorders>
              <w:top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3"/>
          </w:tcPr>
          <w:p>
            <w:pPr>
              <w:ind w:left="34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18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58</w:t>
            </w:r>
          </w:p>
        </w:tc>
        <w:tc>
          <w:tcPr>
            <w:tcW w:w="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w w:val="92"/>
              </w:rPr>
              <w:t>1.6%</w:t>
            </w: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gridSpan w:val="2"/>
          </w:tcPr>
          <w:p>
            <w:pPr>
              <w:ind w:left="26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90</w:t>
            </w:r>
          </w:p>
        </w:tc>
        <w:tc>
          <w:tcPr>
            <w:tcW w:w="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gridSpan w:val="3"/>
          </w:tcPr>
          <w:p>
            <w:pPr>
              <w:jc w:val="center"/>
              <w:ind w:left="312"/>
              <w:spacing w:after="0"/>
              <w:rPr>
                <w:sz w:val="20"/>
                <w:szCs w:val="20"/>
                <w:color w:val="auto"/>
              </w:rPr>
            </w:pPr>
            <w:r>
              <w:rPr>
                <w:rFonts w:ascii="Arial" w:cs="Arial" w:eastAsia="Arial" w:hAnsi="Arial"/>
                <w:sz w:val="18"/>
                <w:szCs w:val="18"/>
                <w:color w:val="auto"/>
                <w:w w:val="87"/>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Volume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gridSpan w:val="4"/>
            <w:vMerge w:val="restart"/>
          </w:tcPr>
          <w:p>
            <w:pPr>
              <w:ind w:left="340"/>
              <w:spacing w:after="0"/>
              <w:rPr>
                <w:sz w:val="20"/>
                <w:szCs w:val="20"/>
                <w:color w:val="auto"/>
              </w:rPr>
            </w:pPr>
            <w:r>
              <w:rPr>
                <w:rFonts w:ascii="Arial" w:cs="Arial" w:eastAsia="Arial" w:hAnsi="Arial"/>
                <w:sz w:val="18"/>
                <w:szCs w:val="18"/>
                <w:color w:val="auto"/>
              </w:rPr>
              <w:t>Internal revenue growth</w:t>
            </w: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4"/>
            <w:vMerge w:val="continue"/>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68</w:t>
            </w:r>
          </w:p>
        </w:tc>
        <w:tc>
          <w:tcPr>
            <w:tcW w:w="2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center"/>
              <w:ind w:left="312"/>
              <w:spacing w:after="0"/>
              <w:rPr>
                <w:sz w:val="20"/>
                <w:szCs w:val="20"/>
                <w:color w:val="auto"/>
              </w:rPr>
            </w:pPr>
            <w:r>
              <w:rPr>
                <w:rFonts w:ascii="Arial" w:cs="Arial" w:eastAsia="Arial" w:hAnsi="Arial"/>
                <w:sz w:val="18"/>
                <w:szCs w:val="18"/>
                <w:color w:val="auto"/>
                <w:w w:val="87"/>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Acquisition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0.2%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tcPr>
          <w:p>
            <w:pPr>
              <w:ind w:left="340"/>
              <w:spacing w:after="0"/>
              <w:rPr>
                <w:sz w:val="20"/>
                <w:szCs w:val="20"/>
                <w:color w:val="auto"/>
              </w:rPr>
            </w:pPr>
            <w:r>
              <w:rPr>
                <w:rFonts w:ascii="Arial" w:cs="Arial" w:eastAsia="Arial" w:hAnsi="Arial"/>
                <w:sz w:val="18"/>
                <w:szCs w:val="18"/>
                <w:color w:val="auto"/>
              </w:rPr>
              <w:t>Divestitures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4"/>
          </w:tcPr>
          <w:p>
            <w:pPr>
              <w:jc w:val="right"/>
              <w:ind w:right="34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4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160</w:t>
            </w:r>
          </w:p>
        </w:tc>
        <w:tc>
          <w:tcPr>
            <w:tcW w:w="20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center"/>
              <w:ind w:left="312"/>
              <w:spacing w:after="0"/>
              <w:rPr>
                <w:sz w:val="20"/>
                <w:szCs w:val="20"/>
                <w:color w:val="auto"/>
              </w:rPr>
            </w:pPr>
            <w:r>
              <w:rPr>
                <w:rFonts w:ascii="Arial" w:cs="Arial" w:eastAsia="Arial" w:hAnsi="Arial"/>
                <w:sz w:val="18"/>
                <w:szCs w:val="18"/>
                <w:color w:val="auto"/>
                <w:w w:val="87"/>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7"/>
          </w:tcPr>
          <w:p>
            <w:pPr>
              <w:jc w:val="center"/>
              <w:ind w:right="420"/>
              <w:spacing w:after="0"/>
              <w:rPr>
                <w:sz w:val="20"/>
                <w:szCs w:val="20"/>
                <w:color w:val="auto"/>
              </w:rPr>
            </w:pPr>
            <w:r>
              <w:rPr>
                <w:rFonts w:ascii="Arial" w:cs="Arial" w:eastAsia="Arial" w:hAnsi="Arial"/>
                <w:sz w:val="14"/>
                <w:szCs w:val="14"/>
                <w:color w:val="auto"/>
                <w:w w:val="96"/>
              </w:rPr>
              <w:t>As a % of</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4"/>
          </w:tcPr>
          <w:p>
            <w:pPr>
              <w:jc w:val="center"/>
              <w:ind w:right="320"/>
              <w:spacing w:after="0"/>
              <w:rPr>
                <w:sz w:val="20"/>
                <w:szCs w:val="20"/>
                <w:color w:val="auto"/>
              </w:rPr>
            </w:pPr>
            <w:r>
              <w:rPr>
                <w:rFonts w:ascii="Arial" w:cs="Arial" w:eastAsia="Arial" w:hAnsi="Arial"/>
                <w:sz w:val="14"/>
                <w:szCs w:val="14"/>
                <w:color w:val="auto"/>
                <w:w w:val="96"/>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7"/>
          </w:tcPr>
          <w:p>
            <w:pPr>
              <w:jc w:val="center"/>
              <w:ind w:right="440"/>
              <w:spacing w:after="0" w:line="149" w:lineRule="exact"/>
              <w:rPr>
                <w:sz w:val="20"/>
                <w:szCs w:val="20"/>
                <w:color w:val="auto"/>
              </w:rPr>
            </w:pPr>
            <w:r>
              <w:rPr>
                <w:rFonts w:ascii="Arial" w:cs="Arial" w:eastAsia="Arial" w:hAnsi="Arial"/>
                <w:sz w:val="14"/>
                <w:szCs w:val="14"/>
                <w:color w:val="auto"/>
                <w:w w:val="91"/>
              </w:rPr>
              <w:t>Related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1"/>
              </w:rPr>
              <w:t>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5"/>
          </w:tcPr>
          <w:p>
            <w:pPr>
              <w:jc w:val="right"/>
              <w:ind w:right="400"/>
              <w:spacing w:after="0"/>
              <w:rPr>
                <w:sz w:val="20"/>
                <w:szCs w:val="20"/>
                <w:color w:val="auto"/>
              </w:rPr>
            </w:pPr>
            <w:r>
              <w:rPr>
                <w:rFonts w:ascii="Arial" w:cs="Arial" w:eastAsia="Arial" w:hAnsi="Arial"/>
                <w:sz w:val="14"/>
                <w:szCs w:val="14"/>
                <w:color w:val="auto"/>
                <w:w w:val="86"/>
              </w:rPr>
              <w:t>Amount</w:t>
            </w:r>
          </w:p>
        </w:tc>
        <w:tc>
          <w:tcPr>
            <w:tcW w:w="200" w:type="dxa"/>
            <w:vAlign w:val="bottom"/>
          </w:tcPr>
          <w:p>
            <w:pPr>
              <w:spacing w:after="0"/>
              <w:rPr>
                <w:sz w:val="14"/>
                <w:szCs w:val="14"/>
                <w:color w:val="auto"/>
              </w:rPr>
            </w:pPr>
          </w:p>
        </w:tc>
        <w:tc>
          <w:tcPr>
            <w:tcW w:w="1320" w:type="dxa"/>
            <w:vAlign w:val="bottom"/>
            <w:gridSpan w:val="7"/>
          </w:tcPr>
          <w:p>
            <w:pPr>
              <w:jc w:val="center"/>
              <w:ind w:right="440"/>
              <w:spacing w:after="0"/>
              <w:rPr>
                <w:sz w:val="20"/>
                <w:szCs w:val="20"/>
                <w:color w:val="auto"/>
              </w:rPr>
            </w:pPr>
            <w:r>
              <w:rPr>
                <w:rFonts w:ascii="Arial" w:cs="Arial" w:eastAsia="Arial" w:hAnsi="Arial"/>
                <w:sz w:val="14"/>
                <w:szCs w:val="14"/>
                <w:color w:val="auto"/>
                <w:w w:val="91"/>
              </w:rPr>
              <w:t>Business</w:t>
            </w:r>
          </w:p>
        </w:tc>
        <w:tc>
          <w:tcPr>
            <w:tcW w:w="260" w:type="dxa"/>
            <w:vAlign w:val="bottom"/>
          </w:tcPr>
          <w:p>
            <w:pPr>
              <w:spacing w:after="0"/>
              <w:rPr>
                <w:sz w:val="14"/>
                <w:szCs w:val="14"/>
                <w:color w:val="auto"/>
              </w:rPr>
            </w:pPr>
          </w:p>
        </w:tc>
        <w:tc>
          <w:tcPr>
            <w:tcW w:w="1100" w:type="dxa"/>
            <w:vAlign w:val="bottom"/>
            <w:gridSpan w:val="6"/>
          </w:tcPr>
          <w:p>
            <w:pPr>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4"/>
                <w:szCs w:val="14"/>
                <w:color w:val="auto"/>
              </w:rPr>
            </w:pPr>
          </w:p>
        </w:tc>
        <w:tc>
          <w:tcPr>
            <w:tcW w:w="980" w:type="dxa"/>
            <w:vAlign w:val="bottom"/>
            <w:gridSpan w:val="4"/>
          </w:tcPr>
          <w:p>
            <w:pPr>
              <w:jc w:val="center"/>
              <w:ind w:right="320"/>
              <w:spacing w:after="0"/>
              <w:rPr>
                <w:sz w:val="20"/>
                <w:szCs w:val="20"/>
                <w:color w:val="auto"/>
              </w:rPr>
            </w:pPr>
            <w:r>
              <w:rPr>
                <w:rFonts w:ascii="Arial" w:cs="Arial" w:eastAsia="Arial" w:hAnsi="Arial"/>
                <w:sz w:val="14"/>
                <w:szCs w:val="14"/>
                <w:color w:val="auto"/>
                <w:w w:val="87"/>
              </w:rPr>
              <w:t>Business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gridSpan w:val="4"/>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42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tcPr>
          <w:p>
            <w:pPr>
              <w:ind w:left="1060"/>
              <w:spacing w:after="0"/>
              <w:rPr>
                <w:sz w:val="20"/>
                <w:szCs w:val="20"/>
                <w:color w:val="auto"/>
              </w:rPr>
            </w:pPr>
            <w:r>
              <w:rPr>
                <w:rFonts w:ascii="Arial" w:cs="Arial" w:eastAsia="Arial" w:hAnsi="Arial"/>
                <w:sz w:val="18"/>
                <w:szCs w:val="18"/>
                <w:color w:val="auto"/>
              </w:rPr>
              <w:t>Collection, landfill and transfer</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center"/>
              <w:ind w:left="312"/>
              <w:spacing w:after="0"/>
              <w:rPr>
                <w:sz w:val="20"/>
                <w:szCs w:val="20"/>
                <w:color w:val="auto"/>
              </w:rPr>
            </w:pPr>
            <w:r>
              <w:rPr>
                <w:rFonts w:ascii="Arial" w:cs="Arial" w:eastAsia="Arial" w:hAnsi="Arial"/>
                <w:sz w:val="18"/>
                <w:szCs w:val="18"/>
                <w:color w:val="auto"/>
                <w:w w:val="87"/>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1060"/>
              <w:spacing w:after="0"/>
              <w:rPr>
                <w:sz w:val="20"/>
                <w:szCs w:val="20"/>
                <w:color w:val="auto"/>
              </w:rPr>
            </w:pPr>
            <w:r>
              <w:rPr>
                <w:rFonts w:ascii="Arial" w:cs="Arial" w:eastAsia="Arial" w:hAnsi="Arial"/>
                <w:sz w:val="18"/>
                <w:szCs w:val="18"/>
                <w:color w:val="auto"/>
              </w:rPr>
              <w:t>Waste-to-energy disposal</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4"/>
          </w:tcPr>
          <w:p>
            <w:pPr>
              <w:ind w:left="700"/>
              <w:spacing w:after="0"/>
              <w:rPr>
                <w:sz w:val="20"/>
                <w:szCs w:val="20"/>
                <w:color w:val="auto"/>
              </w:rPr>
            </w:pPr>
            <w:r>
              <w:rPr>
                <w:rFonts w:ascii="Arial" w:cs="Arial" w:eastAsia="Arial" w:hAnsi="Arial"/>
                <w:sz w:val="18"/>
                <w:szCs w:val="18"/>
                <w:color w:val="auto"/>
              </w:rPr>
              <w:t>Collection and disposal</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center"/>
              <w:ind w:left="312"/>
              <w:spacing w:after="0"/>
              <w:rPr>
                <w:sz w:val="20"/>
                <w:szCs w:val="20"/>
                <w:color w:val="auto"/>
              </w:rPr>
            </w:pPr>
            <w:r>
              <w:rPr>
                <w:rFonts w:ascii="Arial" w:cs="Arial" w:eastAsia="Arial" w:hAnsi="Arial"/>
                <w:sz w:val="18"/>
                <w:szCs w:val="18"/>
                <w:color w:val="auto"/>
                <w:w w:val="87"/>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Recycling commodities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tcPr>
          <w:p>
            <w:pPr>
              <w:ind w:left="700"/>
              <w:spacing w:after="0"/>
              <w:rPr>
                <w:sz w:val="20"/>
                <w:szCs w:val="20"/>
                <w:color w:val="auto"/>
              </w:rPr>
            </w:pPr>
            <w:r>
              <w:rPr>
                <w:rFonts w:ascii="Arial" w:cs="Arial" w:eastAsia="Arial" w:hAnsi="Arial"/>
                <w:sz w:val="18"/>
                <w:szCs w:val="18"/>
                <w:color w:val="auto"/>
              </w:rPr>
              <w:t>Electricity</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4"/>
          </w:tcPr>
          <w:p>
            <w:pPr>
              <w:jc w:val="right"/>
              <w:ind w:right="3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center"/>
              <w:ind w:left="312"/>
              <w:spacing w:after="0"/>
              <w:rPr>
                <w:sz w:val="20"/>
                <w:szCs w:val="20"/>
                <w:color w:val="auto"/>
              </w:rPr>
            </w:pPr>
            <w:r>
              <w:rPr>
                <w:rFonts w:ascii="Arial" w:cs="Arial" w:eastAsia="Arial" w:hAnsi="Arial"/>
                <w:sz w:val="18"/>
                <w:szCs w:val="18"/>
                <w:color w:val="auto"/>
                <w:w w:val="87"/>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ind w:left="700"/>
              <w:spacing w:after="0"/>
              <w:rPr>
                <w:sz w:val="20"/>
                <w:szCs w:val="20"/>
                <w:color w:val="auto"/>
              </w:rPr>
            </w:pPr>
            <w:r>
              <w:rPr>
                <w:rFonts w:ascii="Arial" w:cs="Arial" w:eastAsia="Arial" w:hAnsi="Arial"/>
                <w:sz w:val="18"/>
                <w:szCs w:val="18"/>
                <w:color w:val="auto"/>
              </w:rPr>
              <w:t>Fuel surcharges and mandated fees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87"/>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4"/>
          </w:tcPr>
          <w:p>
            <w:pPr>
              <w:ind w:left="340"/>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center"/>
              <w:ind w:left="312"/>
              <w:spacing w:after="0"/>
              <w:rPr>
                <w:sz w:val="20"/>
                <w:szCs w:val="20"/>
                <w:color w:val="auto"/>
              </w:rPr>
            </w:pPr>
            <w:r>
              <w:rPr>
                <w:rFonts w:ascii="Arial" w:cs="Arial" w:eastAsia="Arial" w:hAnsi="Arial"/>
                <w:sz w:val="18"/>
                <w:szCs w:val="18"/>
                <w:color w:val="auto"/>
                <w:w w:val="87"/>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10"/>
          </w:tcPr>
          <w:p>
            <w:pPr>
              <w:jc w:val="right"/>
              <w:ind w:right="102"/>
              <w:spacing w:after="0"/>
              <w:rPr>
                <w:sz w:val="20"/>
                <w:szCs w:val="20"/>
                <w:color w:val="auto"/>
              </w:rPr>
            </w:pPr>
            <w:r>
              <w:rPr>
                <w:rFonts w:ascii="Arial" w:cs="Arial" w:eastAsia="Arial" w:hAnsi="Arial"/>
                <w:sz w:val="14"/>
                <w:szCs w:val="14"/>
                <w:b w:val="1"/>
                <w:bCs w:val="1"/>
                <w:color w:val="auto"/>
                <w:w w:val="93"/>
              </w:rPr>
              <w:t>Quarters Ended September 30,</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20" w:type="dxa"/>
            <w:vAlign w:val="bottom"/>
            <w:gridSpan w:val="12"/>
          </w:tcPr>
          <w:p>
            <w:pPr>
              <w:jc w:val="right"/>
              <w:ind w:right="28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202"/>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4"/>
          </w:tcPr>
          <w:p>
            <w:pPr>
              <w:jc w:val="right"/>
              <w:ind w:right="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Free Cash Flow Analysis (b)</w:t>
            </w:r>
          </w:p>
        </w:tc>
        <w:tc>
          <w:tcPr>
            <w:tcW w:w="3360" w:type="dxa"/>
            <w:vAlign w:val="bottom"/>
            <w:tcBorders>
              <w:bottom w:val="single" w:sz="8" w:color="CCEEFF"/>
            </w:tcBorders>
            <w:gridSpan w:val="3"/>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left w:val="single" w:sz="8" w:color="CCEEFF"/>
              <w:bottom w:val="single" w:sz="8" w:color="CCEEFF"/>
            </w:tcBorders>
            <w:shd w:val="clear" w:color="auto" w:fill="CCEEFF"/>
          </w:tcPr>
          <w:p>
            <w:pPr>
              <w:spacing w:after="0"/>
              <w:rPr>
                <w:sz w:val="15"/>
                <w:szCs w:val="15"/>
                <w:color w:val="auto"/>
              </w:rPr>
            </w:pPr>
          </w:p>
        </w:tc>
        <w:tc>
          <w:tcPr>
            <w:tcW w:w="42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tcPr>
          <w:p>
            <w:pPr>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5"/>
          </w:tcPr>
          <w:p>
            <w:pPr>
              <w:jc w:val="right"/>
              <w:ind w:right="148"/>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736</w:t>
            </w:r>
          </w:p>
        </w:tc>
        <w:tc>
          <w:tcPr>
            <w:tcW w:w="68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4"/>
          </w:tcPr>
          <w:p>
            <w:pPr>
              <w:jc w:val="right"/>
              <w:ind w:right="200"/>
              <w:spacing w:after="0"/>
              <w:rPr>
                <w:sz w:val="20"/>
                <w:szCs w:val="20"/>
                <w:color w:val="auto"/>
              </w:rPr>
            </w:pPr>
            <w:r>
              <w:rPr>
                <w:rFonts w:ascii="Arial" w:cs="Arial" w:eastAsia="Arial" w:hAnsi="Arial"/>
                <w:sz w:val="18"/>
                <w:szCs w:val="18"/>
                <w:color w:val="auto"/>
                <w:w w:val="84"/>
              </w:rPr>
              <w:t>1,811</w:t>
            </w:r>
          </w:p>
        </w:tc>
        <w:tc>
          <w:tcPr>
            <w:tcW w:w="420" w:type="dxa"/>
            <w:vAlign w:val="bottom"/>
          </w:tcPr>
          <w:p>
            <w:pPr>
              <w:spacing w:after="0"/>
              <w:rPr>
                <w:sz w:val="18"/>
                <w:szCs w:val="18"/>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88"/>
              <w:spacing w:after="0"/>
              <w:rPr>
                <w:sz w:val="20"/>
                <w:szCs w:val="20"/>
                <w:color w:val="auto"/>
              </w:rPr>
            </w:pPr>
            <w:r>
              <w:rPr>
                <w:rFonts w:ascii="Arial" w:cs="Arial" w:eastAsia="Arial" w:hAnsi="Arial"/>
                <w:sz w:val="18"/>
                <w:szCs w:val="18"/>
                <w:color w:val="auto"/>
              </w:rPr>
              <w:t>(307)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11"/>
              <w:spacing w:after="0"/>
              <w:rPr>
                <w:sz w:val="20"/>
                <w:szCs w:val="20"/>
                <w:color w:val="auto"/>
              </w:rPr>
            </w:pPr>
            <w:r>
              <w:rPr>
                <w:rFonts w:ascii="Arial" w:cs="Arial" w:eastAsia="Arial" w:hAnsi="Arial"/>
                <w:sz w:val="18"/>
                <w:szCs w:val="18"/>
                <w:color w:val="auto"/>
              </w:rPr>
              <w:t>(323)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(781)</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95"/>
              </w:rPr>
              <w:t>(824)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gridSpan w:val="4"/>
          </w:tcPr>
          <w:p>
            <w:pPr>
              <w:spacing w:after="0" w:line="201" w:lineRule="exact"/>
              <w:rPr>
                <w:sz w:val="20"/>
                <w:szCs w:val="20"/>
                <w:color w:val="auto"/>
              </w:rPr>
            </w:pPr>
            <w:r>
              <w:rPr>
                <w:rFonts w:ascii="Arial" w:cs="Arial" w:eastAsia="Arial" w:hAnsi="Arial"/>
                <w:sz w:val="18"/>
                <w:szCs w:val="18"/>
                <w:color w:val="auto"/>
                <w:w w:val="97"/>
              </w:rPr>
              <w:t>Proceeds from divestitures of businesses and other assets (net of cash</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gridSpan w:val="4"/>
          </w:tcPr>
          <w:p>
            <w:pPr>
              <w:ind w:left="160"/>
              <w:spacing w:after="0"/>
              <w:rPr>
                <w:sz w:val="20"/>
                <w:szCs w:val="20"/>
                <w:color w:val="auto"/>
              </w:rPr>
            </w:pPr>
            <w:r>
              <w:rPr>
                <w:rFonts w:ascii="Arial" w:cs="Arial" w:eastAsia="Arial" w:hAnsi="Arial"/>
                <w:sz w:val="18"/>
                <w:szCs w:val="18"/>
                <w:color w:val="auto"/>
              </w:rPr>
              <w:t>divested)</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5"/>
          </w:tcPr>
          <w:p>
            <w:pPr>
              <w:jc w:val="right"/>
              <w:ind w:right="148"/>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4"/>
          </w:tcPr>
          <w:p>
            <w:pPr>
              <w:jc w:val="right"/>
              <w:ind w:right="200"/>
              <w:spacing w:after="0"/>
              <w:rPr>
                <w:sz w:val="20"/>
                <w:szCs w:val="20"/>
                <w:color w:val="auto"/>
              </w:rPr>
            </w:pPr>
            <w:r>
              <w:rPr>
                <w:rFonts w:ascii="Arial" w:cs="Arial" w:eastAsia="Arial" w:hAnsi="Arial"/>
                <w:sz w:val="18"/>
                <w:szCs w:val="18"/>
                <w:color w:val="auto"/>
              </w:rPr>
              <w:t>319</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center"/>
              <w:ind w:left="312"/>
              <w:spacing w:after="0"/>
              <w:rPr>
                <w:sz w:val="20"/>
                <w:szCs w:val="20"/>
                <w:color w:val="auto"/>
              </w:rPr>
            </w:pPr>
            <w:r>
              <w:rPr>
                <w:rFonts w:ascii="Arial" w:cs="Arial" w:eastAsia="Arial" w:hAnsi="Arial"/>
                <w:sz w:val="18"/>
                <w:szCs w:val="18"/>
                <w:color w:val="auto"/>
                <w:w w:val="93"/>
              </w:rPr>
              <w:t>113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5"/>
            <w:shd w:val="clear" w:color="auto" w:fill="CCEEFF"/>
          </w:tcPr>
          <w:p>
            <w:pPr>
              <w:jc w:val="right"/>
              <w:ind w:right="148"/>
              <w:spacing w:after="0"/>
              <w:rPr>
                <w:sz w:val="20"/>
                <w:szCs w:val="20"/>
                <w:color w:val="auto"/>
              </w:rPr>
            </w:pPr>
            <w:r>
              <w:rPr>
                <w:rFonts w:ascii="Arial" w:cs="Arial" w:eastAsia="Arial" w:hAnsi="Arial"/>
                <w:sz w:val="18"/>
                <w:szCs w:val="18"/>
                <w:color w:val="auto"/>
              </w:rPr>
              <w:t>418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6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1,349</w:t>
            </w:r>
          </w:p>
        </w:tc>
        <w:tc>
          <w:tcPr>
            <w:tcW w:w="42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34" w:lineRule="exact"/>
        <w:rPr>
          <w:rFonts w:ascii="Arial" w:cs="Arial" w:eastAsia="Arial" w:hAnsi="Arial"/>
          <w:sz w:val="17"/>
          <w:szCs w:val="17"/>
          <w:color w:val="auto"/>
        </w:rPr>
      </w:pPr>
    </w:p>
    <w:p>
      <w:pPr>
        <w:ind w:left="460" w:right="8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w:t>
      </w:r>
    </w:p>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5"/>
              </w:rPr>
              <w:t>Quarters Ended</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80" w:type="dxa"/>
            <w:vAlign w:val="bottom"/>
          </w:tcPr>
          <w:p>
            <w:pPr>
              <w:spacing w:after="0"/>
              <w:rPr>
                <w:sz w:val="10"/>
                <w:szCs w:val="10"/>
                <w:color w:val="auto"/>
              </w:rPr>
            </w:pPr>
          </w:p>
        </w:tc>
        <w:tc>
          <w:tcPr>
            <w:tcW w:w="1260" w:type="dxa"/>
            <w:vAlign w:val="bottom"/>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w w:val="96"/>
              </w:rPr>
              <w:t>June 30,</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6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Balance Sheet Data</w:t>
            </w:r>
          </w:p>
        </w:tc>
        <w:tc>
          <w:tcPr>
            <w:tcW w:w="6020" w:type="dxa"/>
            <w:vAlign w:val="bottom"/>
            <w:tcBorders>
              <w:bottom w:val="single" w:sz="8" w:color="CCEEFF"/>
            </w:tcBorders>
            <w:gridSpan w:val="4"/>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7520" w:type="dxa"/>
            <w:vAlign w:val="bottom"/>
            <w:gridSpan w:val="6"/>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183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tcPr>
          <w:p>
            <w:pPr>
              <w:ind w:left="340"/>
              <w:spacing w:after="0"/>
              <w:rPr>
                <w:sz w:val="20"/>
                <w:szCs w:val="20"/>
                <w:color w:val="auto"/>
              </w:rPr>
            </w:pPr>
            <w:r>
              <w:rPr>
                <w:rFonts w:ascii="Arial" w:cs="Arial" w:eastAsia="Arial" w:hAnsi="Arial"/>
                <w:sz w:val="18"/>
                <w:szCs w:val="18"/>
                <w:color w:val="auto"/>
              </w:rPr>
              <w:t>Long-term indebtedness, including current portion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10,164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9,797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6,147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5"/>
          </w:tcPr>
          <w:p>
            <w:pPr>
              <w:ind w:left="700"/>
              <w:spacing w:after="0"/>
              <w:rPr>
                <w:sz w:val="20"/>
                <w:szCs w:val="20"/>
                <w:color w:val="auto"/>
              </w:rPr>
            </w:pPr>
            <w:r>
              <w:rPr>
                <w:rFonts w:ascii="Arial" w:cs="Arial" w:eastAsia="Arial" w:hAnsi="Arial"/>
                <w:sz w:val="18"/>
                <w:szCs w:val="18"/>
                <w:color w:val="auto"/>
              </w:rPr>
              <w:t>Total capital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15,944</w:t>
            </w: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Debt-to-total capital</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0"/>
        </w:trPr>
        <w:tc>
          <w:tcPr>
            <w:tcW w:w="7520" w:type="dxa"/>
            <w:vAlign w:val="bottom"/>
            <w:gridSpan w:val="6"/>
            <w:vMerge w:val="restart"/>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6"/>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50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Acquisition Summary (a)</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7500" w:type="dxa"/>
            <w:vAlign w:val="bottom"/>
            <w:gridSpan w:val="5"/>
          </w:tcPr>
          <w:p>
            <w:pPr>
              <w:ind w:left="340"/>
              <w:spacing w:after="0"/>
              <w:rPr>
                <w:sz w:val="20"/>
                <w:szCs w:val="20"/>
                <w:color w:val="auto"/>
              </w:rPr>
            </w:pPr>
            <w:r>
              <w:rPr>
                <w:rFonts w:ascii="Arial" w:cs="Arial" w:eastAsia="Arial" w:hAnsi="Arial"/>
                <w:sz w:val="18"/>
                <w:szCs w:val="18"/>
                <w:color w:val="auto"/>
              </w:rPr>
              <w:t>Gross annualized revenue acquired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consideration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gridSpan w:val="5"/>
            <w:vMerge w:val="restart"/>
          </w:tcPr>
          <w:p>
            <w:pPr>
              <w:ind w:left="340"/>
              <w:spacing w:after="0"/>
              <w:rPr>
                <w:sz w:val="20"/>
                <w:szCs w:val="20"/>
                <w:color w:val="auto"/>
              </w:rPr>
            </w:pPr>
            <w:r>
              <w:rPr>
                <w:rFonts w:ascii="Arial" w:cs="Arial" w:eastAsia="Arial" w:hAnsi="Arial"/>
                <w:sz w:val="18"/>
                <w:szCs w:val="18"/>
                <w:color w:val="auto"/>
              </w:rPr>
              <w:t>Cash paid for acquisitions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2"/>
              </w:rPr>
              <w:t>Other Operational Data</w:t>
            </w:r>
          </w:p>
        </w:tc>
        <w:tc>
          <w:tcPr>
            <w:tcW w:w="5660" w:type="dxa"/>
            <w:vAlign w:val="bottom"/>
            <w:tcBorders>
              <w:bottom w:val="single" w:sz="8" w:color="CCEEFF"/>
            </w:tcBorders>
            <w:gridSpan w:val="3"/>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7520" w:type="dxa"/>
            <w:vAlign w:val="bottom"/>
            <w:gridSpan w:val="6"/>
          </w:tcPr>
          <w:p>
            <w:pPr>
              <w:spacing w:after="0"/>
              <w:rPr>
                <w:sz w:val="20"/>
                <w:szCs w:val="20"/>
                <w:color w:val="auto"/>
              </w:rPr>
            </w:pPr>
            <w:r>
              <w:rPr>
                <w:rFonts w:ascii="Arial" w:cs="Arial" w:eastAsia="Arial" w:hAnsi="Arial"/>
                <w:sz w:val="18"/>
                <w:szCs w:val="18"/>
                <w:color w:val="auto"/>
              </w:rPr>
              <w:t>Internalization of waste, based on disposal costs</w:t>
            </w:r>
          </w:p>
        </w:tc>
        <w:tc>
          <w:tcPr>
            <w:tcW w:w="18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68.1%</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67.5%</w:t>
            </w:r>
          </w:p>
        </w:tc>
        <w:tc>
          <w:tcPr>
            <w:tcW w:w="2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disposal volumes (tons in millions)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3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7520" w:type="dxa"/>
            <w:vAlign w:val="bottom"/>
            <w:gridSpan w:val="6"/>
            <w:vMerge w:val="restart"/>
          </w:tcPr>
          <w:p>
            <w:pPr>
              <w:spacing w:after="0"/>
              <w:rPr>
                <w:sz w:val="20"/>
                <w:szCs w:val="20"/>
                <w:color w:val="auto"/>
              </w:rPr>
            </w:pPr>
            <w:r>
              <w:rPr>
                <w:rFonts w:ascii="Arial" w:cs="Arial" w:eastAsia="Arial" w:hAnsi="Arial"/>
                <w:sz w:val="18"/>
                <w:szCs w:val="18"/>
                <w:color w:val="auto"/>
              </w:rPr>
              <w:t>Active landfills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6"/>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7520" w:type="dxa"/>
            <w:vAlign w:val="bottom"/>
            <w:gridSpan w:val="6"/>
            <w:vMerge w:val="restart"/>
          </w:tcPr>
          <w:p>
            <w:pPr>
              <w:spacing w:after="0"/>
              <w:rPr>
                <w:sz w:val="20"/>
                <w:szCs w:val="20"/>
                <w:color w:val="auto"/>
              </w:rPr>
            </w:pPr>
            <w:r>
              <w:rPr>
                <w:rFonts w:ascii="Arial" w:cs="Arial" w:eastAsia="Arial" w:hAnsi="Arial"/>
                <w:sz w:val="18"/>
                <w:szCs w:val="18"/>
                <w:b w:val="1"/>
                <w:bCs w:val="1"/>
                <w:color w:val="auto"/>
                <w:w w:val="99"/>
              </w:rPr>
              <w:t>Amortization, Accretion and Other Expenses for Landfills Included in Operating Groups: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2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98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tcPr>
          <w:p>
            <w:pPr>
              <w:ind w:left="340"/>
              <w:spacing w:after="0"/>
              <w:rPr>
                <w:sz w:val="20"/>
                <w:szCs w:val="20"/>
                <w:color w:val="auto"/>
              </w:rPr>
            </w:pPr>
            <w:r>
              <w:rPr>
                <w:rFonts w:ascii="Arial" w:cs="Arial" w:eastAsia="Arial" w:hAnsi="Arial"/>
                <w:sz w:val="18"/>
                <w:szCs w:val="18"/>
                <w:color w:val="auto"/>
              </w:rPr>
              <w:t>Cost basis of landfill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88.6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87.9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Asset retirement costs</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5"/>
          </w:tcPr>
          <w:p>
            <w:pPr>
              <w:ind w:left="700"/>
              <w:spacing w:after="0"/>
              <w:rPr>
                <w:sz w:val="20"/>
                <w:szCs w:val="20"/>
                <w:color w:val="auto"/>
              </w:rPr>
            </w:pPr>
            <w:r>
              <w:rPr>
                <w:rFonts w:ascii="Arial" w:cs="Arial" w:eastAsia="Arial" w:hAnsi="Arial"/>
                <w:sz w:val="18"/>
                <w:szCs w:val="18"/>
                <w:color w:val="auto"/>
              </w:rPr>
              <w:t>Total landfill amortization expense</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5"/>
          </w:tcPr>
          <w:p>
            <w:pPr>
              <w:ind w:left="340"/>
              <w:spacing w:after="0"/>
              <w:rPr>
                <w:sz w:val="20"/>
                <w:szCs w:val="20"/>
                <w:color w:val="auto"/>
              </w:rPr>
            </w:pPr>
            <w:r>
              <w:rPr>
                <w:rFonts w:ascii="Arial" w:cs="Arial" w:eastAsia="Arial" w:hAnsi="Arial"/>
                <w:sz w:val="18"/>
                <w:szCs w:val="18"/>
                <w:color w:val="auto"/>
              </w:rPr>
              <w:t>Landfill amortization, accretion and other related expense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except for Cash paid for acquisitions, which may include cash payments for business acquisitions consummated in prior quarters.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ectPr>
          <w:pgSz w:w="11900" w:h="16838" w:orient="portrait"/>
          <w:cols w:equalWidth="0" w:num="1">
            <w:col w:w="11420"/>
          </w:cols>
          <w:pgMar w:left="240" w:top="27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Quarter Ended</w:t>
      </w:r>
    </w:p>
    <w:p>
      <w:pPr>
        <w:ind w:left="9040"/>
        <w:spacing w:after="0" w:line="236" w:lineRule="auto"/>
        <w:rPr>
          <w:sz w:val="20"/>
          <w:szCs w:val="20"/>
          <w:color w:val="auto"/>
        </w:rPr>
      </w:pPr>
      <w:r>
        <w:rPr>
          <w:rFonts w:ascii="Arial" w:cs="Arial" w:eastAsia="Arial" w:hAnsi="Arial"/>
          <w:sz w:val="14"/>
          <w:szCs w:val="14"/>
          <w:b w:val="1"/>
          <w:bCs w:val="1"/>
          <w:color w:val="auto"/>
        </w:rPr>
        <w:t>September 30, 2014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6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After-tax</w:t>
            </w:r>
          </w:p>
        </w:tc>
        <w:tc>
          <w:tcPr>
            <w:tcW w:w="1260" w:type="dxa"/>
            <w:vAlign w:val="bottom"/>
            <w:gridSpan w:val="2"/>
          </w:tcPr>
          <w:p>
            <w:pPr>
              <w:jc w:val="center"/>
              <w:ind w:right="580"/>
              <w:spacing w:after="0" w:line="100" w:lineRule="exact"/>
              <w:rPr>
                <w:sz w:val="20"/>
                <w:szCs w:val="20"/>
                <w:color w:val="auto"/>
              </w:rPr>
            </w:pPr>
            <w:r>
              <w:rPr>
                <w:rFonts w:ascii="Arial" w:cs="Arial" w:eastAsia="Arial" w:hAnsi="Arial"/>
                <w:sz w:val="11"/>
                <w:szCs w:val="11"/>
                <w:b w:val="1"/>
                <w:bCs w:val="1"/>
                <w:color w:val="auto"/>
              </w:rPr>
              <w:t>Tax</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49"/>
        </w:trPr>
        <w:tc>
          <w:tcPr>
            <w:tcW w:w="68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Net Income and Earnings Per Diluted Share</w:t>
            </w:r>
          </w:p>
        </w:tc>
        <w:tc>
          <w:tcPr>
            <w:tcW w:w="12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(Expense) /</w:t>
            </w: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8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Benefit</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 and Diluted EPS, as reported</w:t>
            </w: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0.58</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880" w:type="dxa"/>
            <w:vAlign w:val="bottom"/>
          </w:tcPr>
          <w:p>
            <w:pPr>
              <w:ind w:left="360"/>
              <w:spacing w:after="0"/>
              <w:rPr>
                <w:sz w:val="20"/>
                <w:szCs w:val="20"/>
                <w:color w:val="auto"/>
              </w:rPr>
            </w:pPr>
            <w:r>
              <w:rPr>
                <w:rFonts w:ascii="Arial" w:cs="Arial" w:eastAsia="Arial" w:hAnsi="Arial"/>
                <w:sz w:val="18"/>
                <w:szCs w:val="18"/>
                <w:b w:val="1"/>
                <w:bCs w:val="1"/>
                <w:color w:val="auto"/>
              </w:rPr>
              <w:t>Adjustments to Net Income and Diluted EPS:</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Restructuring charges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720"/>
              <w:spacing w:after="0"/>
              <w:rPr>
                <w:sz w:val="20"/>
                <w:szCs w:val="20"/>
                <w:color w:val="auto"/>
              </w:rPr>
            </w:pPr>
            <w:r>
              <w:rPr>
                <w:rFonts w:ascii="Arial" w:cs="Arial" w:eastAsia="Arial" w:hAnsi="Arial"/>
                <w:sz w:val="18"/>
                <w:szCs w:val="18"/>
                <w:color w:val="auto"/>
              </w:rPr>
              <w:t>Legal reserves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29</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(Income) from divestitures, asset impairments and unusual items </w:t>
            </w:r>
            <w:r>
              <w:rPr>
                <w:rFonts w:ascii="Arial" w:cs="Arial" w:eastAsia="Arial" w:hAnsi="Arial"/>
                <w:sz w:val="18"/>
                <w:szCs w:val="18"/>
                <w:b w:val="1"/>
                <w:bCs w:val="1"/>
                <w:color w:val="auto"/>
              </w:rPr>
              <w:t>(a)</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 and Diluted EPS, as adjusted</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8"/>
              </w:rPr>
              <w:t>0.72 (b)</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Income and Earnings Per Diluted Share</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Net Income and Diluted EPS,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Adjustments to Net Income and Diluted EPS:</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Asset impairments and unusual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6"/>
          <w:szCs w:val="16"/>
          <w:color w:val="auto"/>
        </w:rPr>
        <w:t>Partial withdrawal from multiemployer pension plan</w:t>
      </w:r>
    </w:p>
    <w:p>
      <w:pPr>
        <w:spacing w:after="0" w:line="3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20"/>
        <w:spacing w:after="0"/>
        <w:rPr>
          <w:sz w:val="20"/>
          <w:szCs w:val="20"/>
          <w:color w:val="auto"/>
        </w:rPr>
      </w:pPr>
      <w:r>
        <w:rPr>
          <w:rFonts w:ascii="Arial" w:cs="Arial" w:eastAsia="Arial" w:hAnsi="Arial"/>
          <w:sz w:val="14"/>
          <w:szCs w:val="14"/>
          <w:b w:val="1"/>
          <w:bCs w:val="1"/>
          <w:color w:val="auto"/>
        </w:rPr>
        <w:t>Quarter Ended</w:t>
      </w:r>
    </w:p>
    <w:p>
      <w:pPr>
        <w:ind w:left="920"/>
        <w:spacing w:after="0" w:line="236" w:lineRule="auto"/>
        <w:rPr>
          <w:sz w:val="20"/>
          <w:szCs w:val="20"/>
          <w:color w:val="auto"/>
        </w:rPr>
      </w:pPr>
      <w:r>
        <w:rPr>
          <w:rFonts w:ascii="Arial" w:cs="Arial" w:eastAsia="Arial" w:hAnsi="Arial"/>
          <w:sz w:val="14"/>
          <w:szCs w:val="14"/>
          <w:b w:val="1"/>
          <w:bCs w:val="1"/>
          <w:color w:val="auto"/>
        </w:rPr>
        <w:t>September 30, 2013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14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3"/>
              </w:rPr>
              <w:t>After-tax</w:t>
            </w:r>
          </w:p>
        </w:tc>
        <w:tc>
          <w:tcPr>
            <w:tcW w:w="1260" w:type="dxa"/>
            <w:vAlign w:val="bottom"/>
            <w:gridSpan w:val="2"/>
          </w:tcPr>
          <w:p>
            <w:pPr>
              <w:jc w:val="center"/>
              <w:ind w:right="580"/>
              <w:spacing w:after="0" w:line="100" w:lineRule="exact"/>
              <w:rPr>
                <w:sz w:val="20"/>
                <w:szCs w:val="20"/>
                <w:color w:val="auto"/>
              </w:rPr>
            </w:pPr>
            <w:r>
              <w:rPr>
                <w:rFonts w:ascii="Arial" w:cs="Arial" w:eastAsia="Arial" w:hAnsi="Arial"/>
                <w:sz w:val="11"/>
                <w:szCs w:val="11"/>
                <w:b w:val="1"/>
                <w:bCs w:val="1"/>
                <w:color w:val="auto"/>
              </w:rPr>
              <w:t>Tax</w:t>
            </w:r>
          </w:p>
        </w:tc>
        <w:tc>
          <w:tcPr>
            <w:tcW w:w="6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(Expense) /</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Benefit</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  291</w:t>
            </w:r>
          </w:p>
        </w:tc>
        <w:tc>
          <w:tcPr>
            <w:tcW w:w="5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  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400"/>
        <w:spacing w:after="0"/>
        <w:tabs>
          <w:tab w:leader="none" w:pos="17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7</w:t>
      </w:r>
    </w:p>
    <w:p>
      <w:pPr>
        <w:spacing w:after="0" w:line="23" w:lineRule="exact"/>
        <w:rPr>
          <w:sz w:val="20"/>
          <w:szCs w:val="20"/>
          <w:color w:val="auto"/>
        </w:rPr>
      </w:pPr>
    </w:p>
    <w:p>
      <w:pPr>
        <w:ind w:left="1760" w:hanging="1278"/>
        <w:spacing w:after="0"/>
        <w:tabs>
          <w:tab w:leader="none" w:pos="1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w:t>
      </w:r>
    </w:p>
    <w:p>
      <w:pPr>
        <w:spacing w:after="0" w:line="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2</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3600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5715</wp:posOffset>
            </wp:positionV>
            <wp:extent cx="3860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2" w:lineRule="exact"/>
        <w:rPr>
          <w:sz w:val="20"/>
          <w:szCs w:val="20"/>
          <w:color w:val="auto"/>
        </w:rPr>
      </w:pPr>
    </w:p>
    <w:p>
      <w:pPr>
        <w:jc w:val="both"/>
        <w:ind w:left="400"/>
        <w:spacing w:after="0"/>
        <w:tabs>
          <w:tab w:leader="none" w:pos="27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0.03</w:t>
      </w:r>
    </w:p>
    <w:p>
      <w:pPr>
        <w:spacing w:after="0" w:line="43" w:lineRule="exact"/>
        <w:rPr>
          <w:sz w:val="20"/>
          <w:szCs w:val="20"/>
          <w:color w:val="auto"/>
        </w:rPr>
      </w:pPr>
    </w:p>
    <w:p>
      <w:pPr>
        <w:sectPr>
          <w:pgSz w:w="11900" w:h="16838" w:orient="portrait"/>
          <w:cols w:equalWidth="0" w:num="2">
            <w:col w:w="7400" w:space="720"/>
            <w:col w:w="3300"/>
          </w:cols>
          <w:pgMar w:left="240" w:top="270"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8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3"/>
        </w:trPr>
        <w:tc>
          <w:tcPr>
            <w:tcW w:w="582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b w:val="1"/>
                <w:bCs w:val="1"/>
                <w:color w:val="auto"/>
              </w:rPr>
              <w:t>Net Income and Diluted EPS, as adjusted</w:t>
            </w:r>
          </w:p>
        </w:tc>
        <w:tc>
          <w:tcPr>
            <w:tcW w:w="2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  306</w:t>
            </w:r>
          </w:p>
        </w:tc>
        <w:tc>
          <w:tcPr>
            <w:tcW w:w="18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  0.65 (b)</w:t>
            </w:r>
          </w:p>
        </w:tc>
      </w:tr>
      <w:tr>
        <w:trPr>
          <w:trHeight w:val="20"/>
        </w:trPr>
        <w:tc>
          <w:tcPr>
            <w:tcW w:w="58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240" w:hanging="452"/>
        <w:spacing w:after="0" w:line="256" w:lineRule="auto"/>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Includes net charges reflected in: i) the “asset impairments and unusual items” financial caption, primarily related to the divestiture of certain landfill and collection operations in our Eastern Canada Area and ii) charges associated with certain of our investments in unconsolidated entities that are included in the “other, net” financial caption.</w:t>
      </w:r>
    </w:p>
    <w:p>
      <w:pPr>
        <w:ind w:left="460" w:right="240" w:hanging="452"/>
        <w:spacing w:after="0" w:line="261" w:lineRule="auto"/>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Adjusted earnings per diluted share increased more than 10% in the third quarter of 2014 as compared with adjusted results for the same period prior year.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w:t>
      </w:r>
    </w:p>
    <w:p>
      <w:pPr>
        <w:sectPr>
          <w:pgSz w:w="11900" w:h="16838" w:orient="portrait"/>
          <w:cols w:equalWidth="0" w:num="1">
            <w:col w:w="11420"/>
          </w:cols>
          <w:pgMar w:left="240" w:top="270"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71"/>
        </w:trPr>
        <w:tc>
          <w:tcPr>
            <w:tcW w:w="9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1"/>
              </w:rPr>
              <w:t>September 30, 2014</w:t>
            </w:r>
          </w:p>
        </w:tc>
        <w:tc>
          <w:tcPr>
            <w:tcW w:w="0" w:type="dxa"/>
            <w:vAlign w:val="bottom"/>
          </w:tcPr>
          <w:p>
            <w:pPr>
              <w:spacing w:after="0"/>
              <w:rPr>
                <w:sz w:val="1"/>
                <w:szCs w:val="1"/>
                <w:color w:val="auto"/>
              </w:rPr>
            </w:pPr>
          </w:p>
        </w:tc>
      </w:tr>
      <w:tr>
        <w:trPr>
          <w:trHeight w:val="119"/>
        </w:trPr>
        <w:tc>
          <w:tcPr>
            <w:tcW w:w="90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SG&amp;A Expenses as a percent of Revenues</w:t>
            </w:r>
          </w:p>
        </w:tc>
        <w:tc>
          <w:tcPr>
            <w:tcW w:w="130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As a % of</w:t>
            </w: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20" w:type="dxa"/>
            <w:vAlign w:val="bottom"/>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10"/>
        </w:trPr>
        <w:tc>
          <w:tcPr>
            <w:tcW w:w="90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revenues, as reported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3,602</w:t>
            </w:r>
          </w:p>
        </w:tc>
        <w:tc>
          <w:tcPr>
            <w:tcW w:w="7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20" w:type="dxa"/>
            <w:vAlign w:val="bottom"/>
          </w:tcPr>
          <w:p>
            <w:pPr>
              <w:ind w:left="360"/>
              <w:spacing w:after="0"/>
              <w:rPr>
                <w:sz w:val="20"/>
                <w:szCs w:val="20"/>
                <w:color w:val="auto"/>
              </w:rPr>
            </w:pPr>
            <w:r>
              <w:rPr>
                <w:rFonts w:ascii="Arial" w:cs="Arial" w:eastAsia="Arial" w:hAnsi="Arial"/>
                <w:sz w:val="18"/>
                <w:szCs w:val="18"/>
                <w:b w:val="1"/>
                <w:bCs w:val="1"/>
                <w:color w:val="auto"/>
              </w:rPr>
              <w:t>SG&amp;A expenses, as reported</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377</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10.5%</w:t>
            </w:r>
          </w:p>
        </w:tc>
        <w:tc>
          <w:tcPr>
            <w:tcW w:w="0" w:type="dxa"/>
            <w:vAlign w:val="bottom"/>
          </w:tcPr>
          <w:p>
            <w:pPr>
              <w:spacing w:after="0"/>
              <w:rPr>
                <w:sz w:val="1"/>
                <w:szCs w:val="1"/>
                <w:color w:val="auto"/>
              </w:rPr>
            </w:pPr>
          </w:p>
        </w:tc>
      </w:tr>
      <w:tr>
        <w:trPr>
          <w:trHeight w:val="108"/>
        </w:trPr>
        <w:tc>
          <w:tcPr>
            <w:tcW w:w="9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Adjustments to SG&amp;A expenses:</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tcPr>
          <w:p>
            <w:pPr>
              <w:ind w:left="720"/>
              <w:spacing w:after="0"/>
              <w:rPr>
                <w:sz w:val="20"/>
                <w:szCs w:val="20"/>
                <w:color w:val="auto"/>
              </w:rPr>
            </w:pPr>
            <w:r>
              <w:rPr>
                <w:rFonts w:ascii="Arial" w:cs="Arial" w:eastAsia="Arial" w:hAnsi="Arial"/>
                <w:sz w:val="18"/>
                <w:szCs w:val="18"/>
                <w:color w:val="auto"/>
              </w:rPr>
              <w:t>Legal reserves</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SG&amp;A expenses, as adjusted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346 (a)</w:t>
            </w: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9.6% (a)</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Full Year 2014 Free Cash Flow Reconciliation </w:t>
      </w:r>
      <w:r>
        <w:rPr>
          <w:rFonts w:ascii="Arial" w:cs="Arial" w:eastAsia="Arial" w:hAnsi="Arial"/>
          <w:sz w:val="18"/>
          <w:szCs w:val="18"/>
          <w:b w:val="1"/>
          <w:bCs w:val="1"/>
          <w:color w:val="auto"/>
        </w:rPr>
        <w:t>(b)</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Capital expenditures</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Proceeds from divestitures of businesses and other assets (net of cash divested)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80" w:hanging="170"/>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2,550</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6"/>
          <w:szCs w:val="16"/>
          <w:color w:val="auto"/>
        </w:rPr>
        <w:t>(1,300)</w:t>
      </w:r>
    </w:p>
    <w:p>
      <w:pPr>
        <w:spacing w:after="0" w:line="32"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3600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$ 1,550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34290</wp:posOffset>
            </wp:positionV>
            <wp:extent cx="3600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720"/>
            <w:col w:w="2400"/>
          </w:cols>
          <w:pgMar w:left="240" w:top="270" w:right="239" w:bottom="1440" w:gutter="0" w:footer="0" w:header="0"/>
          <w:type w:val="continuous"/>
        </w:sectPr>
      </w:pPr>
    </w:p>
    <w:p>
      <w:pPr>
        <w:spacing w:after="0" w:line="110" w:lineRule="exact"/>
        <w:rPr>
          <w:sz w:val="20"/>
          <w:szCs w:val="20"/>
          <w:color w:val="auto"/>
        </w:rPr>
      </w:pPr>
    </w:p>
    <w:p>
      <w:pPr>
        <w:ind w:left="460" w:right="220" w:hanging="452"/>
        <w:spacing w:after="0" w:line="258" w:lineRule="auto"/>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Adjusted SG&amp;A expenses declined $3 million and was flat as a percent of revenues at 9.6%, compared with as-reported results in the third quarter of 2013.</w:t>
      </w:r>
    </w:p>
    <w:p>
      <w:pPr>
        <w:spacing w:after="0" w:line="1" w:lineRule="exact"/>
        <w:rPr>
          <w:rFonts w:ascii="Arial" w:cs="Arial" w:eastAsia="Arial" w:hAnsi="Arial"/>
          <w:sz w:val="18"/>
          <w:szCs w:val="18"/>
          <w:b w:val="1"/>
          <w:bCs w:val="1"/>
          <w:color w:val="auto"/>
        </w:rPr>
      </w:pPr>
    </w:p>
    <w:p>
      <w:pPr>
        <w:ind w:left="460" w:right="60" w:hanging="452"/>
        <w:spacing w:after="0" w:line="255" w:lineRule="auto"/>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This reconciliation illustrates a scenario in which our projected free cash flow for 2014 could exceed the upper-end of our guidance of $1.5 billion. The amounts used in the reconciliation are subject to many variables, some of which are not under our control, and are not necessarily representative or indicative of full year results.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w:t>
      </w:r>
    </w:p>
    <w:sectPr>
      <w:pgSz w:w="11900" w:h="16838" w:orient="portrait"/>
      <w:cols w:equalWidth="0" w:num="1">
        <w:col w:w="11420"/>
      </w:cols>
      <w:pgMar w:left="240" w:top="27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3"/>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2019-12-06T01:00:44Z</dcterms:created>
  <dcterms:modified xsi:type="dcterms:W3CDTF">2019-12-06T01:00:44Z</dcterms:modified>
</cp:coreProperties>
</file>