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February 17,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00"/>
        <w:spacing w:after="0"/>
        <w:rPr>
          <w:sz w:val="20"/>
          <w:szCs w:val="20"/>
          <w:color w:val="auto"/>
        </w:rPr>
      </w:pPr>
      <w:r>
        <w:rPr>
          <w:rFonts w:ascii="Arial" w:cs="Arial" w:eastAsia="Arial" w:hAnsi="Arial"/>
          <w:sz w:val="16"/>
          <w:szCs w:val="16"/>
          <w:b w:val="1"/>
          <w:bCs w:val="1"/>
          <w:color w:val="auto"/>
        </w:rPr>
        <w:t>1-12154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73-1309529</w:t>
      </w:r>
    </w:p>
    <w:p>
      <w:pPr>
        <w:spacing w:after="0" w:line="31" w:lineRule="exact"/>
        <w:rPr>
          <w:sz w:val="24"/>
          <w:szCs w:val="24"/>
          <w:color w:val="auto"/>
        </w:rPr>
      </w:pPr>
    </w:p>
    <w:p>
      <w:pPr>
        <w:sectPr>
          <w:pgSz w:w="11900" w:h="16838" w:orient="portrait"/>
          <w:cols w:equalWidth="0" w:num="3">
            <w:col w:w="4820" w:space="720"/>
            <w:col w:w="2900" w:space="720"/>
            <w:col w:w="2140"/>
          </w:cols>
          <w:pgMar w:left="240" w:top="368" w:right="359" w:bottom="1440" w:gutter="0" w:footer="0" w:header="0"/>
          <w:type w:val="continuous"/>
        </w:sectPr>
      </w:pPr>
    </w:p>
    <w:p>
      <w:pPr>
        <w:spacing w:after="0" w:line="12" w:lineRule="exact"/>
        <w:rPr>
          <w:sz w:val="24"/>
          <w:szCs w:val="24"/>
          <w:color w:val="auto"/>
        </w:r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Arial" w:cs="Arial" w:eastAsia="Arial" w:hAnsi="Arial"/>
          <w:sz w:val="14"/>
          <w:szCs w:val="14"/>
          <w:b w:val="1"/>
          <w:bCs w:val="1"/>
          <w:color w:val="auto"/>
        </w:rPr>
        <w:t>(IRS Employer</w:t>
      </w:r>
    </w:p>
    <w:p>
      <w:pPr>
        <w:jc w:val="center"/>
        <w:ind w:right="11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33" w:lineRule="exact"/>
        <w:rPr>
          <w:sz w:val="24"/>
          <w:szCs w:val="24"/>
          <w:color w:val="auto"/>
        </w:rPr>
      </w:pPr>
    </w:p>
    <w:p>
      <w:pPr>
        <w:ind w:left="1360"/>
        <w:spacing w:after="0"/>
        <w:rPr>
          <w:sz w:val="20"/>
          <w:szCs w:val="20"/>
          <w:color w:val="auto"/>
        </w:rPr>
      </w:pPr>
      <w:r>
        <w:rPr>
          <w:rFonts w:ascii="Arial" w:cs="Arial" w:eastAsia="Arial" w:hAnsi="Arial"/>
          <w:sz w:val="16"/>
          <w:szCs w:val="16"/>
          <w:b w:val="1"/>
          <w:bCs w:val="1"/>
          <w:color w:val="auto"/>
        </w:rPr>
        <w:t>1001 Fannin, Suite 4000 Houston, Texas</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77002</w:t>
      </w:r>
    </w:p>
    <w:p>
      <w:pPr>
        <w:spacing w:after="0" w:line="50" w:lineRule="exact"/>
        <w:rPr>
          <w:sz w:val="24"/>
          <w:szCs w:val="24"/>
          <w:color w:val="auto"/>
        </w:rPr>
      </w:pPr>
    </w:p>
    <w:p>
      <w:pPr>
        <w:sectPr>
          <w:pgSz w:w="11900" w:h="16838" w:orient="portrait"/>
          <w:cols w:equalWidth="0" w:num="2">
            <w:col w:w="7700" w:space="720"/>
            <w:col w:w="2880"/>
          </w:cols>
          <w:pgMar w:left="240" w:top="368" w:right="359" w:bottom="1440" w:gutter="0" w:footer="0" w:header="0"/>
          <w:type w:val="continuous"/>
        </w:sectPr>
      </w:pPr>
    </w:p>
    <w:p>
      <w:pPr>
        <w:ind w:left="166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600" w:space="720"/>
            <w:col w:w="2980"/>
          </w:cols>
          <w:pgMar w:left="240" w:top="368" w:right="35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(713) 512-6200</w:t>
      </w:r>
    </w:p>
    <w:p>
      <w:pPr>
        <w:spacing w:after="0" w:line="200" w:lineRule="exact"/>
        <w:rPr>
          <w:sz w:val="24"/>
          <w:szCs w:val="24"/>
          <w:color w:val="auto"/>
        </w:rPr>
      </w:pPr>
    </w:p>
    <w:p>
      <w:pPr>
        <w:spacing w:after="0" w:line="264"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238125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12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Waste Management, Inc. (the “Company”) issued a press release this morning announcing its financial results for the fourth quarter and full year ended December 31, 2014, a copy of which is attached hereto as Exhibit 99.1. The Company is holding a conference call to discuss these results beginning at 9:00 a.m. Central Time this morning. The call will be webcast live and may be heard by accessing the Investor Relations section of the Company’s website at www.wm.com. The call may also be heard by dialing (877) 710-6139 and entering access code 64356817. To access a replay telephonically, please dial (855) 859-2056 and use the replay conference ID number 64356817.</w:t>
      </w:r>
    </w:p>
    <w:p>
      <w:pPr>
        <w:spacing w:after="0" w:line="188" w:lineRule="exact"/>
        <w:rPr>
          <w:sz w:val="20"/>
          <w:szCs w:val="20"/>
          <w:color w:val="auto"/>
        </w:rPr>
      </w:pPr>
    </w:p>
    <w:p>
      <w:pPr>
        <w:jc w:val="both"/>
        <w:ind w:right="560" w:firstLine="456"/>
        <w:spacing w:after="0" w:line="264" w:lineRule="auto"/>
        <w:rPr>
          <w:sz w:val="20"/>
          <w:szCs w:val="20"/>
          <w:color w:val="auto"/>
        </w:rPr>
      </w:pPr>
      <w:r>
        <w:rPr>
          <w:rFonts w:ascii="Arial" w:cs="Arial" w:eastAsia="Arial" w:hAnsi="Arial"/>
          <w:sz w:val="18"/>
          <w:szCs w:val="18"/>
          <w:color w:val="auto"/>
        </w:rPr>
        <w:t>On the call, management of the Company is expected to discuss certain non-GAAP financial measures that are included in the Company’s press release. The Company has provided information regarding its use of the non-GAAP measures contained in its press release and reconciliations of such measures to their most comparable GAAP measures.</w:t>
      </w:r>
    </w:p>
    <w:p>
      <w:pPr>
        <w:spacing w:after="0" w:line="18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In addition to the non-GAAP measures contained and reconciled in the press release, management is also expected to discuss adjusted income from operations, adjusted income from operations as a percent of revenue, adjusted operating EBITDA, adjusted operating EBITDA as a percent of revenue, further adjusted full year SG&amp;A expenses, and further adjusted full year SG&amp;A expenses as a percent of revenues. Each of these non-GAAP measures excludes certain items noted in the table below. Management believes these non-GAAP measures are helpful to investors evaluating the Company’s performance because certain non-cash costs and other items that management believes are not representative of our performance or indicative of our results of operations are excluded. Reconciliations of these non-GAAP measures to the most comparable GAAP measures are shown below.</w:t>
      </w:r>
    </w:p>
    <w:p>
      <w:pPr>
        <w:spacing w:after="0" w:line="165" w:lineRule="exact"/>
        <w:rPr>
          <w:sz w:val="20"/>
          <w:szCs w:val="20"/>
          <w:color w:val="auto"/>
        </w:rPr>
      </w:pPr>
    </w:p>
    <w:p>
      <w:pPr>
        <w:ind w:right="220" w:firstLine="456"/>
        <w:spacing w:after="0" w:line="302" w:lineRule="auto"/>
        <w:rPr>
          <w:sz w:val="20"/>
          <w:szCs w:val="20"/>
          <w:color w:val="auto"/>
        </w:rPr>
      </w:pPr>
      <w:r>
        <w:rPr>
          <w:rFonts w:ascii="Arial" w:cs="Arial" w:eastAsia="Arial" w:hAnsi="Arial"/>
          <w:sz w:val="16"/>
          <w:szCs w:val="16"/>
          <w:color w:val="auto"/>
        </w:rPr>
        <w:t>The Company defines operating EBITDA as income from operations before depreciation and amortization; this measure may not be comparable to similarly titled measures reported by other companies. Management uses this non-GAAP measure as an indicator of the Company’s operating performance and ability to pay dividends, fund acquisitions, capital expenditures and other investments and, in the absence of refinancing, to repay debt obligations. Adjusted operating EBTIDA should not be considered an alternative to net income, income from operations or net cash provided by operating activities.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0"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Reconciliation of Non-GAAP Measures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420"/>
          </w:cols>
          <w:pgMar w:left="240" w:top="270" w:right="239" w:bottom="1440" w:gutter="0" w:footer="0" w:header="0"/>
        </w:sectPr>
      </w:pPr>
    </w:p>
    <w:p>
      <w:pPr>
        <w:spacing w:after="0" w:line="229" w:lineRule="exact"/>
        <w:rPr>
          <w:sz w:val="20"/>
          <w:szCs w:val="20"/>
          <w:color w:val="auto"/>
        </w:rPr>
      </w:pPr>
    </w:p>
    <w:p>
      <w:pPr>
        <w:jc w:val="center"/>
        <w:ind w:left="6460"/>
        <w:spacing w:after="0"/>
        <w:rPr>
          <w:sz w:val="20"/>
          <w:szCs w:val="20"/>
          <w:color w:val="auto"/>
        </w:rPr>
      </w:pPr>
      <w:r>
        <w:rPr>
          <w:rFonts w:ascii="Arial" w:cs="Arial" w:eastAsia="Arial" w:hAnsi="Arial"/>
          <w:sz w:val="14"/>
          <w:szCs w:val="14"/>
          <w:b w:val="1"/>
          <w:bCs w:val="1"/>
          <w:color w:val="auto"/>
        </w:rPr>
        <w:t>Quarter Ended</w:t>
      </w:r>
    </w:p>
    <w:p>
      <w:pPr>
        <w:spacing w:after="0" w:line="4" w:lineRule="exact"/>
        <w:rPr>
          <w:sz w:val="20"/>
          <w:szCs w:val="20"/>
          <w:color w:val="auto"/>
        </w:rPr>
      </w:pPr>
    </w:p>
    <w:p>
      <w:pPr>
        <w:jc w:val="center"/>
        <w:ind w:left="6460"/>
        <w:spacing w:after="0"/>
        <w:rPr>
          <w:sz w:val="20"/>
          <w:szCs w:val="20"/>
          <w:color w:val="auto"/>
        </w:rPr>
      </w:pPr>
      <w:r>
        <w:rPr>
          <w:rFonts w:ascii="Arial" w:cs="Arial" w:eastAsia="Arial" w:hAnsi="Arial"/>
          <w:sz w:val="12"/>
          <w:szCs w:val="12"/>
          <w:b w:val="1"/>
          <w:bCs w:val="1"/>
          <w:color w:val="auto"/>
        </w:rPr>
        <w:t>December 31, 2014</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ind w:right="720"/>
        <w:spacing w:after="0"/>
        <w:rPr>
          <w:sz w:val="20"/>
          <w:szCs w:val="20"/>
          <w:color w:val="auto"/>
        </w:rPr>
      </w:pPr>
      <w:r>
        <w:rPr>
          <w:rFonts w:ascii="Arial" w:cs="Arial" w:eastAsia="Arial" w:hAnsi="Arial"/>
          <w:sz w:val="14"/>
          <w:szCs w:val="14"/>
          <w:b w:val="1"/>
          <w:bCs w:val="1"/>
          <w:color w:val="auto"/>
        </w:rPr>
        <w:t>Quarter Ended</w:t>
      </w:r>
    </w:p>
    <w:p>
      <w:pPr>
        <w:spacing w:after="0" w:line="4" w:lineRule="exact"/>
        <w:rPr>
          <w:sz w:val="20"/>
          <w:szCs w:val="20"/>
          <w:color w:val="auto"/>
        </w:rPr>
      </w:pPr>
    </w:p>
    <w:p>
      <w:pPr>
        <w:jc w:val="center"/>
        <w:ind w:right="720"/>
        <w:spacing w:after="0"/>
        <w:rPr>
          <w:sz w:val="20"/>
          <w:szCs w:val="20"/>
          <w:color w:val="auto"/>
        </w:rPr>
      </w:pPr>
      <w:r>
        <w:rPr>
          <w:rFonts w:ascii="Arial" w:cs="Arial" w:eastAsia="Arial" w:hAnsi="Arial"/>
          <w:sz w:val="12"/>
          <w:szCs w:val="12"/>
          <w:b w:val="1"/>
          <w:bCs w:val="1"/>
          <w:color w:val="auto"/>
        </w:rPr>
        <w:t>December 31, 2013</w:t>
      </w:r>
    </w:p>
    <w:p>
      <w:pPr>
        <w:spacing w:after="0" w:line="12" w:lineRule="exact"/>
        <w:rPr>
          <w:sz w:val="20"/>
          <w:szCs w:val="20"/>
          <w:color w:val="auto"/>
        </w:rPr>
      </w:pPr>
    </w:p>
    <w:p>
      <w:pPr>
        <w:sectPr>
          <w:pgSz w:w="11900" w:h="16838" w:orient="portrait"/>
          <w:cols w:equalWidth="0" w:num="2">
            <w:col w:w="8820" w:space="720"/>
            <w:col w:w="1880"/>
          </w:cols>
          <w:pgMar w:left="240" w:top="270" w:right="239" w:bottom="1440" w:gutter="0" w:footer="0" w:header="0"/>
          <w:type w:val="continuous"/>
        </w:sectPr>
      </w:pPr>
    </w:p>
    <w:tbl>
      <w:tblPr>
        <w:tblLayout w:type="fixed"/>
        <w:tblInd w:w="0" w:type="dxa"/>
        <w:tblCellMar>
          <w:top w:w="0" w:type="dxa"/>
          <w:left w:w="0" w:type="dxa"/>
          <w:bottom w:w="0" w:type="dxa"/>
          <w:right w:w="0" w:type="dxa"/>
        </w:tblCellMar>
      </w:tblPr>
      <w:tr>
        <w:trPr>
          <w:trHeight w:val="60"/>
        </w:trPr>
        <w:tc>
          <w:tcPr>
            <w:tcW w:w="680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Adjusted Income from Operations and Adjusted Operating</w:t>
            </w:r>
          </w:p>
        </w:tc>
        <w:tc>
          <w:tcPr>
            <w:tcW w:w="140" w:type="dxa"/>
            <w:vAlign w:val="bottom"/>
            <w:shd w:val="clear" w:color="auto" w:fill="000000"/>
          </w:tcPr>
          <w:p>
            <w:pPr>
              <w:spacing w:after="0"/>
              <w:rPr>
                <w:sz w:val="5"/>
                <w:szCs w:val="5"/>
                <w:color w:val="auto"/>
              </w:rPr>
            </w:pPr>
          </w:p>
        </w:tc>
        <w:tc>
          <w:tcPr>
            <w:tcW w:w="4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440" w:type="dxa"/>
            <w:vAlign w:val="bottom"/>
            <w:shd w:val="clear" w:color="auto" w:fill="000000"/>
          </w:tcPr>
          <w:p>
            <w:pPr>
              <w:spacing w:after="0"/>
              <w:rPr>
                <w:sz w:val="5"/>
                <w:szCs w:val="5"/>
                <w:color w:val="auto"/>
              </w:rPr>
            </w:pPr>
          </w:p>
        </w:tc>
        <w:tc>
          <w:tcPr>
            <w:tcW w:w="600" w:type="dxa"/>
            <w:vAlign w:val="bottom"/>
            <w:shd w:val="clear" w:color="auto" w:fill="000000"/>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460" w:type="dxa"/>
            <w:vAlign w:val="bottom"/>
            <w:shd w:val="clear" w:color="auto" w:fill="000000"/>
          </w:tcPr>
          <w:p>
            <w:pPr>
              <w:spacing w:after="0"/>
              <w:rPr>
                <w:sz w:val="5"/>
                <w:szCs w:val="5"/>
                <w:color w:val="auto"/>
              </w:rPr>
            </w:pPr>
          </w:p>
        </w:tc>
        <w:tc>
          <w:tcPr>
            <w:tcW w:w="460" w:type="dxa"/>
            <w:vAlign w:val="bottom"/>
            <w:shd w:val="clear" w:color="auto" w:fill="000000"/>
          </w:tcPr>
          <w:p>
            <w:pPr>
              <w:spacing w:after="0"/>
              <w:rPr>
                <w:sz w:val="5"/>
                <w:szCs w:val="5"/>
                <w:color w:val="auto"/>
              </w:rPr>
            </w:pPr>
          </w:p>
        </w:tc>
        <w:tc>
          <w:tcPr>
            <w:tcW w:w="600" w:type="dxa"/>
            <w:vAlign w:val="bottom"/>
            <w:shd w:val="clear" w:color="auto" w:fill="000000"/>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68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 a % of</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 a % of</w:t>
            </w:r>
          </w:p>
        </w:tc>
        <w:tc>
          <w:tcPr>
            <w:tcW w:w="0" w:type="dxa"/>
            <w:vAlign w:val="bottom"/>
          </w:tcPr>
          <w:p>
            <w:pPr>
              <w:spacing w:after="0"/>
              <w:rPr>
                <w:sz w:val="1"/>
                <w:szCs w:val="1"/>
                <w:color w:val="auto"/>
              </w:rPr>
            </w:pPr>
          </w:p>
        </w:tc>
      </w:tr>
      <w:tr>
        <w:trPr>
          <w:trHeight w:val="73"/>
        </w:trPr>
        <w:tc>
          <w:tcPr>
            <w:tcW w:w="680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EBITDA as a Percent of Revenues</w:t>
            </w:r>
          </w:p>
        </w:tc>
        <w:tc>
          <w:tcPr>
            <w:tcW w:w="1060" w:type="dxa"/>
            <w:vAlign w:val="bottom"/>
            <w:gridSpan w:val="4"/>
            <w:vMerge w:val="restart"/>
          </w:tcPr>
          <w:p>
            <w:pPr>
              <w:jc w:val="right"/>
              <w:ind w:right="500"/>
              <w:spacing w:after="0"/>
              <w:rPr>
                <w:sz w:val="20"/>
                <w:szCs w:val="20"/>
                <w:color w:val="auto"/>
              </w:rPr>
            </w:pPr>
            <w:r>
              <w:rPr>
                <w:rFonts w:ascii="Arial" w:cs="Arial" w:eastAsia="Arial" w:hAnsi="Arial"/>
                <w:sz w:val="14"/>
                <w:szCs w:val="14"/>
                <w:b w:val="1"/>
                <w:bCs w:val="1"/>
                <w:color w:val="auto"/>
              </w:rPr>
              <w:t>Amount</w:t>
            </w:r>
          </w:p>
        </w:tc>
        <w:tc>
          <w:tcPr>
            <w:tcW w:w="1420" w:type="dxa"/>
            <w:vAlign w:val="bottom"/>
            <w:gridSpan w:val="2"/>
            <w:vMerge w:val="continue"/>
          </w:tcPr>
          <w:p>
            <w:pPr>
              <w:spacing w:after="0"/>
              <w:rPr>
                <w:sz w:val="6"/>
                <w:szCs w:val="6"/>
                <w:color w:val="auto"/>
              </w:rPr>
            </w:pPr>
          </w:p>
        </w:tc>
        <w:tc>
          <w:tcPr>
            <w:tcW w:w="1060" w:type="dxa"/>
            <w:vAlign w:val="bottom"/>
            <w:gridSpan w:val="3"/>
            <w:vMerge w:val="restart"/>
          </w:tcPr>
          <w:p>
            <w:pPr>
              <w:jc w:val="right"/>
              <w:ind w:right="500"/>
              <w:spacing w:after="0"/>
              <w:rPr>
                <w:sz w:val="20"/>
                <w:szCs w:val="20"/>
                <w:color w:val="auto"/>
              </w:rPr>
            </w:pPr>
            <w:r>
              <w:rPr>
                <w:rFonts w:ascii="Arial" w:cs="Arial" w:eastAsia="Arial" w:hAnsi="Arial"/>
                <w:sz w:val="14"/>
                <w:szCs w:val="14"/>
                <w:b w:val="1"/>
                <w:bCs w:val="1"/>
                <w:color w:val="auto"/>
              </w:rPr>
              <w:t>Amount</w:t>
            </w:r>
          </w:p>
        </w:tc>
        <w:tc>
          <w:tcPr>
            <w:tcW w:w="10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800" w:type="dxa"/>
            <w:vAlign w:val="bottom"/>
            <w:gridSpan w:val="2"/>
            <w:vMerge w:val="continue"/>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142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1060" w:type="dxa"/>
            <w:vAlign w:val="bottom"/>
            <w:gridSpan w:val="3"/>
            <w:vMerge w:val="continue"/>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78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 as reported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3,437</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w w:val="97"/>
              </w:rPr>
              <w:t>3,500</w:t>
            </w: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b w:val="1"/>
                <w:bCs w:val="1"/>
                <w:color w:val="auto"/>
              </w:rPr>
              <w:t>Income from operations, as reported</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752</w:t>
            </w:r>
          </w:p>
        </w:tc>
        <w:tc>
          <w:tcPr>
            <w:tcW w:w="440" w:type="dxa"/>
            <w:vAlign w:val="bottom"/>
          </w:tcPr>
          <w:p>
            <w:pPr>
              <w:spacing w:after="0"/>
              <w:rPr>
                <w:sz w:val="18"/>
                <w:szCs w:val="18"/>
                <w:color w:val="auto"/>
              </w:rPr>
            </w:pPr>
          </w:p>
        </w:tc>
        <w:tc>
          <w:tcPr>
            <w:tcW w:w="1420" w:type="dxa"/>
            <w:vAlign w:val="bottom"/>
            <w:gridSpan w:val="2"/>
          </w:tcPr>
          <w:p>
            <w:pPr>
              <w:ind w:left="280"/>
              <w:spacing w:after="0"/>
              <w:rPr>
                <w:sz w:val="20"/>
                <w:szCs w:val="20"/>
                <w:color w:val="auto"/>
              </w:rPr>
            </w:pPr>
            <w:r>
              <w:rPr>
                <w:rFonts w:ascii="Arial" w:cs="Arial" w:eastAsia="Arial" w:hAnsi="Arial"/>
                <w:sz w:val="18"/>
                <w:szCs w:val="18"/>
                <w:b w:val="1"/>
                <w:bCs w:val="1"/>
                <w:color w:val="auto"/>
              </w:rPr>
              <w:t>21.9%</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(410)</w:t>
            </w: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income from operations</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340"/>
              <w:spacing w:after="0"/>
              <w:rPr>
                <w:sz w:val="20"/>
                <w:szCs w:val="20"/>
                <w:color w:val="auto"/>
              </w:rPr>
            </w:pPr>
            <w:r>
              <w:rPr>
                <w:rFonts w:ascii="Arial" w:cs="Arial" w:eastAsia="Arial" w:hAnsi="Arial"/>
                <w:sz w:val="18"/>
                <w:szCs w:val="18"/>
                <w:color w:val="auto"/>
              </w:rPr>
              <w:t>Gain on sale of waste-to-energy business</w:t>
            </w:r>
          </w:p>
        </w:tc>
        <w:tc>
          <w:tcPr>
            <w:tcW w:w="140" w:type="dxa"/>
            <w:vAlign w:val="bottom"/>
          </w:tcPr>
          <w:p>
            <w:pPr>
              <w:spacing w:after="0"/>
              <w:rPr>
                <w:sz w:val="18"/>
                <w:szCs w:val="18"/>
                <w:color w:val="auto"/>
              </w:rPr>
            </w:pPr>
          </w:p>
        </w:tc>
        <w:tc>
          <w:tcPr>
            <w:tcW w:w="920" w:type="dxa"/>
            <w:vAlign w:val="bottom"/>
            <w:gridSpan w:val="3"/>
          </w:tcPr>
          <w:p>
            <w:pPr>
              <w:jc w:val="right"/>
              <w:ind w:right="400"/>
              <w:spacing w:after="0"/>
              <w:rPr>
                <w:sz w:val="20"/>
                <w:szCs w:val="20"/>
                <w:color w:val="auto"/>
              </w:rPr>
            </w:pPr>
            <w:r>
              <w:rPr>
                <w:rFonts w:ascii="Arial" w:cs="Arial" w:eastAsia="Arial" w:hAnsi="Arial"/>
                <w:sz w:val="18"/>
                <w:szCs w:val="18"/>
                <w:color w:val="auto"/>
              </w:rPr>
              <w:t>(519)</w:t>
            </w: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Asset impairments</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338</w:t>
            </w: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935</w:t>
            </w: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340"/>
              <w:spacing w:after="0"/>
              <w:rPr>
                <w:sz w:val="20"/>
                <w:szCs w:val="20"/>
                <w:color w:val="auto"/>
              </w:rPr>
            </w:pPr>
            <w:r>
              <w:rPr>
                <w:rFonts w:ascii="Arial" w:cs="Arial" w:eastAsia="Arial" w:hAnsi="Arial"/>
                <w:sz w:val="18"/>
                <w:szCs w:val="18"/>
                <w:color w:val="auto"/>
              </w:rPr>
              <w:t>Restructuring</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5</w:t>
            </w: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(168)</w:t>
            </w: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940</w:t>
            </w: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00" w:type="dxa"/>
            <w:vAlign w:val="bottom"/>
            <w:gridSpan w:val="2"/>
          </w:tcPr>
          <w:p>
            <w:pPr>
              <w:spacing w:after="0"/>
              <w:rPr>
                <w:sz w:val="20"/>
                <w:szCs w:val="20"/>
                <w:color w:val="auto"/>
              </w:rPr>
            </w:pPr>
            <w:r>
              <w:rPr>
                <w:rFonts w:ascii="Arial" w:cs="Arial" w:eastAsia="Arial" w:hAnsi="Arial"/>
                <w:sz w:val="18"/>
                <w:szCs w:val="18"/>
                <w:b w:val="1"/>
                <w:bCs w:val="1"/>
                <w:color w:val="auto"/>
              </w:rPr>
              <w:t>Adjusted income from operations (a)</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584</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gridSpan w:val="2"/>
          </w:tcPr>
          <w:p>
            <w:pPr>
              <w:ind w:left="280"/>
              <w:spacing w:after="0"/>
              <w:rPr>
                <w:sz w:val="20"/>
                <w:szCs w:val="20"/>
                <w:color w:val="auto"/>
              </w:rPr>
            </w:pPr>
            <w:r>
              <w:rPr>
                <w:rFonts w:ascii="Arial" w:cs="Arial" w:eastAsia="Arial" w:hAnsi="Arial"/>
                <w:sz w:val="18"/>
                <w:szCs w:val="18"/>
                <w:b w:val="1"/>
                <w:bCs w:val="1"/>
                <w:color w:val="auto"/>
              </w:rPr>
              <w:t>17.0%</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530</w:t>
            </w:r>
          </w:p>
        </w:tc>
        <w:tc>
          <w:tcPr>
            <w:tcW w:w="460" w:type="dxa"/>
            <w:vAlign w:val="bottom"/>
          </w:tcPr>
          <w:p>
            <w:pPr>
              <w:spacing w:after="0"/>
              <w:rPr>
                <w:sz w:val="19"/>
                <w:szCs w:val="19"/>
                <w:color w:val="auto"/>
              </w:rPr>
            </w:pPr>
          </w:p>
        </w:tc>
        <w:tc>
          <w:tcPr>
            <w:tcW w:w="1080" w:type="dxa"/>
            <w:vAlign w:val="bottom"/>
            <w:gridSpan w:val="2"/>
          </w:tcPr>
          <w:p>
            <w:pPr>
              <w:ind w:left="300"/>
              <w:spacing w:after="0"/>
              <w:rPr>
                <w:sz w:val="20"/>
                <w:szCs w:val="20"/>
                <w:color w:val="auto"/>
              </w:rPr>
            </w:pPr>
            <w:r>
              <w:rPr>
                <w:rFonts w:ascii="Arial" w:cs="Arial" w:eastAsia="Arial" w:hAnsi="Arial"/>
                <w:sz w:val="18"/>
                <w:szCs w:val="18"/>
                <w:b w:val="1"/>
                <w:bCs w:val="1"/>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307</w:t>
            </w: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327</w:t>
            </w: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00" w:type="dxa"/>
            <w:vAlign w:val="bottom"/>
            <w:gridSpan w:val="2"/>
          </w:tcPr>
          <w:p>
            <w:pPr>
              <w:spacing w:after="0"/>
              <w:rPr>
                <w:sz w:val="20"/>
                <w:szCs w:val="20"/>
                <w:color w:val="auto"/>
              </w:rPr>
            </w:pPr>
            <w:r>
              <w:rPr>
                <w:rFonts w:ascii="Arial" w:cs="Arial" w:eastAsia="Arial" w:hAnsi="Arial"/>
                <w:sz w:val="18"/>
                <w:szCs w:val="18"/>
                <w:b w:val="1"/>
                <w:bCs w:val="1"/>
                <w:color w:val="auto"/>
              </w:rPr>
              <w:t>Adjusted operating EBITDA (b)</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891</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gridSpan w:val="2"/>
          </w:tcPr>
          <w:p>
            <w:pPr>
              <w:ind w:left="280"/>
              <w:spacing w:after="0"/>
              <w:rPr>
                <w:sz w:val="20"/>
                <w:szCs w:val="20"/>
                <w:color w:val="auto"/>
              </w:rPr>
            </w:pPr>
            <w:r>
              <w:rPr>
                <w:rFonts w:ascii="Arial" w:cs="Arial" w:eastAsia="Arial" w:hAnsi="Arial"/>
                <w:sz w:val="18"/>
                <w:szCs w:val="18"/>
                <w:b w:val="1"/>
                <w:bCs w:val="1"/>
                <w:color w:val="auto"/>
              </w:rPr>
              <w:t>25.9%</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857</w:t>
            </w:r>
          </w:p>
        </w:tc>
        <w:tc>
          <w:tcPr>
            <w:tcW w:w="460" w:type="dxa"/>
            <w:vAlign w:val="bottom"/>
          </w:tcPr>
          <w:p>
            <w:pPr>
              <w:spacing w:after="0"/>
              <w:rPr>
                <w:sz w:val="19"/>
                <w:szCs w:val="19"/>
                <w:color w:val="auto"/>
              </w:rPr>
            </w:pPr>
          </w:p>
        </w:tc>
        <w:tc>
          <w:tcPr>
            <w:tcW w:w="1080" w:type="dxa"/>
            <w:vAlign w:val="bottom"/>
            <w:gridSpan w:val="2"/>
          </w:tcPr>
          <w:p>
            <w:pPr>
              <w:ind w:left="300"/>
              <w:spacing w:after="0"/>
              <w:rPr>
                <w:sz w:val="20"/>
                <w:szCs w:val="20"/>
                <w:color w:val="auto"/>
              </w:rPr>
            </w:pPr>
            <w:r>
              <w:rPr>
                <w:rFonts w:ascii="Arial" w:cs="Arial" w:eastAsia="Arial" w:hAnsi="Arial"/>
                <w:sz w:val="18"/>
                <w:szCs w:val="18"/>
                <w:b w:val="1"/>
                <w:bCs w:val="1"/>
                <w:color w:val="auto"/>
              </w:rPr>
              <w:t>24.5%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40" w:type="dxa"/>
            <w:vAlign w:val="bottom"/>
            <w:gridSpan w:val="5"/>
          </w:tcPr>
          <w:p>
            <w:pPr>
              <w:jc w:val="center"/>
              <w:ind w:right="960"/>
              <w:spacing w:after="0"/>
              <w:rPr>
                <w:sz w:val="20"/>
                <w:szCs w:val="20"/>
                <w:color w:val="auto"/>
              </w:rPr>
            </w:pPr>
            <w:r>
              <w:rPr>
                <w:rFonts w:ascii="Arial" w:cs="Arial" w:eastAsia="Arial" w:hAnsi="Arial"/>
                <w:sz w:val="14"/>
                <w:szCs w:val="14"/>
                <w:b w:val="1"/>
                <w:bCs w:val="1"/>
                <w:color w:val="auto"/>
                <w:w w:val="96"/>
              </w:rPr>
              <w:t>Year Ended</w:t>
            </w:r>
          </w:p>
        </w:tc>
        <w:tc>
          <w:tcPr>
            <w:tcW w:w="140" w:type="dxa"/>
            <w:vAlign w:val="bottom"/>
          </w:tcPr>
          <w:p>
            <w:pPr>
              <w:spacing w:after="0"/>
              <w:rPr>
                <w:sz w:val="24"/>
                <w:szCs w:val="24"/>
                <w:color w:val="auto"/>
              </w:rPr>
            </w:pPr>
          </w:p>
        </w:tc>
        <w:tc>
          <w:tcPr>
            <w:tcW w:w="2000" w:type="dxa"/>
            <w:vAlign w:val="bottom"/>
            <w:gridSpan w:val="4"/>
          </w:tcPr>
          <w:p>
            <w:pPr>
              <w:jc w:val="center"/>
              <w:ind w:right="60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gridSpan w:val="5"/>
          </w:tcPr>
          <w:p>
            <w:pPr>
              <w:jc w:val="center"/>
              <w:ind w:right="940"/>
              <w:spacing w:after="0"/>
              <w:rPr>
                <w:sz w:val="20"/>
                <w:szCs w:val="20"/>
                <w:color w:val="auto"/>
              </w:rPr>
            </w:pPr>
            <w:r>
              <w:rPr>
                <w:rFonts w:ascii="Arial" w:cs="Arial" w:eastAsia="Arial" w:hAnsi="Arial"/>
                <w:sz w:val="14"/>
                <w:szCs w:val="14"/>
                <w:b w:val="1"/>
                <w:bCs w:val="1"/>
                <w:color w:val="auto"/>
                <w:w w:val="91"/>
              </w:rPr>
              <w:t>December 31, 2014</w:t>
            </w:r>
          </w:p>
        </w:tc>
        <w:tc>
          <w:tcPr>
            <w:tcW w:w="140" w:type="dxa"/>
            <w:vAlign w:val="bottom"/>
          </w:tcPr>
          <w:p>
            <w:pPr>
              <w:spacing w:after="0"/>
              <w:rPr>
                <w:sz w:val="14"/>
                <w:szCs w:val="14"/>
                <w:color w:val="auto"/>
              </w:rPr>
            </w:pPr>
          </w:p>
        </w:tc>
        <w:tc>
          <w:tcPr>
            <w:tcW w:w="2000" w:type="dxa"/>
            <w:vAlign w:val="bottom"/>
            <w:gridSpan w:val="4"/>
          </w:tcPr>
          <w:p>
            <w:pPr>
              <w:jc w:val="center"/>
              <w:ind w:right="600"/>
              <w:spacing w:after="0"/>
              <w:rPr>
                <w:sz w:val="20"/>
                <w:szCs w:val="20"/>
                <w:color w:val="auto"/>
              </w:rPr>
            </w:pPr>
            <w:r>
              <w:rPr>
                <w:rFonts w:ascii="Arial" w:cs="Arial" w:eastAsia="Arial" w:hAnsi="Arial"/>
                <w:sz w:val="14"/>
                <w:szCs w:val="14"/>
                <w:b w:val="1"/>
                <w:bCs w:val="1"/>
                <w:color w:val="auto"/>
                <w:w w:val="91"/>
              </w:rPr>
              <w:t>December 31, 2013</w:t>
            </w:r>
          </w:p>
        </w:tc>
        <w:tc>
          <w:tcPr>
            <w:tcW w:w="0" w:type="dxa"/>
            <w:vAlign w:val="bottom"/>
          </w:tcPr>
          <w:p>
            <w:pPr>
              <w:spacing w:after="0"/>
              <w:rPr>
                <w:sz w:val="1"/>
                <w:szCs w:val="1"/>
                <w:color w:val="auto"/>
              </w:rPr>
            </w:pPr>
          </w:p>
        </w:tc>
      </w:tr>
      <w:tr>
        <w:trPr>
          <w:trHeight w:val="119"/>
        </w:trPr>
        <w:tc>
          <w:tcPr>
            <w:tcW w:w="680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Adjusted SG&amp;A Expenses as a Percent of Revenues</w:t>
            </w:r>
          </w:p>
        </w:tc>
        <w:tc>
          <w:tcPr>
            <w:tcW w:w="1060" w:type="dxa"/>
            <w:vAlign w:val="bottom"/>
            <w:tcBorders>
              <w:top w:val="single" w:sz="8" w:color="auto"/>
            </w:tcBorders>
            <w:gridSpan w:val="4"/>
            <w:vMerge w:val="restart"/>
          </w:tcPr>
          <w:p>
            <w:pPr>
              <w:jc w:val="right"/>
              <w:ind w:right="500"/>
              <w:spacing w:after="0"/>
              <w:rPr>
                <w:sz w:val="20"/>
                <w:szCs w:val="20"/>
                <w:color w:val="auto"/>
              </w:rPr>
            </w:pPr>
            <w:r>
              <w:rPr>
                <w:rFonts w:ascii="Arial" w:cs="Arial" w:eastAsia="Arial" w:hAnsi="Arial"/>
                <w:sz w:val="14"/>
                <w:szCs w:val="14"/>
                <w:b w:val="1"/>
                <w:bCs w:val="1"/>
                <w:color w:val="auto"/>
              </w:rPr>
              <w:t>Amount</w:t>
            </w:r>
          </w:p>
        </w:tc>
        <w:tc>
          <w:tcPr>
            <w:tcW w:w="60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w w:val="99"/>
              </w:rPr>
              <w:t>As a % of</w:t>
            </w:r>
          </w:p>
        </w:tc>
        <w:tc>
          <w:tcPr>
            <w:tcW w:w="820" w:type="dxa"/>
            <w:vAlign w:val="bottom"/>
          </w:tcPr>
          <w:p>
            <w:pPr>
              <w:spacing w:after="0"/>
              <w:rPr>
                <w:sz w:val="10"/>
                <w:szCs w:val="10"/>
                <w:color w:val="auto"/>
              </w:rPr>
            </w:pPr>
          </w:p>
        </w:tc>
        <w:tc>
          <w:tcPr>
            <w:tcW w:w="1060" w:type="dxa"/>
            <w:vAlign w:val="bottom"/>
            <w:tcBorders>
              <w:top w:val="single" w:sz="8" w:color="auto"/>
            </w:tcBorders>
            <w:gridSpan w:val="3"/>
            <w:vMerge w:val="restart"/>
          </w:tcPr>
          <w:p>
            <w:pPr>
              <w:jc w:val="right"/>
              <w:ind w:right="500"/>
              <w:spacing w:after="0"/>
              <w:rPr>
                <w:sz w:val="20"/>
                <w:szCs w:val="20"/>
                <w:color w:val="auto"/>
              </w:rPr>
            </w:pPr>
            <w:r>
              <w:rPr>
                <w:rFonts w:ascii="Arial" w:cs="Arial" w:eastAsia="Arial" w:hAnsi="Arial"/>
                <w:sz w:val="14"/>
                <w:szCs w:val="14"/>
                <w:b w:val="1"/>
                <w:bCs w:val="1"/>
                <w:color w:val="auto"/>
              </w:rPr>
              <w:t>Amount</w:t>
            </w:r>
          </w:p>
        </w:tc>
        <w:tc>
          <w:tcPr>
            <w:tcW w:w="60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w w:val="99"/>
              </w:rPr>
              <w:t>As a % of</w:t>
            </w: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800" w:type="dxa"/>
            <w:vAlign w:val="bottom"/>
            <w:gridSpan w:val="2"/>
            <w:vMerge w:val="continue"/>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142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1060" w:type="dxa"/>
            <w:vAlign w:val="bottom"/>
            <w:gridSpan w:val="3"/>
            <w:vMerge w:val="continue"/>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78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 as reported</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9"/>
              </w:rPr>
              <w:t>$13,996</w:t>
            </w: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b w:val="1"/>
                <w:bCs w:val="1"/>
                <w:color w:val="auto"/>
                <w:w w:val="89"/>
              </w:rPr>
              <w:t>$13,983</w:t>
            </w: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800" w:type="dxa"/>
            <w:vAlign w:val="bottom"/>
            <w:gridSpan w:val="2"/>
          </w:tcPr>
          <w:p>
            <w:pPr>
              <w:spacing w:after="0"/>
              <w:rPr>
                <w:sz w:val="20"/>
                <w:szCs w:val="20"/>
                <w:color w:val="auto"/>
              </w:rPr>
            </w:pPr>
            <w:r>
              <w:rPr>
                <w:rFonts w:ascii="Arial" w:cs="Arial" w:eastAsia="Arial" w:hAnsi="Arial"/>
                <w:sz w:val="18"/>
                <w:szCs w:val="18"/>
                <w:b w:val="1"/>
                <w:bCs w:val="1"/>
                <w:color w:val="auto"/>
              </w:rPr>
              <w:t>SG&amp;A expenses, as reported</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1,481</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7"/>
              </w:rPr>
              <w:t>1,468</w:t>
            </w:r>
          </w:p>
        </w:tc>
        <w:tc>
          <w:tcPr>
            <w:tcW w:w="1080" w:type="dxa"/>
            <w:vAlign w:val="bottom"/>
            <w:gridSpan w:val="2"/>
          </w:tcPr>
          <w:p>
            <w:pPr>
              <w:ind w:left="300"/>
              <w:spacing w:after="0"/>
              <w:rPr>
                <w:sz w:val="20"/>
                <w:szCs w:val="20"/>
                <w:color w:val="auto"/>
              </w:rPr>
            </w:pPr>
            <w:r>
              <w:rPr>
                <w:rFonts w:ascii="Arial" w:cs="Arial" w:eastAsia="Arial" w:hAnsi="Arial"/>
                <w:sz w:val="18"/>
                <w:szCs w:val="18"/>
                <w:b w:val="1"/>
                <w:bCs w:val="1"/>
                <w:color w:val="auto"/>
                <w:w w:val="97"/>
              </w:rPr>
              <w:t>10.5% (c)</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 to SG&amp;A expenses:</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340"/>
              <w:spacing w:after="0"/>
              <w:rPr>
                <w:sz w:val="20"/>
                <w:szCs w:val="20"/>
                <w:color w:val="auto"/>
              </w:rPr>
            </w:pPr>
            <w:r>
              <w:rPr>
                <w:rFonts w:ascii="Arial" w:cs="Arial" w:eastAsia="Arial" w:hAnsi="Arial"/>
                <w:sz w:val="18"/>
                <w:szCs w:val="18"/>
                <w:color w:val="auto"/>
              </w:rPr>
              <w:t>Legal reserves</w:t>
            </w:r>
          </w:p>
        </w:tc>
        <w:tc>
          <w:tcPr>
            <w:tcW w:w="140" w:type="dxa"/>
            <w:vAlign w:val="bottom"/>
          </w:tcPr>
          <w:p>
            <w:pPr>
              <w:spacing w:after="0"/>
              <w:rPr>
                <w:sz w:val="18"/>
                <w:szCs w:val="18"/>
                <w:color w:val="auto"/>
              </w:rPr>
            </w:pPr>
          </w:p>
        </w:tc>
        <w:tc>
          <w:tcPr>
            <w:tcW w:w="920" w:type="dxa"/>
            <w:vAlign w:val="bottom"/>
            <w:gridSpan w:val="3"/>
          </w:tcPr>
          <w:p>
            <w:pPr>
              <w:jc w:val="right"/>
              <w:ind w:right="400"/>
              <w:spacing w:after="0"/>
              <w:rPr>
                <w:sz w:val="20"/>
                <w:szCs w:val="20"/>
                <w:color w:val="auto"/>
              </w:rPr>
            </w:pPr>
            <w:r>
              <w:rPr>
                <w:rFonts w:ascii="Arial" w:cs="Arial" w:eastAsia="Arial" w:hAnsi="Arial"/>
                <w:sz w:val="18"/>
                <w:szCs w:val="18"/>
                <w:color w:val="auto"/>
              </w:rPr>
              <w:t>(31)</w:t>
            </w: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7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SG&amp;A expenses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6"/>
              </w:rPr>
              <w:t>$ 1,450</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340"/>
              <w:spacing w:after="0"/>
              <w:rPr>
                <w:sz w:val="20"/>
                <w:szCs w:val="20"/>
                <w:color w:val="auto"/>
              </w:rPr>
            </w:pPr>
            <w:r>
              <w:rPr>
                <w:rFonts w:ascii="Arial" w:cs="Arial" w:eastAsia="Arial" w:hAnsi="Arial"/>
                <w:sz w:val="18"/>
                <w:szCs w:val="18"/>
                <w:color w:val="auto"/>
              </w:rPr>
              <w:t>Incentive compensation accruals</w:t>
            </w:r>
          </w:p>
        </w:tc>
        <w:tc>
          <w:tcPr>
            <w:tcW w:w="140" w:type="dxa"/>
            <w:vAlign w:val="bottom"/>
          </w:tcPr>
          <w:p>
            <w:pPr>
              <w:spacing w:after="0"/>
              <w:rPr>
                <w:sz w:val="18"/>
                <w:szCs w:val="18"/>
                <w:color w:val="auto"/>
              </w:rPr>
            </w:pPr>
          </w:p>
        </w:tc>
        <w:tc>
          <w:tcPr>
            <w:tcW w:w="920" w:type="dxa"/>
            <w:vAlign w:val="bottom"/>
            <w:gridSpan w:val="3"/>
          </w:tcPr>
          <w:p>
            <w:pPr>
              <w:jc w:val="right"/>
              <w:ind w:right="400"/>
              <w:spacing w:after="0"/>
              <w:rPr>
                <w:sz w:val="20"/>
                <w:szCs w:val="20"/>
                <w:color w:val="auto"/>
              </w:rPr>
            </w:pPr>
            <w:r>
              <w:rPr>
                <w:rFonts w:ascii="Arial" w:cs="Arial" w:eastAsia="Arial" w:hAnsi="Arial"/>
                <w:sz w:val="18"/>
                <w:szCs w:val="18"/>
                <w:color w:val="auto"/>
              </w:rPr>
              <w:t>(11)</w:t>
            </w: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Legal reserves and fees</w:t>
            </w: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(11)</w:t>
            </w: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00" w:type="dxa"/>
            <w:vAlign w:val="bottom"/>
            <w:gridSpan w:val="2"/>
          </w:tcPr>
          <w:p>
            <w:pPr>
              <w:spacing w:after="0"/>
              <w:rPr>
                <w:sz w:val="20"/>
                <w:szCs w:val="20"/>
                <w:color w:val="auto"/>
              </w:rPr>
            </w:pPr>
            <w:r>
              <w:rPr>
                <w:rFonts w:ascii="Arial" w:cs="Arial" w:eastAsia="Arial" w:hAnsi="Arial"/>
                <w:sz w:val="18"/>
                <w:szCs w:val="18"/>
                <w:b w:val="1"/>
                <w:bCs w:val="1"/>
                <w:color w:val="auto"/>
              </w:rPr>
              <w:t>Further adjusted SG&amp;A expenses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1,428</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gridSpan w:val="2"/>
          </w:tcPr>
          <w:p>
            <w:pPr>
              <w:ind w:left="280"/>
              <w:spacing w:after="0"/>
              <w:rPr>
                <w:sz w:val="20"/>
                <w:szCs w:val="20"/>
                <w:color w:val="auto"/>
              </w:rPr>
            </w:pPr>
            <w:r>
              <w:rPr>
                <w:rFonts w:ascii="Arial" w:cs="Arial" w:eastAsia="Arial" w:hAnsi="Arial"/>
                <w:sz w:val="18"/>
                <w:szCs w:val="18"/>
                <w:b w:val="1"/>
                <w:bCs w:val="1"/>
                <w:color w:val="auto"/>
              </w:rPr>
              <w:t>10.2% (c)</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280" w:hanging="452"/>
        <w:spacing w:after="0" w:line="258" w:lineRule="auto"/>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Fourth quarter 2014 adjusted income from operations increased $54 million, or more than 10%, and adjusted income from operations as a percent of revenues grew 190 basis points as compared with the prior year.</w:t>
      </w:r>
    </w:p>
    <w:p>
      <w:pPr>
        <w:spacing w:after="0" w:line="1" w:lineRule="exact"/>
        <w:rPr>
          <w:rFonts w:ascii="Arial" w:cs="Arial" w:eastAsia="Arial" w:hAnsi="Arial"/>
          <w:sz w:val="18"/>
          <w:szCs w:val="18"/>
          <w:b w:val="1"/>
          <w:bCs w:val="1"/>
          <w:color w:val="auto"/>
        </w:rPr>
      </w:pPr>
    </w:p>
    <w:p>
      <w:pPr>
        <w:ind w:left="460" w:right="760" w:hanging="452"/>
        <w:spacing w:after="0" w:line="250" w:lineRule="auto"/>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Adjusted operating EBITDA increased $34 million, or 4%, and adjusted operating EBITDA as a percent of revenues grew 140 basis points as compared with the prior year to 25.9%</w:t>
      </w:r>
    </w:p>
    <w:p>
      <w:pPr>
        <w:ind w:left="460" w:right="80" w:hanging="452"/>
        <w:spacing w:after="0" w:line="261" w:lineRule="auto"/>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Full year 2014 further adjusted SG&amp;A expense improved $40 million and 30 basis points as a percent of revenues to 10.2% as compared with the prior year.</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Press Release dated February 17, 2015</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0" w:right="239" w:bottom="1440" w:gutter="0" w:footer="0" w:header="0"/>
          <w:type w:val="continuous"/>
        </w:sectPr>
      </w:pPr>
    </w:p>
    <w:bookmarkStart w:id="3" w:name="page4"/>
    <w:bookmarkEnd w:id="3"/>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9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February 17, 2015</w:t>
      </w:r>
      <w:r>
        <w:rPr>
          <w:sz w:val="20"/>
          <w:szCs w:val="20"/>
          <w:color w:val="auto"/>
        </w:rPr>
        <w:tab/>
      </w:r>
      <w:r>
        <w:rPr>
          <w:rFonts w:ascii="Arial" w:cs="Arial" w:eastAsia="Arial" w:hAnsi="Arial"/>
          <w:sz w:val="17"/>
          <w:szCs w:val="17"/>
          <w:color w:val="auto"/>
        </w:rPr>
        <w:t xml:space="preserve">By: </w:t>
      </w:r>
      <w:r>
        <w:rPr>
          <w:rFonts w:ascii="Arial" w:cs="Arial" w:eastAsia="Arial" w:hAnsi="Arial"/>
          <w:sz w:val="17"/>
          <w:szCs w:val="17"/>
          <w:i w:val="1"/>
          <w:iCs w:val="1"/>
          <w:color w:val="auto"/>
        </w:rPr>
        <w:t>/s/ Barry H. Caldwell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Barry H. Caldwell</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Corporate Affairs</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Legal Officer</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270" w:right="319" w:bottom="1440" w:gutter="0" w:footer="0" w:header="0"/>
        </w:sectPr>
      </w:pPr>
    </w:p>
    <w:bookmarkStart w:id="4" w:name="page5"/>
    <w:bookmarkEnd w:id="4"/>
    <w:p>
      <w:pPr>
        <w:jc w:val="right"/>
        <w:ind w:right="39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4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180" w:lineRule="auto"/>
        <w:tabs>
          <w:tab w:leader="none" w:pos="1060" w:val="left"/>
        </w:tabs>
        <w:rPr>
          <w:sz w:val="20"/>
          <w:szCs w:val="20"/>
          <w:color w:val="auto"/>
        </w:rPr>
      </w:pPr>
      <w:r>
        <w:rPr>
          <w:rFonts w:ascii="Arial" w:cs="Arial" w:eastAsia="Arial" w:hAnsi="Arial"/>
          <w:sz w:val="22"/>
          <w:szCs w:val="22"/>
          <w:b w:val="1"/>
          <w:bCs w:val="1"/>
          <w:u w:val="single" w:color="auto"/>
          <w:color w:val="auto"/>
          <w:vertAlign w:val="superscript"/>
        </w:rPr>
        <w:t>Number</w:t>
      </w:r>
      <w:r>
        <w:rPr>
          <w:sz w:val="20"/>
          <w:szCs w:val="20"/>
          <w:color w:val="auto"/>
        </w:rPr>
        <w:tab/>
      </w:r>
      <w:r>
        <w:rPr>
          <w:rFonts w:ascii="Arial" w:cs="Arial" w:eastAsia="Arial" w:hAnsi="Arial"/>
          <w:sz w:val="12"/>
          <w:szCs w:val="12"/>
          <w:b w:val="1"/>
          <w:bCs w:val="1"/>
          <w:u w:val="single" w:color="auto"/>
          <w:color w:val="auto"/>
        </w:rPr>
        <w:t>Description</w:t>
      </w:r>
    </w:p>
    <w:p>
      <w:pPr>
        <w:spacing w:after="0" w:line="11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February 17, 2015</w:t>
      </w:r>
    </w:p>
    <w:p>
      <w:pPr>
        <w:spacing w:after="0" w:line="14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219"/>
          </w:cols>
          <w:pgMar w:left="240" w:top="270" w:right="1440" w:bottom="1440" w:gutter="0" w:footer="0" w:header="0"/>
        </w:sectPr>
      </w:pPr>
    </w:p>
    <w:bookmarkStart w:id="5" w:name="page6"/>
    <w:bookmarkEnd w:id="5"/>
    <w:p>
      <w:pPr>
        <w:spacing w:after="0"/>
        <w:tabs>
          <w:tab w:leader="none" w:pos="10260" w:val="left"/>
        </w:tabs>
        <w:rPr>
          <w:sz w:val="20"/>
          <w:szCs w:val="20"/>
          <w:color w:val="auto"/>
        </w:rPr>
      </w:pPr>
      <w:r>
        <w:rPr>
          <w:rFonts w:ascii="Arial" w:cs="Arial" w:eastAsia="Arial" w:hAnsi="Arial"/>
          <w:sz w:val="18"/>
          <w:szCs w:val="18"/>
          <w:b w:val="1"/>
          <w:bCs w:val="1"/>
          <w:color w:val="auto"/>
        </w:rPr>
        <w:t>FOR IMMEDIATE RELEASE</w:t>
      </w:r>
      <w:r>
        <w:rPr>
          <w:sz w:val="20"/>
          <w:szCs w:val="20"/>
          <w:color w:val="auto"/>
        </w:rPr>
        <w:tab/>
      </w:r>
      <w:r>
        <w:rPr>
          <w:rFonts w:ascii="Arial" w:cs="Arial" w:eastAsia="Arial" w:hAnsi="Arial"/>
          <w:sz w:val="18"/>
          <w:szCs w:val="18"/>
          <w:b w:val="1"/>
          <w:bCs w:val="1"/>
          <w:color w:val="auto"/>
        </w:rPr>
        <w:t>EXHIBIT 99.1</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36"/>
          <w:szCs w:val="36"/>
          <w:color w:val="auto"/>
        </w:rPr>
        <w:t>Waste Management Announces Fourth Quarter</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36"/>
          <w:szCs w:val="36"/>
          <w:color w:val="auto"/>
        </w:rPr>
        <w:t>and Full-Year 2014 Earnings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36"/>
          <w:szCs w:val="36"/>
          <w:color w:val="auto"/>
        </w:rPr>
        <w:t>Company reports strong cash generation and earnings</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36"/>
          <w:szCs w:val="36"/>
          <w:color w:val="auto"/>
        </w:rPr>
        <w:t>in 2014 and expects continued strength in 2015</w:t>
      </w:r>
    </w:p>
    <w:p>
      <w:pPr>
        <w:sectPr>
          <w:pgSz w:w="11900" w:h="16838" w:orient="portrait"/>
          <w:cols w:equalWidth="0" w:num="1">
            <w:col w:w="11420"/>
          </w:cols>
          <w:pgMar w:left="240" w:top="121" w:right="239" w:bottom="1440" w:gutter="0" w:footer="0" w:header="0"/>
        </w:sectPr>
      </w:pPr>
    </w:p>
    <w:p>
      <w:pPr>
        <w:spacing w:after="0" w:line="240"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 xml:space="preserve">HOUSTON — February 17, 2015 </w:t>
      </w:r>
      <w:r>
        <w:rPr>
          <w:rFonts w:ascii="Arial" w:cs="Arial" w:eastAsia="Arial" w:hAnsi="Arial"/>
          <w:sz w:val="18"/>
          <w:szCs w:val="18"/>
          <w:color w:val="auto"/>
        </w:rPr>
        <w:t>— Waste Management, Inc. (NYSE: WM) today announced financial results for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fourth quarter and for the year ended December 31, 2014. Revenues for the fourth quarter of 2014 were $3.44 billion compared with $3.50 billion for the same 2013 period. Net income </w:t>
      </w:r>
      <w:r>
        <w:rPr>
          <w:rFonts w:ascii="Arial" w:cs="Arial" w:eastAsia="Arial" w:hAnsi="Arial"/>
          <w:sz w:val="15"/>
          <w:szCs w:val="15"/>
          <w:color w:val="auto"/>
        </w:rPr>
        <w:t>(a)</w:t>
      </w:r>
      <w:r>
        <w:rPr>
          <w:rFonts w:ascii="Arial" w:cs="Arial" w:eastAsia="Arial" w:hAnsi="Arial"/>
          <w:sz w:val="18"/>
          <w:szCs w:val="18"/>
          <w:color w:val="auto"/>
        </w:rPr>
        <w:t xml:space="preserve"> for the quarter was $590 million, or $1.28 per diluted share, compared with a net loss of $605 million, or a negative $1.29 per diluted share, for the fourth quarter of 2013. On an as-adjusted basis, excluding certain items, net income would have been $308 million, or $0.67 per diluted share, in the fourth quarter of 2014 compared with $263 million, or $0.56 per diluted share, in the fourth quarter of 2013.</w:t>
      </w:r>
      <w:r>
        <w:rPr>
          <w:rFonts w:ascii="Arial" w:cs="Arial" w:eastAsia="Arial" w:hAnsi="Arial"/>
          <w:sz w:val="15"/>
          <w:szCs w:val="15"/>
          <w:color w:val="auto"/>
        </w:rPr>
        <w:t>(b)</w:t>
      </w:r>
    </w:p>
    <w:p>
      <w:pPr>
        <w:spacing w:after="0" w:line="22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Company’s as-adjusted fourth quarter 2014 results excluded a tax affected $0.61 per diluted share impact primarily from a gain on sale of the Company’s waste-to-energy business offset in part by charges to impair certain assets.</w:t>
      </w:r>
    </w:p>
    <w:p>
      <w:pPr>
        <w:spacing w:after="0" w:line="20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the full year 2014, the Company reported revenues of $14.00 billion compared with $13.98 billion for 2013. Earnings per diluted share were $2.79 for the full year 2014 compared with $0.21 for the full year 2013. On an as-adjusted basis, excluding certain items, earnings per diluted share were $2.48 for the full-year 2014 versus $2.15 for the full-year 2013.</w:t>
      </w:r>
      <w:r>
        <w:rPr>
          <w:rFonts w:ascii="Arial" w:cs="Arial" w:eastAsia="Arial" w:hAnsi="Arial"/>
          <w:sz w:val="15"/>
          <w:szCs w:val="15"/>
          <w:color w:val="auto"/>
        </w:rPr>
        <w:t>(b)</w:t>
      </w:r>
    </w:p>
    <w:p>
      <w:pPr>
        <w:spacing w:after="0" w:line="214"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David P. Steiner, President and Chief Executive Officer of Waste Management commented, “We built strong momentum during the first three quarters of 2014, and that momentum continued into the fourth quarter. Our strong pricing and cost controls delivered growth in our traditional solid waste business as income from operations grew $36 million and income from operations margin rose by 130 basis points compared to the fourth quarter of 2013. In addition, operating EBITDA in the traditional solid waste business grew by $25 million and operating EBITDA margins expanded by 100 basis points.</w:t>
      </w:r>
      <w:r>
        <w:rPr>
          <w:rFonts w:ascii="Arial" w:cs="Arial" w:eastAsia="Arial" w:hAnsi="Arial"/>
          <w:sz w:val="13"/>
          <w:szCs w:val="13"/>
          <w:color w:val="auto"/>
        </w:rPr>
        <w:t>(b)</w:t>
      </w:r>
      <w:r>
        <w:rPr>
          <w:rFonts w:ascii="Arial" w:cs="Arial" w:eastAsia="Arial" w:hAnsi="Arial"/>
          <w:sz w:val="16"/>
          <w:szCs w:val="16"/>
          <w:color w:val="auto"/>
        </w:rPr>
        <w:t xml:space="preserve"> For the seventh consecutive quarter, our yield was at least 2.0% and volumes improved sequentially for the fourth consecutive quarter. Our cost of operations improved by $97 million and as a percent of revenue improved 170 basis points compared to the prior year fourth quarter.</w:t>
      </w:r>
    </w:p>
    <w:p>
      <w:pPr>
        <w:spacing w:after="0" w:line="19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looking at the full year, we are very pleased with our overall operating results as we grew income from operations, operating EBITDA, income from operations margin, and operating EBITDA margin in our traditional solid waste business. At the beginning of the year, we expected to grow earnings and free cash flow, increase price, and have more discipline around SG&amp;A costs and capital spending. We had strong performance in each of these areas and we anticipate building upon that strength in 2015.”</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HIGHLIGHTS FOR THE FOURTH QUARTER 2014 AND THE FULL YEAR 2014</w:t>
      </w:r>
    </w:p>
    <w:p>
      <w:pPr>
        <w:spacing w:after="0" w:line="135" w:lineRule="exact"/>
        <w:rPr>
          <w:sz w:val="20"/>
          <w:szCs w:val="20"/>
          <w:color w:val="auto"/>
        </w:rPr>
      </w:pPr>
    </w:p>
    <w:p>
      <w:pPr>
        <w:ind w:left="720" w:right="80" w:hanging="262"/>
        <w:spacing w:after="0" w:line="264" w:lineRule="auto"/>
        <w:tabs>
          <w:tab w:leader="none" w:pos="738"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in the fourth quarter decreased by 1.8%, or $63 million, but would have been slightly up if not for a $48 million decline related to divestitures of certain operations and an $18 million decline related to foreign currency translation</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Waste Management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 site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www.wm.com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Ed Egl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713.265.1656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eegl@wm.com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Toni Beck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713.394.5093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tbeck3@wm.com</w:t>
      </w:r>
    </w:p>
    <w:p>
      <w:pPr>
        <w:sectPr>
          <w:pgSz w:w="11900" w:h="16838" w:orient="portrait"/>
          <w:cols w:equalWidth="0" w:num="2">
            <w:col w:w="8400" w:space="260"/>
            <w:col w:w="2760"/>
          </w:cols>
          <w:pgMar w:left="240" w:top="121" w:right="239" w:bottom="1440" w:gutter="0" w:footer="0" w:header="0"/>
          <w:type w:val="continuous"/>
        </w:sectPr>
      </w:pPr>
    </w:p>
    <w:bookmarkStart w:id="6" w:name="page7"/>
    <w:bookmarkEnd w:id="6"/>
    <w:p>
      <w:pPr>
        <w:ind w:left="262" w:right="1679"/>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adjustments. For the full year, revenue increased by 0.1%, or $13 million, and would have increased $164 million if not for a $90 million decline related to divestitures of certain operations and a $61 million decline related to foreign currency translation adjustments. Foreign currency translation negatively affected full year adjusted earnings per share by a negative $0.02 per diluted share.</w:t>
      </w:r>
    </w:p>
    <w:p>
      <w:pPr>
        <w:spacing w:after="0" w:line="77" w:lineRule="exact"/>
        <w:rPr>
          <w:sz w:val="20"/>
          <w:szCs w:val="20"/>
          <w:color w:val="auto"/>
        </w:rPr>
      </w:pPr>
    </w:p>
    <w:p>
      <w:pPr>
        <w:ind w:left="262" w:right="1639" w:hanging="262"/>
        <w:spacing w:after="0" w:line="277"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Internal revenue growth from yield for collection and disposal operations was 2.0% for the fourth quarter and 2.3% for the full year.</w:t>
      </w:r>
    </w:p>
    <w:p>
      <w:pPr>
        <w:spacing w:after="0" w:line="75" w:lineRule="exact"/>
        <w:rPr>
          <w:rFonts w:ascii="Arial" w:cs="Arial" w:eastAsia="Arial" w:hAnsi="Arial"/>
          <w:sz w:val="18"/>
          <w:szCs w:val="18"/>
          <w:color w:val="auto"/>
        </w:rPr>
      </w:pPr>
    </w:p>
    <w:p>
      <w:pPr>
        <w:ind w:left="262" w:right="1579" w:hanging="262"/>
        <w:spacing w:after="0" w:line="264"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Core price increases, which consist of price increases and fees (excluding fuel surcharges), net of rollbacks, were 3.9% for the fourth quarter, flat when compared to the fourth quarter of 2013, and were 4.0% for the full year compared to 3.8% for the full year 2013. </w:t>
      </w:r>
      <w:r>
        <w:rPr>
          <w:rFonts w:ascii="Arial" w:cs="Arial" w:eastAsia="Arial" w:hAnsi="Arial"/>
          <w:sz w:val="15"/>
          <w:szCs w:val="15"/>
          <w:color w:val="auto"/>
        </w:rPr>
        <w:t>(c)</w:t>
      </w:r>
    </w:p>
    <w:p>
      <w:pPr>
        <w:spacing w:after="0" w:line="86" w:lineRule="exact"/>
        <w:rPr>
          <w:rFonts w:ascii="Arial" w:cs="Arial" w:eastAsia="Arial" w:hAnsi="Arial"/>
          <w:sz w:val="18"/>
          <w:szCs w:val="18"/>
          <w:color w:val="auto"/>
        </w:rPr>
      </w:pPr>
    </w:p>
    <w:p>
      <w:pPr>
        <w:ind w:left="262" w:right="1539" w:hanging="262"/>
        <w:spacing w:after="0" w:line="264"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Internal revenue growth from volume was negative 0.8% for the fourth quarter, a sequential improvement from a negative 1.3% in the third quarter. For the full year, internal revenue growth from volume was negative 1.4%.</w:t>
      </w:r>
    </w:p>
    <w:p>
      <w:pPr>
        <w:spacing w:after="0" w:line="86" w:lineRule="exact"/>
        <w:rPr>
          <w:rFonts w:ascii="Arial" w:cs="Arial" w:eastAsia="Arial" w:hAnsi="Arial"/>
          <w:sz w:val="18"/>
          <w:szCs w:val="18"/>
          <w:color w:val="auto"/>
        </w:rPr>
      </w:pPr>
    </w:p>
    <w:p>
      <w:pPr>
        <w:ind w:left="262" w:right="1619" w:hanging="262"/>
        <w:spacing w:after="0" w:line="279" w:lineRule="auto"/>
        <w:tabs>
          <w:tab w:leader="none" w:pos="235" w:val="left"/>
        </w:tabs>
        <w:numPr>
          <w:ilvl w:val="0"/>
          <w:numId w:val="4"/>
        </w:numPr>
        <w:rPr>
          <w:rFonts w:ascii="Arial" w:cs="Arial" w:eastAsia="Arial" w:hAnsi="Arial"/>
          <w:sz w:val="17"/>
          <w:szCs w:val="17"/>
          <w:color w:val="auto"/>
        </w:rPr>
      </w:pPr>
      <w:r>
        <w:rPr>
          <w:rFonts w:ascii="Arial" w:cs="Arial" w:eastAsia="Arial" w:hAnsi="Arial"/>
          <w:sz w:val="17"/>
          <w:szCs w:val="17"/>
          <w:color w:val="auto"/>
        </w:rPr>
        <w:t>Recyclable commodity prices had a negative $0.03 per diluted share effect on the quarter, but were more than offset by benefits from operational improvements in the recycling line of business. Overall, recycling operations positively affected earnings by $0.01 per diluted share in the fourth quarter when compared to the fourth quarter of 2013, despite an average OCC commodity price decline of 23.7%.</w:t>
      </w:r>
    </w:p>
    <w:p>
      <w:pPr>
        <w:spacing w:after="0" w:line="76" w:lineRule="exact"/>
        <w:rPr>
          <w:rFonts w:ascii="Arial" w:cs="Arial" w:eastAsia="Arial" w:hAnsi="Arial"/>
          <w:sz w:val="17"/>
          <w:szCs w:val="17"/>
          <w:color w:val="auto"/>
        </w:rPr>
      </w:pPr>
    </w:p>
    <w:p>
      <w:pPr>
        <w:ind w:left="262" w:right="1599" w:hanging="262"/>
        <w:spacing w:after="0" w:line="312" w:lineRule="auto"/>
        <w:tabs>
          <w:tab w:leader="none" w:pos="235" w:val="left"/>
        </w:tabs>
        <w:numPr>
          <w:ilvl w:val="0"/>
          <w:numId w:val="4"/>
        </w:numPr>
        <w:rPr>
          <w:rFonts w:ascii="Arial" w:cs="Arial" w:eastAsia="Arial" w:hAnsi="Arial"/>
          <w:sz w:val="16"/>
          <w:szCs w:val="16"/>
          <w:color w:val="auto"/>
        </w:rPr>
      </w:pPr>
      <w:r>
        <w:rPr>
          <w:rFonts w:ascii="Arial" w:cs="Arial" w:eastAsia="Arial" w:hAnsi="Arial"/>
          <w:sz w:val="16"/>
          <w:szCs w:val="16"/>
          <w:color w:val="auto"/>
        </w:rPr>
        <w:t>Operating expenses improved by $97 million in the fourth quarter and $110 million for the full year. In both the fourth quarter and full year, the majority of the savings were for costs associated with recently divested businesses. We also saw meaningful benefits from our focus on flexing down costs and reduced fuel expense.</w:t>
      </w:r>
    </w:p>
    <w:p>
      <w:pPr>
        <w:spacing w:after="0" w:line="52" w:lineRule="exact"/>
        <w:rPr>
          <w:rFonts w:ascii="Arial" w:cs="Arial" w:eastAsia="Arial" w:hAnsi="Arial"/>
          <w:sz w:val="16"/>
          <w:szCs w:val="16"/>
          <w:color w:val="auto"/>
        </w:rPr>
      </w:pPr>
    </w:p>
    <w:p>
      <w:pPr>
        <w:ind w:left="262" w:right="1619" w:hanging="262"/>
        <w:spacing w:after="0" w:line="293" w:lineRule="auto"/>
        <w:tabs>
          <w:tab w:leader="none" w:pos="235" w:val="left"/>
        </w:tabs>
        <w:numPr>
          <w:ilvl w:val="0"/>
          <w:numId w:val="4"/>
        </w:numPr>
        <w:rPr>
          <w:rFonts w:ascii="Arial" w:cs="Arial" w:eastAsia="Arial" w:hAnsi="Arial"/>
          <w:sz w:val="16"/>
          <w:szCs w:val="16"/>
          <w:color w:val="auto"/>
        </w:rPr>
      </w:pPr>
      <w:r>
        <w:rPr>
          <w:rFonts w:ascii="Arial" w:cs="Arial" w:eastAsia="Arial" w:hAnsi="Arial"/>
          <w:sz w:val="16"/>
          <w:szCs w:val="16"/>
          <w:color w:val="auto"/>
        </w:rPr>
        <w:t>SG&amp;A expenses were relatively flat in the fourth quarter and were 10.9% of revenue compared to 10.7% in the prior year period. We realized significant savings from our restructuring during the quarter, but the benefits were largely offset by long-term incentive compensation accruals and certain legal reserves and fees. Without these accruals, SG&amp;A expenses as a percent of revenue would have been 10.3%.</w:t>
      </w:r>
      <w:r>
        <w:rPr>
          <w:rFonts w:ascii="Arial" w:cs="Arial" w:eastAsia="Arial" w:hAnsi="Arial"/>
          <w:sz w:val="13"/>
          <w:szCs w:val="13"/>
          <w:color w:val="auto"/>
        </w:rPr>
        <w:t>(b)</w:t>
      </w:r>
      <w:r>
        <w:rPr>
          <w:rFonts w:ascii="Arial" w:cs="Arial" w:eastAsia="Arial" w:hAnsi="Arial"/>
          <w:sz w:val="16"/>
          <w:szCs w:val="16"/>
          <w:color w:val="auto"/>
        </w:rPr>
        <w:t xml:space="preserve"> For the full year, SG&amp;A expenses were 10.6% of revenue compared to 10.5% in the prior year. Adjusting for the same fourth quarter accruals and third quarter legal reserves, SG&amp;A expenses were 10.2% of revenue for 2014.</w:t>
      </w:r>
      <w:r>
        <w:rPr>
          <w:rFonts w:ascii="Arial" w:cs="Arial" w:eastAsia="Arial" w:hAnsi="Arial"/>
          <w:sz w:val="13"/>
          <w:szCs w:val="13"/>
          <w:color w:val="auto"/>
        </w:rPr>
        <w:t>(b)</w:t>
      </w:r>
    </w:p>
    <w:p>
      <w:pPr>
        <w:spacing w:after="0" w:line="70" w:lineRule="exact"/>
        <w:rPr>
          <w:rFonts w:ascii="Arial" w:cs="Arial" w:eastAsia="Arial" w:hAnsi="Arial"/>
          <w:sz w:val="16"/>
          <w:szCs w:val="16"/>
          <w:color w:val="auto"/>
        </w:rPr>
      </w:pPr>
    </w:p>
    <w:p>
      <w:pPr>
        <w:ind w:left="262" w:right="1579" w:hanging="262"/>
        <w:spacing w:after="0" w:line="264"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the fourth quarter, net cash provided by operating activities was $520 million and capital expenditures were $370 million. For the full year 2014, net cash provided by operating activities was $2.33 billion and capital expenditures were $1.15 billion.</w:t>
      </w:r>
    </w:p>
    <w:p>
      <w:pPr>
        <w:spacing w:after="0" w:line="86" w:lineRule="exact"/>
        <w:rPr>
          <w:rFonts w:ascii="Arial" w:cs="Arial" w:eastAsia="Arial" w:hAnsi="Arial"/>
          <w:sz w:val="18"/>
          <w:szCs w:val="18"/>
          <w:color w:val="auto"/>
        </w:rPr>
      </w:pPr>
    </w:p>
    <w:p>
      <w:pPr>
        <w:ind w:left="262" w:right="1679" w:hanging="262"/>
        <w:spacing w:after="0" w:line="259"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Free cash flow was $2.1 billion in the fourth quarter; for the full year 2014 free cash flow was $3.4 billion. The Company sold several assets and over-paid approximately $210 million of 2015 cash taxes in 2014. Without these affects, free cash flow would have been $360 million for the fourth quarter and approximately $1.4 billion for the full year.</w:t>
      </w:r>
      <w:r>
        <w:rPr>
          <w:rFonts w:ascii="Arial" w:cs="Arial" w:eastAsia="Arial" w:hAnsi="Arial"/>
          <w:sz w:val="15"/>
          <w:szCs w:val="15"/>
          <w:color w:val="auto"/>
        </w:rPr>
        <w:t>(b)</w:t>
      </w:r>
    </w:p>
    <w:p>
      <w:pPr>
        <w:spacing w:after="0" w:line="92" w:lineRule="exact"/>
        <w:rPr>
          <w:rFonts w:ascii="Arial" w:cs="Arial" w:eastAsia="Arial" w:hAnsi="Arial"/>
          <w:sz w:val="18"/>
          <w:szCs w:val="18"/>
          <w:color w:val="auto"/>
        </w:rPr>
      </w:pPr>
    </w:p>
    <w:p>
      <w:pPr>
        <w:ind w:left="262" w:right="1779" w:hanging="262"/>
        <w:spacing w:after="0" w:line="264" w:lineRule="auto"/>
        <w:tabs>
          <w:tab w:leader="none" w:pos="23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returned $172 million to shareholders in dividends during the fourth quarter of 2014. For the full year, the Company returned $1.29 billion to shareholders, consisting of $693 million in dividends and $600 million in common stock repurchases.</w:t>
      </w:r>
    </w:p>
    <w:p>
      <w:pPr>
        <w:spacing w:after="0" w:line="86" w:lineRule="exact"/>
        <w:rPr>
          <w:rFonts w:ascii="Arial" w:cs="Arial" w:eastAsia="Arial" w:hAnsi="Arial"/>
          <w:sz w:val="18"/>
          <w:szCs w:val="18"/>
          <w:color w:val="auto"/>
        </w:rPr>
      </w:pPr>
    </w:p>
    <w:p>
      <w:pPr>
        <w:ind w:left="262" w:right="1659" w:hanging="262"/>
        <w:spacing w:after="0" w:line="273" w:lineRule="auto"/>
        <w:tabs>
          <w:tab w:leader="none" w:pos="232"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recorded effective tax rate was approximately 0.3% in the fourth quarter and 23.6% for the full year. The rates were lower than the Company’s expected rate of 35% primarily due to tax implications of divestitures, which are reflected in the $0.61 per diluted share that was excluded from our as-adjusted results. We did include in our as-adjusted earnings per share a $0.02 tax benefit from adjustments to accruals and related deferred taxes and audit settlements that also lowered our effective rate. Adjusting the Company’s recorded rate for all of these items, the tax rate was approximately 33%.</w:t>
      </w:r>
      <w:r>
        <w:rPr>
          <w:rFonts w:ascii="Arial" w:cs="Arial" w:eastAsia="Arial" w:hAnsi="Arial"/>
          <w:sz w:val="14"/>
          <w:szCs w:val="14"/>
          <w:color w:val="auto"/>
        </w:rPr>
        <w:t>(b)</w:t>
      </w:r>
    </w:p>
    <w:p>
      <w:pPr>
        <w:sectPr>
          <w:pgSz w:w="11900" w:h="16838" w:orient="portrait"/>
          <w:cols w:equalWidth="0" w:num="1">
            <w:col w:w="9761"/>
          </w:cols>
          <w:pgMar w:left="698" w:top="274" w:right="1440"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2015 OUTLOOK</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Company announced the following with regard to its financial outlook for 2015:</w:t>
      </w:r>
    </w:p>
    <w:p>
      <w:pPr>
        <w:spacing w:after="0" w:line="131" w:lineRule="exact"/>
        <w:rPr>
          <w:sz w:val="20"/>
          <w:szCs w:val="20"/>
          <w:color w:val="auto"/>
        </w:rPr>
      </w:pPr>
    </w:p>
    <w:p>
      <w:pPr>
        <w:ind w:left="720" w:right="2039" w:hanging="262"/>
        <w:spacing w:after="0" w:line="277" w:lineRule="auto"/>
        <w:tabs>
          <w:tab w:leader="none" w:pos="683"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Adjusted earnings per diluted share are expected to be between $2.48 and $2.55, an increase of between 8% and 11% when 2014 is adjusted for divestiture earnings. </w:t>
      </w:r>
      <w:r>
        <w:rPr>
          <w:rFonts w:ascii="Arial" w:cs="Arial" w:eastAsia="Arial" w:hAnsi="Arial"/>
          <w:sz w:val="15"/>
          <w:szCs w:val="15"/>
          <w:color w:val="auto"/>
        </w:rPr>
        <w:t>(b)</w:t>
      </w:r>
    </w:p>
    <w:p>
      <w:pPr>
        <w:spacing w:after="0" w:line="75" w:lineRule="exact"/>
        <w:rPr>
          <w:rFonts w:ascii="Arial" w:cs="Arial" w:eastAsia="Arial" w:hAnsi="Arial"/>
          <w:sz w:val="18"/>
          <w:szCs w:val="18"/>
          <w:color w:val="auto"/>
        </w:rPr>
      </w:pPr>
    </w:p>
    <w:p>
      <w:pPr>
        <w:ind w:left="720" w:right="2199" w:hanging="262"/>
        <w:spacing w:after="0" w:line="342" w:lineRule="auto"/>
        <w:tabs>
          <w:tab w:leader="none" w:pos="693" w:val="left"/>
        </w:tabs>
        <w:numPr>
          <w:ilvl w:val="0"/>
          <w:numId w:val="5"/>
        </w:numPr>
        <w:rPr>
          <w:rFonts w:ascii="Arial" w:cs="Arial" w:eastAsia="Arial" w:hAnsi="Arial"/>
          <w:sz w:val="16"/>
          <w:szCs w:val="16"/>
          <w:color w:val="auto"/>
        </w:rPr>
      </w:pPr>
      <w:r>
        <w:rPr>
          <w:rFonts w:ascii="Arial" w:cs="Arial" w:eastAsia="Arial" w:hAnsi="Arial"/>
          <w:sz w:val="16"/>
          <w:szCs w:val="16"/>
          <w:color w:val="auto"/>
        </w:rPr>
        <w:t>Free cash flow for 2015 is projected to be between $1.4 and $1.5 billion excluding any proceeds from divestitures. Proceeds from divestitures are expected to be between $50 and $100 million.</w:t>
      </w:r>
      <w:r>
        <w:rPr>
          <w:rFonts w:ascii="Arial" w:cs="Arial" w:eastAsia="Arial" w:hAnsi="Arial"/>
          <w:sz w:val="13"/>
          <w:szCs w:val="13"/>
          <w:color w:val="auto"/>
        </w:rPr>
        <w:t>(b)</w:t>
      </w:r>
    </w:p>
    <w:p>
      <w:pPr>
        <w:spacing w:after="0" w:line="29" w:lineRule="exact"/>
        <w:rPr>
          <w:rFonts w:ascii="Arial" w:cs="Arial" w:eastAsia="Arial" w:hAnsi="Arial"/>
          <w:sz w:val="16"/>
          <w:szCs w:val="16"/>
          <w:color w:val="auto"/>
        </w:rPr>
      </w:pPr>
    </w:p>
    <w:p>
      <w:pPr>
        <w:ind w:left="720" w:right="2179" w:hanging="262"/>
        <w:spacing w:after="0" w:line="308" w:lineRule="auto"/>
        <w:tabs>
          <w:tab w:leader="none" w:pos="693" w:val="left"/>
        </w:tabs>
        <w:numPr>
          <w:ilvl w:val="0"/>
          <w:numId w:val="5"/>
        </w:numPr>
        <w:rPr>
          <w:rFonts w:ascii="Arial" w:cs="Arial" w:eastAsia="Arial" w:hAnsi="Arial"/>
          <w:sz w:val="17"/>
          <w:szCs w:val="17"/>
          <w:color w:val="auto"/>
        </w:rPr>
      </w:pPr>
      <w:r>
        <w:rPr>
          <w:rFonts w:ascii="Arial" w:cs="Arial" w:eastAsia="Arial" w:hAnsi="Arial"/>
          <w:sz w:val="17"/>
          <w:szCs w:val="17"/>
          <w:color w:val="auto"/>
        </w:rPr>
        <w:t>Internal revenue growth from yield on the collection and disposal business is expected to be 2.0% and internal revenue growth from volume is expected to be between a negative 0.5% to flat.</w:t>
      </w:r>
    </w:p>
    <w:p>
      <w:pPr>
        <w:spacing w:after="0" w:line="51" w:lineRule="exact"/>
        <w:rPr>
          <w:rFonts w:ascii="Arial" w:cs="Arial" w:eastAsia="Arial" w:hAnsi="Arial"/>
          <w:sz w:val="17"/>
          <w:szCs w:val="17"/>
          <w:color w:val="auto"/>
        </w:rPr>
      </w:pPr>
    </w:p>
    <w:p>
      <w:pPr>
        <w:ind w:left="700" w:hanging="242"/>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Core price is expected to be approximately 3.8% for 2015.</w:t>
      </w:r>
      <w:r>
        <w:rPr>
          <w:rFonts w:ascii="Arial" w:cs="Arial" w:eastAsia="Arial" w:hAnsi="Arial"/>
          <w:sz w:val="15"/>
          <w:szCs w:val="15"/>
          <w:color w:val="auto"/>
        </w:rPr>
        <w:t>(c)</w:t>
      </w:r>
    </w:p>
    <w:p>
      <w:pPr>
        <w:spacing w:after="0" w:line="130" w:lineRule="exact"/>
        <w:rPr>
          <w:rFonts w:ascii="Arial" w:cs="Arial" w:eastAsia="Arial" w:hAnsi="Arial"/>
          <w:sz w:val="18"/>
          <w:szCs w:val="18"/>
          <w:color w:val="auto"/>
        </w:rPr>
      </w:pPr>
    </w:p>
    <w:p>
      <w:pPr>
        <w:ind w:left="720" w:right="1919" w:hanging="262"/>
        <w:spacing w:after="0" w:line="259" w:lineRule="auto"/>
        <w:tabs>
          <w:tab w:leader="none" w:pos="693"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Recycling operations improvements are not expected to keep pace with recent recycling commodity price declines such that the recycling line of business is estimated to be between a negative $0.03 and $0.05 per diluted share headwind in 2015 compared to 2014, assuming no further degradation in the prices of commodities.</w:t>
      </w:r>
    </w:p>
    <w:p>
      <w:pPr>
        <w:spacing w:after="0" w:line="92" w:lineRule="exact"/>
        <w:rPr>
          <w:rFonts w:ascii="Arial" w:cs="Arial" w:eastAsia="Arial" w:hAnsi="Arial"/>
          <w:sz w:val="18"/>
          <w:szCs w:val="18"/>
          <w:color w:val="auto"/>
        </w:rPr>
      </w:pPr>
    </w:p>
    <w:p>
      <w:pPr>
        <w:ind w:left="700" w:hanging="242"/>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SG&amp;A expenses as a percent of revenue are expected to be below 10% for the full year.</w:t>
      </w:r>
    </w:p>
    <w:p>
      <w:pPr>
        <w:spacing w:after="0" w:line="130" w:lineRule="exact"/>
        <w:rPr>
          <w:rFonts w:ascii="Arial" w:cs="Arial" w:eastAsia="Arial" w:hAnsi="Arial"/>
          <w:sz w:val="18"/>
          <w:szCs w:val="18"/>
          <w:color w:val="auto"/>
        </w:rPr>
      </w:pPr>
    </w:p>
    <w:p>
      <w:pPr>
        <w:ind w:left="700" w:hanging="242"/>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tax rate is expected to be approximately 36.0%.</w:t>
      </w:r>
    </w:p>
    <w:p>
      <w:pPr>
        <w:spacing w:after="0" w:line="130" w:lineRule="exact"/>
        <w:rPr>
          <w:rFonts w:ascii="Arial" w:cs="Arial" w:eastAsia="Arial" w:hAnsi="Arial"/>
          <w:sz w:val="18"/>
          <w:szCs w:val="18"/>
          <w:color w:val="auto"/>
        </w:rPr>
      </w:pPr>
    </w:p>
    <w:p>
      <w:pPr>
        <w:ind w:left="700" w:hanging="242"/>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Capital expenditures are expected to be approximately $1.2 to $1.3 billion.</w:t>
      </w:r>
    </w:p>
    <w:p>
      <w:pPr>
        <w:spacing w:after="0" w:line="130" w:lineRule="exact"/>
        <w:rPr>
          <w:rFonts w:ascii="Arial" w:cs="Arial" w:eastAsia="Arial" w:hAnsi="Arial"/>
          <w:sz w:val="18"/>
          <w:szCs w:val="18"/>
          <w:color w:val="auto"/>
        </w:rPr>
      </w:pPr>
    </w:p>
    <w:p>
      <w:pPr>
        <w:jc w:val="both"/>
        <w:ind w:left="720" w:right="1939" w:hanging="262"/>
        <w:spacing w:after="0" w:line="264" w:lineRule="auto"/>
        <w:tabs>
          <w:tab w:leader="none" w:pos="69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Board of Directors has indicated its intention to increase the dividend by $0.04 to $1.54 per share on an annual basis, for an approximate annual cost of $700 million. The Board must separately declare each dividend.</w:t>
      </w:r>
    </w:p>
    <w:p>
      <w:pPr>
        <w:spacing w:after="0" w:line="86" w:lineRule="exact"/>
        <w:rPr>
          <w:rFonts w:ascii="Arial" w:cs="Arial" w:eastAsia="Arial" w:hAnsi="Arial"/>
          <w:sz w:val="18"/>
          <w:szCs w:val="18"/>
          <w:color w:val="auto"/>
        </w:rPr>
      </w:pPr>
    </w:p>
    <w:p>
      <w:pPr>
        <w:ind w:left="700" w:hanging="242"/>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Board of Directors has authorized a share repurchase program of up to $1 billion.</w:t>
      </w:r>
    </w:p>
    <w:p>
      <w:pPr>
        <w:spacing w:after="0" w:line="252" w:lineRule="exact"/>
        <w:rPr>
          <w:sz w:val="20"/>
          <w:szCs w:val="20"/>
          <w:color w:val="auto"/>
        </w:rPr>
      </w:pPr>
    </w:p>
    <w:p>
      <w:pPr>
        <w:ind w:right="2099"/>
        <w:spacing w:after="0" w:line="257" w:lineRule="auto"/>
        <w:rPr>
          <w:sz w:val="20"/>
          <w:szCs w:val="20"/>
          <w:color w:val="auto"/>
        </w:rPr>
      </w:pPr>
      <w:r>
        <w:rPr>
          <w:rFonts w:ascii="Arial" w:cs="Arial" w:eastAsia="Arial" w:hAnsi="Arial"/>
          <w:sz w:val="18"/>
          <w:szCs w:val="18"/>
          <w:color w:val="auto"/>
        </w:rPr>
        <w:t>Steiner continued, “In 2014 Waste Management’s goals were to continue our focus on price growth and cost controls, while improving our core solid waste business. We met those goals, and that focus led us to exceed our original full year adjusted earnings per share and free cash flow guidance. Our free cash flow is strong, at $3.4 billion for the year. If we exclude the sale proceeds and an approximate $210 million overpayment of cash taxes, our free cash flow was about $1.4 billion.</w:t>
      </w:r>
      <w:r>
        <w:rPr>
          <w:rFonts w:ascii="Arial" w:cs="Arial" w:eastAsia="Arial" w:hAnsi="Arial"/>
          <w:sz w:val="15"/>
          <w:szCs w:val="15"/>
          <w:color w:val="auto"/>
        </w:rPr>
        <w:t>(b)</w:t>
      </w:r>
    </w:p>
    <w:p>
      <w:pPr>
        <w:spacing w:after="0" w:line="215" w:lineRule="exact"/>
        <w:rPr>
          <w:sz w:val="20"/>
          <w:szCs w:val="20"/>
          <w:color w:val="auto"/>
        </w:rPr>
      </w:pPr>
    </w:p>
    <w:p>
      <w:pPr>
        <w:ind w:right="1899"/>
        <w:spacing w:after="0" w:line="254" w:lineRule="auto"/>
        <w:rPr>
          <w:sz w:val="20"/>
          <w:szCs w:val="20"/>
          <w:color w:val="auto"/>
        </w:rPr>
      </w:pPr>
      <w:r>
        <w:rPr>
          <w:rFonts w:ascii="Arial" w:cs="Arial" w:eastAsia="Arial" w:hAnsi="Arial"/>
          <w:sz w:val="18"/>
          <w:szCs w:val="18"/>
          <w:color w:val="auto"/>
        </w:rPr>
        <w:t>“In 2014, we completed the divestiture of our waste-to-energy assets and solid waste operations in Puerto Rico and Eastern Canada. Those assets accounted for about $0.18 of diluted earnings per share and approximately $230 million of operating EBITDA in 2014. In 2015, we expect to be able to enter into acquisition agreements to replace most, if not all, of that amount. We will be disciplined in our approach to buying assets, and believe we can replace the operating EBITDA of our recent divestitures and still have significant proceeds from our Wheelabrator divestiture to apply to other accretive priorities, including share buy backs or tuck-in acquisitions. Combined with our strong free cash flow, we believe that we can apply significant funds to these areas, while maintaining a strong balance sheet.</w:t>
      </w:r>
    </w:p>
    <w:p>
      <w:pPr>
        <w:spacing w:after="0" w:line="219" w:lineRule="exact"/>
        <w:rPr>
          <w:sz w:val="20"/>
          <w:szCs w:val="20"/>
          <w:color w:val="auto"/>
        </w:rPr>
      </w:pPr>
    </w:p>
    <w:p>
      <w:pPr>
        <w:ind w:right="1899"/>
        <w:spacing w:after="0" w:line="286" w:lineRule="auto"/>
        <w:rPr>
          <w:sz w:val="20"/>
          <w:szCs w:val="20"/>
          <w:color w:val="auto"/>
        </w:rPr>
      </w:pPr>
      <w:r>
        <w:rPr>
          <w:rFonts w:ascii="Arial" w:cs="Arial" w:eastAsia="Arial" w:hAnsi="Arial"/>
          <w:sz w:val="17"/>
          <w:szCs w:val="17"/>
          <w:color w:val="auto"/>
        </w:rPr>
        <w:t>“With respect to acquisitions, given the time necessary to identify targets, negotiate agreements and get any necessary regulatory approvals, our guidance assumes that we will not close any acquisitions in 2015 other than the previously announced acquisition of Deffenbaugh Disposal and our normal tuck-in acquisitions.</w:t>
      </w:r>
    </w:p>
    <w:p>
      <w:pPr>
        <w:sectPr>
          <w:pgSz w:w="11900" w:h="16838" w:orient="portrait"/>
          <w:cols w:equalWidth="0" w:num="1">
            <w:col w:w="10219"/>
          </w:cols>
          <w:pgMar w:left="240" w:top="378" w:right="1440" w:bottom="1440" w:gutter="0" w:footer="0" w:header="0"/>
        </w:sectPr>
      </w:pPr>
    </w:p>
    <w:bookmarkStart w:id="8" w:name="page9"/>
    <w:bookmarkEnd w:id="8"/>
    <w:p>
      <w:pPr>
        <w:ind w:right="1619"/>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expect to begin to repurchase shares once we have determined the amount of proceeds that will be applied to acquisitions. We should know that by mid-year. So, in the second half of the year we will likely enter the market to buy shares, and we expect to purchase at least enough shares to offset any dilution in 2015.”</w:t>
      </w:r>
    </w:p>
    <w:p>
      <w:pPr>
        <w:spacing w:after="0" w:line="193" w:lineRule="exact"/>
        <w:rPr>
          <w:sz w:val="20"/>
          <w:szCs w:val="20"/>
          <w:color w:val="auto"/>
        </w:rPr>
      </w:pPr>
    </w:p>
    <w:p>
      <w:pPr>
        <w:jc w:val="both"/>
        <w:ind w:right="1599"/>
        <w:spacing w:after="0" w:line="279" w:lineRule="auto"/>
        <w:rPr>
          <w:sz w:val="20"/>
          <w:szCs w:val="20"/>
          <w:color w:val="auto"/>
        </w:rPr>
      </w:pPr>
      <w:r>
        <w:rPr>
          <w:rFonts w:ascii="Arial" w:cs="Arial" w:eastAsia="Arial" w:hAnsi="Arial"/>
          <w:sz w:val="17"/>
          <w:szCs w:val="17"/>
          <w:color w:val="auto"/>
        </w:rPr>
        <w:t>Steiner concluded, “So, 2015 will be a transition year in which we continue our pricing and cost efforts while focusing on redeploying the Wheelabrator proceeds. In our solid waste business, we have targeted about 10% earnings growth in 2015 and another year of strong free cash flow growth. We plan to redeploy Wheelabrator proceeds in 2015, setting the stage for accelerated earnings and free cash flow growth in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89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60" w:lineRule="exact"/>
        <w:rPr>
          <w:sz w:val="20"/>
          <w:szCs w:val="20"/>
          <w:color w:val="auto"/>
        </w:rPr>
      </w:pPr>
    </w:p>
    <w:p>
      <w:pPr>
        <w:ind w:left="360" w:right="1819" w:hanging="352"/>
        <w:spacing w:after="0" w:line="256"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purposes of this press release, all references to “Net loss” and “Net income” refer to the financial statement line items “Net income (loss) attributable to Waste Management, Inc.” and “Net income attributable to Waste Management, Inc.,” respectively.</w:t>
      </w:r>
    </w:p>
    <w:p>
      <w:pPr>
        <w:ind w:left="360" w:right="1659" w:hanging="352"/>
        <w:spacing w:after="0" w:line="281" w:lineRule="auto"/>
        <w:tabs>
          <w:tab w:leader="none" w:pos="387" w:val="left"/>
        </w:tabs>
        <w:numPr>
          <w:ilvl w:val="0"/>
          <w:numId w:val="6"/>
        </w:numPr>
        <w:rPr>
          <w:rFonts w:ascii="Arial" w:cs="Arial" w:eastAsia="Arial" w:hAnsi="Arial"/>
          <w:sz w:val="16"/>
          <w:szCs w:val="16"/>
          <w:color w:val="auto"/>
        </w:rPr>
      </w:pPr>
      <w:r>
        <w:rPr>
          <w:rFonts w:ascii="Arial" w:cs="Arial" w:eastAsia="Arial" w:hAnsi="Arial"/>
          <w:sz w:val="16"/>
          <w:szCs w:val="16"/>
          <w:color w:val="auto"/>
        </w:rPr>
        <w:t>This press release contains a discussion of non-GAAP measures, as defined in Regulation G of the Securities Exchange Act of 1934, as amended. The Company reports its financial results in compliance with GAAP, but believes that also discussing non-GAAP measures provides investors with (i) additional, meaningful comparisons of current results to prior periods’ results by excluding items that the Company does not believe reflect its fundamental business performance and are not representative or indicative of its results of operations and</w:t>
      </w:r>
    </w:p>
    <w:p>
      <w:pPr>
        <w:spacing w:after="0" w:line="3" w:lineRule="exact"/>
        <w:rPr>
          <w:rFonts w:ascii="Arial" w:cs="Arial" w:eastAsia="Arial" w:hAnsi="Arial"/>
          <w:sz w:val="16"/>
          <w:szCs w:val="16"/>
          <w:color w:val="auto"/>
        </w:rPr>
      </w:pPr>
    </w:p>
    <w:p>
      <w:pPr>
        <w:ind w:left="360" w:right="1559"/>
        <w:spacing w:after="0" w:line="255" w:lineRule="auto"/>
        <w:rPr>
          <w:rFonts w:ascii="Arial" w:cs="Arial" w:eastAsia="Arial" w:hAnsi="Arial"/>
          <w:sz w:val="16"/>
          <w:szCs w:val="16"/>
          <w:color w:val="auto"/>
        </w:rPr>
      </w:pPr>
      <w:r>
        <w:rPr>
          <w:rFonts w:ascii="Arial" w:cs="Arial" w:eastAsia="Arial" w:hAnsi="Arial"/>
          <w:sz w:val="18"/>
          <w:szCs w:val="18"/>
          <w:color w:val="auto"/>
        </w:rPr>
        <w:t>(ii) financial measures the Company uses in the management of its business. Accordingly, net income, earnings per diluted share, SG&amp;A expenses, and our effective tax rate have been presented in certain instances excluding items identified in the reconciliations provided.</w:t>
      </w:r>
    </w:p>
    <w:p>
      <w:pPr>
        <w:spacing w:after="0" w:line="96" w:lineRule="exact"/>
        <w:rPr>
          <w:sz w:val="20"/>
          <w:szCs w:val="20"/>
          <w:color w:val="auto"/>
        </w:rPr>
      </w:pPr>
    </w:p>
    <w:p>
      <w:pPr>
        <w:ind w:left="360" w:right="1579"/>
        <w:spacing w:after="0" w:line="270" w:lineRule="auto"/>
        <w:rPr>
          <w:sz w:val="20"/>
          <w:szCs w:val="20"/>
          <w:color w:val="auto"/>
        </w:rPr>
      </w:pPr>
      <w:r>
        <w:rPr>
          <w:rFonts w:ascii="Arial" w:cs="Arial" w:eastAsia="Arial" w:hAnsi="Arial"/>
          <w:sz w:val="17"/>
          <w:szCs w:val="17"/>
          <w:color w:val="auto"/>
        </w:rPr>
        <w:t>The Company’s projected full year 2015 earnings per diluted share and projected earnings growth are not based on GAAP net earnings per diluted share and are anticipated to be adjusted to exclude the effects of events or circumstances in 2015 that are not representative or indicative of the Company’s results of operations. Projected GAAP earnings per diluted share for the full year would require inclusion of the projected impact of future excluded items, including items that are not currently determinable, but may be significant, such as asset impairments and one-time items, charges, gains or losses from divestitures or litigation, or other items. Due to the uncertainty of the likelihood, amount and timing of any such items, the Company does not have information available to provide a quantitative reconciliation of adjusted projected full year earnings per diluted share or projected earnings growth to a GAAP earnings per diluted share projection.</w:t>
      </w:r>
    </w:p>
    <w:p>
      <w:pPr>
        <w:spacing w:after="0" w:line="87" w:lineRule="exact"/>
        <w:rPr>
          <w:sz w:val="20"/>
          <w:szCs w:val="20"/>
          <w:color w:val="auto"/>
        </w:rPr>
      </w:pPr>
    </w:p>
    <w:p>
      <w:pPr>
        <w:ind w:left="360" w:right="1559"/>
        <w:spacing w:after="0" w:line="270" w:lineRule="auto"/>
        <w:rPr>
          <w:sz w:val="20"/>
          <w:szCs w:val="20"/>
          <w:color w:val="auto"/>
        </w:rPr>
      </w:pPr>
      <w:r>
        <w:rPr>
          <w:rFonts w:ascii="Arial" w:cs="Arial" w:eastAsia="Arial" w:hAnsi="Arial"/>
          <w:sz w:val="17"/>
          <w:szCs w:val="17"/>
          <w:color w:val="auto"/>
        </w:rPr>
        <w:t>The Company also discusses free cash flow and provides projections of free cash flow and free cash flow growth. Free cash flow is a non-GAAP measure. The company discusses free cash flow because the Company believes that it is indicative of its ability to pay its quarterly dividends, repurchase common stock, fund acquisitions and other investments and, in the absence of refinancings, to repay its debt obligations. Free cash flow is not intended to replace “Net cash provided by operating activities,” which is the most comparable U.S. GAAP measure. However, the Company believes free cash flow gives investors useful insight into how the Company views its liquidity. Nevertheless, the use of free cash flow as a liquidity measure has material limitations because it excludes certain expenditures that are required or that the Company has committed to, such as declared dividend payments and debt service requirements. The Company defines free cash flow as:</w:t>
      </w:r>
    </w:p>
    <w:p>
      <w:pPr>
        <w:spacing w:after="0" w:line="87" w:lineRule="exact"/>
        <w:rPr>
          <w:sz w:val="20"/>
          <w:szCs w:val="20"/>
          <w:color w:val="auto"/>
        </w:rPr>
      </w:pPr>
    </w:p>
    <w:p>
      <w:pPr>
        <w:ind w:left="700" w:hanging="242"/>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cash provided by operating activities</w:t>
      </w:r>
    </w:p>
    <w:p>
      <w:pPr>
        <w:spacing w:after="0" w:line="130" w:lineRule="exact"/>
        <w:rPr>
          <w:rFonts w:ascii="Arial" w:cs="Arial" w:eastAsia="Arial" w:hAnsi="Arial"/>
          <w:sz w:val="18"/>
          <w:szCs w:val="18"/>
          <w:color w:val="auto"/>
        </w:rPr>
      </w:pPr>
    </w:p>
    <w:p>
      <w:pPr>
        <w:ind w:left="700" w:hanging="242"/>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Less, capital expenditures</w:t>
      </w:r>
    </w:p>
    <w:p>
      <w:pPr>
        <w:spacing w:after="0" w:line="130" w:lineRule="exact"/>
        <w:rPr>
          <w:rFonts w:ascii="Arial" w:cs="Arial" w:eastAsia="Arial" w:hAnsi="Arial"/>
          <w:sz w:val="18"/>
          <w:szCs w:val="18"/>
          <w:color w:val="auto"/>
        </w:rPr>
      </w:pPr>
    </w:p>
    <w:p>
      <w:pPr>
        <w:ind w:left="700" w:hanging="242"/>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Plus, proceeds from divestitures of businesses (net of cash divested) and other sales of assets.</w:t>
      </w:r>
    </w:p>
    <w:p>
      <w:pPr>
        <w:spacing w:after="0" w:line="131" w:lineRule="exact"/>
        <w:rPr>
          <w:sz w:val="20"/>
          <w:szCs w:val="20"/>
          <w:color w:val="auto"/>
        </w:rPr>
      </w:pPr>
    </w:p>
    <w:p>
      <w:pPr>
        <w:ind w:left="360" w:right="1599"/>
        <w:spacing w:after="0" w:line="277" w:lineRule="auto"/>
        <w:rPr>
          <w:sz w:val="20"/>
          <w:szCs w:val="20"/>
          <w:color w:val="auto"/>
        </w:rPr>
      </w:pPr>
      <w:r>
        <w:rPr>
          <w:rFonts w:ascii="Arial" w:cs="Arial" w:eastAsia="Arial" w:hAnsi="Arial"/>
          <w:sz w:val="18"/>
          <w:szCs w:val="18"/>
          <w:color w:val="auto"/>
        </w:rPr>
        <w:t>The Company’s definition of free cash flow may not be comparable to similarly titled measures presented by other companies, and therefore is not subject to comparison.</w:t>
      </w:r>
    </w:p>
    <w:p>
      <w:pPr>
        <w:spacing w:after="0" w:line="76" w:lineRule="exact"/>
        <w:rPr>
          <w:sz w:val="20"/>
          <w:szCs w:val="20"/>
          <w:color w:val="auto"/>
        </w:rPr>
      </w:pPr>
    </w:p>
    <w:p>
      <w:pPr>
        <w:ind w:left="360" w:right="1559"/>
        <w:spacing w:after="0" w:line="271" w:lineRule="auto"/>
        <w:rPr>
          <w:sz w:val="20"/>
          <w:szCs w:val="20"/>
          <w:color w:val="auto"/>
        </w:rPr>
      </w:pPr>
      <w:r>
        <w:rPr>
          <w:rFonts w:ascii="Arial" w:cs="Arial" w:eastAsia="Arial" w:hAnsi="Arial"/>
          <w:sz w:val="17"/>
          <w:szCs w:val="17"/>
          <w:color w:val="auto"/>
        </w:rPr>
        <w:t>The quantitative reconciliations of non-GAAP measures used herein to the most comparable GAAP measures are included in the accompanying schedules, with the exception of projected earnings per diluted share and earnings growth. Management refers to GAAP income from operations before depreciation and amortization as “Operating EBITDA.” Our “traditional solid waste business” is comprised of collection, landfill and transfer stations. As such, it only includes a subset of our operations and these results are not calculated using, and cannot be reconciled to, GAAP measures available in our financial statements. Non-GAAP measures should not be considered a substitute for financial measures presented in accordance with GAAP, and investors are urged to take into account GAAP measures as well as non-GAAP measures in evaluating the Company.</w:t>
      </w:r>
    </w:p>
    <w:p>
      <w:pPr>
        <w:spacing w:after="0" w:line="84" w:lineRule="exact"/>
        <w:rPr>
          <w:sz w:val="20"/>
          <w:szCs w:val="20"/>
          <w:color w:val="auto"/>
        </w:rPr>
      </w:pPr>
    </w:p>
    <w:p>
      <w:pPr>
        <w:ind w:left="360" w:right="1539" w:hanging="352"/>
        <w:spacing w:after="0" w:line="277"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Core price is a performance metric used by management and is based on certain historical assumptions to allow for comparability between reporting periods.</w:t>
      </w:r>
    </w:p>
    <w:p>
      <w:pPr>
        <w:sectPr>
          <w:pgSz w:w="11900" w:h="16838" w:orient="portrait"/>
          <w:cols w:equalWidth="0" w:num="1">
            <w:col w:w="10219"/>
          </w:cols>
          <w:pgMar w:left="240" w:top="274" w:right="1440" w:bottom="1440" w:gutter="0" w:footer="0" w:header="0"/>
        </w:sectPr>
      </w:pPr>
    </w:p>
    <w:bookmarkStart w:id="9" w:name="page10"/>
    <w:bookmarkEnd w:id="9"/>
    <w:p>
      <w:pPr>
        <w:ind w:right="1719"/>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will host a conference call at 10:00 AM (Eastern) today to discuss the fourth quarter and full year 2014 results. Information contained within this press release will be referenced and should be considered in conjunction with the call.</w:t>
      </w:r>
    </w:p>
    <w:p>
      <w:pPr>
        <w:spacing w:after="0" w:line="208" w:lineRule="exact"/>
        <w:rPr>
          <w:sz w:val="20"/>
          <w:szCs w:val="20"/>
          <w:color w:val="auto"/>
        </w:rPr>
      </w:pPr>
    </w:p>
    <w:p>
      <w:pPr>
        <w:ind w:right="1659"/>
        <w:spacing w:after="0" w:line="279" w:lineRule="auto"/>
        <w:rPr>
          <w:sz w:val="20"/>
          <w:szCs w:val="20"/>
          <w:color w:val="auto"/>
        </w:rPr>
      </w:pPr>
      <w:r>
        <w:rPr>
          <w:rFonts w:ascii="Arial" w:cs="Arial" w:eastAsia="Arial" w:hAnsi="Arial"/>
          <w:sz w:val="17"/>
          <w:szCs w:val="17"/>
          <w:color w:val="auto"/>
        </w:rPr>
        <w:t xml:space="preserve">The conference call will be webcast live from the Investor Relations section of Waste Management’s website </w:t>
      </w:r>
      <w:r>
        <w:rPr>
          <w:rFonts w:ascii="Arial" w:cs="Arial" w:eastAsia="Arial" w:hAnsi="Arial"/>
          <w:sz w:val="17"/>
          <w:szCs w:val="17"/>
          <w:u w:val="single" w:color="auto"/>
          <w:color w:val="auto"/>
        </w:rPr>
        <w:t>www.wm.com</w:t>
      </w:r>
      <w:r>
        <w:rPr>
          <w:rFonts w:ascii="Arial" w:cs="Arial" w:eastAsia="Arial" w:hAnsi="Arial"/>
          <w:sz w:val="17"/>
          <w:szCs w:val="17"/>
          <w:color w:val="auto"/>
        </w:rPr>
        <w:t>. To access the conference call by telephone, please dial (877) 710-6139 approximately 10 minutes prior to the scheduled start of the call. If you are calling from outside of the United States or Canada, please dial (706) 643-7398. Please utilize conference ID number 64356817 when prompted by the conference call operator.</w:t>
      </w:r>
    </w:p>
    <w:p>
      <w:pPr>
        <w:spacing w:after="0" w:line="198" w:lineRule="exact"/>
        <w:rPr>
          <w:sz w:val="20"/>
          <w:szCs w:val="20"/>
          <w:color w:val="auto"/>
        </w:rPr>
      </w:pPr>
    </w:p>
    <w:p>
      <w:pPr>
        <w:ind w:right="1719"/>
        <w:spacing w:after="0" w:line="259" w:lineRule="auto"/>
        <w:rPr>
          <w:sz w:val="20"/>
          <w:szCs w:val="20"/>
          <w:color w:val="auto"/>
        </w:rPr>
      </w:pPr>
      <w:r>
        <w:rPr>
          <w:rFonts w:ascii="Arial" w:cs="Arial" w:eastAsia="Arial" w:hAnsi="Arial"/>
          <w:sz w:val="18"/>
          <w:szCs w:val="18"/>
          <w:color w:val="auto"/>
        </w:rPr>
        <w:t xml:space="preserve">A replay of the conference call will be available on the Company’s website </w:t>
      </w:r>
      <w:r>
        <w:rPr>
          <w:rFonts w:ascii="Arial" w:cs="Arial" w:eastAsia="Arial" w:hAnsi="Arial"/>
          <w:sz w:val="18"/>
          <w:szCs w:val="18"/>
          <w:u w:val="single" w:color="auto"/>
          <w:color w:val="auto"/>
        </w:rPr>
        <w:t>www.wm.com</w:t>
      </w:r>
      <w:r>
        <w:rPr>
          <w:rFonts w:ascii="Arial" w:cs="Arial" w:eastAsia="Arial" w:hAnsi="Arial"/>
          <w:sz w:val="18"/>
          <w:szCs w:val="18"/>
          <w:color w:val="auto"/>
        </w:rPr>
        <w:t xml:space="preserve"> and by telephone from approximately 1:00 PM (Eastern) Tuesday, February 17, 2015 through 5:00 PM (Eastern) on Tuesday, March 3, 2015. To access the replay telephonically, please dial (855) 859-2056, or from outside of the United States or Canada dial (404) 537-3406, and use the replay conference ID number 64356817.</w:t>
      </w:r>
    </w:p>
    <w:p>
      <w:pPr>
        <w:spacing w:after="0" w:line="214" w:lineRule="exact"/>
        <w:rPr>
          <w:sz w:val="20"/>
          <w:szCs w:val="20"/>
          <w:color w:val="auto"/>
        </w:rPr>
      </w:pPr>
    </w:p>
    <w:p>
      <w:pPr>
        <w:ind w:right="1659"/>
        <w:spacing w:after="0" w:line="284" w:lineRule="auto"/>
        <w:rPr>
          <w:sz w:val="20"/>
          <w:szCs w:val="20"/>
          <w:color w:val="auto"/>
        </w:rPr>
      </w:pPr>
      <w:r>
        <w:rPr>
          <w:rFonts w:ascii="Arial" w:cs="Arial" w:eastAsia="Arial" w:hAnsi="Arial"/>
          <w:sz w:val="16"/>
          <w:szCs w:val="16"/>
          <w:i w:val="1"/>
          <w:iCs w:val="1"/>
          <w:color w:val="auto"/>
        </w:rPr>
        <w:t>The Company, from time to time, provides estimates of financial and other data, comments on expectations relating to future periods and makes statements of opinion, view or belief about current and future events. This press release contains a number of such forward-looking statements, including but not limited to all statements under the heading “2015 Outlook” and statements regarding 2015 earnings per diluted share and earnings growth; 2015 free cash flow and growth; future internal revenue growth from yield and volume; future recycling commodity prices; results from recycling operations; future uses of Wheelabrator divestitures proceeds and free cash flow; future acquisitions, including timing, regulatory approvals and contributions of such acquisitions to earnings and cash flow; and future dividend rates and shares repurchases. You should view these statements with caution. They are based on the facts and circumstances known to the Company as of the date the statements are made. These forward-looking statements are subject to risks and uncertainties that could cause actual results to be materially different from those set forth in such forward-looking statements, including but not limited to, increased competition; pricing actions; failure to implement our optimization, growth, and cost savings initiatives and overall business strategy; failure to identify acquisition targets and negotiate attractive terms; failure to consummate or integrate such acquisitions; failure to obtain the results anticipated from acquisitions; environmental and other regulations; commodity price fluctuations; disposal alternatives and waste diversion; declining waste volumes; failure to develop and protect new technology; significant environmental or other incidents resulting in liabilities and brand damage; weakness in economic conditions; failure to obtain and maintain necessary permits; labor disruptions; impairment charges; and negative outcomes of litigation or governmental proceedings. Please also see the Company’s filings with the SEC, including Part I, Item 1A of the Company’s most recently filed Annual Report on Form 10-K, for additional information regarding these and other risks and uncertainties applicable to our business. The Company assumes no obligation to update any forward-looking statement, including financial estimates and forecasts, whether as a result of future events, circumstances or developments or otherwise.</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WASTE MANAGEMENT</w:t>
      </w:r>
    </w:p>
    <w:p>
      <w:pPr>
        <w:spacing w:after="0" w:line="135" w:lineRule="exact"/>
        <w:rPr>
          <w:sz w:val="20"/>
          <w:szCs w:val="20"/>
          <w:color w:val="auto"/>
        </w:rPr>
      </w:pPr>
    </w:p>
    <w:p>
      <w:pPr>
        <w:ind w:right="1679"/>
        <w:spacing w:after="0" w:line="255" w:lineRule="auto"/>
        <w:rPr>
          <w:sz w:val="20"/>
          <w:szCs w:val="20"/>
          <w:color w:val="auto"/>
        </w:rPr>
      </w:pPr>
      <w:r>
        <w:rPr>
          <w:rFonts w:ascii="Arial" w:cs="Arial" w:eastAsia="Arial" w:hAnsi="Arial"/>
          <w:sz w:val="18"/>
          <w:szCs w:val="18"/>
          <w:color w:val="auto"/>
        </w:rPr>
        <w:t xml:space="preserve">Waste Management, based in Houston, Texas, is the leading provider of comprehensive waste management services in North America. Through its subsidiaries, the company provides collection, transfer, recycling and resource recovery, and disposal services. It is also a leading developer, operator and owner of landfill gas-to-energy facilities in the United States. The company’s customers include residential, commercial, industrial, and municipal customers throughout North America. To learn more information about Waste Management, visit </w:t>
      </w:r>
      <w:r>
        <w:rPr>
          <w:rFonts w:ascii="Arial" w:cs="Arial" w:eastAsia="Arial" w:hAnsi="Arial"/>
          <w:sz w:val="18"/>
          <w:szCs w:val="18"/>
          <w:u w:val="single" w:color="auto"/>
          <w:color w:val="auto"/>
        </w:rPr>
        <w:t>www.wm.com</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www.thinkgreen.com</w:t>
      </w:r>
      <w:r>
        <w:rPr>
          <w:rFonts w:ascii="Arial" w:cs="Arial" w:eastAsia="Arial" w:hAnsi="Arial"/>
          <w:sz w:val="18"/>
          <w:szCs w:val="18"/>
          <w:color w:val="auto"/>
        </w:rPr>
        <w:t>.</w:t>
      </w:r>
    </w:p>
    <w:p>
      <w:pPr>
        <w:spacing w:after="0" w:line="220"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219"/>
          </w:cols>
          <w:pgMar w:left="240" w:top="382" w:right="1440"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93"/>
              </w:rPr>
              <w:t>Quarters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20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2,170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376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Arial" w:cs="Arial" w:eastAsia="Arial" w:hAnsi="Arial"/>
                <w:sz w:val="18"/>
                <w:szCs w:val="18"/>
                <w:color w:val="auto"/>
              </w:rPr>
              <w:t>Restructuring</w:t>
            </w: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expense from divestitures, asset impairments and unusual items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2,685</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340"/>
              <w:spacing w:after="0"/>
              <w:rPr>
                <w:sz w:val="20"/>
                <w:szCs w:val="20"/>
                <w:color w:val="auto"/>
              </w:rPr>
            </w:pPr>
            <w:r>
              <w:rPr>
                <w:rFonts w:ascii="Arial" w:cs="Arial" w:eastAsia="Arial" w:hAnsi="Arial"/>
                <w:sz w:val="18"/>
                <w:szCs w:val="18"/>
                <w:color w:val="auto"/>
              </w:rPr>
              <w:t>Other income (expense):</w:t>
            </w: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in net losses of unconsolidated entities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23"/>
        </w:trPr>
        <w:tc>
          <w:tcPr>
            <w:tcW w:w="920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599</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9200" w:type="dxa"/>
            <w:vAlign w:val="bottom"/>
            <w:gridSpan w:val="2"/>
          </w:tcPr>
          <w:p>
            <w:pPr>
              <w:spacing w:after="0"/>
              <w:rPr>
                <w:sz w:val="20"/>
                <w:szCs w:val="20"/>
                <w:color w:val="auto"/>
              </w:rPr>
            </w:pPr>
            <w:r>
              <w:rPr>
                <w:rFonts w:ascii="Arial" w:cs="Arial" w:eastAsia="Arial" w:hAnsi="Arial"/>
                <w:sz w:val="18"/>
                <w:szCs w:val="18"/>
                <w:color w:val="auto"/>
              </w:rPr>
              <w:t>Consolidated net income (loss)</w:t>
            </w: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Net income attributable to noncontrolling interests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9200" w:type="dxa"/>
            <w:vAlign w:val="bottom"/>
            <w:gridSpan w:val="2"/>
          </w:tcPr>
          <w:p>
            <w:pPr>
              <w:spacing w:after="0"/>
              <w:rPr>
                <w:sz w:val="20"/>
                <w:szCs w:val="20"/>
                <w:color w:val="auto"/>
              </w:rPr>
            </w:pPr>
            <w:r>
              <w:rPr>
                <w:rFonts w:ascii="Arial" w:cs="Arial" w:eastAsia="Arial" w:hAnsi="Arial"/>
                <w:sz w:val="18"/>
                <w:szCs w:val="18"/>
                <w:color w:val="auto"/>
              </w:rPr>
              <w:t>Net income (loss) attributable to Waste Management, Inc.</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0"/>
        </w:trPr>
        <w:tc>
          <w:tcPr>
            <w:tcW w:w="920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(loss)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Basic common shares outstanding</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458.5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468.0</w:t>
            </w:r>
          </w:p>
        </w:tc>
        <w:tc>
          <w:tcPr>
            <w:tcW w:w="0" w:type="dxa"/>
            <w:vAlign w:val="bottom"/>
          </w:tcPr>
          <w:p>
            <w:pPr>
              <w:spacing w:after="0"/>
              <w:rPr>
                <w:sz w:val="1"/>
                <w:szCs w:val="1"/>
                <w:color w:val="auto"/>
              </w:rPr>
            </w:pPr>
          </w:p>
        </w:tc>
      </w:tr>
      <w:tr>
        <w:trPr>
          <w:trHeight w:val="20"/>
        </w:trPr>
        <w:tc>
          <w:tcPr>
            <w:tcW w:w="9200" w:type="dxa"/>
            <w:vAlign w:val="bottom"/>
            <w:gridSpan w:val="2"/>
            <w:vMerge w:val="restart"/>
          </w:tcPr>
          <w:p>
            <w:pPr>
              <w:spacing w:after="0"/>
              <w:rPr>
                <w:sz w:val="20"/>
                <w:szCs w:val="20"/>
                <w:color w:val="auto"/>
              </w:rPr>
            </w:pPr>
            <w:r>
              <w:rPr>
                <w:rFonts w:ascii="Arial" w:cs="Arial" w:eastAsia="Arial" w:hAnsi="Arial"/>
                <w:sz w:val="18"/>
                <w:szCs w:val="18"/>
                <w:color w:val="auto"/>
              </w:rPr>
              <w:t>Diluted common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0.375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0.365</w:t>
            </w:r>
          </w:p>
        </w:tc>
        <w:tc>
          <w:tcPr>
            <w:tcW w:w="0" w:type="dxa"/>
            <w:vAlign w:val="bottom"/>
          </w:tcPr>
          <w:p>
            <w:pPr>
              <w:spacing w:after="0"/>
              <w:rPr>
                <w:sz w:val="1"/>
                <w:szCs w:val="1"/>
                <w:color w:val="auto"/>
              </w:rPr>
            </w:pPr>
          </w:p>
        </w:tc>
      </w:tr>
      <w:tr>
        <w:trPr>
          <w:trHeight w:val="20"/>
        </w:trPr>
        <w:tc>
          <w:tcPr>
            <w:tcW w:w="9200" w:type="dxa"/>
            <w:vAlign w:val="bottom"/>
            <w:gridSpan w:val="2"/>
            <w:vMerge w:val="restart"/>
          </w:tcPr>
          <w:p>
            <w:pPr>
              <w:ind w:left="5600"/>
              <w:spacing w:after="0"/>
              <w:rPr>
                <w:sz w:val="20"/>
                <w:szCs w:val="20"/>
                <w:color w:val="auto"/>
              </w:rPr>
            </w:pPr>
            <w:r>
              <w:rPr>
                <w:rFonts w:ascii="Arial" w:cs="Arial" w:eastAsia="Arial" w:hAnsi="Arial"/>
                <w:sz w:val="18"/>
                <w:szCs w:val="18"/>
                <w:b w:val="1"/>
                <w:bCs w:val="1"/>
                <w:color w:val="auto"/>
              </w:rPr>
              <w:t>(1)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2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93"/>
              </w:rPr>
              <w:t>Quarters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2014</w:t>
            </w:r>
          </w:p>
        </w:tc>
        <w:tc>
          <w:tcPr>
            <w:tcW w:w="5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EPS Calculation:</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Net income (loss) attributable to Waste Management, Inc.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590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458.5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tcPr>
          <w:p>
            <w:pPr>
              <w:ind w:left="340"/>
              <w:spacing w:after="0"/>
              <w:rPr>
                <w:sz w:val="20"/>
                <w:szCs w:val="20"/>
                <w:color w:val="auto"/>
              </w:rPr>
            </w:pPr>
            <w:r>
              <w:rPr>
                <w:rFonts w:ascii="Arial" w:cs="Arial" w:eastAsia="Arial" w:hAnsi="Arial"/>
                <w:sz w:val="18"/>
                <w:szCs w:val="18"/>
                <w:color w:val="auto"/>
              </w:rPr>
              <w:t>Effect of using weighted average common shares outstanding</w:t>
            </w: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center"/>
              <w:ind w:left="234"/>
              <w:spacing w:after="0"/>
              <w:rPr>
                <w:sz w:val="20"/>
                <w:szCs w:val="20"/>
                <w:color w:val="auto"/>
              </w:rPr>
            </w:pPr>
            <w:r>
              <w:rPr>
                <w:rFonts w:ascii="Arial" w:cs="Arial" w:eastAsia="Arial" w:hAnsi="Arial"/>
                <w:sz w:val="18"/>
                <w:szCs w:val="18"/>
                <w:color w:val="auto"/>
                <w:w w:val="99"/>
              </w:rPr>
              <w:t>—</w:t>
            </w:r>
          </w:p>
        </w:tc>
        <w:tc>
          <w:tcPr>
            <w:tcW w:w="5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458.5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340"/>
              <w:spacing w:after="0"/>
              <w:rPr>
                <w:sz w:val="20"/>
                <w:szCs w:val="20"/>
                <w:color w:val="auto"/>
              </w:rPr>
            </w:pPr>
            <w:r>
              <w:rPr>
                <w:rFonts w:ascii="Arial" w:cs="Arial" w:eastAsia="Arial" w:hAnsi="Arial"/>
                <w:sz w:val="18"/>
                <w:szCs w:val="18"/>
                <w:color w:val="auto"/>
              </w:rPr>
              <w:t>Dilutive effect of equity-based compensation awards and other contingently issuable shares</w:t>
            </w:r>
          </w:p>
        </w:tc>
        <w:tc>
          <w:tcPr>
            <w:tcW w:w="12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461.9</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470.5</w:t>
            </w:r>
          </w:p>
        </w:tc>
        <w:tc>
          <w:tcPr>
            <w:tcW w:w="0" w:type="dxa"/>
            <w:vAlign w:val="bottom"/>
          </w:tcPr>
          <w:p>
            <w:pPr>
              <w:spacing w:after="0"/>
              <w:rPr>
                <w:sz w:val="1"/>
                <w:szCs w:val="1"/>
                <w:color w:val="auto"/>
              </w:rPr>
            </w:pPr>
          </w:p>
        </w:tc>
      </w:tr>
      <w:tr>
        <w:trPr>
          <w:trHeight w:val="20"/>
        </w:trPr>
        <w:tc>
          <w:tcPr>
            <w:tcW w:w="9160" w:type="dxa"/>
            <w:vAlign w:val="bottom"/>
            <w:gridSpan w:val="2"/>
            <w:vMerge w:val="restart"/>
          </w:tcPr>
          <w:p>
            <w:pPr>
              <w:spacing w:after="0"/>
              <w:rPr>
                <w:sz w:val="20"/>
                <w:szCs w:val="20"/>
                <w:color w:val="auto"/>
              </w:rPr>
            </w:pPr>
            <w:r>
              <w:rPr>
                <w:rFonts w:ascii="Arial" w:cs="Arial" w:eastAsia="Arial" w:hAnsi="Arial"/>
                <w:sz w:val="18"/>
                <w:szCs w:val="18"/>
                <w:color w:val="auto"/>
              </w:rPr>
              <w:t>Basic earnings (loss) per common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60" w:type="dxa"/>
            <w:vAlign w:val="bottom"/>
            <w:gridSpan w:val="2"/>
            <w:vMerge w:val="continue"/>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58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common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0"/>
        </w:trPr>
        <w:tc>
          <w:tcPr>
            <w:tcW w:w="9160" w:type="dxa"/>
            <w:vAlign w:val="bottom"/>
            <w:gridSpan w:val="2"/>
            <w:vMerge w:val="restart"/>
          </w:tcPr>
          <w:p>
            <w:pPr>
              <w:jc w:val="right"/>
              <w:ind w:right="3250"/>
              <w:spacing w:after="0"/>
              <w:rPr>
                <w:sz w:val="20"/>
                <w:szCs w:val="20"/>
                <w:color w:val="auto"/>
              </w:rPr>
            </w:pPr>
            <w:r>
              <w:rPr>
                <w:rFonts w:ascii="Arial" w:cs="Arial" w:eastAsia="Arial" w:hAnsi="Arial"/>
                <w:sz w:val="18"/>
                <w:szCs w:val="18"/>
                <w:b w:val="1"/>
                <w:bCs w:val="1"/>
                <w:color w:val="auto"/>
              </w:rPr>
              <w:t>(2)</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1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8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92"/>
              </w:rPr>
              <w:t>Twelve Months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2014</w:t>
            </w:r>
          </w:p>
        </w:tc>
        <w:tc>
          <w:tcPr>
            <w:tcW w:w="2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882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9,002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1,481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1,292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40"/>
              <w:spacing w:after="0"/>
              <w:rPr>
                <w:sz w:val="20"/>
                <w:szCs w:val="20"/>
                <w:color w:val="auto"/>
              </w:rPr>
            </w:pPr>
            <w:r>
              <w:rPr>
                <w:rFonts w:ascii="Arial" w:cs="Arial" w:eastAsia="Arial" w:hAnsi="Arial"/>
                <w:sz w:val="18"/>
                <w:szCs w:val="18"/>
                <w:color w:val="auto"/>
              </w:rPr>
              <w:t>Restructuring</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expense from divestitures, asset impairments and unusual items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11,697</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2,299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in net losses of unconsolidated entities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40"/>
              <w:spacing w:after="0"/>
              <w:rPr>
                <w:sz w:val="20"/>
                <w:szCs w:val="20"/>
                <w:color w:val="auto"/>
              </w:rPr>
            </w:pPr>
            <w:r>
              <w:rPr>
                <w:rFonts w:ascii="Arial" w:cs="Arial" w:eastAsia="Arial" w:hAnsi="Arial"/>
                <w:sz w:val="18"/>
                <w:szCs w:val="18"/>
                <w:color w:val="auto"/>
              </w:rPr>
              <w:t>Other, net</w:t>
            </w:r>
          </w:p>
        </w:tc>
        <w:tc>
          <w:tcPr>
            <w:tcW w:w="1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color w:val="auto"/>
              </w:rPr>
              <w:t>Consolidated net income</w:t>
            </w: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1,338</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Net income attributable to noncontrolling interests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color w:val="auto"/>
              </w:rPr>
              <w:t>Net income attributable to Waste Management, Inc.</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1,298</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2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0"/>
        </w:trPr>
        <w:tc>
          <w:tcPr>
            <w:tcW w:w="882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common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20" w:type="dxa"/>
            <w:vAlign w:val="bottom"/>
            <w:gridSpan w:val="2"/>
            <w:vMerge w:val="continue"/>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Basic common shares outstanding</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20" w:type="dxa"/>
            <w:vAlign w:val="bottom"/>
            <w:gridSpan w:val="2"/>
            <w:vMerge w:val="restart"/>
          </w:tcPr>
          <w:p>
            <w:pPr>
              <w:spacing w:after="0"/>
              <w:rPr>
                <w:sz w:val="20"/>
                <w:szCs w:val="20"/>
                <w:color w:val="auto"/>
              </w:rPr>
            </w:pPr>
            <w:r>
              <w:rPr>
                <w:rFonts w:ascii="Arial" w:cs="Arial" w:eastAsia="Arial" w:hAnsi="Arial"/>
                <w:sz w:val="18"/>
                <w:szCs w:val="18"/>
                <w:color w:val="auto"/>
              </w:rPr>
              <w:t>Diluted common shares outstanding</w:t>
            </w:r>
          </w:p>
        </w:tc>
        <w:tc>
          <w:tcPr>
            <w:tcW w:w="1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20" w:type="dxa"/>
            <w:vAlign w:val="bottom"/>
            <w:gridSpan w:val="2"/>
            <w:vMerge w:val="continue"/>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common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1.50</w:t>
            </w:r>
          </w:p>
        </w:tc>
        <w:tc>
          <w:tcPr>
            <w:tcW w:w="4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
        </w:trPr>
        <w:tc>
          <w:tcPr>
            <w:tcW w:w="8820" w:type="dxa"/>
            <w:vAlign w:val="bottom"/>
            <w:gridSpan w:val="2"/>
            <w:vMerge w:val="restart"/>
          </w:tcPr>
          <w:p>
            <w:pPr>
              <w:ind w:left="5600"/>
              <w:spacing w:after="0"/>
              <w:rPr>
                <w:sz w:val="20"/>
                <w:szCs w:val="20"/>
                <w:color w:val="auto"/>
              </w:rPr>
            </w:pPr>
            <w:r>
              <w:rPr>
                <w:rFonts w:ascii="Arial" w:cs="Arial" w:eastAsia="Arial" w:hAnsi="Arial"/>
                <w:sz w:val="18"/>
                <w:szCs w:val="18"/>
                <w:b w:val="1"/>
                <w:bCs w:val="1"/>
                <w:color w:val="auto"/>
              </w:rPr>
              <w:t>(3)</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8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2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4"/>
              </w:rPr>
              <w:t>Twelve Months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8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2014</w:t>
            </w:r>
          </w:p>
        </w:tc>
        <w:tc>
          <w:tcPr>
            <w:tcW w:w="7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EPS Calculation:</w:t>
            </w: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Net income attributable to Waste Management, Inc.</w:t>
            </w:r>
          </w:p>
        </w:tc>
        <w:tc>
          <w:tcPr>
            <w:tcW w:w="10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780"/>
              <w:spacing w:after="0"/>
              <w:rPr>
                <w:sz w:val="20"/>
                <w:szCs w:val="20"/>
                <w:color w:val="auto"/>
              </w:rPr>
            </w:pPr>
            <w:r>
              <w:rPr>
                <w:rFonts w:ascii="Arial" w:cs="Arial" w:eastAsia="Arial" w:hAnsi="Arial"/>
                <w:sz w:val="18"/>
                <w:szCs w:val="18"/>
                <w:color w:val="auto"/>
              </w:rPr>
              <w:t>1,298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458.5</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Effect of using weighted average common shares outstanding</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780"/>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462.6</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Dilutive effect of equity-based compensation awards and other contingently issuable shares</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780"/>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465.6</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common share</w:t>
            </w:r>
          </w:p>
        </w:tc>
        <w:tc>
          <w:tcPr>
            <w:tcW w:w="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0" w:type="dxa"/>
            <w:vAlign w:val="bottom"/>
            <w:gridSpan w:val="2"/>
            <w:vMerge w:val="continue"/>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7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0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2.79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0"/>
        </w:trPr>
        <w:tc>
          <w:tcPr>
            <w:tcW w:w="7800" w:type="dxa"/>
            <w:vAlign w:val="bottom"/>
            <w:gridSpan w:val="2"/>
            <w:vMerge w:val="restart"/>
          </w:tcPr>
          <w:p>
            <w:pPr>
              <w:jc w:val="right"/>
              <w:ind w:right="1890"/>
              <w:spacing w:after="0"/>
              <w:rPr>
                <w:sz w:val="20"/>
                <w:szCs w:val="20"/>
                <w:color w:val="auto"/>
              </w:rPr>
            </w:pPr>
            <w:r>
              <w:rPr>
                <w:rFonts w:ascii="Arial" w:cs="Arial" w:eastAsia="Arial" w:hAnsi="Arial"/>
                <w:sz w:val="18"/>
                <w:szCs w:val="18"/>
                <w:b w:val="1"/>
                <w:bCs w:val="1"/>
                <w:color w:val="auto"/>
              </w:rPr>
              <w:t>(4)</w:t>
            </w:r>
          </w:p>
        </w:tc>
        <w:tc>
          <w:tcPr>
            <w:tcW w:w="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80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8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7"/>
              </w:rPr>
              <w:t>(Unaudited)</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1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3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4160" w:type="dxa"/>
            <w:vAlign w:val="bottom"/>
            <w:gridSpan w:val="2"/>
            <w:shd w:val="clear" w:color="auto" w:fill="CCEEFF"/>
          </w:tcPr>
          <w:p>
            <w:pPr>
              <w:ind w:left="39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1,307</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Receivables, net</w:t>
            </w:r>
          </w:p>
        </w:tc>
        <w:tc>
          <w:tcPr>
            <w:tcW w:w="3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1,937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3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ind w:left="700"/>
              <w:spacing w:after="0"/>
              <w:rPr>
                <w:sz w:val="20"/>
                <w:szCs w:val="20"/>
                <w:color w:val="auto"/>
              </w:rPr>
            </w:pPr>
            <w:r>
              <w:rPr>
                <w:rFonts w:ascii="Arial" w:cs="Arial" w:eastAsia="Arial" w:hAnsi="Arial"/>
                <w:sz w:val="18"/>
                <w:szCs w:val="18"/>
                <w:color w:val="auto"/>
              </w:rPr>
              <w:t>Total current assets</w:t>
            </w:r>
          </w:p>
        </w:tc>
        <w:tc>
          <w:tcPr>
            <w:tcW w:w="39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3,641</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10,657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Goodwill</w:t>
            </w:r>
          </w:p>
        </w:tc>
        <w:tc>
          <w:tcPr>
            <w:tcW w:w="3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5,740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3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Other assets</w:t>
            </w:r>
          </w:p>
        </w:tc>
        <w:tc>
          <w:tcPr>
            <w:tcW w:w="39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assets</w:t>
            </w:r>
          </w:p>
        </w:tc>
        <w:tc>
          <w:tcPr>
            <w:tcW w:w="4160" w:type="dxa"/>
            <w:vAlign w:val="bottom"/>
            <w:gridSpan w:val="2"/>
            <w:shd w:val="clear" w:color="auto" w:fill="CCEEFF"/>
          </w:tcPr>
          <w:p>
            <w:pPr>
              <w:ind w:left="39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21,412</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22,603</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3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gridSpan w:val="2"/>
            <w:vMerge w:val="continue"/>
          </w:tcPr>
          <w:p>
            <w:pPr>
              <w:spacing w:after="0"/>
              <w:rPr>
                <w:sz w:val="18"/>
                <w:szCs w:val="18"/>
                <w:color w:val="auto"/>
              </w:rPr>
            </w:pPr>
          </w:p>
        </w:tc>
        <w:tc>
          <w:tcPr>
            <w:tcW w:w="3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140" w:type="dxa"/>
            <w:vAlign w:val="bottom"/>
          </w:tcPr>
          <w:p>
            <w:pPr>
              <w:spacing w:after="0"/>
              <w:rPr>
                <w:sz w:val="9"/>
                <w:szCs w:val="9"/>
                <w:color w:val="auto"/>
              </w:rPr>
            </w:pPr>
          </w:p>
        </w:tc>
        <w:tc>
          <w:tcPr>
            <w:tcW w:w="3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w w:val="99"/>
              </w:rPr>
              <w:t>Accounts payable, accrued liabilities, and deferred revenues</w:t>
            </w:r>
          </w:p>
        </w:tc>
        <w:tc>
          <w:tcPr>
            <w:tcW w:w="4160" w:type="dxa"/>
            <w:vAlign w:val="bottom"/>
            <w:gridSpan w:val="2"/>
          </w:tcPr>
          <w:p>
            <w:pPr>
              <w:ind w:left="39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2,395</w:t>
            </w:r>
          </w:p>
        </w:tc>
        <w:tc>
          <w:tcPr>
            <w:tcW w:w="4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2,288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portion of long-term debt</w:t>
            </w:r>
          </w:p>
        </w:tc>
        <w:tc>
          <w:tcPr>
            <w:tcW w:w="3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1,090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ind w:left="700"/>
              <w:spacing w:after="0"/>
              <w:rPr>
                <w:sz w:val="20"/>
                <w:szCs w:val="20"/>
                <w:color w:val="auto"/>
              </w:rPr>
            </w:pPr>
            <w:r>
              <w:rPr>
                <w:rFonts w:ascii="Arial" w:cs="Arial" w:eastAsia="Arial" w:hAnsi="Arial"/>
                <w:sz w:val="18"/>
                <w:szCs w:val="18"/>
                <w:color w:val="auto"/>
              </w:rPr>
              <w:t>Total current liabilities</w:t>
            </w:r>
          </w:p>
        </w:tc>
        <w:tc>
          <w:tcPr>
            <w:tcW w:w="39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3,485</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3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8,345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Other liabilities</w:t>
            </w:r>
          </w:p>
        </w:tc>
        <w:tc>
          <w:tcPr>
            <w:tcW w:w="39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liabilities</w:t>
            </w:r>
          </w:p>
        </w:tc>
        <w:tc>
          <w:tcPr>
            <w:tcW w:w="3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15,523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16,601</w:t>
            </w:r>
          </w:p>
        </w:tc>
        <w:tc>
          <w:tcPr>
            <w:tcW w:w="0" w:type="dxa"/>
            <w:vAlign w:val="bottom"/>
          </w:tcPr>
          <w:p>
            <w:pPr>
              <w:spacing w:after="0"/>
              <w:rPr>
                <w:sz w:val="1"/>
                <w:szCs w:val="1"/>
                <w:color w:val="auto"/>
              </w:rPr>
            </w:pPr>
          </w:p>
        </w:tc>
      </w:tr>
      <w:tr>
        <w:trPr>
          <w:trHeight w:val="223"/>
        </w:trPr>
        <w:tc>
          <w:tcPr>
            <w:tcW w:w="5160" w:type="dxa"/>
            <w:vAlign w:val="bottom"/>
            <w:gridSpan w:val="2"/>
          </w:tcPr>
          <w:p>
            <w:pPr>
              <w:spacing w:after="0"/>
              <w:rPr>
                <w:sz w:val="20"/>
                <w:szCs w:val="20"/>
                <w:color w:val="auto"/>
              </w:rPr>
            </w:pPr>
            <w:r>
              <w:rPr>
                <w:rFonts w:ascii="Arial" w:cs="Arial" w:eastAsia="Arial" w:hAnsi="Arial"/>
                <w:sz w:val="18"/>
                <w:szCs w:val="18"/>
                <w:color w:val="auto"/>
              </w:rPr>
              <w:t>Equity:</w:t>
            </w:r>
          </w:p>
        </w:tc>
        <w:tc>
          <w:tcPr>
            <w:tcW w:w="39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Waste Management, Inc. stockholders’ equity</w:t>
            </w:r>
          </w:p>
        </w:tc>
        <w:tc>
          <w:tcPr>
            <w:tcW w:w="3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5,866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Noncontrolling interests</w:t>
            </w:r>
          </w:p>
        </w:tc>
        <w:tc>
          <w:tcPr>
            <w:tcW w:w="3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equity</w:t>
            </w:r>
          </w:p>
        </w:tc>
        <w:tc>
          <w:tcPr>
            <w:tcW w:w="398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ind w:left="700"/>
              <w:spacing w:after="0"/>
              <w:rPr>
                <w:sz w:val="20"/>
                <w:szCs w:val="20"/>
                <w:color w:val="auto"/>
              </w:rPr>
            </w:pPr>
            <w:r>
              <w:rPr>
                <w:rFonts w:ascii="Arial" w:cs="Arial" w:eastAsia="Arial" w:hAnsi="Arial"/>
                <w:sz w:val="18"/>
                <w:szCs w:val="18"/>
                <w:color w:val="auto"/>
              </w:rPr>
              <w:t>Total liabilities and equity</w:t>
            </w:r>
          </w:p>
        </w:tc>
        <w:tc>
          <w:tcPr>
            <w:tcW w:w="398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21,412</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3980" w:type="dxa"/>
            <w:vAlign w:val="bottom"/>
            <w:vMerge w:val="restart"/>
          </w:tcPr>
          <w:p>
            <w:pPr>
              <w:jc w:val="right"/>
              <w:ind w:right="3230"/>
              <w:spacing w:after="0"/>
              <w:rPr>
                <w:sz w:val="20"/>
                <w:szCs w:val="20"/>
                <w:color w:val="auto"/>
              </w:rPr>
            </w:pPr>
            <w:r>
              <w:rPr>
                <w:rFonts w:ascii="Arial" w:cs="Arial" w:eastAsia="Arial" w:hAnsi="Arial"/>
                <w:sz w:val="18"/>
                <w:szCs w:val="18"/>
                <w:b w:val="1"/>
                <w:bCs w:val="1"/>
                <w:color w:val="auto"/>
              </w:rPr>
              <w:t>(5)</w:t>
            </w: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39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2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4"/>
              </w:rPr>
              <w:t>Twelve Months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2014</w:t>
            </w:r>
          </w:p>
        </w:tc>
        <w:tc>
          <w:tcPr>
            <w:tcW w:w="7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Consolidated net income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1,338</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consolidated net income to net cash provided by operating activities: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70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1,292</w:t>
            </w: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700"/>
              <w:spacing w:after="0"/>
              <w:rPr>
                <w:sz w:val="20"/>
                <w:szCs w:val="20"/>
                <w:color w:val="auto"/>
              </w:rPr>
            </w:pPr>
            <w:r>
              <w:rPr>
                <w:rFonts w:ascii="Arial" w:cs="Arial" w:eastAsia="Arial" w:hAnsi="Arial"/>
                <w:sz w:val="18"/>
                <w:szCs w:val="18"/>
                <w:color w:val="auto"/>
              </w:rPr>
              <w:t>Change in operating assets and liabilities, net of effects of acquisitions and divestitures</w:t>
            </w:r>
          </w:p>
        </w:tc>
        <w:tc>
          <w:tcPr>
            <w:tcW w:w="140" w:type="dxa"/>
            <w:vAlign w:val="bottom"/>
          </w:tcPr>
          <w:p>
            <w:pPr>
              <w:spacing w:after="0"/>
              <w:rPr>
                <w:sz w:val="18"/>
                <w:szCs w:val="18"/>
                <w:color w:val="auto"/>
              </w:rPr>
            </w:pP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rPr>
              <w:t>(265)</w:t>
            </w: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2,331</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2,455</w:t>
            </w:r>
          </w:p>
        </w:tc>
        <w:tc>
          <w:tcPr>
            <w:tcW w:w="0" w:type="dxa"/>
            <w:vAlign w:val="bottom"/>
          </w:tcPr>
          <w:p>
            <w:pPr>
              <w:spacing w:after="0"/>
              <w:rPr>
                <w:sz w:val="1"/>
                <w:szCs w:val="1"/>
                <w:color w:val="auto"/>
              </w:rPr>
            </w:pPr>
          </w:p>
        </w:tc>
      </w:tr>
      <w:tr>
        <w:trPr>
          <w:trHeight w:val="223"/>
        </w:trPr>
        <w:tc>
          <w:tcPr>
            <w:tcW w:w="866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Acquisitions of businesses, net of cash acquired</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Capital expenditures</w:t>
            </w:r>
          </w:p>
        </w:tc>
        <w:tc>
          <w:tcPr>
            <w:tcW w:w="140" w:type="dxa"/>
            <w:vAlign w:val="bottom"/>
          </w:tcPr>
          <w:p>
            <w:pPr>
              <w:spacing w:after="0"/>
              <w:rPr>
                <w:sz w:val="18"/>
                <w:szCs w:val="18"/>
                <w:color w:val="auto"/>
              </w:rPr>
            </w:pP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rPr>
              <w:t>(1,151)</w:t>
            </w: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divestitures of businesses and other assets (net of cash divested)</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2,253</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Investments in unconsolidated entities</w:t>
            </w:r>
          </w:p>
        </w:tc>
        <w:tc>
          <w:tcPr>
            <w:tcW w:w="140" w:type="dxa"/>
            <w:vAlign w:val="bottom"/>
          </w:tcPr>
          <w:p>
            <w:pPr>
              <w:spacing w:after="0"/>
              <w:rPr>
                <w:sz w:val="18"/>
                <w:szCs w:val="18"/>
                <w:color w:val="auto"/>
              </w:rPr>
            </w:pP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receipts from restricted trust and escrow accounts, and other</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8660" w:type="dxa"/>
            <w:vAlign w:val="bottom"/>
            <w:gridSpan w:val="2"/>
          </w:tcPr>
          <w:p>
            <w:pPr>
              <w:spacing w:after="0"/>
              <w:rPr>
                <w:sz w:val="20"/>
                <w:szCs w:val="20"/>
                <w:color w:val="auto"/>
              </w:rPr>
            </w:pPr>
            <w:r>
              <w:rPr>
                <w:rFonts w:ascii="Arial" w:cs="Arial" w:eastAsia="Arial" w:hAnsi="Arial"/>
                <w:sz w:val="18"/>
                <w:szCs w:val="18"/>
                <w:color w:val="auto"/>
              </w:rPr>
              <w:t>Net cash provided by (used in) investing activities</w:t>
            </w:r>
          </w:p>
        </w:tc>
        <w:tc>
          <w:tcPr>
            <w:tcW w:w="1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995</w:t>
            </w:r>
          </w:p>
        </w:tc>
        <w:tc>
          <w:tcPr>
            <w:tcW w:w="7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New borrowings</w:t>
            </w:r>
          </w:p>
        </w:tc>
        <w:tc>
          <w:tcPr>
            <w:tcW w:w="140" w:type="dxa"/>
            <w:vAlign w:val="bottom"/>
          </w:tcPr>
          <w:p>
            <w:pPr>
              <w:spacing w:after="0"/>
              <w:rPr>
                <w:sz w:val="18"/>
                <w:szCs w:val="18"/>
                <w:color w:val="auto"/>
              </w:rPr>
            </w:pP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2,817</w:t>
            </w: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Debt repayments</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(3,568)</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Common stock repurchases</w:t>
            </w:r>
          </w:p>
        </w:tc>
        <w:tc>
          <w:tcPr>
            <w:tcW w:w="140" w:type="dxa"/>
            <w:vAlign w:val="bottom"/>
          </w:tcPr>
          <w:p>
            <w:pPr>
              <w:spacing w:after="0"/>
              <w:rPr>
                <w:sz w:val="18"/>
                <w:szCs w:val="18"/>
                <w:color w:val="auto"/>
              </w:rPr>
            </w:pP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rPr>
              <w:t>(600)</w:t>
            </w: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dividends</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(693)</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Exercise of common stock options</w:t>
            </w:r>
          </w:p>
        </w:tc>
        <w:tc>
          <w:tcPr>
            <w:tcW w:w="140" w:type="dxa"/>
            <w:vAlign w:val="bottom"/>
          </w:tcPr>
          <w:p>
            <w:pPr>
              <w:spacing w:after="0"/>
              <w:rPr>
                <w:sz w:val="18"/>
                <w:szCs w:val="18"/>
                <w:color w:val="auto"/>
              </w:rPr>
            </w:pP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net</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(121)</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866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1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(2,072)</w:t>
            </w:r>
          </w:p>
        </w:tc>
        <w:tc>
          <w:tcPr>
            <w:tcW w:w="7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8660" w:type="dxa"/>
            <w:vAlign w:val="bottom"/>
            <w:gridSpan w:val="2"/>
          </w:tcPr>
          <w:p>
            <w:pPr>
              <w:spacing w:after="0"/>
              <w:rPr>
                <w:sz w:val="20"/>
                <w:szCs w:val="20"/>
                <w:color w:val="auto"/>
              </w:rPr>
            </w:pPr>
            <w:r>
              <w:rPr>
                <w:rFonts w:ascii="Arial" w:cs="Arial" w:eastAsia="Arial" w:hAnsi="Arial"/>
                <w:sz w:val="18"/>
                <w:szCs w:val="18"/>
                <w:color w:val="auto"/>
              </w:rPr>
              <w:t>Increase (decrease) in cash and cash equivalents</w:t>
            </w: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1,249</w:t>
            </w:r>
          </w:p>
        </w:tc>
        <w:tc>
          <w:tcPr>
            <w:tcW w:w="7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58</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23"/>
        </w:trPr>
        <w:tc>
          <w:tcPr>
            <w:tcW w:w="866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1,307</w:t>
            </w:r>
          </w:p>
        </w:tc>
        <w:tc>
          <w:tcPr>
            <w:tcW w:w="7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60" w:type="dxa"/>
            <w:vAlign w:val="bottom"/>
            <w:gridSpan w:val="2"/>
            <w:vMerge w:val="restart"/>
          </w:tcPr>
          <w:p>
            <w:pPr>
              <w:ind w:left="5600"/>
              <w:spacing w:after="0"/>
              <w:rPr>
                <w:sz w:val="20"/>
                <w:szCs w:val="20"/>
                <w:color w:val="auto"/>
              </w:rPr>
            </w:pPr>
            <w:r>
              <w:rPr>
                <w:rFonts w:ascii="Arial" w:cs="Arial" w:eastAsia="Arial" w:hAnsi="Arial"/>
                <w:sz w:val="18"/>
                <w:szCs w:val="18"/>
                <w:b w:val="1"/>
                <w:bCs w:val="1"/>
                <w:color w:val="auto"/>
              </w:rPr>
              <w:t>(6)</w:t>
            </w: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6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Data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5"/>
          </w:tcPr>
          <w:p>
            <w:pPr>
              <w:jc w:val="center"/>
              <w:ind w:left="194"/>
              <w:spacing w:after="0"/>
              <w:rPr>
                <w:sz w:val="20"/>
                <w:szCs w:val="20"/>
                <w:color w:val="auto"/>
              </w:rPr>
            </w:pPr>
            <w:r>
              <w:rPr>
                <w:rFonts w:ascii="Arial" w:cs="Arial" w:eastAsia="Arial" w:hAnsi="Arial"/>
                <w:sz w:val="14"/>
                <w:szCs w:val="14"/>
                <w:b w:val="1"/>
                <w:bCs w:val="1"/>
                <w:color w:val="auto"/>
                <w:w w:val="95"/>
              </w:rPr>
              <w:t>Quarters Ended</w:t>
            </w:r>
          </w:p>
        </w:tc>
        <w:tc>
          <w:tcPr>
            <w:tcW w:w="4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2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0" w:type="dxa"/>
            <w:vAlign w:val="bottom"/>
            <w:gridSpan w:val="4"/>
          </w:tcPr>
          <w:p>
            <w:pPr>
              <w:jc w:val="center"/>
              <w:ind w:right="12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460" w:type="dxa"/>
            <w:vAlign w:val="bottom"/>
          </w:tcPr>
          <w:p>
            <w:pPr>
              <w:spacing w:after="0"/>
              <w:rPr>
                <w:sz w:val="10"/>
                <w:szCs w:val="10"/>
                <w:color w:val="auto"/>
              </w:rPr>
            </w:pPr>
          </w:p>
        </w:tc>
        <w:tc>
          <w:tcPr>
            <w:tcW w:w="8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4"/>
          </w:tcPr>
          <w:p>
            <w:pPr>
              <w:jc w:val="right"/>
              <w:ind w:right="190"/>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center"/>
              <w:ind w:right="191"/>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jc w:val="right"/>
              <w:ind w:right="91"/>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60" w:type="dxa"/>
            <w:vAlign w:val="bottom"/>
            <w:tcBorders>
              <w:top w:val="single" w:sz="8" w:color="CCEEFF"/>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7"/>
              </w:rPr>
              <w:t>Operating Revenues by Lines of Business</w:t>
            </w:r>
          </w:p>
        </w:tc>
        <w:tc>
          <w:tcPr>
            <w:tcW w:w="232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40" w:type="dxa"/>
            <w:vAlign w:val="bottom"/>
            <w:tcBorders>
              <w:top w:val="single" w:sz="8" w:color="CCEEFF"/>
              <w:bottom w:val="single" w:sz="8" w:color="CCEEFF"/>
            </w:tcBorders>
            <w:shd w:val="clear" w:color="auto" w:fill="CCEEFF"/>
          </w:tcPr>
          <w:p>
            <w:pPr>
              <w:spacing w:after="0"/>
              <w:rPr>
                <w:sz w:val="15"/>
                <w:szCs w:val="15"/>
                <w:color w:val="auto"/>
              </w:rPr>
            </w:pPr>
          </w:p>
        </w:tc>
        <w:tc>
          <w:tcPr>
            <w:tcW w:w="6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82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46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4"/>
          </w:tcPr>
          <w:p>
            <w:pPr>
              <w:ind w:left="700"/>
              <w:spacing w:after="0"/>
              <w:rPr>
                <w:sz w:val="20"/>
                <w:szCs w:val="20"/>
                <w:color w:val="auto"/>
              </w:rPr>
            </w:pPr>
            <w:r>
              <w:rPr>
                <w:rFonts w:ascii="Arial" w:cs="Arial" w:eastAsia="Arial" w:hAnsi="Arial"/>
                <w:sz w:val="18"/>
                <w:szCs w:val="18"/>
                <w:color w:val="auto"/>
              </w:rPr>
              <w:t>Collection</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4"/>
            <w:shd w:val="clear" w:color="auto" w:fill="CCEEFF"/>
          </w:tcPr>
          <w:p>
            <w:pPr>
              <w:ind w:left="1060"/>
              <w:spacing w:after="0"/>
              <w:rPr>
                <w:sz w:val="20"/>
                <w:szCs w:val="20"/>
                <w:color w:val="auto"/>
              </w:rPr>
            </w:pPr>
            <w:r>
              <w:rPr>
                <w:rFonts w:ascii="Arial" w:cs="Arial" w:eastAsia="Arial" w:hAnsi="Arial"/>
                <w:sz w:val="18"/>
                <w:szCs w:val="18"/>
                <w:color w:val="auto"/>
              </w:rPr>
              <w:t>Commercial</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838</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left="174"/>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853</w:t>
            </w:r>
          </w:p>
        </w:tc>
        <w:tc>
          <w:tcPr>
            <w:tcW w:w="7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4"/>
          </w:tcPr>
          <w:p>
            <w:pPr>
              <w:ind w:left="1060"/>
              <w:spacing w:after="0"/>
              <w:rPr>
                <w:sz w:val="20"/>
                <w:szCs w:val="20"/>
                <w:color w:val="auto"/>
              </w:rPr>
            </w:pPr>
            <w:r>
              <w:rPr>
                <w:rFonts w:ascii="Arial" w:cs="Arial" w:eastAsia="Arial" w:hAnsi="Arial"/>
                <w:sz w:val="18"/>
                <w:szCs w:val="18"/>
                <w:color w:val="auto"/>
              </w:rPr>
              <w:t>Residential</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629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636</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4"/>
            <w:shd w:val="clear" w:color="auto" w:fill="CCEEFF"/>
          </w:tcPr>
          <w:p>
            <w:pPr>
              <w:ind w:left="1060"/>
              <w:spacing w:after="0"/>
              <w:rPr>
                <w:sz w:val="20"/>
                <w:szCs w:val="20"/>
                <w:color w:val="auto"/>
              </w:rPr>
            </w:pPr>
            <w:r>
              <w:rPr>
                <w:rFonts w:ascii="Arial" w:cs="Arial" w:eastAsia="Arial" w:hAnsi="Arial"/>
                <w:sz w:val="18"/>
                <w:szCs w:val="18"/>
                <w:color w:val="auto"/>
              </w:rPr>
              <w:t>Industrial</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586</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gridSpan w:val="4"/>
          </w:tcPr>
          <w:p>
            <w:pPr>
              <w:ind w:left="106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4"/>
            <w:shd w:val="clear" w:color="auto" w:fill="CCEEFF"/>
          </w:tcPr>
          <w:p>
            <w:pPr>
              <w:ind w:left="700"/>
              <w:spacing w:after="0"/>
              <w:rPr>
                <w:sz w:val="20"/>
                <w:szCs w:val="20"/>
                <w:color w:val="auto"/>
              </w:rPr>
            </w:pPr>
            <w:r>
              <w:rPr>
                <w:rFonts w:ascii="Arial" w:cs="Arial" w:eastAsia="Arial" w:hAnsi="Arial"/>
                <w:sz w:val="18"/>
                <w:szCs w:val="18"/>
                <w:color w:val="auto"/>
              </w:rPr>
              <w:t>Total Collection</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2,107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2,165</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4"/>
          </w:tcPr>
          <w:p>
            <w:pPr>
              <w:ind w:left="700"/>
              <w:spacing w:after="0"/>
              <w:rPr>
                <w:sz w:val="20"/>
                <w:szCs w:val="20"/>
                <w:color w:val="auto"/>
              </w:rPr>
            </w:pPr>
            <w:r>
              <w:rPr>
                <w:rFonts w:ascii="Arial" w:cs="Arial" w:eastAsia="Arial" w:hAnsi="Arial"/>
                <w:sz w:val="18"/>
                <w:szCs w:val="18"/>
                <w:color w:val="auto"/>
              </w:rPr>
              <w:t>Landfill</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727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758</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4"/>
            <w:shd w:val="clear" w:color="auto" w:fill="CCEEFF"/>
          </w:tcPr>
          <w:p>
            <w:pPr>
              <w:ind w:left="700"/>
              <w:spacing w:after="0"/>
              <w:rPr>
                <w:sz w:val="20"/>
                <w:szCs w:val="20"/>
                <w:color w:val="auto"/>
              </w:rPr>
            </w:pPr>
            <w:r>
              <w:rPr>
                <w:rFonts w:ascii="Arial" w:cs="Arial" w:eastAsia="Arial" w:hAnsi="Arial"/>
                <w:sz w:val="18"/>
                <w:szCs w:val="18"/>
                <w:color w:val="auto"/>
              </w:rPr>
              <w:t>Transfer</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354</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4"/>
          </w:tcPr>
          <w:p>
            <w:pPr>
              <w:ind w:left="700"/>
              <w:spacing w:after="0"/>
              <w:rPr>
                <w:sz w:val="20"/>
                <w:szCs w:val="20"/>
                <w:color w:val="auto"/>
              </w:rPr>
            </w:pPr>
            <w:r>
              <w:rPr>
                <w:rFonts w:ascii="Arial" w:cs="Arial" w:eastAsia="Arial" w:hAnsi="Arial"/>
                <w:sz w:val="18"/>
                <w:szCs w:val="18"/>
                <w:color w:val="auto"/>
              </w:rPr>
              <w:t>Wheelabrator</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205</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4"/>
            <w:shd w:val="clear" w:color="auto" w:fill="CCEEFF"/>
          </w:tcPr>
          <w:p>
            <w:pPr>
              <w:ind w:left="700"/>
              <w:spacing w:after="0"/>
              <w:rPr>
                <w:sz w:val="20"/>
                <w:szCs w:val="20"/>
                <w:color w:val="auto"/>
              </w:rPr>
            </w:pPr>
            <w:r>
              <w:rPr>
                <w:rFonts w:ascii="Arial" w:cs="Arial" w:eastAsia="Arial" w:hAnsi="Arial"/>
                <w:sz w:val="18"/>
                <w:szCs w:val="18"/>
                <w:color w:val="auto"/>
              </w:rPr>
              <w:t>Recycling</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351</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4"/>
          </w:tcPr>
          <w:p>
            <w:pPr>
              <w:ind w:left="70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405</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4"/>
            <w:shd w:val="clear" w:color="auto" w:fill="CCEEFF"/>
          </w:tcPr>
          <w:p>
            <w:pPr>
              <w:ind w:left="700"/>
              <w:spacing w:after="0"/>
              <w:rPr>
                <w:sz w:val="20"/>
                <w:szCs w:val="20"/>
                <w:color w:val="auto"/>
              </w:rPr>
            </w:pPr>
            <w:r>
              <w:rPr>
                <w:rFonts w:ascii="Arial" w:cs="Arial" w:eastAsia="Arial" w:hAnsi="Arial"/>
                <w:sz w:val="18"/>
                <w:szCs w:val="18"/>
                <w:color w:val="auto"/>
              </w:rPr>
              <w:t xml:space="preserve">Intercompany </w:t>
            </w:r>
            <w:r>
              <w:rPr>
                <w:rFonts w:ascii="Arial" w:cs="Arial" w:eastAsia="Arial" w:hAnsi="Arial"/>
                <w:sz w:val="18"/>
                <w:szCs w:val="18"/>
                <w:b w:val="1"/>
                <w:bCs w:val="1"/>
                <w:color w:val="auto"/>
              </w:rPr>
              <w:t>(a)</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(636)</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gridSpan w:val="4"/>
          </w:tcPr>
          <w:p>
            <w:pPr>
              <w:ind w:left="1060"/>
              <w:spacing w:after="0"/>
              <w:rPr>
                <w:sz w:val="20"/>
                <w:szCs w:val="20"/>
                <w:color w:val="auto"/>
              </w:rPr>
            </w:pPr>
            <w:r>
              <w:rPr>
                <w:rFonts w:ascii="Arial" w:cs="Arial" w:eastAsia="Arial" w:hAnsi="Arial"/>
                <w:sz w:val="18"/>
                <w:szCs w:val="18"/>
                <w:color w:val="auto"/>
              </w:rPr>
              <w:t>Operating revenues</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3,437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center"/>
              <w:ind w:right="62"/>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7"/>
          </w:tcPr>
          <w:p>
            <w:pPr>
              <w:jc w:val="right"/>
              <w:ind w:right="368"/>
              <w:spacing w:after="0"/>
              <w:rPr>
                <w:sz w:val="20"/>
                <w:szCs w:val="20"/>
                <w:color w:val="auto"/>
              </w:rPr>
            </w:pPr>
            <w:r>
              <w:rPr>
                <w:rFonts w:ascii="Arial" w:cs="Arial" w:eastAsia="Arial" w:hAnsi="Arial"/>
                <w:sz w:val="14"/>
                <w:szCs w:val="14"/>
                <w:b w:val="1"/>
                <w:bCs w:val="1"/>
                <w:color w:val="auto"/>
                <w:w w:val="97"/>
              </w:rPr>
              <w:t>Quarters Ended</w:t>
            </w: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960" w:type="dxa"/>
            <w:vAlign w:val="bottom"/>
            <w:gridSpan w:val="5"/>
          </w:tcPr>
          <w:p>
            <w:pPr>
              <w:jc w:val="right"/>
              <w:ind w:right="688"/>
              <w:spacing w:after="0" w:line="142" w:lineRule="exact"/>
              <w:rPr>
                <w:sz w:val="20"/>
                <w:szCs w:val="20"/>
                <w:color w:val="auto"/>
              </w:rPr>
            </w:pPr>
            <w:r>
              <w:rPr>
                <w:rFonts w:ascii="Arial" w:cs="Arial" w:eastAsia="Arial" w:hAnsi="Arial"/>
                <w:sz w:val="14"/>
                <w:szCs w:val="14"/>
                <w:b w:val="1"/>
                <w:bCs w:val="1"/>
                <w:color w:val="auto"/>
                <w:w w:val="93"/>
              </w:rPr>
              <w:t>December 31, 2014</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5"/>
          </w:tcPr>
          <w:p>
            <w:pPr>
              <w:jc w:val="center"/>
              <w:ind w:right="162"/>
              <w:spacing w:after="0" w:line="142" w:lineRule="exact"/>
              <w:rPr>
                <w:sz w:val="20"/>
                <w:szCs w:val="20"/>
                <w:color w:val="auto"/>
              </w:rPr>
            </w:pPr>
            <w:r>
              <w:rPr>
                <w:rFonts w:ascii="Arial" w:cs="Arial" w:eastAsia="Arial" w:hAnsi="Arial"/>
                <w:sz w:val="14"/>
                <w:szCs w:val="14"/>
                <w:b w:val="1"/>
                <w:bCs w:val="1"/>
                <w:color w:val="auto"/>
                <w:w w:val="91"/>
              </w:rPr>
              <w:t>December 31, 2013</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jc w:val="center"/>
              <w:ind w:right="42"/>
              <w:spacing w:after="0" w:line="123" w:lineRule="exact"/>
              <w:rPr>
                <w:sz w:val="20"/>
                <w:szCs w:val="20"/>
                <w:color w:val="auto"/>
              </w:rPr>
            </w:pPr>
            <w:r>
              <w:rPr>
                <w:rFonts w:ascii="Arial" w:cs="Arial" w:eastAsia="Arial" w:hAnsi="Arial"/>
                <w:sz w:val="14"/>
                <w:szCs w:val="14"/>
                <w:color w:val="auto"/>
                <w:w w:val="93"/>
              </w:rPr>
              <w:t>As a % of</w:t>
            </w: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3"/>
          </w:tcPr>
          <w:p>
            <w:pPr>
              <w:jc w:val="center"/>
              <w:ind w:right="31"/>
              <w:spacing w:after="0" w:line="123" w:lineRule="exact"/>
              <w:rPr>
                <w:sz w:val="20"/>
                <w:szCs w:val="20"/>
                <w:color w:val="auto"/>
              </w:rPr>
            </w:pPr>
            <w:r>
              <w:rPr>
                <w:rFonts w:ascii="Arial" w:cs="Arial" w:eastAsia="Arial" w:hAnsi="Arial"/>
                <w:sz w:val="14"/>
                <w:szCs w:val="14"/>
                <w:color w:val="auto"/>
                <w:w w:val="93"/>
              </w:rPr>
              <w:t>As a % of</w:t>
            </w:r>
          </w:p>
        </w:tc>
        <w:tc>
          <w:tcPr>
            <w:tcW w:w="2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160" w:type="dxa"/>
            <w:vAlign w:val="bottom"/>
            <w:gridSpan w:val="3"/>
          </w:tcPr>
          <w:p>
            <w:pPr>
              <w:jc w:val="center"/>
              <w:ind w:right="544"/>
              <w:spacing w:after="0"/>
              <w:rPr>
                <w:sz w:val="20"/>
                <w:szCs w:val="20"/>
                <w:color w:val="auto"/>
              </w:rPr>
            </w:pPr>
            <w:r>
              <w:rPr>
                <w:rFonts w:ascii="Arial" w:cs="Arial" w:eastAsia="Arial" w:hAnsi="Arial"/>
                <w:sz w:val="14"/>
                <w:szCs w:val="14"/>
                <w:color w:val="auto"/>
                <w:w w:val="95"/>
              </w:rPr>
              <w:t>Amount</w:t>
            </w:r>
          </w:p>
        </w:tc>
        <w:tc>
          <w:tcPr>
            <w:tcW w:w="120" w:type="dxa"/>
            <w:vAlign w:val="bottom"/>
          </w:tcPr>
          <w:p>
            <w:pPr>
              <w:spacing w:after="0"/>
              <w:rPr>
                <w:sz w:val="14"/>
                <w:szCs w:val="14"/>
                <w:color w:val="auto"/>
              </w:rPr>
            </w:pPr>
          </w:p>
        </w:tc>
        <w:tc>
          <w:tcPr>
            <w:tcW w:w="1220" w:type="dxa"/>
            <w:vAlign w:val="bottom"/>
            <w:gridSpan w:val="3"/>
          </w:tcPr>
          <w:p>
            <w:pPr>
              <w:jc w:val="center"/>
              <w:ind w:right="228"/>
              <w:spacing w:after="0"/>
              <w:rPr>
                <w:sz w:val="20"/>
                <w:szCs w:val="20"/>
                <w:color w:val="auto"/>
              </w:rPr>
            </w:pPr>
            <w:r>
              <w:rPr>
                <w:rFonts w:ascii="Arial" w:cs="Arial" w:eastAsia="Arial" w:hAnsi="Arial"/>
                <w:sz w:val="14"/>
                <w:szCs w:val="14"/>
                <w:color w:val="auto"/>
                <w:w w:val="92"/>
              </w:rPr>
              <w:t>Total Company</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3"/>
          </w:tcPr>
          <w:p>
            <w:pPr>
              <w:jc w:val="center"/>
              <w:ind w:right="88"/>
              <w:spacing w:after="0"/>
              <w:rPr>
                <w:sz w:val="20"/>
                <w:szCs w:val="20"/>
                <w:color w:val="auto"/>
              </w:rPr>
            </w:pPr>
            <w:r>
              <w:rPr>
                <w:rFonts w:ascii="Arial" w:cs="Arial" w:eastAsia="Arial" w:hAnsi="Arial"/>
                <w:sz w:val="14"/>
                <w:szCs w:val="14"/>
                <w:color w:val="auto"/>
                <w:w w:val="99"/>
              </w:rPr>
              <w:t>Amount</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5"/>
          </w:tcPr>
          <w:p>
            <w:pPr>
              <w:jc w:val="center"/>
              <w:ind w:right="320"/>
              <w:spacing w:after="0"/>
              <w:rPr>
                <w:sz w:val="20"/>
                <w:szCs w:val="20"/>
                <w:color w:val="auto"/>
              </w:rPr>
            </w:pPr>
            <w:r>
              <w:rPr>
                <w:rFonts w:ascii="Arial" w:cs="Arial" w:eastAsia="Arial" w:hAnsi="Arial"/>
                <w:sz w:val="14"/>
                <w:szCs w:val="14"/>
                <w:color w:val="auto"/>
                <w:w w:val="92"/>
              </w:rPr>
              <w:t>Total Company</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80" w:type="dxa"/>
            <w:vAlign w:val="bottom"/>
            <w:tcBorders>
              <w:top w:val="single" w:sz="8" w:color="CCEEFF"/>
            </w:tcBorders>
            <w:gridSpan w:val="4"/>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Analysis of Change in Year Over Year Revenues</w:t>
            </w:r>
          </w:p>
        </w:tc>
        <w:tc>
          <w:tcPr>
            <w:tcW w:w="10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Borders>
              <w:top w:val="single" w:sz="8" w:color="auto"/>
            </w:tcBorders>
            <w:gridSpan w:val="3"/>
          </w:tcPr>
          <w:p>
            <w:pPr>
              <w:ind w:left="700"/>
              <w:spacing w:after="0"/>
              <w:rPr>
                <w:sz w:val="20"/>
                <w:szCs w:val="20"/>
                <w:color w:val="auto"/>
              </w:rPr>
            </w:pPr>
            <w:r>
              <w:rPr>
                <w:rFonts w:ascii="Arial" w:cs="Arial" w:eastAsia="Arial" w:hAnsi="Arial"/>
                <w:sz w:val="18"/>
                <w:szCs w:val="18"/>
                <w:color w:val="auto"/>
              </w:rPr>
              <w:t xml:space="preserve">Average yield </w:t>
            </w:r>
            <w:r>
              <w:rPr>
                <w:rFonts w:ascii="Arial" w:cs="Arial" w:eastAsia="Arial" w:hAnsi="Arial"/>
                <w:sz w:val="18"/>
                <w:szCs w:val="18"/>
                <w:b w:val="1"/>
                <w:bCs w:val="1"/>
                <w:color w:val="auto"/>
              </w:rPr>
              <w:t>(i)</w:t>
            </w:r>
          </w:p>
        </w:tc>
        <w:tc>
          <w:tcPr>
            <w:tcW w:w="18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24</w:t>
            </w:r>
          </w:p>
        </w:tc>
        <w:tc>
          <w:tcPr>
            <w:tcW w:w="6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gridSpan w:val="3"/>
          </w:tcPr>
          <w:p>
            <w:pPr>
              <w:jc w:val="right"/>
              <w:spacing w:after="0"/>
              <w:rPr>
                <w:sz w:val="20"/>
                <w:szCs w:val="20"/>
                <w:color w:val="auto"/>
              </w:rPr>
            </w:pPr>
            <w:r>
              <w:rPr>
                <w:rFonts w:ascii="Arial" w:cs="Arial" w:eastAsia="Arial" w:hAnsi="Arial"/>
                <w:sz w:val="18"/>
                <w:szCs w:val="18"/>
                <w:color w:val="auto"/>
              </w:rPr>
              <w:t>0.7%</w:t>
            </w: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69</w:t>
            </w: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gridSpan w:val="3"/>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4"/>
            <w:shd w:val="clear" w:color="auto" w:fill="CCEEFF"/>
          </w:tcPr>
          <w:p>
            <w:pPr>
              <w:ind w:left="700"/>
              <w:spacing w:after="0"/>
              <w:rPr>
                <w:sz w:val="20"/>
                <w:szCs w:val="20"/>
                <w:color w:val="auto"/>
              </w:rPr>
            </w:pPr>
            <w:r>
              <w:rPr>
                <w:rFonts w:ascii="Arial" w:cs="Arial" w:eastAsia="Arial" w:hAnsi="Arial"/>
                <w:sz w:val="18"/>
                <w:szCs w:val="18"/>
                <w:color w:val="auto"/>
              </w:rPr>
              <w:t>Volume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4"/>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gridSpan w:val="4"/>
            <w:vMerge w:val="restart"/>
          </w:tcPr>
          <w:p>
            <w:pPr>
              <w:ind w:left="700"/>
              <w:spacing w:after="0"/>
              <w:rPr>
                <w:sz w:val="20"/>
                <w:szCs w:val="20"/>
                <w:color w:val="auto"/>
              </w:rPr>
            </w:pPr>
            <w:r>
              <w:rPr>
                <w:rFonts w:ascii="Arial" w:cs="Arial" w:eastAsia="Arial" w:hAnsi="Arial"/>
                <w:sz w:val="18"/>
                <w:szCs w:val="18"/>
                <w:color w:val="auto"/>
              </w:rPr>
              <w:t>Internal revenue growth</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gridSpan w:val="4"/>
            <w:vMerge w:val="continue"/>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484"/>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-0.1%</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(8)</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4"/>
            <w:shd w:val="clear" w:color="auto" w:fill="CCEEFF"/>
          </w:tcPr>
          <w:p>
            <w:pPr>
              <w:ind w:left="700"/>
              <w:spacing w:after="0"/>
              <w:rPr>
                <w:sz w:val="20"/>
                <w:szCs w:val="20"/>
                <w:color w:val="auto"/>
              </w:rPr>
            </w:pPr>
            <w:r>
              <w:rPr>
                <w:rFonts w:ascii="Arial" w:cs="Arial" w:eastAsia="Arial" w:hAnsi="Arial"/>
                <w:sz w:val="18"/>
                <w:szCs w:val="18"/>
                <w:color w:val="auto"/>
              </w:rPr>
              <w:t>Acquisition</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4"/>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4"/>
          </w:tcPr>
          <w:p>
            <w:pPr>
              <w:ind w:left="700"/>
              <w:spacing w:after="0"/>
              <w:rPr>
                <w:sz w:val="20"/>
                <w:szCs w:val="20"/>
                <w:color w:val="auto"/>
              </w:rPr>
            </w:pPr>
            <w:r>
              <w:rPr>
                <w:rFonts w:ascii="Arial" w:cs="Arial" w:eastAsia="Arial" w:hAnsi="Arial"/>
                <w:sz w:val="18"/>
                <w:szCs w:val="18"/>
                <w:color w:val="auto"/>
              </w:rPr>
              <w:t>Divestitures</w:t>
            </w:r>
          </w:p>
        </w:tc>
        <w:tc>
          <w:tcPr>
            <w:tcW w:w="100" w:type="dxa"/>
            <w:vAlign w:val="bottom"/>
          </w:tcPr>
          <w:p>
            <w:pPr>
              <w:spacing w:after="0"/>
              <w:rPr>
                <w:sz w:val="18"/>
                <w:szCs w:val="18"/>
                <w:color w:val="auto"/>
              </w:rPr>
            </w:pPr>
          </w:p>
        </w:tc>
        <w:tc>
          <w:tcPr>
            <w:tcW w:w="1060" w:type="dxa"/>
            <w:vAlign w:val="bottom"/>
            <w:gridSpan w:val="2"/>
          </w:tcPr>
          <w:p>
            <w:pPr>
              <w:jc w:val="right"/>
              <w:ind w:right="484"/>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-1.4%</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4"/>
            <w:shd w:val="clear" w:color="auto" w:fill="CCEEFF"/>
          </w:tcPr>
          <w:p>
            <w:pPr>
              <w:ind w:left="700"/>
              <w:spacing w:after="0"/>
              <w:rPr>
                <w:sz w:val="20"/>
                <w:szCs w:val="20"/>
                <w:color w:val="auto"/>
              </w:rPr>
            </w:pPr>
            <w:r>
              <w:rPr>
                <w:rFonts w:ascii="Arial" w:cs="Arial" w:eastAsia="Arial" w:hAnsi="Arial"/>
                <w:sz w:val="18"/>
                <w:szCs w:val="18"/>
                <w:color w:val="auto"/>
              </w:rPr>
              <w:t>Foreign currency translation</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4"/>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vMerge w:val="restart"/>
          </w:tcPr>
          <w:p>
            <w:pPr>
              <w:jc w:val="right"/>
              <w:ind w:right="484"/>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000000"/>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(63</w:t>
            </w:r>
          </w:p>
        </w:tc>
        <w:tc>
          <w:tcPr>
            <w:tcW w:w="6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-1.8%</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3"/>
          </w:tcPr>
          <w:p>
            <w:pPr>
              <w:jc w:val="center"/>
              <w:ind w:right="228"/>
              <w:spacing w:after="0"/>
              <w:rPr>
                <w:sz w:val="20"/>
                <w:szCs w:val="20"/>
                <w:color w:val="auto"/>
              </w:rPr>
            </w:pPr>
            <w:r>
              <w:rPr>
                <w:rFonts w:ascii="Arial" w:cs="Arial" w:eastAsia="Arial" w:hAnsi="Arial"/>
                <w:sz w:val="14"/>
                <w:szCs w:val="14"/>
                <w:color w:val="auto"/>
                <w:w w:val="93"/>
              </w:rPr>
              <w:t>As a % of</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5"/>
          </w:tcPr>
          <w:p>
            <w:pPr>
              <w:jc w:val="center"/>
              <w:ind w:right="320"/>
              <w:spacing w:after="0"/>
              <w:rPr>
                <w:sz w:val="20"/>
                <w:szCs w:val="20"/>
                <w:color w:val="auto"/>
              </w:rPr>
            </w:pPr>
            <w:r>
              <w:rPr>
                <w:rFonts w:ascii="Arial" w:cs="Arial" w:eastAsia="Arial" w:hAnsi="Arial"/>
                <w:sz w:val="14"/>
                <w:szCs w:val="14"/>
                <w:color w:val="auto"/>
                <w:w w:val="93"/>
              </w:rPr>
              <w:t>As a % of</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160" w:type="dxa"/>
            <w:vAlign w:val="bottom"/>
            <w:gridSpan w:val="3"/>
          </w:tcPr>
          <w:p>
            <w:pPr>
              <w:jc w:val="center"/>
              <w:ind w:right="544"/>
              <w:spacing w:after="0"/>
              <w:rPr>
                <w:sz w:val="20"/>
                <w:szCs w:val="20"/>
                <w:color w:val="auto"/>
              </w:rPr>
            </w:pPr>
            <w:r>
              <w:rPr>
                <w:rFonts w:ascii="Arial" w:cs="Arial" w:eastAsia="Arial" w:hAnsi="Arial"/>
                <w:sz w:val="14"/>
                <w:szCs w:val="14"/>
                <w:color w:val="auto"/>
                <w:w w:val="95"/>
              </w:rPr>
              <w:t>Amount</w:t>
            </w:r>
          </w:p>
        </w:tc>
        <w:tc>
          <w:tcPr>
            <w:tcW w:w="1340" w:type="dxa"/>
            <w:vAlign w:val="bottom"/>
            <w:gridSpan w:val="4"/>
          </w:tcPr>
          <w:p>
            <w:pPr>
              <w:jc w:val="center"/>
              <w:ind w:right="108"/>
              <w:spacing w:after="0"/>
              <w:rPr>
                <w:sz w:val="20"/>
                <w:szCs w:val="20"/>
                <w:color w:val="auto"/>
              </w:rPr>
            </w:pPr>
            <w:r>
              <w:rPr>
                <w:rFonts w:ascii="Arial" w:cs="Arial" w:eastAsia="Arial" w:hAnsi="Arial"/>
                <w:sz w:val="14"/>
                <w:szCs w:val="14"/>
                <w:color w:val="auto"/>
                <w:w w:val="91"/>
              </w:rPr>
              <w:t>Related Business</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3"/>
          </w:tcPr>
          <w:p>
            <w:pPr>
              <w:jc w:val="center"/>
              <w:ind w:right="88"/>
              <w:spacing w:after="0"/>
              <w:rPr>
                <w:sz w:val="20"/>
                <w:szCs w:val="20"/>
                <w:color w:val="auto"/>
              </w:rPr>
            </w:pPr>
            <w:r>
              <w:rPr>
                <w:rFonts w:ascii="Arial" w:cs="Arial" w:eastAsia="Arial" w:hAnsi="Arial"/>
                <w:sz w:val="14"/>
                <w:szCs w:val="14"/>
                <w:color w:val="auto"/>
                <w:w w:val="99"/>
              </w:rPr>
              <w:t>Amount</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5"/>
          </w:tcPr>
          <w:p>
            <w:pPr>
              <w:jc w:val="center"/>
              <w:ind w:right="340"/>
              <w:spacing w:after="0"/>
              <w:rPr>
                <w:sz w:val="20"/>
                <w:szCs w:val="20"/>
                <w:color w:val="auto"/>
              </w:rPr>
            </w:pPr>
            <w:r>
              <w:rPr>
                <w:rFonts w:ascii="Arial" w:cs="Arial" w:eastAsia="Arial" w:hAnsi="Arial"/>
                <w:sz w:val="14"/>
                <w:szCs w:val="14"/>
                <w:color w:val="auto"/>
                <w:w w:val="89"/>
              </w:rPr>
              <w:t>Related Business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80" w:type="dxa"/>
            <w:vAlign w:val="bottom"/>
            <w:tcBorders>
              <w:top w:val="single" w:sz="8" w:color="CCEEFF"/>
            </w:tcBorders>
            <w:gridSpan w:val="4"/>
            <w:shd w:val="clear" w:color="auto" w:fill="CCEEFF"/>
          </w:tcPr>
          <w:p>
            <w:pPr>
              <w:ind w:left="340"/>
              <w:spacing w:after="0" w:line="196" w:lineRule="exact"/>
              <w:rPr>
                <w:sz w:val="20"/>
                <w:szCs w:val="20"/>
                <w:color w:val="auto"/>
              </w:rPr>
            </w:pPr>
            <w:r>
              <w:rPr>
                <w:rFonts w:ascii="Arial" w:cs="Arial" w:eastAsia="Arial" w:hAnsi="Arial"/>
                <w:sz w:val="18"/>
                <w:szCs w:val="18"/>
                <w:b w:val="1"/>
                <w:bCs w:val="1"/>
                <w:color w:val="auto"/>
              </w:rPr>
              <w:t xml:space="preserve">(i) </w:t>
            </w:r>
            <w:r>
              <w:rPr>
                <w:rFonts w:ascii="Arial" w:cs="Arial" w:eastAsia="Arial" w:hAnsi="Arial"/>
                <w:sz w:val="18"/>
                <w:szCs w:val="18"/>
                <w:color w:val="auto"/>
              </w:rPr>
              <w:t>Average yield</w:t>
            </w: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4"/>
          </w:tcPr>
          <w:p>
            <w:pPr>
              <w:ind w:left="1420"/>
              <w:spacing w:after="0"/>
              <w:rPr>
                <w:sz w:val="20"/>
                <w:szCs w:val="20"/>
                <w:color w:val="auto"/>
              </w:rPr>
            </w:pPr>
            <w:r>
              <w:rPr>
                <w:rFonts w:ascii="Arial" w:cs="Arial" w:eastAsia="Arial" w:hAnsi="Arial"/>
                <w:sz w:val="18"/>
                <w:szCs w:val="18"/>
                <w:color w:val="auto"/>
              </w:rPr>
              <w:t>Collection, landfill and transfer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57</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2.1%</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4"/>
            <w:shd w:val="clear" w:color="auto" w:fill="CCEEFF"/>
          </w:tcPr>
          <w:p>
            <w:pPr>
              <w:ind w:left="1420"/>
              <w:spacing w:after="0"/>
              <w:rPr>
                <w:sz w:val="20"/>
                <w:szCs w:val="20"/>
                <w:color w:val="auto"/>
              </w:rPr>
            </w:pPr>
            <w:r>
              <w:rPr>
                <w:rFonts w:ascii="Arial" w:cs="Arial" w:eastAsia="Arial" w:hAnsi="Arial"/>
                <w:sz w:val="18"/>
                <w:szCs w:val="18"/>
                <w:color w:val="auto"/>
              </w:rPr>
              <w:t>Waste-to-energy disposal</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24"/>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center"/>
              <w:ind w:left="134"/>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gridSpan w:val="4"/>
          </w:tcPr>
          <w:p>
            <w:pPr>
              <w:ind w:left="1060"/>
              <w:spacing w:after="0"/>
              <w:rPr>
                <w:sz w:val="20"/>
                <w:szCs w:val="20"/>
                <w:color w:val="auto"/>
              </w:rPr>
            </w:pPr>
            <w:r>
              <w:rPr>
                <w:rFonts w:ascii="Arial" w:cs="Arial" w:eastAsia="Arial" w:hAnsi="Arial"/>
                <w:sz w:val="18"/>
                <w:szCs w:val="18"/>
                <w:color w:val="auto"/>
              </w:rPr>
              <w:t>Collection and disposal</w:t>
            </w: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2.0%</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4"/>
            <w:shd w:val="clear" w:color="auto" w:fill="CCEEFF"/>
          </w:tcPr>
          <w:p>
            <w:pPr>
              <w:ind w:left="1060"/>
              <w:spacing w:after="0"/>
              <w:rPr>
                <w:sz w:val="20"/>
                <w:szCs w:val="20"/>
                <w:color w:val="auto"/>
              </w:rPr>
            </w:pPr>
            <w:r>
              <w:rPr>
                <w:rFonts w:ascii="Arial" w:cs="Arial" w:eastAsia="Arial" w:hAnsi="Arial"/>
                <w:sz w:val="18"/>
                <w:szCs w:val="18"/>
                <w:color w:val="auto"/>
              </w:rPr>
              <w:t>Recycling commodities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4"/>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4"/>
          </w:tcPr>
          <w:p>
            <w:pPr>
              <w:ind w:left="1060"/>
              <w:spacing w:after="0"/>
              <w:rPr>
                <w:sz w:val="20"/>
                <w:szCs w:val="20"/>
                <w:color w:val="auto"/>
              </w:rPr>
            </w:pPr>
            <w:r>
              <w:rPr>
                <w:rFonts w:ascii="Arial" w:cs="Arial" w:eastAsia="Arial" w:hAnsi="Arial"/>
                <w:sz w:val="18"/>
                <w:szCs w:val="18"/>
                <w:color w:val="auto"/>
              </w:rPr>
              <w:t>Electricity</w:t>
            </w:r>
          </w:p>
        </w:tc>
        <w:tc>
          <w:tcPr>
            <w:tcW w:w="100" w:type="dxa"/>
            <w:vAlign w:val="bottom"/>
          </w:tcPr>
          <w:p>
            <w:pPr>
              <w:spacing w:after="0"/>
              <w:rPr>
                <w:sz w:val="18"/>
                <w:szCs w:val="18"/>
                <w:color w:val="auto"/>
              </w:rPr>
            </w:pPr>
          </w:p>
        </w:tc>
        <w:tc>
          <w:tcPr>
            <w:tcW w:w="1060" w:type="dxa"/>
            <w:vAlign w:val="bottom"/>
            <w:gridSpan w:val="2"/>
          </w:tcPr>
          <w:p>
            <w:pPr>
              <w:jc w:val="right"/>
              <w:ind w:right="484"/>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-4.9%</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4"/>
            <w:shd w:val="clear" w:color="auto" w:fill="CCEEFF"/>
          </w:tcPr>
          <w:p>
            <w:pPr>
              <w:ind w:left="1060"/>
              <w:spacing w:after="0"/>
              <w:rPr>
                <w:sz w:val="20"/>
                <w:szCs w:val="20"/>
                <w:color w:val="auto"/>
              </w:rPr>
            </w:pPr>
            <w:r>
              <w:rPr>
                <w:rFonts w:ascii="Arial" w:cs="Arial" w:eastAsia="Arial" w:hAnsi="Arial"/>
                <w:sz w:val="18"/>
                <w:szCs w:val="18"/>
                <w:color w:val="auto"/>
              </w:rPr>
              <w:t>Fuel surcharges and mandated fees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4"/>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gridSpan w:val="4"/>
          </w:tcPr>
          <w:p>
            <w:pPr>
              <w:ind w:left="70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0.7%</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69</w:t>
            </w: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96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218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gridSpan w:val="6"/>
          </w:tcPr>
          <w:p>
            <w:pPr>
              <w:jc w:val="right"/>
              <w:ind w:right="348"/>
              <w:spacing w:after="0"/>
              <w:rPr>
                <w:sz w:val="20"/>
                <w:szCs w:val="20"/>
                <w:color w:val="auto"/>
              </w:rPr>
            </w:pPr>
            <w:r>
              <w:rPr>
                <w:rFonts w:ascii="Arial" w:cs="Arial" w:eastAsia="Arial" w:hAnsi="Arial"/>
                <w:sz w:val="14"/>
                <w:szCs w:val="14"/>
                <w:b w:val="1"/>
                <w:bCs w:val="1"/>
                <w:color w:val="auto"/>
                <w:w w:val="97"/>
              </w:rPr>
              <w:t>Quarters Ended December 31,</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gridSpan w:val="10"/>
          </w:tcPr>
          <w:p>
            <w:pPr>
              <w:jc w:val="center"/>
              <w:ind w:right="320"/>
              <w:spacing w:after="0"/>
              <w:rPr>
                <w:sz w:val="20"/>
                <w:szCs w:val="20"/>
                <w:color w:val="auto"/>
              </w:rPr>
            </w:pPr>
            <w:r>
              <w:rPr>
                <w:rFonts w:ascii="Arial" w:cs="Arial" w:eastAsia="Arial" w:hAnsi="Arial"/>
                <w:sz w:val="14"/>
                <w:szCs w:val="14"/>
                <w:b w:val="1"/>
                <w:bCs w:val="1"/>
                <w:color w:val="auto"/>
                <w:w w:val="92"/>
              </w:rPr>
              <w:t>Twelve Months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60" w:type="dxa"/>
            <w:vAlign w:val="bottom"/>
            <w:tcBorders>
              <w:bottom w:val="single" w:sz="8" w:color="CCEEFF"/>
            </w:tcBorders>
          </w:tcPr>
          <w:p>
            <w:pPr>
              <w:spacing w:after="0"/>
              <w:rPr>
                <w:sz w:val="12"/>
                <w:szCs w:val="12"/>
                <w:color w:val="auto"/>
              </w:rPr>
            </w:pPr>
          </w:p>
        </w:tc>
        <w:tc>
          <w:tcPr>
            <w:tcW w:w="100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18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center"/>
              <w:ind w:right="12"/>
              <w:spacing w:after="0" w:line="142" w:lineRule="exact"/>
              <w:rPr>
                <w:sz w:val="20"/>
                <w:szCs w:val="20"/>
                <w:color w:val="auto"/>
              </w:rPr>
            </w:pPr>
            <w:r>
              <w:rPr>
                <w:rFonts w:ascii="Arial" w:cs="Arial" w:eastAsia="Arial" w:hAnsi="Arial"/>
                <w:sz w:val="14"/>
                <w:szCs w:val="14"/>
                <w:b w:val="1"/>
                <w:bCs w:val="1"/>
                <w:color w:val="auto"/>
                <w:w w:val="96"/>
              </w:rPr>
              <w:t>2014</w:t>
            </w:r>
          </w:p>
        </w:tc>
        <w:tc>
          <w:tcPr>
            <w:tcW w:w="6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center"/>
              <w:ind w:left="14"/>
              <w:spacing w:after="0" w:line="142" w:lineRule="exact"/>
              <w:rPr>
                <w:sz w:val="20"/>
                <w:szCs w:val="20"/>
                <w:color w:val="auto"/>
              </w:rPr>
            </w:pPr>
            <w:r>
              <w:rPr>
                <w:rFonts w:ascii="Arial" w:cs="Arial" w:eastAsia="Arial" w:hAnsi="Arial"/>
                <w:sz w:val="14"/>
                <w:szCs w:val="14"/>
                <w:b w:val="1"/>
                <w:bCs w:val="1"/>
                <w:color w:val="auto"/>
                <w:w w:val="89"/>
              </w:rPr>
              <w:t>2013</w:t>
            </w:r>
          </w:p>
        </w:tc>
        <w:tc>
          <w:tcPr>
            <w:tcW w:w="220" w:type="dxa"/>
            <w:vAlign w:val="bottom"/>
            <w:tcBorders>
              <w:top w:val="single" w:sz="8" w:color="auto"/>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2"/>
          </w:tcPr>
          <w:p>
            <w:pPr>
              <w:jc w:val="center"/>
              <w:ind w:right="22"/>
              <w:spacing w:after="0" w:line="142" w:lineRule="exact"/>
              <w:rPr>
                <w:sz w:val="20"/>
                <w:szCs w:val="20"/>
                <w:color w:val="auto"/>
              </w:rPr>
            </w:pPr>
            <w:r>
              <w:rPr>
                <w:rFonts w:ascii="Arial" w:cs="Arial" w:eastAsia="Arial" w:hAnsi="Arial"/>
                <w:sz w:val="14"/>
                <w:szCs w:val="14"/>
                <w:b w:val="1"/>
                <w:bCs w:val="1"/>
                <w:color w:val="auto"/>
                <w:w w:val="89"/>
              </w:rPr>
              <w:t>2014</w:t>
            </w:r>
          </w:p>
        </w:tc>
        <w:tc>
          <w:tcPr>
            <w:tcW w:w="6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2"/>
          </w:tcPr>
          <w:p>
            <w:pPr>
              <w:jc w:val="center"/>
              <w:ind w:left="305"/>
              <w:spacing w:after="0" w:line="142" w:lineRule="exact"/>
              <w:rPr>
                <w:sz w:val="20"/>
                <w:szCs w:val="20"/>
                <w:color w:val="auto"/>
              </w:rPr>
            </w:pPr>
            <w:r>
              <w:rPr>
                <w:rFonts w:ascii="Arial" w:cs="Arial" w:eastAsia="Arial" w:hAnsi="Arial"/>
                <w:sz w:val="14"/>
                <w:szCs w:val="14"/>
                <w:b w:val="1"/>
                <w:bCs w:val="1"/>
                <w:color w:val="auto"/>
                <w:w w:val="89"/>
              </w:rPr>
              <w:t>2013</w:t>
            </w:r>
          </w:p>
        </w:tc>
        <w:tc>
          <w:tcPr>
            <w:tcW w:w="50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6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9"/>
              </w:rPr>
              <w:t>Free Cash Flow Analysis (b)</w:t>
            </w:r>
          </w:p>
        </w:tc>
        <w:tc>
          <w:tcPr>
            <w:tcW w:w="3320" w:type="dxa"/>
            <w:vAlign w:val="bottom"/>
            <w:tcBorders>
              <w:bottom w:val="single" w:sz="8" w:color="CCEEFF"/>
            </w:tcBorders>
            <w:gridSpan w:val="3"/>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4"/>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544"/>
              <w:spacing w:after="0"/>
              <w:rPr>
                <w:sz w:val="20"/>
                <w:szCs w:val="20"/>
                <w:color w:val="auto"/>
              </w:rPr>
            </w:pPr>
            <w:r>
              <w:rPr>
                <w:rFonts w:ascii="Arial" w:cs="Arial" w:eastAsia="Arial" w:hAnsi="Arial"/>
                <w:sz w:val="18"/>
                <w:szCs w:val="18"/>
                <w:color w:val="auto"/>
              </w:rPr>
              <w:t>520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3"/>
          </w:tcPr>
          <w:p>
            <w:pPr>
              <w:jc w:val="right"/>
              <w:ind w:right="108"/>
              <w:spacing w:after="0"/>
              <w:rPr>
                <w:sz w:val="20"/>
                <w:szCs w:val="20"/>
                <w:color w:val="auto"/>
              </w:rPr>
            </w:pPr>
            <w:r>
              <w:rPr>
                <w:rFonts w:ascii="Arial" w:cs="Arial" w:eastAsia="Arial" w:hAnsi="Arial"/>
                <w:sz w:val="18"/>
                <w:szCs w:val="18"/>
                <w:color w:val="auto"/>
              </w:rPr>
              <w:t>597</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2,331</w:t>
            </w:r>
          </w:p>
        </w:tc>
        <w:tc>
          <w:tcPr>
            <w:tcW w:w="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2,455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4"/>
              <w:spacing w:after="0"/>
              <w:rPr>
                <w:sz w:val="20"/>
                <w:szCs w:val="20"/>
                <w:color w:val="auto"/>
              </w:rPr>
            </w:pPr>
            <w:r>
              <w:rPr>
                <w:rFonts w:ascii="Arial" w:cs="Arial" w:eastAsia="Arial" w:hAnsi="Arial"/>
                <w:sz w:val="18"/>
                <w:szCs w:val="18"/>
                <w:color w:val="auto"/>
              </w:rPr>
              <w:t>(370)</w:t>
            </w: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(447)</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(1,271)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80" w:type="dxa"/>
            <w:vAlign w:val="bottom"/>
            <w:gridSpan w:val="4"/>
          </w:tcPr>
          <w:p>
            <w:pPr>
              <w:spacing w:after="0" w:line="201" w:lineRule="exact"/>
              <w:rPr>
                <w:sz w:val="20"/>
                <w:szCs w:val="20"/>
                <w:color w:val="auto"/>
              </w:rPr>
            </w:pPr>
            <w:r>
              <w:rPr>
                <w:rFonts w:ascii="Arial" w:cs="Arial" w:eastAsia="Arial" w:hAnsi="Arial"/>
                <w:sz w:val="18"/>
                <w:szCs w:val="18"/>
                <w:color w:val="auto"/>
              </w:rPr>
              <w:t>Proceeds from divestitures of businesses and other assets (net of</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gridSpan w:val="4"/>
          </w:tcPr>
          <w:p>
            <w:pPr>
              <w:ind w:left="160"/>
              <w:spacing w:after="0"/>
              <w:rPr>
                <w:sz w:val="20"/>
                <w:szCs w:val="20"/>
                <w:color w:val="auto"/>
              </w:rPr>
            </w:pPr>
            <w:r>
              <w:rPr>
                <w:rFonts w:ascii="Arial" w:cs="Arial" w:eastAsia="Arial" w:hAnsi="Arial"/>
                <w:sz w:val="18"/>
                <w:szCs w:val="18"/>
                <w:color w:val="auto"/>
              </w:rPr>
              <w:t>cash divested)</w:t>
            </w:r>
          </w:p>
        </w:tc>
        <w:tc>
          <w:tcPr>
            <w:tcW w:w="100" w:type="dxa"/>
            <w:vAlign w:val="bottom"/>
          </w:tcPr>
          <w:p>
            <w:pPr>
              <w:spacing w:after="0"/>
              <w:rPr>
                <w:sz w:val="20"/>
                <w:szCs w:val="20"/>
                <w:color w:val="auto"/>
              </w:rPr>
            </w:pPr>
          </w:p>
        </w:tc>
        <w:tc>
          <w:tcPr>
            <w:tcW w:w="1060" w:type="dxa"/>
            <w:vAlign w:val="bottom"/>
            <w:gridSpan w:val="2"/>
          </w:tcPr>
          <w:p>
            <w:pPr>
              <w:jc w:val="right"/>
              <w:ind w:right="544"/>
              <w:spacing w:after="0"/>
              <w:rPr>
                <w:sz w:val="20"/>
                <w:szCs w:val="20"/>
                <w:color w:val="auto"/>
              </w:rPr>
            </w:pPr>
            <w:r>
              <w:rPr>
                <w:rFonts w:ascii="Arial" w:cs="Arial" w:eastAsia="Arial" w:hAnsi="Arial"/>
                <w:sz w:val="18"/>
                <w:szCs w:val="18"/>
                <w:color w:val="auto"/>
                <w:w w:val="93"/>
              </w:rPr>
              <w:t>1,934</w:t>
            </w:r>
          </w:p>
        </w:tc>
        <w:tc>
          <w:tcPr>
            <w:tcW w:w="1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2,253</w:t>
            </w: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1160" w:type="dxa"/>
            <w:vAlign w:val="bottom"/>
            <w:gridSpan w:val="3"/>
            <w:shd w:val="clear" w:color="auto" w:fill="CCEEFF"/>
          </w:tcPr>
          <w:p>
            <w:pPr>
              <w:jc w:val="right"/>
              <w:ind w:right="544"/>
              <w:spacing w:after="0"/>
              <w:rPr>
                <w:sz w:val="20"/>
                <w:szCs w:val="20"/>
                <w:color w:val="auto"/>
              </w:rPr>
            </w:pPr>
            <w:r>
              <w:rPr>
                <w:rFonts w:ascii="Arial" w:cs="Arial" w:eastAsia="Arial" w:hAnsi="Arial"/>
                <w:sz w:val="18"/>
                <w:szCs w:val="18"/>
                <w:color w:val="auto"/>
                <w:w w:val="86"/>
              </w:rPr>
              <w:t>$ 2,084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175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3,433</w:t>
            </w: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Intercompany revenues between lines of business are eliminated within the Condensed Consolidated Financial Statements included herein.</w:t>
      </w:r>
    </w:p>
    <w:p>
      <w:pPr>
        <w:spacing w:after="0" w:line="34" w:lineRule="exact"/>
        <w:rPr>
          <w:rFonts w:ascii="Arial" w:cs="Arial" w:eastAsia="Arial" w:hAnsi="Arial"/>
          <w:sz w:val="17"/>
          <w:szCs w:val="17"/>
          <w:color w:val="auto"/>
        </w:rPr>
      </w:pPr>
    </w:p>
    <w:p>
      <w:pPr>
        <w:ind w:left="460" w:right="80" w:hanging="452"/>
        <w:spacing w:after="0" w:line="255"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summary of free cash flows has been prepared to highlight and facilitate understanding of the principal cash flow elements. Free cash flow is not a measure of financial performance under generally accepted accounting principles and is not intended to replace the consolidated statement of cash flows that was prepared in accordance with generally accepted accounting principles.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w:t>
      </w:r>
    </w:p>
    <w:p>
      <w:pPr>
        <w:sectPr>
          <w:pgSz w:w="11900" w:h="16838" w:orient="portrait"/>
          <w:cols w:equalWidth="0" w:num="1">
            <w:col w:w="11420"/>
          </w:cols>
          <w:pgMar w:left="240" w:top="270"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Data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4"/>
                <w:szCs w:val="14"/>
                <w:b w:val="1"/>
                <w:bCs w:val="1"/>
                <w:color w:val="auto"/>
              </w:rPr>
              <w:t>Quarters Ended</w:t>
            </w: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2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280" w:type="dxa"/>
            <w:vAlign w:val="bottom"/>
          </w:tcPr>
          <w:p>
            <w:pPr>
              <w:spacing w:after="0"/>
              <w:rPr>
                <w:sz w:val="10"/>
                <w:szCs w:val="10"/>
                <w:color w:val="auto"/>
              </w:rPr>
            </w:pPr>
          </w:p>
        </w:tc>
        <w:tc>
          <w:tcPr>
            <w:tcW w:w="12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260" w:type="dxa"/>
            <w:vAlign w:val="bottom"/>
          </w:tcPr>
          <w:p>
            <w:pPr>
              <w:spacing w:after="0"/>
              <w:rPr>
                <w:sz w:val="10"/>
                <w:szCs w:val="10"/>
                <w:color w:val="auto"/>
              </w:rPr>
            </w:pP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30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80" w:type="dxa"/>
            <w:vAlign w:val="bottom"/>
            <w:tcBorders>
              <w:bottom w:val="single" w:sz="8" w:color="auto"/>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7"/>
              </w:rPr>
              <w:t>Balance Sheet Data</w:t>
            </w:r>
          </w:p>
        </w:tc>
        <w:tc>
          <w:tcPr>
            <w:tcW w:w="5840" w:type="dxa"/>
            <w:vAlign w:val="bottom"/>
            <w:tcBorders>
              <w:bottom w:val="single" w:sz="8" w:color="CCEEFF"/>
            </w:tcBorders>
            <w:gridSpan w:val="4"/>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24"/>
        </w:trPr>
        <w:tc>
          <w:tcPr>
            <w:tcW w:w="7340" w:type="dxa"/>
            <w:vAlign w:val="bottom"/>
            <w:gridSpan w:val="8"/>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1,307</w:t>
            </w:r>
          </w:p>
        </w:tc>
        <w:tc>
          <w:tcPr>
            <w:tcW w:w="360" w:type="dxa"/>
            <w:vAlign w:val="bottom"/>
          </w:tcPr>
          <w:p>
            <w:pPr>
              <w:spacing w:after="0"/>
              <w:rPr>
                <w:sz w:val="24"/>
                <w:szCs w:val="24"/>
                <w:color w:val="auto"/>
              </w:rPr>
            </w:pPr>
          </w:p>
        </w:tc>
        <w:tc>
          <w:tcPr>
            <w:tcW w:w="4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183</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Debt-to-total capital ratio:</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160" w:type="dxa"/>
            <w:vAlign w:val="bottom"/>
            <w:gridSpan w:val="6"/>
          </w:tcPr>
          <w:p>
            <w:pPr>
              <w:ind w:left="180"/>
              <w:spacing w:after="0"/>
              <w:rPr>
                <w:sz w:val="20"/>
                <w:szCs w:val="20"/>
                <w:color w:val="auto"/>
              </w:rPr>
            </w:pPr>
            <w:r>
              <w:rPr>
                <w:rFonts w:ascii="Arial" w:cs="Arial" w:eastAsia="Arial" w:hAnsi="Arial"/>
                <w:sz w:val="18"/>
                <w:szCs w:val="18"/>
                <w:color w:val="auto"/>
              </w:rPr>
              <w:t>Long-term indebtedness, including current portion</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9,435</w:t>
            </w:r>
          </w:p>
        </w:tc>
        <w:tc>
          <w:tcPr>
            <w:tcW w:w="360" w:type="dxa"/>
            <w:vAlign w:val="bottom"/>
          </w:tcPr>
          <w:p>
            <w:pPr>
              <w:spacing w:after="0"/>
              <w:rPr>
                <w:sz w:val="18"/>
                <w:szCs w:val="18"/>
                <w:color w:val="auto"/>
              </w:rPr>
            </w:pPr>
          </w:p>
        </w:tc>
        <w:tc>
          <w:tcPr>
            <w:tcW w:w="4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10,164</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10,226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16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Total equity</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5,889</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5,663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160" w:type="dxa"/>
            <w:vAlign w:val="bottom"/>
            <w:gridSpan w:val="6"/>
          </w:tcPr>
          <w:p>
            <w:pPr>
              <w:ind w:left="540"/>
              <w:spacing w:after="0"/>
              <w:rPr>
                <w:sz w:val="20"/>
                <w:szCs w:val="20"/>
                <w:color w:val="auto"/>
              </w:rPr>
            </w:pPr>
            <w:r>
              <w:rPr>
                <w:rFonts w:ascii="Arial" w:cs="Arial" w:eastAsia="Arial" w:hAnsi="Arial"/>
                <w:sz w:val="18"/>
                <w:szCs w:val="18"/>
                <w:color w:val="auto"/>
              </w:rPr>
              <w:t>Total capital</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15,324</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15,827</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16,228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16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Debt-to-total capital</w:t>
            </w: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61.6%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0"/>
        </w:trPr>
        <w:tc>
          <w:tcPr>
            <w:tcW w:w="7340" w:type="dxa"/>
            <w:vAlign w:val="bottom"/>
            <w:gridSpan w:val="8"/>
            <w:vMerge w:val="restart"/>
          </w:tcPr>
          <w:p>
            <w:pPr>
              <w:spacing w:after="0"/>
              <w:rPr>
                <w:sz w:val="20"/>
                <w:szCs w:val="20"/>
                <w:color w:val="auto"/>
              </w:rPr>
            </w:pPr>
            <w:r>
              <w:rPr>
                <w:rFonts w:ascii="Arial" w:cs="Arial" w:eastAsia="Arial" w:hAnsi="Arial"/>
                <w:sz w:val="18"/>
                <w:szCs w:val="18"/>
                <w:color w:val="auto"/>
              </w:rPr>
              <w:t>Capitalized interest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40" w:type="dxa"/>
            <w:vAlign w:val="bottom"/>
            <w:gridSpan w:val="8"/>
            <w:vMerge w:val="continue"/>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7320" w:type="dxa"/>
            <w:vAlign w:val="bottom"/>
            <w:gridSpan w:val="7"/>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Acquisition Summary (a)</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3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160" w:type="dxa"/>
            <w:vAlign w:val="bottom"/>
            <w:gridSpan w:val="6"/>
          </w:tcPr>
          <w:p>
            <w:pPr>
              <w:ind w:left="180"/>
              <w:spacing w:after="0"/>
              <w:rPr>
                <w:sz w:val="20"/>
                <w:szCs w:val="20"/>
                <w:color w:val="auto"/>
              </w:rPr>
            </w:pPr>
            <w:r>
              <w:rPr>
                <w:rFonts w:ascii="Arial" w:cs="Arial" w:eastAsia="Arial" w:hAnsi="Arial"/>
                <w:sz w:val="18"/>
                <w:szCs w:val="18"/>
                <w:color w:val="auto"/>
              </w:rPr>
              <w:t>Gross annualized revenue acquired</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24"/>
                <w:szCs w:val="24"/>
                <w:color w:val="auto"/>
              </w:rPr>
            </w:pPr>
          </w:p>
        </w:tc>
        <w:tc>
          <w:tcPr>
            <w:tcW w:w="4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2</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16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Total consideration</w:t>
            </w: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160" w:type="dxa"/>
            <w:vAlign w:val="bottom"/>
            <w:gridSpan w:val="6"/>
            <w:vMerge w:val="restart"/>
          </w:tcPr>
          <w:p>
            <w:pPr>
              <w:ind w:left="180"/>
              <w:spacing w:after="0"/>
              <w:rPr>
                <w:sz w:val="20"/>
                <w:szCs w:val="20"/>
                <w:color w:val="auto"/>
              </w:rPr>
            </w:pPr>
            <w:r>
              <w:rPr>
                <w:rFonts w:ascii="Arial" w:cs="Arial" w:eastAsia="Arial" w:hAnsi="Arial"/>
                <w:sz w:val="18"/>
                <w:szCs w:val="18"/>
                <w:color w:val="auto"/>
              </w:rPr>
              <w:t>Cash paid for acquisitions</w:t>
            </w:r>
          </w:p>
        </w:tc>
        <w:tc>
          <w:tcPr>
            <w:tcW w:w="1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160" w:type="dxa"/>
            <w:vAlign w:val="bottom"/>
            <w:gridSpan w:val="6"/>
            <w:vMerge w:val="continue"/>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1840" w:type="dxa"/>
            <w:vAlign w:val="bottom"/>
            <w:tcBorders>
              <w:bottom w:val="single" w:sz="8" w:color="auto"/>
            </w:tcBorders>
            <w:gridSpan w:val="4"/>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92"/>
              </w:rPr>
              <w:t>Other Operational Data</w:t>
            </w:r>
          </w:p>
        </w:tc>
        <w:tc>
          <w:tcPr>
            <w:tcW w:w="5480" w:type="dxa"/>
            <w:vAlign w:val="bottom"/>
            <w:tcBorders>
              <w:bottom w:val="single" w:sz="8" w:color="CCEEFF"/>
            </w:tcBorders>
            <w:gridSpan w:val="3"/>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7340" w:type="dxa"/>
            <w:vAlign w:val="bottom"/>
            <w:gridSpan w:val="8"/>
          </w:tcPr>
          <w:p>
            <w:pPr>
              <w:spacing w:after="0"/>
              <w:rPr>
                <w:sz w:val="20"/>
                <w:szCs w:val="20"/>
                <w:color w:val="auto"/>
              </w:rPr>
            </w:pPr>
            <w:r>
              <w:rPr>
                <w:rFonts w:ascii="Arial" w:cs="Arial" w:eastAsia="Arial" w:hAnsi="Arial"/>
                <w:sz w:val="18"/>
                <w:szCs w:val="18"/>
                <w:color w:val="auto"/>
              </w:rPr>
              <w:t>Internalization of waste, based on disposal costs</w:t>
            </w:r>
          </w:p>
        </w:tc>
        <w:tc>
          <w:tcPr>
            <w:tcW w:w="180" w:type="dxa"/>
            <w:vAlign w:val="bottom"/>
          </w:tcPr>
          <w:p>
            <w:pPr>
              <w:spacing w:after="0"/>
              <w:rPr>
                <w:sz w:val="24"/>
                <w:szCs w:val="24"/>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67.5%</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68.1%</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Total landfill disposal volumes (tons in millions)</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24.5</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gridSpan w:val="7"/>
          </w:tcPr>
          <w:p>
            <w:pPr>
              <w:spacing w:after="0"/>
              <w:rPr>
                <w:sz w:val="20"/>
                <w:szCs w:val="20"/>
                <w:color w:val="auto"/>
              </w:rPr>
            </w:pPr>
            <w:r>
              <w:rPr>
                <w:rFonts w:ascii="Arial" w:cs="Arial" w:eastAsia="Arial" w:hAnsi="Arial"/>
                <w:sz w:val="18"/>
                <w:szCs w:val="18"/>
                <w:color w:val="auto"/>
              </w:rPr>
              <w:t>Total waste-to-energy disposal volumes (tons in millions)</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16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Total disposal volumes (tons in millions)</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40" w:type="dxa"/>
            <w:vAlign w:val="bottom"/>
            <w:gridSpan w:val="8"/>
            <w:vMerge w:val="restart"/>
          </w:tcPr>
          <w:p>
            <w:pPr>
              <w:spacing w:after="0"/>
              <w:rPr>
                <w:sz w:val="20"/>
                <w:szCs w:val="20"/>
                <w:color w:val="auto"/>
              </w:rPr>
            </w:pPr>
            <w:r>
              <w:rPr>
                <w:rFonts w:ascii="Arial" w:cs="Arial" w:eastAsia="Arial" w:hAnsi="Arial"/>
                <w:sz w:val="18"/>
                <w:szCs w:val="18"/>
                <w:color w:val="auto"/>
              </w:rPr>
              <w:t>Active landfills</w:t>
            </w:r>
          </w:p>
        </w:tc>
        <w:tc>
          <w:tcPr>
            <w:tcW w:w="1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40" w:type="dxa"/>
            <w:vAlign w:val="bottom"/>
            <w:gridSpan w:val="8"/>
            <w:vMerge w:val="continue"/>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Landfills reporting volume</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235</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0"/>
        </w:trPr>
        <w:tc>
          <w:tcPr>
            <w:tcW w:w="7340" w:type="dxa"/>
            <w:vAlign w:val="bottom"/>
            <w:gridSpan w:val="8"/>
            <w:vMerge w:val="restart"/>
          </w:tcPr>
          <w:p>
            <w:pPr>
              <w:spacing w:after="0"/>
              <w:rPr>
                <w:sz w:val="20"/>
                <w:szCs w:val="20"/>
                <w:color w:val="auto"/>
              </w:rPr>
            </w:pPr>
            <w:r>
              <w:rPr>
                <w:rFonts w:ascii="Arial" w:cs="Arial" w:eastAsia="Arial" w:hAnsi="Arial"/>
                <w:sz w:val="18"/>
                <w:szCs w:val="18"/>
                <w:b w:val="1"/>
                <w:bCs w:val="1"/>
                <w:color w:val="auto"/>
              </w:rPr>
              <w:t>Amortization, Accretion and Other Expenses for Landfills Included in Operating</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340" w:type="dxa"/>
            <w:vAlign w:val="bottom"/>
            <w:gridSpan w:val="8"/>
            <w:vMerge w:val="continue"/>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20" w:type="dxa"/>
            <w:vAlign w:val="bottom"/>
            <w:tcBorders>
              <w:top w:val="single" w:sz="8" w:color="auto"/>
            </w:tcBorders>
            <w:gridSpan w:val="6"/>
          </w:tcPr>
          <w:p>
            <w:pPr>
              <w:ind w:left="160"/>
              <w:spacing w:after="0" w:line="196" w:lineRule="exact"/>
              <w:rPr>
                <w:sz w:val="20"/>
                <w:szCs w:val="20"/>
                <w:color w:val="auto"/>
              </w:rPr>
            </w:pPr>
            <w:r>
              <w:rPr>
                <w:rFonts w:ascii="Arial" w:cs="Arial" w:eastAsia="Arial" w:hAnsi="Arial"/>
                <w:sz w:val="18"/>
                <w:szCs w:val="18"/>
                <w:b w:val="1"/>
                <w:bCs w:val="1"/>
                <w:color w:val="auto"/>
              </w:rPr>
              <w:t>Groups:</w:t>
            </w: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Landfill amortization expense -</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160" w:type="dxa"/>
            <w:vAlign w:val="bottom"/>
            <w:gridSpan w:val="6"/>
          </w:tcPr>
          <w:p>
            <w:pPr>
              <w:ind w:left="180"/>
              <w:spacing w:after="0"/>
              <w:rPr>
                <w:sz w:val="20"/>
                <w:szCs w:val="20"/>
                <w:color w:val="auto"/>
              </w:rPr>
            </w:pPr>
            <w:r>
              <w:rPr>
                <w:rFonts w:ascii="Arial" w:cs="Arial" w:eastAsia="Arial" w:hAnsi="Arial"/>
                <w:sz w:val="18"/>
                <w:szCs w:val="18"/>
                <w:color w:val="auto"/>
              </w:rPr>
              <w:t>Cost basis of landfill assets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83.7</w:t>
            </w:r>
          </w:p>
        </w:tc>
        <w:tc>
          <w:tcPr>
            <w:tcW w:w="360" w:type="dxa"/>
            <w:vAlign w:val="bottom"/>
          </w:tcPr>
          <w:p>
            <w:pPr>
              <w:spacing w:after="0"/>
              <w:rPr>
                <w:sz w:val="18"/>
                <w:szCs w:val="18"/>
                <w:color w:val="auto"/>
              </w:rPr>
            </w:pPr>
          </w:p>
        </w:tc>
        <w:tc>
          <w:tcPr>
            <w:tcW w:w="4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88.6</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16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Asset retirement costs</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160" w:type="dxa"/>
            <w:vAlign w:val="bottom"/>
            <w:gridSpan w:val="6"/>
          </w:tcPr>
          <w:p>
            <w:pPr>
              <w:ind w:left="540"/>
              <w:spacing w:after="0"/>
              <w:rPr>
                <w:sz w:val="20"/>
                <w:szCs w:val="20"/>
                <w:color w:val="auto"/>
              </w:rPr>
            </w:pPr>
            <w:r>
              <w:rPr>
                <w:rFonts w:ascii="Arial" w:cs="Arial" w:eastAsia="Arial" w:hAnsi="Arial"/>
                <w:sz w:val="18"/>
                <w:szCs w:val="18"/>
                <w:color w:val="auto"/>
              </w:rPr>
              <w:t>Total landfill amortization expense (b) (c)</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88.4</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103.2</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Accretion and other related expense</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19.4</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160" w:type="dxa"/>
            <w:vAlign w:val="bottom"/>
            <w:gridSpan w:val="6"/>
          </w:tcPr>
          <w:p>
            <w:pPr>
              <w:ind w:left="180"/>
              <w:spacing w:after="0"/>
              <w:rPr>
                <w:sz w:val="20"/>
                <w:szCs w:val="20"/>
                <w:color w:val="auto"/>
              </w:rPr>
            </w:pPr>
            <w:r>
              <w:rPr>
                <w:rFonts w:ascii="Arial" w:cs="Arial" w:eastAsia="Arial" w:hAnsi="Arial"/>
                <w:sz w:val="18"/>
                <w:szCs w:val="18"/>
                <w:color w:val="auto"/>
              </w:rPr>
              <w:t>Landfill amortization, accretion and other related expense</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107.8</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122.2</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140" w:hanging="452"/>
        <w:spacing w:after="0" w:line="25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amounts associated with business acquisitions consummated during the indicated periods except for Cash paid for acquisitions, which may include cash payments for business acquisitions consummated in prior quarters.</w:t>
      </w:r>
    </w:p>
    <w:p>
      <w:pPr>
        <w:spacing w:after="0" w:line="1" w:lineRule="exact"/>
        <w:rPr>
          <w:rFonts w:ascii="Arial" w:cs="Arial" w:eastAsia="Arial" w:hAnsi="Arial"/>
          <w:sz w:val="18"/>
          <w:szCs w:val="18"/>
          <w:color w:val="auto"/>
        </w:rPr>
      </w:pPr>
    </w:p>
    <w:p>
      <w:pPr>
        <w:ind w:left="460" w:right="96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quarter ended December 31, 2014 as compared to the quarter ended September 30, 2014 reflects a decrease in amortization expense of approximately $14.8 million, primarily due to changes in landfill estimates identified in both quarters.</w:t>
      </w:r>
    </w:p>
    <w:p>
      <w:pPr>
        <w:ind w:left="460" w:right="920" w:hanging="452"/>
        <w:spacing w:after="0" w:line="323"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quarter ended December 31, 2014 as compared to the quarter ended December 31, 2013 reflects an increase in amortization expense of approximately $1.3 million primarily due to changes in landfill estimates identified in both quarters and by an increase in volumes.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w:t>
      </w:r>
    </w:p>
    <w:p>
      <w:pPr>
        <w:sectPr>
          <w:pgSz w:w="11900" w:h="16838" w:orient="portrait"/>
          <w:cols w:equalWidth="0" w:num="1">
            <w:col w:w="11420"/>
          </w:cols>
          <w:pgMar w:left="240" w:top="270" w:right="239" w:bottom="1440" w:gutter="0" w:footer="0" w:header="0"/>
        </w:sectPr>
      </w:pPr>
    </w:p>
    <w:bookmarkStart w:id="18" w:name="page19"/>
    <w:bookmarkEnd w:id="18"/>
    <w:p>
      <w:pPr>
        <w:jc w:val="center"/>
        <w:ind w:right="43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ind w:right="434"/>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9" w:lineRule="exact"/>
        <w:rPr>
          <w:sz w:val="20"/>
          <w:szCs w:val="20"/>
          <w:color w:val="auto"/>
        </w:rPr>
      </w:pPr>
    </w:p>
    <w:p>
      <w:pPr>
        <w:jc w:val="center"/>
        <w:ind w:right="434"/>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9" w:lineRule="exact"/>
        <w:rPr>
          <w:sz w:val="20"/>
          <w:szCs w:val="20"/>
          <w:color w:val="auto"/>
        </w:rPr>
      </w:pPr>
    </w:p>
    <w:p>
      <w:pPr>
        <w:jc w:val="center"/>
        <w:ind w:right="434"/>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126"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4"/>
          </w:tcPr>
          <w:p>
            <w:pPr>
              <w:jc w:val="center"/>
              <w:ind w:left="154"/>
              <w:spacing w:after="0"/>
              <w:rPr>
                <w:sz w:val="20"/>
                <w:szCs w:val="20"/>
                <w:color w:val="auto"/>
              </w:rPr>
            </w:pPr>
            <w:r>
              <w:rPr>
                <w:rFonts w:ascii="Arial" w:cs="Arial" w:eastAsia="Arial" w:hAnsi="Arial"/>
                <w:sz w:val="14"/>
                <w:szCs w:val="14"/>
                <w:b w:val="1"/>
                <w:bCs w:val="1"/>
                <w:color w:val="auto"/>
                <w:w w:val="96"/>
              </w:rPr>
              <w:t>Quarter Ended</w:t>
            </w: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96"/>
              </w:rPr>
              <w:t>Quarter Ended</w:t>
            </w:r>
          </w:p>
        </w:tc>
        <w:tc>
          <w:tcPr>
            <w:tcW w:w="0" w:type="dxa"/>
            <w:vAlign w:val="bottom"/>
          </w:tcPr>
          <w:p>
            <w:pPr>
              <w:spacing w:after="0"/>
              <w:rPr>
                <w:sz w:val="1"/>
                <w:szCs w:val="1"/>
                <w:color w:val="auto"/>
              </w:rPr>
            </w:pPr>
          </w:p>
        </w:tc>
      </w:tr>
      <w:tr>
        <w:trPr>
          <w:trHeight w:val="171"/>
        </w:trPr>
        <w:tc>
          <w:tcPr>
            <w:tcW w:w="5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6"/>
          </w:tcPr>
          <w:p>
            <w:pPr>
              <w:jc w:val="center"/>
              <w:ind w:right="520"/>
              <w:spacing w:after="0"/>
              <w:rPr>
                <w:sz w:val="20"/>
                <w:szCs w:val="20"/>
                <w:color w:val="auto"/>
              </w:rPr>
            </w:pPr>
            <w:r>
              <w:rPr>
                <w:rFonts w:ascii="Arial" w:cs="Arial" w:eastAsia="Arial" w:hAnsi="Arial"/>
                <w:sz w:val="14"/>
                <w:szCs w:val="14"/>
                <w:b w:val="1"/>
                <w:bCs w:val="1"/>
                <w:color w:val="auto"/>
                <w:w w:val="91"/>
              </w:rPr>
              <w:t>December 31, 2014</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6"/>
          </w:tcPr>
          <w:p>
            <w:pPr>
              <w:jc w:val="center"/>
              <w:ind w:right="420"/>
              <w:spacing w:after="0"/>
              <w:rPr>
                <w:sz w:val="20"/>
                <w:szCs w:val="20"/>
                <w:color w:val="auto"/>
              </w:rPr>
            </w:pPr>
            <w:r>
              <w:rPr>
                <w:rFonts w:ascii="Arial" w:cs="Arial" w:eastAsia="Arial" w:hAnsi="Arial"/>
                <w:sz w:val="14"/>
                <w:szCs w:val="14"/>
                <w:b w:val="1"/>
                <w:bCs w:val="1"/>
                <w:color w:val="auto"/>
                <w:w w:val="91"/>
              </w:rPr>
              <w:t>December 31, 2013</w:t>
            </w:r>
          </w:p>
        </w:tc>
        <w:tc>
          <w:tcPr>
            <w:tcW w:w="0" w:type="dxa"/>
            <w:vAlign w:val="bottom"/>
          </w:tcPr>
          <w:p>
            <w:pPr>
              <w:spacing w:after="0"/>
              <w:rPr>
                <w:sz w:val="1"/>
                <w:szCs w:val="1"/>
                <w:color w:val="auto"/>
              </w:rPr>
            </w:pPr>
          </w:p>
        </w:tc>
      </w:tr>
      <w:tr>
        <w:trPr>
          <w:trHeight w:val="119"/>
        </w:trPr>
        <w:tc>
          <w:tcPr>
            <w:tcW w:w="5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Borders>
              <w:top w:val="single" w:sz="8" w:color="auto"/>
            </w:tcBorders>
            <w:gridSpan w:val="3"/>
          </w:tcPr>
          <w:p>
            <w:pPr>
              <w:jc w:val="center"/>
              <w:ind w:right="380"/>
              <w:spacing w:after="0" w:line="119" w:lineRule="exact"/>
              <w:rPr>
                <w:sz w:val="20"/>
                <w:szCs w:val="20"/>
                <w:color w:val="auto"/>
              </w:rPr>
            </w:pPr>
            <w:r>
              <w:rPr>
                <w:rFonts w:ascii="Arial" w:cs="Arial" w:eastAsia="Arial" w:hAnsi="Arial"/>
                <w:sz w:val="13"/>
                <w:szCs w:val="13"/>
                <w:b w:val="1"/>
                <w:bCs w:val="1"/>
                <w:color w:val="auto"/>
              </w:rPr>
              <w:t>After-tax</w:t>
            </w:r>
          </w:p>
        </w:tc>
        <w:tc>
          <w:tcPr>
            <w:tcW w:w="800" w:type="dxa"/>
            <w:vAlign w:val="bottom"/>
            <w:tcBorders>
              <w:top w:val="single" w:sz="8" w:color="auto"/>
            </w:tcBorders>
            <w:gridSpan w:val="3"/>
          </w:tcPr>
          <w:p>
            <w:pPr>
              <w:ind w:left="180"/>
              <w:spacing w:after="0" w:line="119" w:lineRule="exact"/>
              <w:rPr>
                <w:sz w:val="20"/>
                <w:szCs w:val="20"/>
                <w:color w:val="auto"/>
              </w:rPr>
            </w:pPr>
            <w:r>
              <w:rPr>
                <w:rFonts w:ascii="Arial" w:cs="Arial" w:eastAsia="Arial" w:hAnsi="Arial"/>
                <w:sz w:val="13"/>
                <w:szCs w:val="13"/>
                <w:b w:val="1"/>
                <w:bCs w:val="1"/>
                <w:color w:val="auto"/>
                <w:w w:val="98"/>
              </w:rPr>
              <w:t>Per Share</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Borders>
              <w:top w:val="single" w:sz="8" w:color="auto"/>
            </w:tcBorders>
            <w:gridSpan w:val="3"/>
          </w:tcPr>
          <w:p>
            <w:pPr>
              <w:jc w:val="right"/>
              <w:ind w:right="440"/>
              <w:spacing w:after="0" w:line="119" w:lineRule="exact"/>
              <w:rPr>
                <w:sz w:val="20"/>
                <w:szCs w:val="20"/>
                <w:color w:val="auto"/>
              </w:rPr>
            </w:pPr>
            <w:r>
              <w:rPr>
                <w:rFonts w:ascii="Arial" w:cs="Arial" w:eastAsia="Arial" w:hAnsi="Arial"/>
                <w:sz w:val="13"/>
                <w:szCs w:val="13"/>
                <w:b w:val="1"/>
                <w:bCs w:val="1"/>
                <w:color w:val="auto"/>
              </w:rPr>
              <w:t>After-tax</w:t>
            </w:r>
          </w:p>
        </w:tc>
        <w:tc>
          <w:tcPr>
            <w:tcW w:w="780" w:type="dxa"/>
            <w:vAlign w:val="bottom"/>
            <w:tcBorders>
              <w:top w:val="single" w:sz="8" w:color="auto"/>
            </w:tcBorders>
            <w:gridSpan w:val="3"/>
          </w:tcPr>
          <w:p>
            <w:pPr>
              <w:jc w:val="center"/>
              <w:ind w:left="82"/>
              <w:spacing w:after="0" w:line="119" w:lineRule="exact"/>
              <w:rPr>
                <w:sz w:val="20"/>
                <w:szCs w:val="20"/>
                <w:color w:val="auto"/>
              </w:rPr>
            </w:pPr>
            <w:r>
              <w:rPr>
                <w:rFonts w:ascii="Arial" w:cs="Arial" w:eastAsia="Arial" w:hAnsi="Arial"/>
                <w:sz w:val="13"/>
                <w:szCs w:val="13"/>
                <w:b w:val="1"/>
                <w:bCs w:val="1"/>
                <w:color w:val="auto"/>
              </w:rPr>
              <w:t>Per Share</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660" w:type="dxa"/>
            <w:vAlign w:val="bottom"/>
          </w:tcPr>
          <w:p>
            <w:pPr>
              <w:spacing w:after="0"/>
              <w:rPr>
                <w:sz w:val="14"/>
                <w:szCs w:val="14"/>
                <w:color w:val="auto"/>
              </w:rPr>
            </w:pPr>
          </w:p>
        </w:tc>
        <w:tc>
          <w:tcPr>
            <w:tcW w:w="12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7"/>
              </w:rPr>
              <w:t>Amount(a)</w:t>
            </w:r>
          </w:p>
        </w:tc>
        <w:tc>
          <w:tcPr>
            <w:tcW w:w="180" w:type="dxa"/>
            <w:vAlign w:val="bottom"/>
          </w:tcPr>
          <w:p>
            <w:pPr>
              <w:spacing w:after="0"/>
              <w:rPr>
                <w:sz w:val="14"/>
                <w:szCs w:val="14"/>
                <w:color w:val="auto"/>
              </w:rPr>
            </w:pPr>
          </w:p>
        </w:tc>
        <w:tc>
          <w:tcPr>
            <w:tcW w:w="9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1220" w:type="dxa"/>
            <w:vAlign w:val="bottom"/>
            <w:gridSpan w:val="4"/>
          </w:tcPr>
          <w:p>
            <w:pPr>
              <w:ind w:left="160"/>
              <w:spacing w:after="0"/>
              <w:rPr>
                <w:sz w:val="20"/>
                <w:szCs w:val="20"/>
                <w:color w:val="auto"/>
              </w:rPr>
            </w:pPr>
            <w:r>
              <w:rPr>
                <w:rFonts w:ascii="Arial" w:cs="Arial" w:eastAsia="Arial" w:hAnsi="Arial"/>
                <w:sz w:val="14"/>
                <w:szCs w:val="14"/>
                <w:b w:val="1"/>
                <w:bCs w:val="1"/>
                <w:color w:val="auto"/>
              </w:rPr>
              <w:t>Amount(a)</w:t>
            </w:r>
          </w:p>
        </w:tc>
        <w:tc>
          <w:tcPr>
            <w:tcW w:w="180" w:type="dxa"/>
            <w:vAlign w:val="bottom"/>
          </w:tcPr>
          <w:p>
            <w:pPr>
              <w:spacing w:after="0"/>
              <w:rPr>
                <w:sz w:val="14"/>
                <w:szCs w:val="14"/>
                <w:color w:val="auto"/>
              </w:rPr>
            </w:pPr>
          </w:p>
        </w:tc>
        <w:tc>
          <w:tcPr>
            <w:tcW w:w="8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96"/>
        </w:trPr>
        <w:tc>
          <w:tcPr>
            <w:tcW w:w="5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Adjusted Net Income and Diluted Earnings Per Share</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660" w:type="dxa"/>
            <w:vAlign w:val="bottom"/>
          </w:tcPr>
          <w:p>
            <w:pPr>
              <w:ind w:left="360"/>
              <w:spacing w:after="0" w:line="198" w:lineRule="exact"/>
              <w:rPr>
                <w:sz w:val="20"/>
                <w:szCs w:val="20"/>
                <w:color w:val="auto"/>
              </w:rPr>
            </w:pPr>
            <w:r>
              <w:rPr>
                <w:rFonts w:ascii="Arial" w:cs="Arial" w:eastAsia="Arial" w:hAnsi="Arial"/>
                <w:sz w:val="18"/>
                <w:szCs w:val="18"/>
                <w:b w:val="1"/>
                <w:bCs w:val="1"/>
                <w:color w:val="auto"/>
                <w:w w:val="91"/>
              </w:rPr>
              <w:t>Net income (loss) and diluted earnings (loss) per common share, as</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60" w:type="dxa"/>
            <w:vAlign w:val="bottom"/>
          </w:tcPr>
          <w:p>
            <w:pPr>
              <w:ind w:left="540"/>
              <w:spacing w:after="0"/>
              <w:rPr>
                <w:sz w:val="20"/>
                <w:szCs w:val="20"/>
                <w:color w:val="auto"/>
              </w:rPr>
            </w:pPr>
            <w:r>
              <w:rPr>
                <w:rFonts w:ascii="Arial" w:cs="Arial" w:eastAsia="Arial" w:hAnsi="Arial"/>
                <w:sz w:val="18"/>
                <w:szCs w:val="18"/>
                <w:b w:val="1"/>
                <w:bCs w:val="1"/>
                <w:color w:val="auto"/>
              </w:rPr>
              <w:t>reported</w:t>
            </w:r>
          </w:p>
        </w:tc>
        <w:tc>
          <w:tcPr>
            <w:tcW w:w="380" w:type="dxa"/>
            <w:vAlign w:val="bottom"/>
            <w:gridSpan w:val="2"/>
          </w:tcPr>
          <w:p>
            <w:pPr>
              <w:jc w:val="right"/>
              <w:ind w:right="7"/>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590</w:t>
            </w:r>
          </w:p>
        </w:tc>
        <w:tc>
          <w:tcPr>
            <w:tcW w:w="360" w:type="dxa"/>
            <w:vAlign w:val="bottom"/>
          </w:tcPr>
          <w:p>
            <w:pPr>
              <w:spacing w:after="0"/>
              <w:rPr>
                <w:sz w:val="20"/>
                <w:szCs w:val="20"/>
                <w:color w:val="auto"/>
              </w:rPr>
            </w:pPr>
          </w:p>
        </w:tc>
        <w:tc>
          <w:tcPr>
            <w:tcW w:w="360" w:type="dxa"/>
            <w:vAlign w:val="bottom"/>
            <w:gridSpan w:val="2"/>
          </w:tcPr>
          <w:p>
            <w:pPr>
              <w:ind w:left="18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1.28</w:t>
            </w:r>
          </w:p>
        </w:tc>
        <w:tc>
          <w:tcPr>
            <w:tcW w:w="340" w:type="dxa"/>
            <w:vAlign w:val="bottom"/>
          </w:tcPr>
          <w:p>
            <w:pPr>
              <w:spacing w:after="0"/>
              <w:rPr>
                <w:sz w:val="20"/>
                <w:szCs w:val="20"/>
                <w:color w:val="auto"/>
              </w:rPr>
            </w:pPr>
          </w:p>
        </w:tc>
        <w:tc>
          <w:tcPr>
            <w:tcW w:w="340" w:type="dxa"/>
            <w:vAlign w:val="bottom"/>
            <w:gridSpan w:val="2"/>
          </w:tcPr>
          <w:p>
            <w:pPr>
              <w:ind w:left="16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(605)</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(1.29)</w:t>
            </w:r>
          </w:p>
        </w:tc>
        <w:tc>
          <w:tcPr>
            <w:tcW w:w="0" w:type="dxa"/>
            <w:vAlign w:val="bottom"/>
          </w:tcPr>
          <w:p>
            <w:pPr>
              <w:spacing w:after="0"/>
              <w:rPr>
                <w:sz w:val="1"/>
                <w:szCs w:val="1"/>
                <w:color w:val="auto"/>
              </w:rPr>
            </w:pPr>
          </w:p>
        </w:tc>
      </w:tr>
      <w:tr>
        <w:trPr>
          <w:trHeight w:val="108"/>
        </w:trPr>
        <w:tc>
          <w:tcPr>
            <w:tcW w:w="5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5660" w:type="dxa"/>
            <w:vAlign w:val="bottom"/>
            <w:shd w:val="clear" w:color="auto" w:fill="CCEEFF"/>
          </w:tcPr>
          <w:p>
            <w:pPr>
              <w:ind w:left="360"/>
              <w:spacing w:after="0" w:line="198" w:lineRule="exact"/>
              <w:rPr>
                <w:sz w:val="20"/>
                <w:szCs w:val="20"/>
                <w:color w:val="auto"/>
              </w:rPr>
            </w:pPr>
            <w:r>
              <w:rPr>
                <w:rFonts w:ascii="Arial" w:cs="Arial" w:eastAsia="Arial" w:hAnsi="Arial"/>
                <w:sz w:val="18"/>
                <w:szCs w:val="18"/>
                <w:b w:val="1"/>
                <w:bCs w:val="1"/>
                <w:color w:val="auto"/>
                <w:w w:val="95"/>
              </w:rPr>
              <w:t>Adjustments to net income (loss) and diluted earnings (loss) per</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6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share:</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720"/>
              <w:spacing w:after="0"/>
              <w:rPr>
                <w:sz w:val="20"/>
                <w:szCs w:val="20"/>
                <w:color w:val="auto"/>
              </w:rPr>
            </w:pPr>
            <w:r>
              <w:rPr>
                <w:rFonts w:ascii="Arial" w:cs="Arial" w:eastAsia="Arial" w:hAnsi="Arial"/>
                <w:sz w:val="18"/>
                <w:szCs w:val="18"/>
                <w:color w:val="auto"/>
              </w:rPr>
              <w:t>Gain on sale of waste-to-energy business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(519)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 xml:space="preserve">Asset impairments </w:t>
            </w:r>
            <w:r>
              <w:rPr>
                <w:rFonts w:ascii="Arial" w:cs="Arial" w:eastAsia="Arial" w:hAnsi="Arial"/>
                <w:sz w:val="18"/>
                <w:szCs w:val="18"/>
                <w:b w:val="1"/>
                <w:bCs w:val="1"/>
                <w:color w:val="auto"/>
              </w:rPr>
              <w:t>(b)</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229</w:t>
            </w:r>
            <w:r>
              <w:rPr>
                <w:rFonts w:ascii="Arial" w:cs="Arial" w:eastAsia="Arial" w:hAnsi="Arial"/>
                <w:sz w:val="18"/>
                <w:szCs w:val="18"/>
                <w:b w:val="1"/>
                <w:bCs w:val="1"/>
                <w:color w:val="auto"/>
              </w:rPr>
              <w:t>(c)</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865</w:t>
            </w:r>
            <w:r>
              <w:rPr>
                <w:rFonts w:ascii="Arial" w:cs="Arial" w:eastAsia="Arial" w:hAnsi="Arial"/>
                <w:sz w:val="18"/>
                <w:szCs w:val="18"/>
                <w:b w:val="1"/>
                <w:bCs w:val="1"/>
                <w:color w:val="auto"/>
              </w:rPr>
              <w:t>(d)</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60" w:type="dxa"/>
            <w:vAlign w:val="bottom"/>
          </w:tcPr>
          <w:p>
            <w:pPr>
              <w:ind w:left="720"/>
              <w:spacing w:after="0"/>
              <w:rPr>
                <w:sz w:val="20"/>
                <w:szCs w:val="20"/>
                <w:color w:val="auto"/>
              </w:rPr>
            </w:pPr>
            <w:r>
              <w:rPr>
                <w:rFonts w:ascii="Arial" w:cs="Arial" w:eastAsia="Arial" w:hAnsi="Arial"/>
                <w:sz w:val="18"/>
                <w:szCs w:val="18"/>
                <w:color w:val="auto"/>
              </w:rPr>
              <w:t>Restructuring charges</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(282)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97"/>
              </w:rPr>
              <w:t>(0.61)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868</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1.85</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60" w:type="dxa"/>
            <w:vAlign w:val="bottom"/>
          </w:tcPr>
          <w:p>
            <w:pPr>
              <w:ind w:left="360"/>
              <w:spacing w:after="0"/>
              <w:rPr>
                <w:sz w:val="20"/>
                <w:szCs w:val="20"/>
                <w:color w:val="auto"/>
              </w:rPr>
            </w:pPr>
            <w:r>
              <w:rPr>
                <w:rFonts w:ascii="Arial" w:cs="Arial" w:eastAsia="Arial" w:hAnsi="Arial"/>
                <w:sz w:val="18"/>
                <w:szCs w:val="18"/>
                <w:b w:val="1"/>
                <w:bCs w:val="1"/>
                <w:color w:val="auto"/>
              </w:rPr>
              <w:t>Adjusted net income and diluted EPS</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308</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0.67</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263</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0.56</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4"/>
          </w:tcPr>
          <w:p>
            <w:pPr>
              <w:jc w:val="center"/>
              <w:ind w:left="174"/>
              <w:spacing w:after="0"/>
              <w:rPr>
                <w:sz w:val="20"/>
                <w:szCs w:val="20"/>
                <w:color w:val="auto"/>
              </w:rPr>
            </w:pPr>
            <w:r>
              <w:rPr>
                <w:rFonts w:ascii="Arial" w:cs="Arial" w:eastAsia="Arial" w:hAnsi="Arial"/>
                <w:sz w:val="14"/>
                <w:szCs w:val="14"/>
                <w:b w:val="1"/>
                <w:bCs w:val="1"/>
                <w:color w:val="auto"/>
                <w:w w:val="93"/>
              </w:rPr>
              <w:t>Year Ended</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4"/>
          </w:tcPr>
          <w:p>
            <w:pPr>
              <w:jc w:val="center"/>
              <w:ind w:left="234"/>
              <w:spacing w:after="0"/>
              <w:rPr>
                <w:sz w:val="20"/>
                <w:szCs w:val="20"/>
                <w:color w:val="auto"/>
              </w:rPr>
            </w:pPr>
            <w:r>
              <w:rPr>
                <w:rFonts w:ascii="Arial" w:cs="Arial" w:eastAsia="Arial" w:hAnsi="Arial"/>
                <w:sz w:val="14"/>
                <w:szCs w:val="14"/>
                <w:b w:val="1"/>
                <w:bCs w:val="1"/>
                <w:color w:val="auto"/>
                <w:w w:val="93"/>
              </w:rPr>
              <w:t>Year Ended</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6"/>
          </w:tcPr>
          <w:p>
            <w:pPr>
              <w:jc w:val="center"/>
              <w:ind w:right="520"/>
              <w:spacing w:after="0"/>
              <w:rPr>
                <w:sz w:val="20"/>
                <w:szCs w:val="20"/>
                <w:color w:val="auto"/>
              </w:rPr>
            </w:pPr>
            <w:r>
              <w:rPr>
                <w:rFonts w:ascii="Arial" w:cs="Arial" w:eastAsia="Arial" w:hAnsi="Arial"/>
                <w:sz w:val="14"/>
                <w:szCs w:val="14"/>
                <w:b w:val="1"/>
                <w:bCs w:val="1"/>
                <w:color w:val="auto"/>
                <w:w w:val="91"/>
              </w:rPr>
              <w:t>December 31, 2014</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6"/>
          </w:tcPr>
          <w:p>
            <w:pPr>
              <w:jc w:val="center"/>
              <w:ind w:right="420"/>
              <w:spacing w:after="0"/>
              <w:rPr>
                <w:sz w:val="20"/>
                <w:szCs w:val="20"/>
                <w:color w:val="auto"/>
              </w:rPr>
            </w:pPr>
            <w:r>
              <w:rPr>
                <w:rFonts w:ascii="Arial" w:cs="Arial" w:eastAsia="Arial" w:hAnsi="Arial"/>
                <w:sz w:val="14"/>
                <w:szCs w:val="14"/>
                <w:b w:val="1"/>
                <w:bCs w:val="1"/>
                <w:color w:val="auto"/>
                <w:w w:val="91"/>
              </w:rPr>
              <w:t>December 31, 2013</w:t>
            </w:r>
          </w:p>
        </w:tc>
        <w:tc>
          <w:tcPr>
            <w:tcW w:w="0" w:type="dxa"/>
            <w:vAlign w:val="bottom"/>
          </w:tcPr>
          <w:p>
            <w:pPr>
              <w:spacing w:after="0"/>
              <w:rPr>
                <w:sz w:val="1"/>
                <w:szCs w:val="1"/>
                <w:color w:val="auto"/>
              </w:rPr>
            </w:pPr>
          </w:p>
        </w:tc>
      </w:tr>
      <w:tr>
        <w:trPr>
          <w:trHeight w:val="119"/>
        </w:trPr>
        <w:tc>
          <w:tcPr>
            <w:tcW w:w="5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Borders>
              <w:top w:val="single" w:sz="8" w:color="auto"/>
            </w:tcBorders>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97"/>
              </w:rPr>
              <w:t>After-tax</w:t>
            </w:r>
          </w:p>
        </w:tc>
        <w:tc>
          <w:tcPr>
            <w:tcW w:w="1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jc w:val="center"/>
              <w:ind w:right="93"/>
              <w:spacing w:after="0" w:line="119" w:lineRule="exact"/>
              <w:rPr>
                <w:sz w:val="20"/>
                <w:szCs w:val="20"/>
                <w:color w:val="auto"/>
              </w:rPr>
            </w:pPr>
            <w:r>
              <w:rPr>
                <w:rFonts w:ascii="Arial" w:cs="Arial" w:eastAsia="Arial" w:hAnsi="Arial"/>
                <w:sz w:val="13"/>
                <w:szCs w:val="13"/>
                <w:b w:val="1"/>
                <w:bCs w:val="1"/>
                <w:color w:val="auto"/>
              </w:rPr>
              <w:t>Per</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Borders>
              <w:top w:val="single" w:sz="8" w:color="auto"/>
            </w:tcBorders>
            <w:gridSpan w:val="3"/>
            <w:vMerge w:val="restart"/>
          </w:tcPr>
          <w:p>
            <w:pPr>
              <w:jc w:val="right"/>
              <w:ind w:right="440"/>
              <w:spacing w:after="0"/>
              <w:rPr>
                <w:sz w:val="20"/>
                <w:szCs w:val="20"/>
                <w:color w:val="auto"/>
              </w:rPr>
            </w:pPr>
            <w:r>
              <w:rPr>
                <w:rFonts w:ascii="Arial" w:cs="Arial" w:eastAsia="Arial" w:hAnsi="Arial"/>
                <w:sz w:val="14"/>
                <w:szCs w:val="14"/>
                <w:b w:val="1"/>
                <w:bCs w:val="1"/>
                <w:color w:val="auto"/>
              </w:rPr>
              <w:t>After-tax</w:t>
            </w:r>
          </w:p>
        </w:tc>
        <w:tc>
          <w:tcPr>
            <w:tcW w:w="1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center"/>
              <w:ind w:right="34"/>
              <w:spacing w:after="0" w:line="119" w:lineRule="exact"/>
              <w:rPr>
                <w:sz w:val="20"/>
                <w:szCs w:val="20"/>
                <w:color w:val="auto"/>
              </w:rPr>
            </w:pPr>
            <w:r>
              <w:rPr>
                <w:rFonts w:ascii="Arial" w:cs="Arial" w:eastAsia="Arial" w:hAnsi="Arial"/>
                <w:sz w:val="13"/>
                <w:szCs w:val="13"/>
                <w:b w:val="1"/>
                <w:bCs w:val="1"/>
                <w:color w:val="auto"/>
              </w:rPr>
              <w:t>Per</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Share</w:t>
            </w:r>
          </w:p>
        </w:tc>
        <w:tc>
          <w:tcPr>
            <w:tcW w:w="16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171"/>
        </w:trPr>
        <w:tc>
          <w:tcPr>
            <w:tcW w:w="5660" w:type="dxa"/>
            <w:vAlign w:val="bottom"/>
          </w:tcPr>
          <w:p>
            <w:pPr>
              <w:spacing w:after="0"/>
              <w:rPr>
                <w:sz w:val="14"/>
                <w:szCs w:val="14"/>
                <w:color w:val="auto"/>
              </w:rPr>
            </w:pPr>
          </w:p>
        </w:tc>
        <w:tc>
          <w:tcPr>
            <w:tcW w:w="12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7"/>
              </w:rPr>
              <w:t>Amount(a)</w:t>
            </w:r>
          </w:p>
        </w:tc>
        <w:tc>
          <w:tcPr>
            <w:tcW w:w="180" w:type="dxa"/>
            <w:vAlign w:val="bottom"/>
          </w:tcPr>
          <w:p>
            <w:pPr>
              <w:spacing w:after="0"/>
              <w:rPr>
                <w:sz w:val="14"/>
                <w:szCs w:val="14"/>
                <w:color w:val="auto"/>
              </w:rPr>
            </w:pPr>
          </w:p>
        </w:tc>
        <w:tc>
          <w:tcPr>
            <w:tcW w:w="9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1220" w:type="dxa"/>
            <w:vAlign w:val="bottom"/>
            <w:gridSpan w:val="4"/>
          </w:tcPr>
          <w:p>
            <w:pPr>
              <w:ind w:left="160"/>
              <w:spacing w:after="0"/>
              <w:rPr>
                <w:sz w:val="20"/>
                <w:szCs w:val="20"/>
                <w:color w:val="auto"/>
              </w:rPr>
            </w:pPr>
            <w:r>
              <w:rPr>
                <w:rFonts w:ascii="Arial" w:cs="Arial" w:eastAsia="Arial" w:hAnsi="Arial"/>
                <w:sz w:val="14"/>
                <w:szCs w:val="14"/>
                <w:b w:val="1"/>
                <w:bCs w:val="1"/>
                <w:color w:val="auto"/>
              </w:rPr>
              <w:t>Amount(a)</w:t>
            </w:r>
          </w:p>
        </w:tc>
        <w:tc>
          <w:tcPr>
            <w:tcW w:w="180" w:type="dxa"/>
            <w:vAlign w:val="bottom"/>
          </w:tcPr>
          <w:p>
            <w:pPr>
              <w:spacing w:after="0"/>
              <w:rPr>
                <w:sz w:val="14"/>
                <w:szCs w:val="14"/>
                <w:color w:val="auto"/>
              </w:rPr>
            </w:pPr>
          </w:p>
        </w:tc>
        <w:tc>
          <w:tcPr>
            <w:tcW w:w="8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96"/>
        </w:trPr>
        <w:tc>
          <w:tcPr>
            <w:tcW w:w="5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Adjusted Net Income and Diluted Earnings Per Share</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360"/>
              <w:spacing w:after="0"/>
              <w:rPr>
                <w:sz w:val="20"/>
                <w:szCs w:val="20"/>
                <w:color w:val="auto"/>
              </w:rPr>
            </w:pPr>
            <w:r>
              <w:rPr>
                <w:rFonts w:ascii="Arial" w:cs="Arial" w:eastAsia="Arial" w:hAnsi="Arial"/>
                <w:sz w:val="18"/>
                <w:szCs w:val="18"/>
                <w:b w:val="1"/>
                <w:bCs w:val="1"/>
                <w:color w:val="auto"/>
              </w:rPr>
              <w:t>Net income and diluted EPS, as reported</w:t>
            </w:r>
          </w:p>
        </w:tc>
        <w:tc>
          <w:tcPr>
            <w:tcW w:w="380" w:type="dxa"/>
            <w:vAlign w:val="bottom"/>
            <w:gridSpan w:val="2"/>
          </w:tcPr>
          <w:p>
            <w:pPr>
              <w:jc w:val="right"/>
              <w:ind w:right="7"/>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1,298</w:t>
            </w:r>
          </w:p>
        </w:tc>
        <w:tc>
          <w:tcPr>
            <w:tcW w:w="360" w:type="dxa"/>
            <w:vAlign w:val="bottom"/>
          </w:tcPr>
          <w:p>
            <w:pPr>
              <w:spacing w:after="0"/>
              <w:rPr>
                <w:sz w:val="18"/>
                <w:szCs w:val="18"/>
                <w:color w:val="auto"/>
              </w:rPr>
            </w:pPr>
          </w:p>
        </w:tc>
        <w:tc>
          <w:tcPr>
            <w:tcW w:w="360" w:type="dxa"/>
            <w:vAlign w:val="bottom"/>
            <w:gridSpan w:val="2"/>
          </w:tcPr>
          <w:p>
            <w:pPr>
              <w:ind w:left="18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2.79</w:t>
            </w:r>
          </w:p>
        </w:tc>
        <w:tc>
          <w:tcPr>
            <w:tcW w:w="340" w:type="dxa"/>
            <w:vAlign w:val="bottom"/>
          </w:tcPr>
          <w:p>
            <w:pPr>
              <w:spacing w:after="0"/>
              <w:rPr>
                <w:sz w:val="18"/>
                <w:szCs w:val="18"/>
                <w:color w:val="auto"/>
              </w:rPr>
            </w:pPr>
          </w:p>
        </w:tc>
        <w:tc>
          <w:tcPr>
            <w:tcW w:w="340" w:type="dxa"/>
            <w:vAlign w:val="bottom"/>
            <w:gridSpan w:val="2"/>
          </w:tcPr>
          <w:p>
            <w:pPr>
              <w:ind w:left="16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98</w:t>
            </w:r>
          </w:p>
        </w:tc>
        <w:tc>
          <w:tcPr>
            <w:tcW w:w="3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0.21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Adjustments to net income and Diluted EPS: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720"/>
              <w:spacing w:after="0"/>
              <w:rPr>
                <w:sz w:val="20"/>
                <w:szCs w:val="20"/>
                <w:color w:val="auto"/>
              </w:rPr>
            </w:pPr>
            <w:r>
              <w:rPr>
                <w:rFonts w:ascii="Arial" w:cs="Arial" w:eastAsia="Arial" w:hAnsi="Arial"/>
                <w:sz w:val="18"/>
                <w:szCs w:val="18"/>
                <w:color w:val="auto"/>
              </w:rPr>
              <w:t>Sales of businesses, net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(477)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 xml:space="preserve">Asset impairments </w:t>
            </w:r>
            <w:r>
              <w:rPr>
                <w:rFonts w:ascii="Arial" w:cs="Arial" w:eastAsia="Arial" w:hAnsi="Arial"/>
                <w:sz w:val="18"/>
                <w:szCs w:val="18"/>
                <w:b w:val="1"/>
                <w:bCs w:val="1"/>
                <w:color w:val="auto"/>
              </w:rPr>
              <w:t>(b)</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720"/>
              <w:spacing w:after="0"/>
              <w:rPr>
                <w:sz w:val="20"/>
                <w:szCs w:val="20"/>
                <w:color w:val="auto"/>
              </w:rPr>
            </w:pPr>
            <w:r>
              <w:rPr>
                <w:rFonts w:ascii="Arial" w:cs="Arial" w:eastAsia="Arial" w:hAnsi="Arial"/>
                <w:sz w:val="18"/>
                <w:szCs w:val="18"/>
                <w:color w:val="auto"/>
              </w:rPr>
              <w:t>Restructuring</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52</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Legal reserves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60" w:type="dxa"/>
            <w:vAlign w:val="bottom"/>
          </w:tcPr>
          <w:p>
            <w:pPr>
              <w:ind w:left="720"/>
              <w:spacing w:after="0"/>
              <w:rPr>
                <w:sz w:val="20"/>
                <w:szCs w:val="20"/>
                <w:color w:val="auto"/>
              </w:rPr>
            </w:pPr>
            <w:r>
              <w:rPr>
                <w:rFonts w:ascii="Arial" w:cs="Arial" w:eastAsia="Arial" w:hAnsi="Arial"/>
                <w:sz w:val="18"/>
                <w:szCs w:val="18"/>
                <w:color w:val="auto"/>
              </w:rPr>
              <w:t>Partial withdrawal from multiemployer pension plan</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(147)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97"/>
              </w:rPr>
              <w:t>(0.31)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910</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1.94</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60" w:type="dxa"/>
            <w:vAlign w:val="bottom"/>
          </w:tcPr>
          <w:p>
            <w:pPr>
              <w:ind w:left="360"/>
              <w:spacing w:after="0"/>
              <w:rPr>
                <w:sz w:val="20"/>
                <w:szCs w:val="20"/>
                <w:color w:val="auto"/>
              </w:rPr>
            </w:pPr>
            <w:r>
              <w:rPr>
                <w:rFonts w:ascii="Arial" w:cs="Arial" w:eastAsia="Arial" w:hAnsi="Arial"/>
                <w:sz w:val="18"/>
                <w:szCs w:val="18"/>
                <w:b w:val="1"/>
                <w:bCs w:val="1"/>
                <w:color w:val="auto"/>
              </w:rPr>
              <w:t>Adjusted net income and diluted EPS</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1,151</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2.48</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1,008</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2.15</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4"/>
          </w:tcPr>
          <w:p>
            <w:pPr>
              <w:jc w:val="center"/>
              <w:ind w:left="154"/>
              <w:spacing w:after="0"/>
              <w:rPr>
                <w:sz w:val="20"/>
                <w:szCs w:val="20"/>
                <w:color w:val="auto"/>
              </w:rPr>
            </w:pPr>
            <w:r>
              <w:rPr>
                <w:rFonts w:ascii="Arial" w:cs="Arial" w:eastAsia="Arial" w:hAnsi="Arial"/>
                <w:sz w:val="14"/>
                <w:szCs w:val="14"/>
                <w:b w:val="1"/>
                <w:bCs w:val="1"/>
                <w:color w:val="auto"/>
                <w:w w:val="96"/>
              </w:rPr>
              <w:t>Quarter Ended</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4"/>
          </w:tcPr>
          <w:p>
            <w:pPr>
              <w:jc w:val="center"/>
              <w:ind w:left="234"/>
              <w:spacing w:after="0"/>
              <w:rPr>
                <w:sz w:val="20"/>
                <w:szCs w:val="20"/>
                <w:color w:val="auto"/>
              </w:rPr>
            </w:pPr>
            <w:r>
              <w:rPr>
                <w:rFonts w:ascii="Arial" w:cs="Arial" w:eastAsia="Arial" w:hAnsi="Arial"/>
                <w:sz w:val="14"/>
                <w:szCs w:val="14"/>
                <w:b w:val="1"/>
                <w:bCs w:val="1"/>
                <w:color w:val="auto"/>
                <w:w w:val="93"/>
              </w:rPr>
              <w:t>Year Ended</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6"/>
          </w:tcPr>
          <w:p>
            <w:pPr>
              <w:jc w:val="center"/>
              <w:ind w:right="520"/>
              <w:spacing w:after="0"/>
              <w:rPr>
                <w:sz w:val="20"/>
                <w:szCs w:val="20"/>
                <w:color w:val="auto"/>
              </w:rPr>
            </w:pPr>
            <w:r>
              <w:rPr>
                <w:rFonts w:ascii="Arial" w:cs="Arial" w:eastAsia="Arial" w:hAnsi="Arial"/>
                <w:sz w:val="14"/>
                <w:szCs w:val="14"/>
                <w:b w:val="1"/>
                <w:bCs w:val="1"/>
                <w:color w:val="auto"/>
                <w:w w:val="91"/>
              </w:rPr>
              <w:t>December 31, 2014</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6"/>
          </w:tcPr>
          <w:p>
            <w:pPr>
              <w:jc w:val="center"/>
              <w:ind w:right="420"/>
              <w:spacing w:after="0"/>
              <w:rPr>
                <w:sz w:val="20"/>
                <w:szCs w:val="20"/>
                <w:color w:val="auto"/>
              </w:rPr>
            </w:pPr>
            <w:r>
              <w:rPr>
                <w:rFonts w:ascii="Arial" w:cs="Arial" w:eastAsia="Arial" w:hAnsi="Arial"/>
                <w:sz w:val="14"/>
                <w:szCs w:val="14"/>
                <w:b w:val="1"/>
                <w:bCs w:val="1"/>
                <w:color w:val="auto"/>
                <w:w w:val="91"/>
              </w:rPr>
              <w:t>December 31, 2014</w:t>
            </w:r>
          </w:p>
        </w:tc>
        <w:tc>
          <w:tcPr>
            <w:tcW w:w="0" w:type="dxa"/>
            <w:vAlign w:val="bottom"/>
          </w:tcPr>
          <w:p>
            <w:pPr>
              <w:spacing w:after="0"/>
              <w:rPr>
                <w:sz w:val="1"/>
                <w:szCs w:val="1"/>
                <w:color w:val="auto"/>
              </w:rPr>
            </w:pPr>
          </w:p>
        </w:tc>
      </w:tr>
      <w:tr>
        <w:trPr>
          <w:trHeight w:val="119"/>
        </w:trPr>
        <w:tc>
          <w:tcPr>
            <w:tcW w:w="5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Borders>
              <w:top w:val="single" w:sz="8" w:color="auto"/>
            </w:tcBorders>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98"/>
              </w:rPr>
              <w:t>Amount</w:t>
            </w:r>
          </w:p>
        </w:tc>
        <w:tc>
          <w:tcPr>
            <w:tcW w:w="800" w:type="dxa"/>
            <w:vAlign w:val="bottom"/>
            <w:tcBorders>
              <w:top w:val="single" w:sz="8" w:color="auto"/>
            </w:tcBorders>
            <w:gridSpan w:val="3"/>
          </w:tcPr>
          <w:p>
            <w:pPr>
              <w:ind w:left="180"/>
              <w:spacing w:after="0" w:line="119" w:lineRule="exact"/>
              <w:rPr>
                <w:sz w:val="20"/>
                <w:szCs w:val="20"/>
                <w:color w:val="auto"/>
              </w:rPr>
            </w:pPr>
            <w:r>
              <w:rPr>
                <w:rFonts w:ascii="Arial" w:cs="Arial" w:eastAsia="Arial" w:hAnsi="Arial"/>
                <w:sz w:val="13"/>
                <w:szCs w:val="13"/>
                <w:b w:val="1"/>
                <w:bCs w:val="1"/>
                <w:color w:val="auto"/>
              </w:rPr>
              <w:t>As a % of</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Borders>
              <w:top w:val="single" w:sz="8" w:color="auto"/>
            </w:tcBorders>
            <w:gridSpan w:val="3"/>
            <w:vMerge w:val="restart"/>
          </w:tcPr>
          <w:p>
            <w:pPr>
              <w:jc w:val="right"/>
              <w:ind w:right="480"/>
              <w:spacing w:after="0"/>
              <w:rPr>
                <w:sz w:val="20"/>
                <w:szCs w:val="20"/>
                <w:color w:val="auto"/>
              </w:rPr>
            </w:pPr>
            <w:r>
              <w:rPr>
                <w:rFonts w:ascii="Arial" w:cs="Arial" w:eastAsia="Arial" w:hAnsi="Arial"/>
                <w:sz w:val="14"/>
                <w:szCs w:val="14"/>
                <w:b w:val="1"/>
                <w:bCs w:val="1"/>
                <w:color w:val="auto"/>
              </w:rPr>
              <w:t>Amount</w:t>
            </w:r>
          </w:p>
        </w:tc>
        <w:tc>
          <w:tcPr>
            <w:tcW w:w="780" w:type="dxa"/>
            <w:vAlign w:val="bottom"/>
            <w:tcBorders>
              <w:top w:val="single" w:sz="8" w:color="auto"/>
            </w:tcBorders>
            <w:gridSpan w:val="3"/>
          </w:tcPr>
          <w:p>
            <w:pPr>
              <w:jc w:val="center"/>
              <w:ind w:left="102"/>
              <w:spacing w:after="0" w:line="119" w:lineRule="exact"/>
              <w:rPr>
                <w:sz w:val="20"/>
                <w:szCs w:val="20"/>
                <w:color w:val="auto"/>
              </w:rPr>
            </w:pPr>
            <w:r>
              <w:rPr>
                <w:rFonts w:ascii="Arial" w:cs="Arial" w:eastAsia="Arial" w:hAnsi="Arial"/>
                <w:sz w:val="13"/>
                <w:szCs w:val="13"/>
                <w:b w:val="1"/>
                <w:bCs w:val="1"/>
                <w:color w:val="auto"/>
              </w:rPr>
              <w:t>As a % of</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Revenues</w:t>
            </w:r>
          </w:p>
        </w:tc>
        <w:tc>
          <w:tcPr>
            <w:tcW w:w="16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196"/>
        </w:trPr>
        <w:tc>
          <w:tcPr>
            <w:tcW w:w="5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Adjusted SG&amp;A Expenses as a Percent of Revenues</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360"/>
              <w:spacing w:after="0"/>
              <w:rPr>
                <w:sz w:val="20"/>
                <w:szCs w:val="20"/>
                <w:color w:val="auto"/>
              </w:rPr>
            </w:pPr>
            <w:r>
              <w:rPr>
                <w:rFonts w:ascii="Arial" w:cs="Arial" w:eastAsia="Arial" w:hAnsi="Arial"/>
                <w:sz w:val="18"/>
                <w:szCs w:val="18"/>
                <w:b w:val="1"/>
                <w:bCs w:val="1"/>
                <w:color w:val="auto"/>
              </w:rPr>
              <w:t>Operating revenues, as reported</w:t>
            </w:r>
          </w:p>
        </w:tc>
        <w:tc>
          <w:tcPr>
            <w:tcW w:w="380" w:type="dxa"/>
            <w:vAlign w:val="bottom"/>
            <w:gridSpan w:val="2"/>
          </w:tcPr>
          <w:p>
            <w:pPr>
              <w:jc w:val="right"/>
              <w:ind w:right="7"/>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3,437</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b w:val="1"/>
                <w:bCs w:val="1"/>
                <w:color w:val="auto"/>
              </w:rPr>
              <w:t>$ 13,996</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SG&amp;A expenses, as reported</w:t>
            </w:r>
          </w:p>
        </w:tc>
        <w:tc>
          <w:tcPr>
            <w:tcW w:w="3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376</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10.9%</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1,481</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10.6%</w:t>
            </w:r>
          </w:p>
        </w:tc>
        <w:tc>
          <w:tcPr>
            <w:tcW w:w="0" w:type="dxa"/>
            <w:vAlign w:val="bottom"/>
          </w:tcPr>
          <w:p>
            <w:pPr>
              <w:spacing w:after="0"/>
              <w:rPr>
                <w:sz w:val="1"/>
                <w:szCs w:val="1"/>
                <w:color w:val="auto"/>
              </w:rPr>
            </w:pPr>
          </w:p>
        </w:tc>
      </w:tr>
      <w:tr>
        <w:trPr>
          <w:trHeight w:val="216"/>
        </w:trPr>
        <w:tc>
          <w:tcPr>
            <w:tcW w:w="5660" w:type="dxa"/>
            <w:vAlign w:val="bottom"/>
          </w:tcPr>
          <w:p>
            <w:pPr>
              <w:ind w:left="360"/>
              <w:spacing w:after="0"/>
              <w:rPr>
                <w:sz w:val="20"/>
                <w:szCs w:val="20"/>
                <w:color w:val="auto"/>
              </w:rPr>
            </w:pPr>
            <w:r>
              <w:rPr>
                <w:rFonts w:ascii="Arial" w:cs="Arial" w:eastAsia="Arial" w:hAnsi="Arial"/>
                <w:sz w:val="18"/>
                <w:szCs w:val="18"/>
                <w:b w:val="1"/>
                <w:bCs w:val="1"/>
                <w:color w:val="auto"/>
              </w:rPr>
              <w:t>Adjustment to SG&amp;A expenses: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Legal reserves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60" w:type="dxa"/>
            <w:vAlign w:val="bottom"/>
          </w:tcPr>
          <w:p>
            <w:pPr>
              <w:ind w:left="360"/>
              <w:spacing w:after="0"/>
              <w:rPr>
                <w:sz w:val="20"/>
                <w:szCs w:val="20"/>
                <w:color w:val="auto"/>
              </w:rPr>
            </w:pPr>
            <w:r>
              <w:rPr>
                <w:rFonts w:ascii="Arial" w:cs="Arial" w:eastAsia="Arial" w:hAnsi="Arial"/>
                <w:sz w:val="18"/>
                <w:szCs w:val="18"/>
                <w:b w:val="1"/>
                <w:bCs w:val="1"/>
                <w:color w:val="auto"/>
              </w:rPr>
              <w:t>Adjusted SG&amp;A expenses (e)</w:t>
            </w:r>
          </w:p>
        </w:tc>
        <w:tc>
          <w:tcPr>
            <w:tcW w:w="220" w:type="dxa"/>
            <w:vAlign w:val="bottom"/>
          </w:tcPr>
          <w:p>
            <w:pPr>
              <w:spacing w:after="0"/>
              <w:rPr>
                <w:sz w:val="19"/>
                <w:szCs w:val="19"/>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376</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1,450</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Incentive compensation accruals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720"/>
              <w:spacing w:after="0"/>
              <w:rPr>
                <w:sz w:val="20"/>
                <w:szCs w:val="20"/>
                <w:color w:val="auto"/>
              </w:rPr>
            </w:pPr>
            <w:r>
              <w:rPr>
                <w:rFonts w:ascii="Arial" w:cs="Arial" w:eastAsia="Arial" w:hAnsi="Arial"/>
                <w:sz w:val="18"/>
                <w:szCs w:val="18"/>
                <w:color w:val="auto"/>
              </w:rPr>
              <w:t>Legal reserves and fees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Further adjusted SG&amp;A expenses (f)</w:t>
            </w:r>
          </w:p>
        </w:tc>
        <w:tc>
          <w:tcPr>
            <w:tcW w:w="3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354</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10.3%</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1,428</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10.2%</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46" w:right="460" w:hanging="446"/>
        <w:spacing w:after="0" w:line="258" w:lineRule="auto"/>
        <w:tabs>
          <w:tab w:leader="none" w:pos="446"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Please see the “Adjusted tax expense reconciliation” for the tax expense associated with each of the after-tax adjustments to net income and diluted EPS in the fourth quarter and full year of 2014 and 2013.</w:t>
      </w:r>
    </w:p>
    <w:p>
      <w:pPr>
        <w:spacing w:after="0" w:line="1" w:lineRule="exact"/>
        <w:rPr>
          <w:rFonts w:ascii="Arial" w:cs="Arial" w:eastAsia="Arial" w:hAnsi="Arial"/>
          <w:sz w:val="18"/>
          <w:szCs w:val="18"/>
          <w:b w:val="1"/>
          <w:bCs w:val="1"/>
          <w:color w:val="auto"/>
        </w:rPr>
      </w:pPr>
    </w:p>
    <w:p>
      <w:pPr>
        <w:ind w:left="446" w:hanging="446"/>
        <w:spacing w:after="0" w:line="250" w:lineRule="auto"/>
        <w:tabs>
          <w:tab w:leader="none" w:pos="446"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Adjustments in 2014 and 2013 include impairment charges associated with assets in the “Asset Impairments and Unusual Items” financial caption as well as impairment charges associated with certain of our investments in unconsolidated entities that are included in “Equity in Earnings (Losses) of Unconsolidated Entities” and “Other, net” financial caption.</w:t>
      </w:r>
    </w:p>
    <w:p>
      <w:pPr>
        <w:spacing w:after="0" w:line="1" w:lineRule="exact"/>
        <w:rPr>
          <w:rFonts w:ascii="Arial" w:cs="Arial" w:eastAsia="Arial" w:hAnsi="Arial"/>
          <w:sz w:val="18"/>
          <w:szCs w:val="18"/>
          <w:b w:val="1"/>
          <w:bCs w:val="1"/>
          <w:color w:val="auto"/>
        </w:rPr>
      </w:pPr>
    </w:p>
    <w:p>
      <w:pPr>
        <w:ind w:left="446" w:hanging="446"/>
        <w:spacing w:after="0"/>
        <w:tabs>
          <w:tab w:leader="none" w:pos="446" w:val="left"/>
        </w:tabs>
        <w:numPr>
          <w:ilvl w:val="0"/>
          <w:numId w:val="11"/>
        </w:numPr>
        <w:rPr>
          <w:rFonts w:ascii="Arial" w:cs="Arial" w:eastAsia="Arial" w:hAnsi="Arial"/>
          <w:sz w:val="16"/>
          <w:szCs w:val="16"/>
          <w:b w:val="1"/>
          <w:bCs w:val="1"/>
          <w:color w:val="auto"/>
        </w:rPr>
      </w:pPr>
      <w:r>
        <w:rPr>
          <w:rFonts w:ascii="Arial" w:cs="Arial" w:eastAsia="Arial" w:hAnsi="Arial"/>
          <w:sz w:val="16"/>
          <w:szCs w:val="16"/>
          <w:color w:val="auto"/>
        </w:rPr>
        <w:t>Adjustments in the fourth quarter of 2014 consist of after-tax charges of: i) $164 million to impair certain of our oil and gas producing properties</w:t>
      </w:r>
    </w:p>
    <w:p>
      <w:pPr>
        <w:spacing w:after="0" w:line="32" w:lineRule="exact"/>
        <w:rPr>
          <w:rFonts w:ascii="Arial" w:cs="Arial" w:eastAsia="Arial" w:hAnsi="Arial"/>
          <w:sz w:val="16"/>
          <w:szCs w:val="16"/>
          <w:b w:val="1"/>
          <w:bCs w:val="1"/>
          <w:color w:val="auto"/>
        </w:rPr>
      </w:pPr>
    </w:p>
    <w:p>
      <w:pPr>
        <w:ind w:left="446" w:right="40"/>
        <w:spacing w:after="0" w:line="250" w:lineRule="auto"/>
        <w:rPr>
          <w:rFonts w:ascii="Arial" w:cs="Arial" w:eastAsia="Arial" w:hAnsi="Arial"/>
          <w:sz w:val="16"/>
          <w:szCs w:val="16"/>
          <w:b w:val="1"/>
          <w:bCs w:val="1"/>
          <w:color w:val="auto"/>
        </w:rPr>
      </w:pPr>
      <w:r>
        <w:rPr>
          <w:rFonts w:ascii="Arial" w:cs="Arial" w:eastAsia="Arial" w:hAnsi="Arial"/>
          <w:sz w:val="18"/>
          <w:szCs w:val="18"/>
          <w:color w:val="auto"/>
        </w:rPr>
        <w:t>primarily as a result of the pronounced decrease in oil and gas prices in the fourth quarter of 2014; and ii) $65 million to: a) write-down waste diversion technology assets and certain other assets and b) write-down equity method and cost method investments in waste diversion technology companies.</w:t>
      </w:r>
    </w:p>
    <w:p>
      <w:pPr>
        <w:spacing w:after="0" w:line="1" w:lineRule="exact"/>
        <w:rPr>
          <w:rFonts w:ascii="Arial" w:cs="Arial" w:eastAsia="Arial" w:hAnsi="Arial"/>
          <w:sz w:val="16"/>
          <w:szCs w:val="16"/>
          <w:b w:val="1"/>
          <w:bCs w:val="1"/>
          <w:color w:val="auto"/>
        </w:rPr>
      </w:pPr>
    </w:p>
    <w:p>
      <w:pPr>
        <w:ind w:left="446" w:right="80" w:hanging="446"/>
        <w:spacing w:after="0" w:line="265" w:lineRule="auto"/>
        <w:tabs>
          <w:tab w:leader="none" w:pos="446" w:val="left"/>
        </w:tabs>
        <w:numPr>
          <w:ilvl w:val="0"/>
          <w:numId w:val="11"/>
        </w:numPr>
        <w:rPr>
          <w:rFonts w:ascii="Arial" w:cs="Arial" w:eastAsia="Arial" w:hAnsi="Arial"/>
          <w:sz w:val="17"/>
          <w:szCs w:val="17"/>
          <w:b w:val="1"/>
          <w:bCs w:val="1"/>
          <w:color w:val="auto"/>
        </w:rPr>
      </w:pPr>
      <w:r>
        <w:rPr>
          <w:rFonts w:ascii="Arial" w:cs="Arial" w:eastAsia="Arial" w:hAnsi="Arial"/>
          <w:sz w:val="17"/>
          <w:szCs w:val="17"/>
          <w:color w:val="auto"/>
        </w:rPr>
        <w:t>Adjustments in the fourth quarter of 2013 consist of after-tax charges of: i) $493 million in impairments of goodwill, primarily related to the Company’s waste-to-energy operations; ii) $284 million in impairments resulting from the Company’s year-end finalization of our asset rationalization and capital allocation analysis and consideration of management decisions to defer active pursuit of expansion or mothball certain post-collection facilities; and iii) $88 million to write down the carrying value of investments and other assets to their fair value.</w:t>
      </w:r>
    </w:p>
    <w:p>
      <w:pPr>
        <w:ind w:left="446" w:hanging="446"/>
        <w:spacing w:after="0"/>
        <w:tabs>
          <w:tab w:leader="none" w:pos="446" w:val="left"/>
        </w:tabs>
        <w:numPr>
          <w:ilvl w:val="0"/>
          <w:numId w:val="11"/>
        </w:numPr>
        <w:rPr>
          <w:rFonts w:ascii="Arial" w:cs="Arial" w:eastAsia="Arial" w:hAnsi="Arial"/>
          <w:sz w:val="17"/>
          <w:szCs w:val="17"/>
          <w:b w:val="1"/>
          <w:bCs w:val="1"/>
          <w:color w:val="auto"/>
        </w:rPr>
      </w:pPr>
      <w:r>
        <w:rPr>
          <w:rFonts w:ascii="Arial" w:cs="Arial" w:eastAsia="Arial" w:hAnsi="Arial"/>
          <w:sz w:val="17"/>
          <w:szCs w:val="17"/>
          <w:color w:val="auto"/>
        </w:rPr>
        <w:t>For purposes of measuring as-adjusted earnings per diluted share, we have adjusted 2014 SG&amp;A expenses by $31 million for the full year.</w:t>
      </w:r>
    </w:p>
    <w:p>
      <w:pPr>
        <w:spacing w:after="0" w:line="20" w:lineRule="exact"/>
        <w:rPr>
          <w:rFonts w:ascii="Arial" w:cs="Arial" w:eastAsia="Arial" w:hAnsi="Arial"/>
          <w:sz w:val="17"/>
          <w:szCs w:val="17"/>
          <w:b w:val="1"/>
          <w:bCs w:val="1"/>
          <w:color w:val="auto"/>
        </w:rPr>
      </w:pPr>
    </w:p>
    <w:p>
      <w:pPr>
        <w:ind w:left="446" w:right="320" w:hanging="446"/>
        <w:spacing w:after="0" w:line="261" w:lineRule="auto"/>
        <w:tabs>
          <w:tab w:leader="none" w:pos="446"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We have further adjusted 2014 SG&amp;A expenses by $22 million for the fourth quarter and the full year for purposes of measuring 2014 SG&amp;A savings and margins.</w:t>
      </w:r>
    </w:p>
    <w:p>
      <w:pPr>
        <w:spacing w:after="0" w:line="112" w:lineRule="exact"/>
        <w:rPr>
          <w:sz w:val="20"/>
          <w:szCs w:val="20"/>
          <w:color w:val="auto"/>
        </w:rPr>
      </w:pPr>
    </w:p>
    <w:p>
      <w:pPr>
        <w:jc w:val="center"/>
        <w:ind w:right="434"/>
        <w:spacing w:after="0"/>
        <w:rPr>
          <w:sz w:val="20"/>
          <w:szCs w:val="20"/>
          <w:color w:val="auto"/>
        </w:rPr>
      </w:pPr>
      <w:r>
        <w:rPr>
          <w:rFonts w:ascii="Arial" w:cs="Arial" w:eastAsia="Arial" w:hAnsi="Arial"/>
          <w:sz w:val="18"/>
          <w:szCs w:val="18"/>
          <w:b w:val="1"/>
          <w:bCs w:val="1"/>
          <w:color w:val="auto"/>
        </w:rPr>
        <w:t>(9)</w:t>
      </w:r>
    </w:p>
    <w:p>
      <w:pPr>
        <w:sectPr>
          <w:pgSz w:w="11900" w:h="16838" w:orient="portrait"/>
          <w:cols w:equalWidth="0" w:num="1">
            <w:col w:w="10966"/>
          </w:cols>
          <w:pgMar w:left="694" w:top="270"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20" w:type="dxa"/>
            <w:vAlign w:val="bottom"/>
            <w:gridSpan w:val="8"/>
            <w:vMerge w:val="restart"/>
          </w:tcPr>
          <w:p>
            <w:pPr>
              <w:jc w:val="right"/>
              <w:ind w:right="620"/>
              <w:spacing w:after="0"/>
              <w:rPr>
                <w:sz w:val="20"/>
                <w:szCs w:val="20"/>
                <w:color w:val="auto"/>
              </w:rPr>
            </w:pPr>
            <w:r>
              <w:rPr>
                <w:rFonts w:ascii="Arial" w:cs="Arial" w:eastAsia="Arial" w:hAnsi="Arial"/>
                <w:sz w:val="14"/>
                <w:szCs w:val="14"/>
                <w:b w:val="1"/>
                <w:bCs w:val="1"/>
                <w:color w:val="auto"/>
              </w:rPr>
              <w:t>Quarter Ended December 31, 2014</w:t>
            </w:r>
          </w:p>
        </w:tc>
        <w:tc>
          <w:tcPr>
            <w:tcW w:w="40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4"/>
          </w:tcPr>
          <w:p>
            <w:pPr>
              <w:jc w:val="center"/>
              <w:ind w:left="134"/>
              <w:spacing w:after="0"/>
              <w:rPr>
                <w:sz w:val="20"/>
                <w:szCs w:val="20"/>
                <w:color w:val="auto"/>
              </w:rPr>
            </w:pPr>
            <w:r>
              <w:rPr>
                <w:rFonts w:ascii="Arial" w:cs="Arial" w:eastAsia="Arial" w:hAnsi="Arial"/>
                <w:sz w:val="14"/>
                <w:szCs w:val="14"/>
                <w:b w:val="1"/>
                <w:bCs w:val="1"/>
                <w:color w:val="auto"/>
                <w:w w:val="96"/>
              </w:rPr>
              <w:t>Quarter Ended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220" w:type="dxa"/>
            <w:vAlign w:val="bottom"/>
            <w:tcBorders>
              <w:bottom w:val="single" w:sz="8" w:color="auto"/>
            </w:tcBorders>
            <w:gridSpan w:val="8"/>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center"/>
              <w:ind w:left="114"/>
              <w:spacing w:after="0"/>
              <w:rPr>
                <w:sz w:val="20"/>
                <w:szCs w:val="20"/>
                <w:color w:val="auto"/>
              </w:rPr>
            </w:pPr>
            <w:r>
              <w:rPr>
                <w:rFonts w:ascii="Arial" w:cs="Arial" w:eastAsia="Arial" w:hAnsi="Arial"/>
                <w:sz w:val="14"/>
                <w:szCs w:val="14"/>
                <w:b w:val="1"/>
                <w:bCs w:val="1"/>
                <w:color w:val="auto"/>
                <w:w w:val="91"/>
              </w:rPr>
              <w:t>December 31, 2013</w:t>
            </w: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9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Pre-tax Income</w:t>
            </w:r>
          </w:p>
        </w:tc>
        <w:tc>
          <w:tcPr>
            <w:tcW w:w="220" w:type="dxa"/>
            <w:vAlign w:val="bottom"/>
          </w:tcPr>
          <w:p>
            <w:pPr>
              <w:spacing w:after="0"/>
              <w:rPr>
                <w:sz w:val="10"/>
                <w:szCs w:val="10"/>
                <w:color w:val="auto"/>
              </w:rPr>
            </w:pPr>
          </w:p>
        </w:tc>
        <w:tc>
          <w:tcPr>
            <w:tcW w:w="1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Tax Expense</w:t>
            </w:r>
          </w:p>
        </w:tc>
        <w:tc>
          <w:tcPr>
            <w:tcW w:w="8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7"/>
              </w:rPr>
              <w:t>Effective Tax</w:t>
            </w: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gridSpan w:val="3"/>
          </w:tcPr>
          <w:p>
            <w:pPr>
              <w:jc w:val="right"/>
              <w:ind w:right="228"/>
              <w:spacing w:after="0" w:line="119" w:lineRule="exact"/>
              <w:rPr>
                <w:sz w:val="20"/>
                <w:szCs w:val="20"/>
                <w:color w:val="auto"/>
              </w:rPr>
            </w:pPr>
            <w:r>
              <w:rPr>
                <w:rFonts w:ascii="Arial" w:cs="Arial" w:eastAsia="Arial" w:hAnsi="Arial"/>
                <w:sz w:val="13"/>
                <w:szCs w:val="13"/>
                <w:b w:val="1"/>
                <w:bCs w:val="1"/>
                <w:color w:val="auto"/>
              </w:rPr>
              <w:t>Pre-tax</w:t>
            </w:r>
          </w:p>
        </w:tc>
        <w:tc>
          <w:tcPr>
            <w:tcW w:w="220" w:type="dxa"/>
            <w:vAlign w:val="bottom"/>
          </w:tcPr>
          <w:p>
            <w:pPr>
              <w:spacing w:after="0"/>
              <w:rPr>
                <w:sz w:val="10"/>
                <w:szCs w:val="10"/>
                <w:color w:val="auto"/>
              </w:rPr>
            </w:pPr>
          </w:p>
        </w:tc>
        <w:tc>
          <w:tcPr>
            <w:tcW w:w="9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Tax Expense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40" w:type="dxa"/>
            <w:vAlign w:val="bottom"/>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Rate (a)</w:t>
            </w:r>
          </w:p>
        </w:tc>
        <w:tc>
          <w:tcPr>
            <w:tcW w:w="220" w:type="dxa"/>
            <w:vAlign w:val="bottom"/>
          </w:tcPr>
          <w:p>
            <w:pPr>
              <w:spacing w:after="0"/>
              <w:rPr>
                <w:sz w:val="14"/>
                <w:szCs w:val="14"/>
                <w:color w:val="auto"/>
              </w:rPr>
            </w:pPr>
          </w:p>
        </w:tc>
        <w:tc>
          <w:tcPr>
            <w:tcW w:w="780" w:type="dxa"/>
            <w:vAlign w:val="bottom"/>
            <w:gridSpan w:val="3"/>
          </w:tcPr>
          <w:p>
            <w:pPr>
              <w:jc w:val="right"/>
              <w:ind w:right="228"/>
              <w:spacing w:after="0"/>
              <w:rPr>
                <w:sz w:val="20"/>
                <w:szCs w:val="20"/>
                <w:color w:val="auto"/>
              </w:rPr>
            </w:pPr>
            <w:r>
              <w:rPr>
                <w:rFonts w:ascii="Arial" w:cs="Arial" w:eastAsia="Arial" w:hAnsi="Arial"/>
                <w:sz w:val="14"/>
                <w:szCs w:val="14"/>
                <w:b w:val="1"/>
                <w:bCs w:val="1"/>
                <w:color w:val="auto"/>
                <w:w w:val="93"/>
              </w:rPr>
              <w:t>Income</w:t>
            </w:r>
          </w:p>
        </w:tc>
        <w:tc>
          <w:tcPr>
            <w:tcW w:w="22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w w:val="94"/>
              </w:rPr>
              <w:t>Adjusted Tax Expense Reconciliation and Effective Tax Rate</w:t>
            </w:r>
          </w:p>
        </w:tc>
        <w:tc>
          <w:tcPr>
            <w:tcW w:w="4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As reported amounts</w:t>
            </w:r>
          </w:p>
        </w:tc>
        <w:tc>
          <w:tcPr>
            <w:tcW w:w="740" w:type="dxa"/>
            <w:vAlign w:val="bottom"/>
            <w:gridSpan w:val="2"/>
          </w:tcPr>
          <w:p>
            <w:pPr>
              <w:ind w:left="420"/>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599</w:t>
            </w:r>
          </w:p>
        </w:tc>
        <w:tc>
          <w:tcPr>
            <w:tcW w:w="260" w:type="dxa"/>
            <w:vAlign w:val="bottom"/>
          </w:tcPr>
          <w:p>
            <w:pPr>
              <w:spacing w:after="0"/>
              <w:rPr>
                <w:sz w:val="24"/>
                <w:szCs w:val="24"/>
                <w:color w:val="auto"/>
              </w:rPr>
            </w:pPr>
          </w:p>
        </w:tc>
        <w:tc>
          <w:tcPr>
            <w:tcW w:w="600" w:type="dxa"/>
            <w:vAlign w:val="bottom"/>
            <w:gridSpan w:val="2"/>
          </w:tcPr>
          <w:p>
            <w:pPr>
              <w:ind w:left="22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1</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0.3%</w:t>
            </w:r>
          </w:p>
        </w:tc>
        <w:tc>
          <w:tcPr>
            <w:tcW w:w="1000" w:type="dxa"/>
            <w:vAlign w:val="bottom"/>
            <w:gridSpan w:val="4"/>
          </w:tcPr>
          <w:p>
            <w:pPr>
              <w:jc w:val="right"/>
              <w:ind w:right="148"/>
              <w:spacing w:after="0"/>
              <w:rPr>
                <w:sz w:val="20"/>
                <w:szCs w:val="20"/>
                <w:color w:val="auto"/>
              </w:rPr>
            </w:pPr>
            <w:r>
              <w:rPr>
                <w:rFonts w:ascii="Arial" w:cs="Arial" w:eastAsia="Arial" w:hAnsi="Arial"/>
                <w:sz w:val="18"/>
                <w:szCs w:val="18"/>
                <w:b w:val="1"/>
                <w:bCs w:val="1"/>
                <w:color w:val="auto"/>
              </w:rPr>
              <w:t>$ (603)</w:t>
            </w:r>
          </w:p>
        </w:tc>
        <w:tc>
          <w:tcPr>
            <w:tcW w:w="720" w:type="dxa"/>
            <w:vAlign w:val="bottom"/>
            <w:gridSpan w:val="2"/>
          </w:tcPr>
          <w:p>
            <w:pPr>
              <w:ind w:left="220"/>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Tax Expense:</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40"/>
              <w:spacing w:after="0"/>
              <w:rPr>
                <w:sz w:val="20"/>
                <w:szCs w:val="20"/>
                <w:color w:val="auto"/>
              </w:rPr>
            </w:pPr>
            <w:r>
              <w:rPr>
                <w:rFonts w:ascii="Arial" w:cs="Arial" w:eastAsia="Arial" w:hAnsi="Arial"/>
                <w:sz w:val="18"/>
                <w:szCs w:val="18"/>
                <w:color w:val="auto"/>
              </w:rPr>
              <w:t>Gain on sale of waste-to-energy business</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(519)</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Asset impairments</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135</w:t>
            </w: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999</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40"/>
              <w:spacing w:after="0"/>
              <w:rPr>
                <w:sz w:val="20"/>
                <w:szCs w:val="20"/>
                <w:color w:val="auto"/>
              </w:rPr>
            </w:pPr>
            <w:r>
              <w:rPr>
                <w:rFonts w:ascii="Arial" w:cs="Arial" w:eastAsia="Arial" w:hAnsi="Arial"/>
                <w:sz w:val="18"/>
                <w:szCs w:val="18"/>
                <w:color w:val="auto"/>
              </w:rPr>
              <w:t>Restructuring charges</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8"/>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(142)</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140</w:t>
            </w: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b w:val="1"/>
                <w:bCs w:val="1"/>
                <w:color w:val="auto"/>
                <w:w w:val="84"/>
              </w:rPr>
              <w:t>1,004</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3"/>
              </w:rPr>
              <w:t>132</w:t>
            </w:r>
          </w:p>
        </w:tc>
        <w:tc>
          <w:tcPr>
            <w:tcW w:w="0" w:type="dxa"/>
            <w:vAlign w:val="bottom"/>
          </w:tcPr>
          <w:p>
            <w:pPr>
              <w:spacing w:after="0"/>
              <w:rPr>
                <w:sz w:val="1"/>
                <w:szCs w:val="1"/>
                <w:color w:val="auto"/>
              </w:rPr>
            </w:pPr>
          </w:p>
        </w:tc>
      </w:tr>
      <w:tr>
        <w:trPr>
          <w:trHeight w:val="223"/>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As adjusted amounts</w:t>
            </w:r>
          </w:p>
        </w:tc>
        <w:tc>
          <w:tcPr>
            <w:tcW w:w="420" w:type="dxa"/>
            <w:vAlign w:val="bottom"/>
          </w:tcPr>
          <w:p>
            <w:pPr>
              <w:spacing w:after="0"/>
              <w:rPr>
                <w:sz w:val="19"/>
                <w:szCs w:val="19"/>
                <w:color w:val="auto"/>
              </w:rPr>
            </w:pPr>
          </w:p>
        </w:tc>
        <w:tc>
          <w:tcPr>
            <w:tcW w:w="3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457</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141</w:t>
            </w: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w w:val="79"/>
              </w:rPr>
              <w:t>401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 benefits not related to current quarter activities</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w:t>
            </w: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Further adjusted amounts</w:t>
            </w:r>
          </w:p>
        </w:tc>
        <w:tc>
          <w:tcPr>
            <w:tcW w:w="4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457</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152</w:t>
            </w:r>
          </w:p>
        </w:tc>
        <w:tc>
          <w:tcPr>
            <w:tcW w:w="5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gridSpan w:val="3"/>
          </w:tcPr>
          <w:p>
            <w:pPr>
              <w:jc w:val="center"/>
              <w:ind w:right="122"/>
              <w:spacing w:after="0"/>
              <w:rPr>
                <w:sz w:val="20"/>
                <w:szCs w:val="20"/>
                <w:color w:val="auto"/>
              </w:rPr>
            </w:pPr>
            <w:r>
              <w:rPr>
                <w:rFonts w:ascii="Arial" w:cs="Arial" w:eastAsia="Arial" w:hAnsi="Arial"/>
                <w:sz w:val="14"/>
                <w:szCs w:val="14"/>
                <w:b w:val="1"/>
                <w:bCs w:val="1"/>
                <w:color w:val="auto"/>
                <w:w w:val="93"/>
              </w:rPr>
              <w:t>Year Ended</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December 31, 2014</w:t>
            </w:r>
          </w:p>
        </w:tc>
        <w:tc>
          <w:tcPr>
            <w:tcW w:w="40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center"/>
              <w:ind w:left="114"/>
              <w:spacing w:after="0"/>
              <w:rPr>
                <w:sz w:val="20"/>
                <w:szCs w:val="20"/>
                <w:color w:val="auto"/>
              </w:rPr>
            </w:pPr>
            <w:r>
              <w:rPr>
                <w:rFonts w:ascii="Arial" w:cs="Arial" w:eastAsia="Arial" w:hAnsi="Arial"/>
                <w:sz w:val="14"/>
                <w:szCs w:val="14"/>
                <w:b w:val="1"/>
                <w:bCs w:val="1"/>
                <w:color w:val="auto"/>
                <w:w w:val="91"/>
              </w:rPr>
              <w:t>December 31, 2013</w:t>
            </w: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9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Pre-tax Income</w:t>
            </w:r>
          </w:p>
        </w:tc>
        <w:tc>
          <w:tcPr>
            <w:tcW w:w="220" w:type="dxa"/>
            <w:vAlign w:val="bottom"/>
          </w:tcPr>
          <w:p>
            <w:pPr>
              <w:spacing w:after="0"/>
              <w:rPr>
                <w:sz w:val="10"/>
                <w:szCs w:val="10"/>
                <w:color w:val="auto"/>
              </w:rPr>
            </w:pPr>
          </w:p>
        </w:tc>
        <w:tc>
          <w:tcPr>
            <w:tcW w:w="1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Tax Expense</w:t>
            </w:r>
          </w:p>
        </w:tc>
        <w:tc>
          <w:tcPr>
            <w:tcW w:w="8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gridSpan w:val="3"/>
          </w:tcPr>
          <w:p>
            <w:pPr>
              <w:jc w:val="right"/>
              <w:ind w:right="228"/>
              <w:spacing w:after="0" w:line="119" w:lineRule="exact"/>
              <w:rPr>
                <w:sz w:val="20"/>
                <w:szCs w:val="20"/>
                <w:color w:val="auto"/>
              </w:rPr>
            </w:pPr>
            <w:r>
              <w:rPr>
                <w:rFonts w:ascii="Arial" w:cs="Arial" w:eastAsia="Arial" w:hAnsi="Arial"/>
                <w:sz w:val="13"/>
                <w:szCs w:val="13"/>
                <w:b w:val="1"/>
                <w:bCs w:val="1"/>
                <w:color w:val="auto"/>
              </w:rPr>
              <w:t>Pre-tax</w:t>
            </w:r>
          </w:p>
        </w:tc>
        <w:tc>
          <w:tcPr>
            <w:tcW w:w="220" w:type="dxa"/>
            <w:vAlign w:val="bottom"/>
          </w:tcPr>
          <w:p>
            <w:pPr>
              <w:spacing w:after="0"/>
              <w:rPr>
                <w:sz w:val="10"/>
                <w:szCs w:val="10"/>
                <w:color w:val="auto"/>
              </w:rPr>
            </w:pPr>
          </w:p>
        </w:tc>
        <w:tc>
          <w:tcPr>
            <w:tcW w:w="9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Tax Expense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40" w:type="dxa"/>
            <w:vAlign w:val="bottom"/>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3"/>
          </w:tcPr>
          <w:p>
            <w:pPr>
              <w:jc w:val="right"/>
              <w:ind w:right="228"/>
              <w:spacing w:after="0"/>
              <w:rPr>
                <w:sz w:val="20"/>
                <w:szCs w:val="20"/>
                <w:color w:val="auto"/>
              </w:rPr>
            </w:pPr>
            <w:r>
              <w:rPr>
                <w:rFonts w:ascii="Arial" w:cs="Arial" w:eastAsia="Arial" w:hAnsi="Arial"/>
                <w:sz w:val="14"/>
                <w:szCs w:val="14"/>
                <w:b w:val="1"/>
                <w:bCs w:val="1"/>
                <w:color w:val="auto"/>
                <w:w w:val="93"/>
              </w:rPr>
              <w:t>Income</w:t>
            </w:r>
          </w:p>
        </w:tc>
        <w:tc>
          <w:tcPr>
            <w:tcW w:w="22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Adjusted Tax Expense Reconciliation</w:t>
            </w:r>
          </w:p>
        </w:tc>
        <w:tc>
          <w:tcPr>
            <w:tcW w:w="4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As reported amounts</w:t>
            </w:r>
          </w:p>
        </w:tc>
        <w:tc>
          <w:tcPr>
            <w:tcW w:w="740" w:type="dxa"/>
            <w:vAlign w:val="bottom"/>
            <w:gridSpan w:val="2"/>
          </w:tcPr>
          <w:p>
            <w:pPr>
              <w:ind w:left="420"/>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1,751</w:t>
            </w:r>
          </w:p>
        </w:tc>
        <w:tc>
          <w:tcPr>
            <w:tcW w:w="260" w:type="dxa"/>
            <w:vAlign w:val="bottom"/>
          </w:tcPr>
          <w:p>
            <w:pPr>
              <w:spacing w:after="0"/>
              <w:rPr>
                <w:sz w:val="24"/>
                <w:szCs w:val="24"/>
                <w:color w:val="auto"/>
              </w:rPr>
            </w:pPr>
          </w:p>
        </w:tc>
        <w:tc>
          <w:tcPr>
            <w:tcW w:w="600" w:type="dxa"/>
            <w:vAlign w:val="bottom"/>
            <w:gridSpan w:val="2"/>
          </w:tcPr>
          <w:p>
            <w:pPr>
              <w:ind w:left="22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413</w:t>
            </w: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tcPr>
          <w:p>
            <w:pPr>
              <w:jc w:val="right"/>
              <w:ind w:right="208"/>
              <w:spacing w:after="0"/>
              <w:rPr>
                <w:sz w:val="20"/>
                <w:szCs w:val="20"/>
                <w:color w:val="auto"/>
              </w:rPr>
            </w:pPr>
            <w:r>
              <w:rPr>
                <w:rFonts w:ascii="Arial" w:cs="Arial" w:eastAsia="Arial" w:hAnsi="Arial"/>
                <w:sz w:val="18"/>
                <w:szCs w:val="18"/>
                <w:b w:val="1"/>
                <w:bCs w:val="1"/>
                <w:color w:val="auto"/>
              </w:rPr>
              <w:t>494</w:t>
            </w:r>
          </w:p>
        </w:tc>
        <w:tc>
          <w:tcPr>
            <w:tcW w:w="720" w:type="dxa"/>
            <w:vAlign w:val="bottom"/>
            <w:gridSpan w:val="2"/>
          </w:tcPr>
          <w:p>
            <w:pPr>
              <w:ind w:left="220"/>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3"/>
              </w:rPr>
              <w:t>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Tax Expense:</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40"/>
              <w:spacing w:after="0"/>
              <w:rPr>
                <w:sz w:val="20"/>
                <w:szCs w:val="20"/>
                <w:color w:val="auto"/>
              </w:rPr>
            </w:pPr>
            <w:r>
              <w:rPr>
                <w:rFonts w:ascii="Arial" w:cs="Arial" w:eastAsia="Arial" w:hAnsi="Arial"/>
                <w:sz w:val="18"/>
                <w:szCs w:val="18"/>
                <w:color w:val="auto"/>
              </w:rPr>
              <w:t>Sales of businesses, net</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(515)</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(38)</w:t>
            </w: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Asset impairments</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140</w:t>
            </w: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w w:val="84"/>
              </w:rPr>
              <w:t>1,048</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40"/>
              <w:spacing w:after="0"/>
              <w:rPr>
                <w:sz w:val="20"/>
                <w:szCs w:val="20"/>
                <w:color w:val="auto"/>
              </w:rPr>
            </w:pPr>
            <w:r>
              <w:rPr>
                <w:rFonts w:ascii="Arial" w:cs="Arial" w:eastAsia="Arial" w:hAnsi="Arial"/>
                <w:sz w:val="18"/>
                <w:szCs w:val="18"/>
                <w:color w:val="auto"/>
              </w:rPr>
              <w:t>Restructuring</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29</w:t>
            </w: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8"/>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Legal reserves</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w:t>
            </w: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40"/>
              <w:spacing w:after="0"/>
              <w:rPr>
                <w:sz w:val="20"/>
                <w:szCs w:val="20"/>
                <w:color w:val="auto"/>
              </w:rPr>
            </w:pPr>
            <w:r>
              <w:rPr>
                <w:rFonts w:ascii="Arial" w:cs="Arial" w:eastAsia="Arial" w:hAnsi="Arial"/>
                <w:sz w:val="18"/>
                <w:szCs w:val="18"/>
                <w:color w:val="auto"/>
              </w:rPr>
              <w:t>Partial withdrawal from multiemployer pension plan</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8"/>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adjusted amounts</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1,738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547</w:t>
            </w: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208"/>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1,565</w:t>
            </w:r>
          </w:p>
        </w:tc>
        <w:tc>
          <w:tcPr>
            <w:tcW w:w="72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3"/>
              </w:rPr>
              <w:t>515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240" w:hanging="452"/>
        <w:spacing w:after="0" w:line="277" w:lineRule="auto"/>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The Company calculates its effective tax rate based on actual dollars. Rounding differences occurred when the effective tax rate was calculated using Pre-tax Income and Tax Expense amounts included in the table above, as these items have been rounded in millions.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w:t>
      </w:r>
    </w:p>
    <w:p>
      <w:pPr>
        <w:sectPr>
          <w:pgSz w:w="11900" w:h="16838" w:orient="portrait"/>
          <w:cols w:equalWidth="0" w:num="1">
            <w:col w:w="11420"/>
          </w:cols>
          <w:pgMar w:left="240" w:top="270"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Quarter Ended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6"/>
              </w:rPr>
              <w:t>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December 31, 2014</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40" w:type="dxa"/>
            <w:vAlign w:val="bottom"/>
            <w:gridSpan w:val="5"/>
          </w:tcPr>
          <w:p>
            <w:pPr>
              <w:spacing w:after="0"/>
              <w:rPr>
                <w:sz w:val="20"/>
                <w:szCs w:val="20"/>
                <w:color w:val="auto"/>
              </w:rPr>
            </w:pPr>
            <w:r>
              <w:rPr>
                <w:rFonts w:ascii="Arial" w:cs="Arial" w:eastAsia="Arial" w:hAnsi="Arial"/>
                <w:sz w:val="14"/>
                <w:szCs w:val="14"/>
                <w:b w:val="1"/>
                <w:bCs w:val="1"/>
                <w:color w:val="auto"/>
                <w:w w:val="96"/>
              </w:rPr>
              <w:t>December 31, 2014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2014 Free Cash Flow Reconciliation</w:t>
            </w: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auto"/>
              <w:left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520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expenditures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(1,151)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rPr>
              <w:t>Proceeds from divestitures of businesses (net of cash divested) and other sales of assets</w:t>
            </w: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Free cash flow</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2,084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rPr>
              <w:t>Less proceeds from divestitures of businesses (net of cash divested) and other sales of assets</w:t>
            </w: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(1,934)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(2,253)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160" w:type="dxa"/>
            <w:vAlign w:val="bottom"/>
            <w:tcBorders>
              <w:left w:val="single" w:sz="8" w:color="auto"/>
            </w:tcBorders>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Free cash flow (excl. proceeds from divestiture)</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rPr>
              <w:t>2014 tax overpayments</w:t>
            </w: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Free cash flow (also excl. tax overpayments)</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360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6"/>
              </w:rPr>
              <w:t>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40" w:type="dxa"/>
            <w:vAlign w:val="bottom"/>
            <w:gridSpan w:val="5"/>
          </w:tcPr>
          <w:p>
            <w:pPr>
              <w:spacing w:after="0"/>
              <w:rPr>
                <w:sz w:val="20"/>
                <w:szCs w:val="20"/>
                <w:color w:val="auto"/>
              </w:rPr>
            </w:pPr>
            <w:r>
              <w:rPr>
                <w:rFonts w:ascii="Arial" w:cs="Arial" w:eastAsia="Arial" w:hAnsi="Arial"/>
                <w:sz w:val="14"/>
                <w:szCs w:val="14"/>
                <w:b w:val="1"/>
                <w:bCs w:val="1"/>
                <w:color w:val="auto"/>
                <w:w w:val="96"/>
              </w:rPr>
              <w:t>December 31, 2014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Adjusted Net Cash Provided by Operating Activities Reconciliation</w:t>
            </w:r>
          </w:p>
        </w:tc>
        <w:tc>
          <w:tcPr>
            <w:tcW w:w="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auto"/>
              <w:left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rPr>
              <w:t>Net cash provided by operating activities, as reported</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ind w:left="44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2,331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2014 tax overpayments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23"/>
        </w:trPr>
        <w:tc>
          <w:tcPr>
            <w:tcW w:w="8040" w:type="dxa"/>
            <w:vAlign w:val="bottom"/>
            <w:gridSpan w:val="2"/>
          </w:tcPr>
          <w:p>
            <w:pPr>
              <w:spacing w:after="0"/>
              <w:rPr>
                <w:sz w:val="20"/>
                <w:szCs w:val="20"/>
                <w:color w:val="auto"/>
              </w:rPr>
            </w:pPr>
            <w:r>
              <w:rPr>
                <w:rFonts w:ascii="Arial" w:cs="Arial" w:eastAsia="Arial" w:hAnsi="Arial"/>
                <w:sz w:val="18"/>
                <w:szCs w:val="18"/>
                <w:b w:val="1"/>
                <w:bCs w:val="1"/>
                <w:color w:val="auto"/>
              </w:rPr>
              <w:t>Adjusted net cash provided by operating activities</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Scenario 1</w:t>
            </w:r>
          </w:p>
        </w:tc>
        <w:tc>
          <w:tcPr>
            <w:tcW w:w="320" w:type="dxa"/>
            <w:vAlign w:val="bottom"/>
          </w:tcPr>
          <w:p>
            <w:pPr>
              <w:spacing w:after="0"/>
              <w:rPr>
                <w:sz w:val="24"/>
                <w:szCs w:val="2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Scenario 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2015 Projected Free Cash Flow Reconciliation (a)</w:t>
            </w:r>
          </w:p>
        </w:tc>
        <w:tc>
          <w:tcPr>
            <w:tcW w:w="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right w:val="single" w:sz="8" w:color="CCEEFF"/>
            </w:tcBorders>
            <w:shd w:val="clear" w:color="auto" w:fill="CCEEFF"/>
          </w:tcPr>
          <w:p>
            <w:pPr>
              <w:spacing w:after="0"/>
              <w:rPr>
                <w:sz w:val="17"/>
                <w:szCs w:val="17"/>
                <w:color w:val="auto"/>
              </w:rPr>
            </w:pPr>
          </w:p>
        </w:tc>
        <w:tc>
          <w:tcPr>
            <w:tcW w:w="160" w:type="dxa"/>
            <w:vAlign w:val="bottom"/>
            <w:tcBorders>
              <w:top w:val="single" w:sz="8" w:color="CCEEFF"/>
              <w:left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2"/>
              <w:spacing w:after="0"/>
              <w:rPr>
                <w:sz w:val="20"/>
                <w:szCs w:val="20"/>
                <w:color w:val="auto"/>
              </w:rPr>
            </w:pPr>
            <w:r>
              <w:rPr>
                <w:rFonts w:ascii="Arial" w:cs="Arial" w:eastAsia="Arial" w:hAnsi="Arial"/>
                <w:sz w:val="18"/>
                <w:szCs w:val="18"/>
                <w:color w:val="auto"/>
              </w:rPr>
              <w:t>2,600</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expenditures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(1,200)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(1,300)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rPr>
              <w:t>Proceeds from divestitures of businesses (net of cash divested) and other sales of assets</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Free cash flow</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b w:val="1"/>
                <w:bCs w:val="1"/>
                <w:color w:val="auto"/>
              </w:rPr>
              <w:t>1,450</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rPr>
              <w:t>Less proceeds from divestitures of businesses (net of cash divested) and other sales of assets</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Free cash flow (excl. proceeds from divestiture)</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1,400</w:t>
            </w:r>
          </w:p>
        </w:tc>
        <w:tc>
          <w:tcPr>
            <w:tcW w:w="160" w:type="dxa"/>
            <w:vAlign w:val="bottom"/>
            <w:tcBorders>
              <w:lef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120" w:hanging="452"/>
        <w:spacing w:after="0" w:line="308" w:lineRule="auto"/>
        <w:tabs>
          <w:tab w:leader="none" w:pos="460" w:val="left"/>
        </w:tabs>
        <w:numPr>
          <w:ilvl w:val="0"/>
          <w:numId w:val="13"/>
        </w:numPr>
        <w:rPr>
          <w:rFonts w:ascii="Arial" w:cs="Arial" w:eastAsia="Arial" w:hAnsi="Arial"/>
          <w:sz w:val="17"/>
          <w:szCs w:val="17"/>
          <w:b w:val="1"/>
          <w:bCs w:val="1"/>
          <w:color w:val="auto"/>
        </w:rPr>
      </w:pPr>
      <w:r>
        <w:rPr>
          <w:rFonts w:ascii="Arial" w:cs="Arial" w:eastAsia="Arial" w:hAnsi="Arial"/>
          <w:sz w:val="17"/>
          <w:szCs w:val="17"/>
          <w:color w:val="auto"/>
        </w:rPr>
        <w:t>The reconciliation includes two scenarios that illustrate our projected free cash flow range for 2015. The amounts used in the reconciliation are subject to many variables, some of which are not under our control and, therefore, are not necessarily indicative of actual results.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(11)</w:t>
      </w:r>
    </w:p>
    <w:p>
      <w:pPr>
        <w:sectPr>
          <w:pgSz w:w="11900" w:h="16838" w:orient="portrait"/>
          <w:cols w:equalWidth="0" w:num="1">
            <w:col w:w="11420"/>
          </w:cols>
          <w:pgMar w:left="240" w:top="270" w:right="239" w:bottom="1440" w:gutter="0" w:footer="0" w:header="0"/>
        </w:sectPr>
      </w:pPr>
    </w:p>
    <w:bookmarkStart w:id="21" w:name="page22"/>
    <w:bookmarkEnd w:id="21"/>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Supplemental Data Adjusted For Divestitures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following table presents certain financial measures that have been adjusted to exclude amounts attributed to operations that were divested in 2014. These are non-GAAP measures; please see footnote (a) for information about reconciliations to the most comparable GAAP measures. We have included this information because the Company had significant divestitures in 2014; accordingly, management believes that presenting certain financial measures as adjusted to exclude amounts attributed to divested operations will help investors understand the basis for the Company’s 2015 financial projections.</w:t>
      </w:r>
    </w:p>
    <w:p>
      <w:pPr>
        <w:spacing w:after="0" w:line="16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6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Full Year Ended</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5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rPr>
              <w:t>December 31, 2014</w:t>
            </w: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3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LESS: Amounts</w:t>
            </w: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520" w:type="dxa"/>
            <w:vAlign w:val="bottom"/>
          </w:tcPr>
          <w:p>
            <w:pPr>
              <w:spacing w:after="0"/>
              <w:rPr>
                <w:sz w:val="12"/>
                <w:szCs w:val="12"/>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Adjusted</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7"/>
              </w:rPr>
              <w:t>Attributed to</w:t>
            </w:r>
          </w:p>
        </w:tc>
        <w:tc>
          <w:tcPr>
            <w:tcW w:w="320" w:type="dxa"/>
            <w:vAlign w:val="bottom"/>
          </w:tcPr>
          <w:p>
            <w:pPr>
              <w:spacing w:after="0"/>
              <w:rPr>
                <w:sz w:val="12"/>
                <w:szCs w:val="12"/>
                <w:color w:val="auto"/>
              </w:rPr>
            </w:pP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Pro-Forma</w:t>
            </w:r>
          </w:p>
        </w:tc>
        <w:tc>
          <w:tcPr>
            <w:tcW w:w="0" w:type="dxa"/>
            <w:vAlign w:val="bottom"/>
          </w:tcPr>
          <w:p>
            <w:pPr>
              <w:spacing w:after="0"/>
              <w:rPr>
                <w:sz w:val="1"/>
                <w:szCs w:val="1"/>
                <w:color w:val="auto"/>
              </w:rPr>
            </w:pPr>
          </w:p>
        </w:tc>
      </w:tr>
      <w:tr>
        <w:trPr>
          <w:trHeight w:val="149"/>
        </w:trPr>
        <w:tc>
          <w:tcPr>
            <w:tcW w:w="552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Divested</w:t>
            </w:r>
          </w:p>
        </w:tc>
        <w:tc>
          <w:tcPr>
            <w:tcW w:w="32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52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 (a)</w:t>
            </w:r>
          </w:p>
        </w:tc>
        <w:tc>
          <w:tcPr>
            <w:tcW w:w="380" w:type="dxa"/>
            <w:vAlign w:val="bottom"/>
          </w:tcPr>
          <w:p>
            <w:pPr>
              <w:spacing w:after="0"/>
              <w:rPr>
                <w:sz w:val="14"/>
                <w:szCs w:val="14"/>
                <w:color w:val="auto"/>
              </w:rPr>
            </w:pPr>
          </w:p>
        </w:tc>
        <w:tc>
          <w:tcPr>
            <w:tcW w:w="13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4"/>
              </w:rPr>
              <w:t>Operations (b)</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13"/>
              <w:spacing w:after="0"/>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Selected Financial Information</w:t>
            </w:r>
          </w:p>
        </w:tc>
        <w:tc>
          <w:tcPr>
            <w:tcW w:w="1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360"/>
              <w:spacing w:after="0"/>
              <w:rPr>
                <w:sz w:val="20"/>
                <w:szCs w:val="20"/>
                <w:color w:val="auto"/>
              </w:rPr>
            </w:pPr>
            <w:r>
              <w:rPr>
                <w:rFonts w:ascii="Arial" w:cs="Arial" w:eastAsia="Arial" w:hAnsi="Arial"/>
                <w:sz w:val="18"/>
                <w:szCs w:val="18"/>
                <w:b w:val="1"/>
                <w:bCs w:val="1"/>
                <w:color w:val="auto"/>
              </w:rPr>
              <w:t>Revenue</w:t>
            </w: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13,996</w:t>
            </w:r>
          </w:p>
        </w:tc>
        <w:tc>
          <w:tcPr>
            <w:tcW w:w="480" w:type="dxa"/>
            <w:vAlign w:val="bottom"/>
            <w:gridSpan w:val="2"/>
          </w:tcPr>
          <w:p>
            <w:pPr>
              <w:ind w:left="380"/>
              <w:spacing w:after="0"/>
              <w:rPr>
                <w:sz w:val="20"/>
                <w:szCs w:val="20"/>
                <w:color w:val="auto"/>
              </w:rPr>
            </w:pPr>
            <w:r>
              <w:rPr>
                <w:rFonts w:ascii="Arial" w:cs="Arial" w:eastAsia="Arial" w:hAnsi="Arial"/>
                <w:sz w:val="18"/>
                <w:szCs w:val="18"/>
                <w:b w:val="1"/>
                <w:bCs w:val="1"/>
                <w:color w:val="auto"/>
                <w:w w:val="79"/>
              </w:rPr>
              <w:t>$</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852</w:t>
            </w:r>
          </w:p>
        </w:tc>
        <w:tc>
          <w:tcPr>
            <w:tcW w:w="460" w:type="dxa"/>
            <w:vAlign w:val="bottom"/>
            <w:gridSpan w:val="2"/>
          </w:tcPr>
          <w:p>
            <w:pPr>
              <w:ind w:left="32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4"/>
              </w:rPr>
              <w:t>13,144</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Income From Operations</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2,252</w:t>
            </w:r>
          </w:p>
        </w:tc>
        <w:tc>
          <w:tcPr>
            <w:tcW w:w="2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w w:val="79"/>
              </w:rPr>
              <w:t>$</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164</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2,088</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360"/>
              <w:spacing w:after="0"/>
              <w:rPr>
                <w:sz w:val="20"/>
                <w:szCs w:val="20"/>
                <w:color w:val="auto"/>
              </w:rPr>
            </w:pPr>
            <w:r>
              <w:rPr>
                <w:rFonts w:ascii="Arial" w:cs="Arial" w:eastAsia="Arial" w:hAnsi="Arial"/>
                <w:sz w:val="18"/>
                <w:szCs w:val="18"/>
                <w:b w:val="1"/>
                <w:bCs w:val="1"/>
                <w:color w:val="auto"/>
              </w:rPr>
              <w:t>Operating EBITDA</w:t>
            </w: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3,544</w:t>
            </w:r>
          </w:p>
        </w:tc>
        <w:tc>
          <w:tcPr>
            <w:tcW w:w="280" w:type="dxa"/>
            <w:vAlign w:val="bottom"/>
          </w:tcPr>
          <w:p>
            <w:pPr>
              <w:spacing w:after="0"/>
              <w:rPr>
                <w:sz w:val="18"/>
                <w:szCs w:val="18"/>
                <w:color w:val="auto"/>
              </w:rPr>
            </w:pPr>
          </w:p>
        </w:tc>
        <w:tc>
          <w:tcPr>
            <w:tcW w:w="480" w:type="dxa"/>
            <w:vAlign w:val="bottom"/>
            <w:gridSpan w:val="2"/>
          </w:tcPr>
          <w:p>
            <w:pPr>
              <w:ind w:left="380"/>
              <w:spacing w:after="0"/>
              <w:rPr>
                <w:sz w:val="20"/>
                <w:szCs w:val="20"/>
                <w:color w:val="auto"/>
              </w:rPr>
            </w:pPr>
            <w:r>
              <w:rPr>
                <w:rFonts w:ascii="Arial" w:cs="Arial" w:eastAsia="Arial" w:hAnsi="Arial"/>
                <w:sz w:val="18"/>
                <w:szCs w:val="18"/>
                <w:b w:val="1"/>
                <w:bCs w:val="1"/>
                <w:color w:val="auto"/>
                <w:w w:val="79"/>
              </w:rPr>
              <w:t>$</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231</w:t>
            </w:r>
          </w:p>
        </w:tc>
        <w:tc>
          <w:tcPr>
            <w:tcW w:w="460" w:type="dxa"/>
            <w:vAlign w:val="bottom"/>
            <w:gridSpan w:val="2"/>
          </w:tcPr>
          <w:p>
            <w:pPr>
              <w:ind w:left="32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3,313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Earnings Per Diluted Share</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2.48</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w w:val="79"/>
              </w:rPr>
              <w:t>$</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0.18</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2.30(c)</w:t>
            </w:r>
          </w:p>
        </w:tc>
        <w:tc>
          <w:tcPr>
            <w:tcW w:w="0" w:type="dxa"/>
            <w:vAlign w:val="bottom"/>
          </w:tcPr>
          <w:p>
            <w:pPr>
              <w:spacing w:after="0"/>
              <w:rPr>
                <w:sz w:val="1"/>
                <w:szCs w:val="1"/>
                <w:color w:val="auto"/>
              </w:rPr>
            </w:pPr>
          </w:p>
        </w:tc>
      </w:tr>
      <w:tr>
        <w:trPr>
          <w:trHeight w:val="216"/>
        </w:trPr>
        <w:tc>
          <w:tcPr>
            <w:tcW w:w="5520" w:type="dxa"/>
            <w:vAlign w:val="bottom"/>
          </w:tcPr>
          <w:p>
            <w:pPr>
              <w:ind w:left="360"/>
              <w:spacing w:after="0"/>
              <w:rPr>
                <w:sz w:val="20"/>
                <w:szCs w:val="20"/>
                <w:color w:val="auto"/>
              </w:rPr>
            </w:pPr>
            <w:r>
              <w:rPr>
                <w:rFonts w:ascii="Arial" w:cs="Arial" w:eastAsia="Arial" w:hAnsi="Arial"/>
                <w:sz w:val="18"/>
                <w:szCs w:val="18"/>
                <w:b w:val="1"/>
                <w:bCs w:val="1"/>
                <w:color w:val="auto"/>
              </w:rPr>
              <w:t>Net Cash Provided by Operating Activities</w:t>
            </w: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2,541</w:t>
            </w:r>
          </w:p>
        </w:tc>
        <w:tc>
          <w:tcPr>
            <w:tcW w:w="280" w:type="dxa"/>
            <w:vAlign w:val="bottom"/>
          </w:tcPr>
          <w:p>
            <w:pPr>
              <w:spacing w:after="0"/>
              <w:rPr>
                <w:sz w:val="18"/>
                <w:szCs w:val="18"/>
                <w:color w:val="auto"/>
              </w:rPr>
            </w:pPr>
          </w:p>
        </w:tc>
        <w:tc>
          <w:tcPr>
            <w:tcW w:w="480" w:type="dxa"/>
            <w:vAlign w:val="bottom"/>
            <w:gridSpan w:val="2"/>
          </w:tcPr>
          <w:p>
            <w:pPr>
              <w:ind w:left="380"/>
              <w:spacing w:after="0"/>
              <w:rPr>
                <w:sz w:val="20"/>
                <w:szCs w:val="20"/>
                <w:color w:val="auto"/>
              </w:rPr>
            </w:pPr>
            <w:r>
              <w:rPr>
                <w:rFonts w:ascii="Arial" w:cs="Arial" w:eastAsia="Arial" w:hAnsi="Arial"/>
                <w:sz w:val="18"/>
                <w:szCs w:val="18"/>
                <w:b w:val="1"/>
                <w:bCs w:val="1"/>
                <w:color w:val="auto"/>
                <w:w w:val="79"/>
              </w:rPr>
              <w:t>$</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140</w:t>
            </w:r>
          </w:p>
        </w:tc>
        <w:tc>
          <w:tcPr>
            <w:tcW w:w="460" w:type="dxa"/>
            <w:vAlign w:val="bottom"/>
            <w:gridSpan w:val="2"/>
          </w:tcPr>
          <w:p>
            <w:pPr>
              <w:ind w:left="32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2,401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520" w:type="dxa"/>
            <w:vAlign w:val="bottom"/>
            <w:shd w:val="clear" w:color="auto" w:fill="CCEEFF"/>
          </w:tcPr>
          <w:p>
            <w:pPr>
              <w:ind w:left="360"/>
              <w:spacing w:after="0" w:line="198" w:lineRule="exact"/>
              <w:rPr>
                <w:sz w:val="20"/>
                <w:szCs w:val="20"/>
                <w:color w:val="auto"/>
              </w:rPr>
            </w:pPr>
            <w:r>
              <w:rPr>
                <w:rFonts w:ascii="Arial" w:cs="Arial" w:eastAsia="Arial" w:hAnsi="Arial"/>
                <w:sz w:val="18"/>
                <w:szCs w:val="18"/>
                <w:b w:val="1"/>
                <w:bCs w:val="1"/>
                <w:color w:val="auto"/>
              </w:rPr>
              <w:t>Free Cash Flow (excl. proceeds from divestitures and tax</w:t>
            </w: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2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overpayments)</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1,390</w:t>
            </w:r>
          </w:p>
        </w:tc>
        <w:tc>
          <w:tcPr>
            <w:tcW w:w="280" w:type="dxa"/>
            <w:vAlign w:val="bottom"/>
            <w:shd w:val="clear" w:color="auto" w:fill="CCEEFF"/>
          </w:tcPr>
          <w:p>
            <w:pPr>
              <w:spacing w:after="0"/>
              <w:rPr>
                <w:sz w:val="20"/>
                <w:szCs w:val="20"/>
                <w:color w:val="auto"/>
              </w:rPr>
            </w:pP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w w:val="79"/>
              </w:rPr>
              <w:t>$</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130</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1,260</w:t>
            </w: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460" w:right="60" w:hanging="452"/>
        <w:spacing w:after="0" w:line="286" w:lineRule="auto"/>
        <w:tabs>
          <w:tab w:leader="none" w:pos="460" w:val="left"/>
        </w:tabs>
        <w:numPr>
          <w:ilvl w:val="0"/>
          <w:numId w:val="14"/>
        </w:numPr>
        <w:rPr>
          <w:rFonts w:ascii="Arial" w:cs="Arial" w:eastAsia="Arial" w:hAnsi="Arial"/>
          <w:sz w:val="17"/>
          <w:szCs w:val="17"/>
          <w:b w:val="1"/>
          <w:bCs w:val="1"/>
          <w:color w:val="auto"/>
        </w:rPr>
      </w:pPr>
      <w:r>
        <w:rPr>
          <w:rFonts w:ascii="Arial" w:cs="Arial" w:eastAsia="Arial" w:hAnsi="Arial"/>
          <w:sz w:val="17"/>
          <w:szCs w:val="17"/>
          <w:color w:val="auto"/>
        </w:rPr>
        <w:t>There were no adjustments to our full year 2014 as-reported revenue. For reconciliations of the other adjusted amounts to the most comparable GAAP measure, please see the reconciliation of earnings per diluted share on page 9, the reconciliations of free cash flow and net cash provided by operating activities on page 11 and the reconciliations of income from operations and operating EBITDA below:</w:t>
      </w:r>
    </w:p>
    <w:p>
      <w:pPr>
        <w:spacing w:after="0" w:line="172"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Year Ended</w:t>
            </w:r>
          </w:p>
        </w:tc>
      </w:tr>
      <w:tr>
        <w:trPr>
          <w:trHeight w:val="171"/>
        </w:trPr>
        <w:tc>
          <w:tcPr>
            <w:tcW w:w="6480" w:type="dxa"/>
            <w:vAlign w:val="bottom"/>
          </w:tcPr>
          <w:p>
            <w:pPr>
              <w:spacing w:after="0"/>
              <w:rPr>
                <w:sz w:val="14"/>
                <w:szCs w:val="14"/>
                <w:color w:val="auto"/>
              </w:rPr>
            </w:pPr>
          </w:p>
        </w:tc>
        <w:tc>
          <w:tcPr>
            <w:tcW w:w="1280" w:type="dxa"/>
            <w:vAlign w:val="bottom"/>
            <w:gridSpan w:val="4"/>
          </w:tcPr>
          <w:p>
            <w:pPr>
              <w:spacing w:after="0"/>
              <w:rPr>
                <w:sz w:val="20"/>
                <w:szCs w:val="20"/>
                <w:color w:val="auto"/>
              </w:rPr>
            </w:pPr>
            <w:r>
              <w:rPr>
                <w:rFonts w:ascii="Arial" w:cs="Arial" w:eastAsia="Arial" w:hAnsi="Arial"/>
                <w:sz w:val="14"/>
                <w:szCs w:val="14"/>
                <w:b w:val="1"/>
                <w:bCs w:val="1"/>
                <w:color w:val="auto"/>
                <w:w w:val="99"/>
              </w:rPr>
              <w:t>December 31, 2014</w:t>
            </w:r>
          </w:p>
        </w:tc>
      </w:tr>
      <w:tr>
        <w:trPr>
          <w:trHeight w:val="142"/>
        </w:trPr>
        <w:tc>
          <w:tcPr>
            <w:tcW w:w="64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2"/>
                <w:szCs w:val="12"/>
                <w:color w:val="auto"/>
              </w:rPr>
            </w:pPr>
          </w:p>
        </w:tc>
      </w:tr>
      <w:tr>
        <w:trPr>
          <w:trHeight w:val="196"/>
        </w:trPr>
        <w:tc>
          <w:tcPr>
            <w:tcW w:w="64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Adjusted Income from Operations and Adjusted Operating EBITDA</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324"/>
        </w:trPr>
        <w:tc>
          <w:tcPr>
            <w:tcW w:w="6480" w:type="dxa"/>
            <w:vAlign w:val="bottom"/>
          </w:tcPr>
          <w:p>
            <w:pPr>
              <w:ind w:left="360"/>
              <w:spacing w:after="0"/>
              <w:rPr>
                <w:sz w:val="20"/>
                <w:szCs w:val="20"/>
                <w:color w:val="auto"/>
              </w:rPr>
            </w:pPr>
            <w:r>
              <w:rPr>
                <w:rFonts w:ascii="Arial" w:cs="Arial" w:eastAsia="Arial" w:hAnsi="Arial"/>
                <w:sz w:val="18"/>
                <w:szCs w:val="18"/>
                <w:b w:val="1"/>
                <w:bCs w:val="1"/>
                <w:color w:val="auto"/>
              </w:rPr>
              <w:t>Income from operations, as reported</w:t>
            </w:r>
          </w:p>
        </w:tc>
        <w:tc>
          <w:tcPr>
            <w:tcW w:w="16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2,299</w:t>
            </w:r>
          </w:p>
        </w:tc>
        <w:tc>
          <w:tcPr>
            <w:tcW w:w="120" w:type="dxa"/>
            <w:vAlign w:val="bottom"/>
          </w:tcPr>
          <w:p>
            <w:pPr>
              <w:spacing w:after="0"/>
              <w:rPr>
                <w:sz w:val="24"/>
                <w:szCs w:val="24"/>
                <w:color w:val="auto"/>
              </w:rPr>
            </w:pPr>
          </w:p>
        </w:tc>
      </w:tr>
      <w:tr>
        <w:trPr>
          <w:trHeight w:val="216"/>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Adjustments to income from operations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480" w:type="dxa"/>
            <w:vAlign w:val="bottom"/>
          </w:tcPr>
          <w:p>
            <w:pPr>
              <w:ind w:left="720"/>
              <w:spacing w:after="0"/>
              <w:rPr>
                <w:sz w:val="20"/>
                <w:szCs w:val="20"/>
                <w:color w:val="auto"/>
              </w:rPr>
            </w:pPr>
            <w:r>
              <w:rPr>
                <w:rFonts w:ascii="Arial" w:cs="Arial" w:eastAsia="Arial" w:hAnsi="Arial"/>
                <w:sz w:val="18"/>
                <w:szCs w:val="18"/>
                <w:color w:val="auto"/>
              </w:rPr>
              <w:t>Sales of businesses, net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(515)</w:t>
            </w:r>
          </w:p>
        </w:tc>
      </w:tr>
      <w:tr>
        <w:trPr>
          <w:trHeight w:val="216"/>
        </w:trPr>
        <w:tc>
          <w:tcPr>
            <w:tcW w:w="6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Asset impairments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20" w:type="dxa"/>
            <w:vAlign w:val="bottom"/>
            <w:shd w:val="clear" w:color="auto" w:fill="CCEEFF"/>
          </w:tcPr>
          <w:p>
            <w:pPr>
              <w:spacing w:after="0"/>
              <w:rPr>
                <w:sz w:val="18"/>
                <w:szCs w:val="18"/>
                <w:color w:val="auto"/>
              </w:rPr>
            </w:pPr>
          </w:p>
        </w:tc>
      </w:tr>
      <w:tr>
        <w:trPr>
          <w:trHeight w:val="216"/>
        </w:trPr>
        <w:tc>
          <w:tcPr>
            <w:tcW w:w="6480" w:type="dxa"/>
            <w:vAlign w:val="bottom"/>
          </w:tcPr>
          <w:p>
            <w:pPr>
              <w:ind w:left="720"/>
              <w:spacing w:after="0"/>
              <w:rPr>
                <w:sz w:val="20"/>
                <w:szCs w:val="20"/>
                <w:color w:val="auto"/>
              </w:rPr>
            </w:pPr>
            <w:r>
              <w:rPr>
                <w:rFonts w:ascii="Arial" w:cs="Arial" w:eastAsia="Arial" w:hAnsi="Arial"/>
                <w:sz w:val="18"/>
                <w:szCs w:val="18"/>
                <w:color w:val="auto"/>
              </w:rPr>
              <w:t>Restructuring</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8"/>
                <w:szCs w:val="18"/>
                <w:color w:val="auto"/>
              </w:rPr>
            </w:pPr>
          </w:p>
        </w:tc>
      </w:tr>
      <w:tr>
        <w:trPr>
          <w:trHeight w:val="216"/>
        </w:trPr>
        <w:tc>
          <w:tcPr>
            <w:tcW w:w="6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Legal reserves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8"/>
                <w:szCs w:val="18"/>
                <w:color w:val="auto"/>
              </w:rPr>
            </w:pPr>
          </w:p>
        </w:tc>
      </w:tr>
      <w:tr>
        <w:trPr>
          <w:trHeight w:val="223"/>
        </w:trPr>
        <w:tc>
          <w:tcPr>
            <w:tcW w:w="6480" w:type="dxa"/>
            <w:vAlign w:val="bottom"/>
          </w:tcPr>
          <w:p>
            <w:pPr>
              <w:ind w:left="720"/>
              <w:spacing w:after="0"/>
              <w:rPr>
                <w:sz w:val="20"/>
                <w:szCs w:val="20"/>
                <w:color w:val="auto"/>
              </w:rPr>
            </w:pPr>
            <w:r>
              <w:rPr>
                <w:rFonts w:ascii="Arial" w:cs="Arial" w:eastAsia="Arial" w:hAnsi="Arial"/>
                <w:sz w:val="18"/>
                <w:szCs w:val="18"/>
                <w:color w:val="auto"/>
              </w:rPr>
              <w:t>Partial withdrawal from multiemployer pension plan</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r>
      <w:tr>
        <w:trPr>
          <w:trHeight w:val="216"/>
        </w:trPr>
        <w:tc>
          <w:tcPr>
            <w:tcW w:w="6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(47)</w:t>
            </w:r>
          </w:p>
        </w:tc>
      </w:tr>
      <w:tr>
        <w:trPr>
          <w:trHeight w:val="223"/>
        </w:trPr>
        <w:tc>
          <w:tcPr>
            <w:tcW w:w="6480" w:type="dxa"/>
            <w:vAlign w:val="bottom"/>
          </w:tcPr>
          <w:p>
            <w:pPr>
              <w:ind w:left="360"/>
              <w:spacing w:after="0"/>
              <w:rPr>
                <w:sz w:val="20"/>
                <w:szCs w:val="20"/>
                <w:color w:val="auto"/>
              </w:rPr>
            </w:pPr>
            <w:r>
              <w:rPr>
                <w:rFonts w:ascii="Arial" w:cs="Arial" w:eastAsia="Arial" w:hAnsi="Arial"/>
                <w:sz w:val="18"/>
                <w:szCs w:val="18"/>
                <w:b w:val="1"/>
                <w:bCs w:val="1"/>
                <w:color w:val="auto"/>
              </w:rPr>
              <w:t>Adjusted income from operations</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2,252</w:t>
            </w:r>
          </w:p>
        </w:tc>
        <w:tc>
          <w:tcPr>
            <w:tcW w:w="120" w:type="dxa"/>
            <w:vAlign w:val="bottom"/>
          </w:tcPr>
          <w:p>
            <w:pPr>
              <w:spacing w:after="0"/>
              <w:rPr>
                <w:sz w:val="19"/>
                <w:szCs w:val="19"/>
                <w:color w:val="auto"/>
              </w:rPr>
            </w:pPr>
          </w:p>
        </w:tc>
      </w:tr>
      <w:tr>
        <w:trPr>
          <w:trHeight w:val="216"/>
        </w:trPr>
        <w:tc>
          <w:tcPr>
            <w:tcW w:w="6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120" w:type="dxa"/>
            <w:vAlign w:val="bottom"/>
            <w:shd w:val="clear" w:color="auto" w:fill="CCEEFF"/>
          </w:tcPr>
          <w:p>
            <w:pPr>
              <w:spacing w:after="0"/>
              <w:rPr>
                <w:sz w:val="18"/>
                <w:szCs w:val="18"/>
                <w:color w:val="auto"/>
              </w:rPr>
            </w:pPr>
          </w:p>
        </w:tc>
      </w:tr>
      <w:tr>
        <w:trPr>
          <w:trHeight w:val="223"/>
        </w:trPr>
        <w:tc>
          <w:tcPr>
            <w:tcW w:w="6480" w:type="dxa"/>
            <w:vAlign w:val="bottom"/>
          </w:tcPr>
          <w:p>
            <w:pPr>
              <w:ind w:left="360"/>
              <w:spacing w:after="0"/>
              <w:rPr>
                <w:sz w:val="20"/>
                <w:szCs w:val="20"/>
                <w:color w:val="auto"/>
              </w:rPr>
            </w:pPr>
            <w:r>
              <w:rPr>
                <w:rFonts w:ascii="Arial" w:cs="Arial" w:eastAsia="Arial" w:hAnsi="Arial"/>
                <w:sz w:val="18"/>
                <w:szCs w:val="18"/>
                <w:b w:val="1"/>
                <w:bCs w:val="1"/>
                <w:color w:val="auto"/>
              </w:rPr>
              <w:t>Adjusted operating EBITDA</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3,544</w:t>
            </w:r>
          </w:p>
        </w:tc>
        <w:tc>
          <w:tcPr>
            <w:tcW w:w="120" w:type="dxa"/>
            <w:vAlign w:val="bottom"/>
          </w:tcPr>
          <w:p>
            <w:pPr>
              <w:spacing w:after="0"/>
              <w:rPr>
                <w:sz w:val="19"/>
                <w:szCs w:val="19"/>
                <w:color w:val="auto"/>
              </w:rPr>
            </w:pPr>
          </w:p>
        </w:tc>
      </w:tr>
      <w:tr>
        <w:trPr>
          <w:trHeight w:val="20"/>
        </w:trPr>
        <w:tc>
          <w:tcPr>
            <w:tcW w:w="6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Primarily includes the divesture of our waste-to-energy business and other solid waste assets.</w:t>
      </w:r>
    </w:p>
    <w:p>
      <w:pPr>
        <w:spacing w:after="0" w:line="23" w:lineRule="exact"/>
        <w:rPr>
          <w:rFonts w:ascii="Arial" w:cs="Arial" w:eastAsia="Arial" w:hAnsi="Arial"/>
          <w:sz w:val="18"/>
          <w:szCs w:val="18"/>
          <w:b w:val="1"/>
          <w:bCs w:val="1"/>
          <w:color w:val="auto"/>
        </w:rPr>
      </w:pPr>
    </w:p>
    <w:p>
      <w:pPr>
        <w:ind w:left="460" w:right="200" w:hanging="452"/>
        <w:spacing w:after="0" w:line="261" w:lineRule="auto"/>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Adjusted earnings per diluted share in 2015 are projected to be between $2.48 and $2.55, an increase of between 8% and 11% when 2014 results are further adjusted to remove earnings attributed to operations that were divested.</w:t>
      </w:r>
    </w:p>
    <w:p>
      <w:pPr>
        <w:spacing w:after="0" w:line="11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(12)</w:t>
      </w:r>
    </w:p>
    <w:sectPr>
      <w:pgSz w:w="11900" w:h="16838" w:orient="portrait"/>
      <w:cols w:equalWidth="0" w:num="1">
        <w:col w:w="11340"/>
      </w:cols>
      <w:pgMar w:left="240" w:top="27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lowerLetter"/>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1)"/>
      <w:numFmt w:val="lowerLetter"/>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1)"/>
      <w:numFmt w:val="lowerLetter"/>
      <w:start w:val="3"/>
    </w:lvl>
  </w:abstractNum>
  <w:abstractNum w:abstractNumId="8">
    <w:nsid w:val="66EF438D"/>
    <w:multiLevelType w:val="hybridMultilevel"/>
    <w:lvl w:ilvl="0">
      <w:lvlJc w:val="left"/>
      <w:lvlText w:val="(%1)"/>
      <w:numFmt w:val="lowerLetter"/>
      <w:start w:val="1"/>
    </w:lvl>
  </w:abstractNum>
  <w:abstractNum w:abstractNumId="9">
    <w:nsid w:val="140E0F76"/>
    <w:multiLevelType w:val="hybridMultilevel"/>
    <w:lvl w:ilvl="0">
      <w:lvlJc w:val="left"/>
      <w:lvlText w:val="(%1)"/>
      <w:numFmt w:val="lowerLetter"/>
      <w:start w:val="1"/>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lowerLetter"/>
      <w:start w:val="1"/>
    </w:lvl>
  </w:abstractNum>
  <w:abstractNum w:abstractNumId="12">
    <w:nsid w:val="DED7263"/>
    <w:multiLevelType w:val="hybridMultilevel"/>
    <w:lvl w:ilvl="0">
      <w:lvlJc w:val="left"/>
      <w:lvlText w:val="(%1)"/>
      <w:numFmt w:val="lowerLetter"/>
      <w:start w:val="1"/>
    </w:lvl>
  </w:abstractNum>
  <w:abstractNum w:abstractNumId="13">
    <w:nsid w:val="7FDCC233"/>
    <w:multiLevelType w:val="hybridMultilevel"/>
    <w:lvl w:ilvl="0">
      <w:lvlJc w:val="left"/>
      <w:lvlText w:val="(%1)"/>
      <w:numFmt w:val="lowerLetter"/>
      <w:start w:val="1"/>
    </w:lvl>
  </w:abstractNum>
  <w:abstractNum w:abstractNumId="14">
    <w:nsid w:val="1BEFD79F"/>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2019-12-06T02:20:37Z</dcterms:created>
  <dcterms:modified xsi:type="dcterms:W3CDTF">2019-12-06T02:20:37Z</dcterms:modified>
</cp:coreProperties>
</file>