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5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5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5387975</wp:posOffset>
            </wp:positionH>
            <wp:positionV relativeFrom="paragraph">
              <wp:posOffset>-615315</wp:posOffset>
            </wp:positionV>
            <wp:extent cx="57785" cy="628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4044950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-1802130</wp:posOffset>
            </wp:positionH>
            <wp:positionV relativeFrom="paragraph">
              <wp:posOffset>13335</wp:posOffset>
            </wp:positionV>
            <wp:extent cx="728027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027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600"/>
            <w:col w:w="87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ROTHMEIER STEVEN G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12/22/2008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" w:right="800" w:hanging="3"/>
        <w:spacing w:after="0" w:line="234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50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7" w:space="720"/>
            <w:col w:w="3463"/>
          </w:cols>
          <w:pgMar w:left="240" w:top="220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HOUSTON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40" w:type="dxa"/>
            <w:vAlign w:val="bottom"/>
            <w:gridSpan w:val="6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12/22/2008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14,446.1706</w:t>
            </w:r>
          </w:p>
        </w:tc>
        <w:tc>
          <w:tcPr>
            <w:tcW w:w="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18,067.1706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12/23/2008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5,959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30.97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12,108.1706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12/23/2008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0.1706</w:t>
            </w:r>
          </w:p>
        </w:tc>
        <w:tc>
          <w:tcPr>
            <w:tcW w:w="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30.83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12,108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12/22/2008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14,446.1706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08/08/1988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14,446.1706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7"/>
              </w:rPr>
              <w:t>1. Sale of shares to pay taxes on payout of deferred stock units pursuant to Rule 10b5-1 Stock Selling Plan.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9"/>
              </w:rPr>
              <w:t>2. The actual range of prices for this transaction is $30.8701 to $31.04. Full information regarding the number of shares sold and price will be provided upon request.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John S. Tsai, attorney-in-fact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12/23/2008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7291705</wp:posOffset>
            </wp:positionH>
            <wp:positionV relativeFrom="paragraph">
              <wp:posOffset>-2578100</wp:posOffset>
            </wp:positionV>
            <wp:extent cx="23495" cy="15055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" cy="1505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4180" w:hanging="1"/>
        <w:spacing w:after="0" w:line="326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298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2019-12-16T05:33:57Z</dcterms:created>
  <dcterms:modified xsi:type="dcterms:W3CDTF">2019-12-16T05:33:57Z</dcterms:modified>
</cp:coreProperties>
</file>