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17, 2011</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223520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9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 xml:space="preserve">Waste Management, Inc. (the “Company”) issued a press release this morning announcing its financial results for the fourth quarter and full year ended December 31, 2010, a copy of which is attached hereto as Exhibit 99.1. The Company is holding a conference call to discuss these results beginning at 9:00 a.m. Central Time this morning. The call will be webcast live and may be heard by accessing the Investor Relations section of the Company’s website at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and selecting “Webcast; Q4 2010 Waste Management Earnings Conference Call.” The call may also be heard by dialing (877) 710-6139 and entering access code 33194439.</w:t>
      </w:r>
    </w:p>
    <w:p>
      <w:pPr>
        <w:spacing w:after="0" w:line="80"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that are included in the Company’s press release. The Company has provided information regarding its use of the non-GAAP measures contained in its press release and reconciliations of such measures to their most comparable GAAP measures in the schedules thereto.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 dated February 17, 2011</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31"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February 17, 2011</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Rick L Wittenbraker</w:t>
            </w:r>
          </w:p>
        </w:tc>
        <w:tc>
          <w:tcPr>
            <w:tcW w:w="168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4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21"/>
        </w:trPr>
        <w:tc>
          <w:tcPr>
            <w:tcW w:w="3560" w:type="dxa"/>
            <w:vAlign w:val="bottom"/>
          </w:tcPr>
          <w:p>
            <w:pPr>
              <w:spacing w:after="0"/>
              <w:rPr>
                <w:sz w:val="24"/>
                <w:szCs w:val="24"/>
                <w:color w:val="auto"/>
              </w:rPr>
            </w:pPr>
          </w:p>
        </w:tc>
        <w:tc>
          <w:tcPr>
            <w:tcW w:w="6180" w:type="dxa"/>
            <w:vAlign w:val="bottom"/>
            <w:gridSpan w:val="2"/>
          </w:tcPr>
          <w:p>
            <w:pPr>
              <w:jc w:val="right"/>
              <w:ind w:right="3890"/>
              <w:spacing w:after="0"/>
              <w:rPr>
                <w:sz w:val="20"/>
                <w:szCs w:val="20"/>
                <w:color w:val="auto"/>
              </w:rPr>
            </w:pPr>
            <w:r>
              <w:rPr>
                <w:rFonts w:ascii="Arial" w:cs="Arial" w:eastAsia="Arial" w:hAnsi="Arial"/>
                <w:sz w:val="18"/>
                <w:szCs w:val="18"/>
                <w:color w:val="auto"/>
              </w:rPr>
              <w:t>3</w:t>
            </w:r>
          </w:p>
        </w:tc>
        <w:tc>
          <w:tcPr>
            <w:tcW w:w="1680" w:type="dxa"/>
            <w:vAlign w:val="bottom"/>
          </w:tcPr>
          <w:p>
            <w:pPr>
              <w:spacing w:after="0"/>
              <w:rPr>
                <w:sz w:val="24"/>
                <w:szCs w:val="24"/>
                <w:color w:val="auto"/>
              </w:rPr>
            </w:pPr>
          </w:p>
        </w:tc>
      </w:tr>
      <w:tr>
        <w:trPr>
          <w:trHeight w:val="226"/>
        </w:trPr>
        <w:tc>
          <w:tcPr>
            <w:tcW w:w="356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17, 2011</w:t>
      </w:r>
    </w:p>
    <w:p>
      <w:pPr>
        <w:spacing w:after="0" w:line="18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79"/>
          </w:cols>
          <w:pgMar w:left="380" w:top="958"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Announces Fourth Quarter and Full Year 2010 Earnings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and Full Year Revenues Increased Six Percent</w:t>
      </w:r>
    </w:p>
    <w:p>
      <w:pPr>
        <w:spacing w:after="0" w:line="113"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b w:val="1"/>
          <w:bCs w:val="1"/>
          <w:color w:val="auto"/>
        </w:rPr>
        <w:t xml:space="preserve">HOUSTON — February 17, 2011 </w:t>
      </w:r>
      <w:r>
        <w:rPr>
          <w:rFonts w:ascii="Arial" w:cs="Arial" w:eastAsia="Arial" w:hAnsi="Arial"/>
          <w:sz w:val="17"/>
          <w:szCs w:val="17"/>
          <w:color w:val="auto"/>
        </w:rPr>
        <w:t>— Waste Management, Inc. (NYSE: WM) today announced financial results for</w:t>
      </w:r>
      <w:r>
        <w:rPr>
          <w:rFonts w:ascii="Arial" w:cs="Arial" w:eastAsia="Arial" w:hAnsi="Arial"/>
          <w:sz w:val="17"/>
          <w:szCs w:val="17"/>
          <w:b w:val="1"/>
          <w:bCs w:val="1"/>
          <w:color w:val="auto"/>
        </w:rPr>
        <w:t xml:space="preserve"> </w:t>
      </w:r>
      <w:r>
        <w:rPr>
          <w:rFonts w:ascii="Arial" w:cs="Arial" w:eastAsia="Arial" w:hAnsi="Arial"/>
          <w:sz w:val="17"/>
          <w:szCs w:val="17"/>
          <w:color w:val="auto"/>
        </w:rPr>
        <w:t>its fourth quarter and for the year ended December 31, 2010. Revenues for the fourth quarter of 2010 were</w:t>
      </w:r>
    </w:p>
    <w:p>
      <w:pPr>
        <w:spacing w:after="0" w:line="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$3.19 billion compared with $3.01 billion for the same 2009 period. Net income</w:t>
      </w:r>
      <w:r>
        <w:rPr>
          <w:rFonts w:ascii="Arial" w:cs="Arial" w:eastAsia="Arial" w:hAnsi="Arial"/>
          <w:sz w:val="13"/>
          <w:szCs w:val="13"/>
          <w:color w:val="auto"/>
        </w:rPr>
        <w:t>(a)</w:t>
      </w:r>
      <w:r>
        <w:rPr>
          <w:rFonts w:ascii="Arial" w:cs="Arial" w:eastAsia="Arial" w:hAnsi="Arial"/>
          <w:sz w:val="16"/>
          <w:szCs w:val="16"/>
          <w:color w:val="auto"/>
        </w:rPr>
        <w:t xml:space="preserve"> for the quarter was $281 million, or $0.59 per diluted share, compared with $315 million, or $0.64 per diluted share, for the fourth quarter of 2009. The Company noted several items that impacted results in the 2010 and 2009 fourth quarters. Excluding these items, net income would have been $287 million, or $0.60 per diluted share, in the fourth quarter of 2010 compared with</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$257 million, or $0.52 per diluted share, in the fourth quarter of 2009, an increase in earnings per diluted share of over 15%.</w:t>
      </w:r>
      <w:r>
        <w:rPr>
          <w:rFonts w:ascii="Arial" w:cs="Arial" w:eastAsia="Arial" w:hAnsi="Arial"/>
          <w:sz w:val="15"/>
          <w:szCs w:val="15"/>
          <w:color w:val="auto"/>
        </w:rPr>
        <w:t>(b)</w:t>
      </w:r>
    </w:p>
    <w:p>
      <w:pPr>
        <w:spacing w:after="0" w:line="7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For the full year 2010, the Company reported revenues of $12.52 billion compared with $11.79 billion for 2009. Earnings per diluted share were $1.98 for the full year 2010 compared with $2.01 for the full year 2009. During fiscal years 2010 and 2009, several items impacted the full year results. On an as-adjusted basis taking those items into account, earnings per diluted share were $2.09 for the full year 2010 and $2.00 for the full year 2009.</w:t>
      </w:r>
      <w:r>
        <w:rPr>
          <w:rFonts w:ascii="Arial" w:cs="Arial" w:eastAsia="Arial" w:hAnsi="Arial"/>
          <w:sz w:val="13"/>
          <w:szCs w:val="13"/>
          <w:color w:val="auto"/>
        </w:rPr>
        <w:t>(b)</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Results in the fourth quarter of 2010 included a net decrease of $0.01 per diluted share consisting of the following:</w:t>
      </w:r>
    </w:p>
    <w:p>
      <w:pPr>
        <w:spacing w:after="0" w:line="140" w:lineRule="exact"/>
        <w:rPr>
          <w:sz w:val="20"/>
          <w:szCs w:val="20"/>
          <w:color w:val="auto"/>
        </w:rPr>
      </w:pPr>
    </w:p>
    <w:p>
      <w:pPr>
        <w:ind w:left="500" w:hanging="330"/>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After-tax charges of $20 million for litigation;</w:t>
      </w:r>
    </w:p>
    <w:p>
      <w:pPr>
        <w:spacing w:after="0" w:line="130" w:lineRule="exact"/>
        <w:rPr>
          <w:rFonts w:ascii="Arial" w:cs="Arial" w:eastAsia="Arial" w:hAnsi="Arial"/>
          <w:sz w:val="18"/>
          <w:szCs w:val="18"/>
          <w:b w:val="1"/>
          <w:bCs w:val="1"/>
          <w:color w:val="auto"/>
        </w:rPr>
      </w:pPr>
    </w:p>
    <w:p>
      <w:pPr>
        <w:ind w:left="500" w:right="260" w:hanging="330"/>
        <w:spacing w:after="0" w:line="277" w:lineRule="auto"/>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$7 million after-tax benefit from the accounting effect of higher ten-year Treasury rates, which are used to discount remediation reserves; and</w:t>
      </w:r>
    </w:p>
    <w:p>
      <w:pPr>
        <w:spacing w:after="0" w:line="75" w:lineRule="exact"/>
        <w:rPr>
          <w:rFonts w:ascii="Arial" w:cs="Arial" w:eastAsia="Arial" w:hAnsi="Arial"/>
          <w:sz w:val="18"/>
          <w:szCs w:val="18"/>
          <w:b w:val="1"/>
          <w:bCs w:val="1"/>
          <w:color w:val="auto"/>
        </w:rPr>
      </w:pPr>
    </w:p>
    <w:p>
      <w:pPr>
        <w:ind w:left="500" w:hanging="330"/>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$7 million benefit in net income primarily from income tax audit settlements.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David P. Steiner, President and Chief Executive Officer of Waste Management, commented, “We are pleased that we exceeded our expectations for the fourth quarter, driven by strong internal revenue growth from yield, which offset lower than expected volumes. Our collection, landfill, and recycling businesses continued their strong performance, as each of these business lines increased both their operating earnings and operating margins compared with the prior year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FOURTH QUARTER 2010 AND THE FULL YEAR 2010</w:t>
      </w:r>
    </w:p>
    <w:p>
      <w:pPr>
        <w:spacing w:after="0" w:line="121" w:lineRule="exact"/>
        <w:rPr>
          <w:sz w:val="20"/>
          <w:szCs w:val="20"/>
          <w:color w:val="auto"/>
        </w:rPr>
      </w:pPr>
    </w:p>
    <w:p>
      <w:pPr>
        <w:ind w:left="500" w:right="260" w:hanging="330"/>
        <w:spacing w:after="0" w:line="277" w:lineRule="auto"/>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Internal revenue growth from yield from the Company’s collection and disposal operations was 2.6% for the quarter and 2.3% for the full year.</w:t>
      </w:r>
    </w:p>
    <w:p>
      <w:pPr>
        <w:spacing w:after="0" w:line="75" w:lineRule="exact"/>
        <w:rPr>
          <w:rFonts w:ascii="Arial" w:cs="Arial" w:eastAsia="Arial" w:hAnsi="Arial"/>
          <w:sz w:val="18"/>
          <w:szCs w:val="18"/>
          <w:b w:val="1"/>
          <w:bCs w:val="1"/>
          <w:color w:val="auto"/>
        </w:rPr>
      </w:pPr>
    </w:p>
    <w:p>
      <w:pPr>
        <w:ind w:left="500" w:hanging="330"/>
        <w:spacing w:after="0"/>
        <w:tabs>
          <w:tab w:leader="none" w:pos="50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Internal revenue growth from volume was negative 1.8% for the quarter and negative 2.6% for the full year.</w:t>
      </w:r>
    </w:p>
    <w:p>
      <w:pPr>
        <w:spacing w:after="0" w:line="142" w:lineRule="exact"/>
        <w:rPr>
          <w:rFonts w:ascii="Arial" w:cs="Arial" w:eastAsia="Arial" w:hAnsi="Arial"/>
          <w:sz w:val="17"/>
          <w:szCs w:val="17"/>
          <w:b w:val="1"/>
          <w:bCs w:val="1"/>
          <w:color w:val="auto"/>
        </w:rPr>
      </w:pPr>
    </w:p>
    <w:p>
      <w:pPr>
        <w:ind w:left="500" w:right="240" w:hanging="330"/>
        <w:spacing w:after="0" w:line="277" w:lineRule="auto"/>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Income from operations margin improved 280 basis points to 18.0% in the fourth quarter, compared with the prior year period. Adjusted for the items excluded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586740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www.wm.com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Jim Alderson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713.394.2281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jalderson@wm.com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Lynn Brown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lynnbrown@wm.com</w:t>
      </w:r>
    </w:p>
    <w:p>
      <w:pPr>
        <w:sectPr>
          <w:pgSz w:w="11900" w:h="16838" w:orient="portrait"/>
          <w:cols w:equalWidth="0" w:num="2">
            <w:col w:w="8560" w:space="580"/>
            <w:col w:w="2280"/>
          </w:cols>
          <w:pgMar w:left="240" w:top="121" w:right="239" w:bottom="1440" w:gutter="0" w:footer="0" w:header="0"/>
        </w:sectPr>
      </w:pPr>
    </w:p>
    <w:bookmarkStart w:id="5" w:name="page6"/>
    <w:bookmarkEnd w:id="5"/>
    <w:p>
      <w:pPr>
        <w:ind w:left="220"/>
        <w:spacing w:after="0"/>
        <w:rPr>
          <w:sz w:val="20"/>
          <w:szCs w:val="20"/>
          <w:color w:val="auto"/>
        </w:rPr>
      </w:pPr>
      <w:r>
        <w:rPr>
          <w:rFonts w:ascii="Arial" w:cs="Arial" w:eastAsia="Arial" w:hAnsi="Arial"/>
          <w:sz w:val="18"/>
          <w:szCs w:val="18"/>
          <w:color w:val="auto"/>
        </w:rPr>
        <w:t>calculating the Company’s as-adjusted earnings, the income from operations margin improved 220 basis points to 18.6%.</w:t>
      </w:r>
      <w:r>
        <w:rPr>
          <w:rFonts w:ascii="Arial" w:cs="Arial" w:eastAsia="Arial" w:hAnsi="Arial"/>
          <w:sz w:val="15"/>
          <w:szCs w:val="15"/>
          <w:color w:val="auto"/>
        </w:rPr>
        <w:t>(b)</w:t>
      </w:r>
    </w:p>
    <w:p>
      <w:pPr>
        <w:spacing w:after="0" w:line="131"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Revenues increased by 6.0%, or $181 million, in the fourth quarter and increased by 6.1%, or $724 million, for the full year.</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Operating expenses were 60.9% of revenue in the fourth quarter of 2010, compared with 62.3% in the prior year period. Adjusted for the items excluded in</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calculating the Company’s as-adjusted earnings, the Company’s operating expenses were 61.2% of revenue, compared with 62.3% in the prior year period.</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(b)</w:t>
      </w:r>
    </w:p>
    <w:p>
      <w:pPr>
        <w:spacing w:after="0" w:line="98" w:lineRule="exact"/>
        <w:rPr>
          <w:sz w:val="20"/>
          <w:szCs w:val="20"/>
          <w:color w:val="auto"/>
        </w:rPr>
      </w:pPr>
    </w:p>
    <w:p>
      <w:pPr>
        <w:ind w:left="220" w:right="20" w:hanging="212"/>
        <w:spacing w:after="0" w:line="264" w:lineRule="auto"/>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Selling, general and administrative expenses were 12.4% of revenue in the fourth quarter of 2010, compared with 12.1% in the prior year period. Adjusted for the items excluded in calculating the Company’s as-adjusted earnings, the Company’s selling, general and administrative expenses were 11.5% of revenue, compared with 12.1% in the prior year period.</w:t>
      </w:r>
      <w:r>
        <w:rPr>
          <w:rFonts w:ascii="Arial" w:cs="Arial" w:eastAsia="Arial" w:hAnsi="Arial"/>
          <w:sz w:val="15"/>
          <w:szCs w:val="15"/>
          <w:color w:val="auto"/>
        </w:rPr>
        <w:t>(b)</w:t>
      </w:r>
    </w:p>
    <w:p>
      <w:pPr>
        <w:spacing w:after="0" w:line="86" w:lineRule="exact"/>
        <w:rPr>
          <w:rFonts w:ascii="Arial" w:cs="Arial" w:eastAsia="Arial" w:hAnsi="Arial"/>
          <w:sz w:val="18"/>
          <w:szCs w:val="18"/>
          <w:b w:val="1"/>
          <w:bCs w:val="1"/>
          <w:color w:val="auto"/>
        </w:rPr>
      </w:pPr>
    </w:p>
    <w:p>
      <w:pPr>
        <w:ind w:left="220" w:hanging="212"/>
        <w:spacing w:after="0" w:line="286" w:lineRule="auto"/>
        <w:tabs>
          <w:tab w:leader="none" w:pos="22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Average recycling commodity prices increased over 36% in the fourth quarter of 2010 compared with the prior year period. This favorable year-over-year impact contributed $0.04 to earnings per diluted share in the fourth quarter of 2010, compared with the prior year period. Average electricity sales prices at the Company’s waste-to-energy plants were essentially flat in the fourth quarter compared to the prior year period.</w:t>
      </w:r>
    </w:p>
    <w:p>
      <w:pPr>
        <w:spacing w:after="0" w:line="70" w:lineRule="exact"/>
        <w:rPr>
          <w:rFonts w:ascii="Arial" w:cs="Arial" w:eastAsia="Arial" w:hAnsi="Arial"/>
          <w:sz w:val="17"/>
          <w:szCs w:val="17"/>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Free cash flow was $263 million in the quarter and $1.2 billion for the full year.</w:t>
      </w:r>
      <w:r>
        <w:rPr>
          <w:rFonts w:ascii="Arial" w:cs="Arial" w:eastAsia="Arial" w:hAnsi="Arial"/>
          <w:sz w:val="15"/>
          <w:szCs w:val="15"/>
          <w:color w:val="auto"/>
        </w:rPr>
        <w:t>(b)</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Capital expenditures were $367 million in the quarter and $1.1 billion for the full year.</w:t>
      </w:r>
    </w:p>
    <w:p>
      <w:pPr>
        <w:spacing w:after="0" w:line="130" w:lineRule="exact"/>
        <w:rPr>
          <w:rFonts w:ascii="Arial" w:cs="Arial" w:eastAsia="Arial" w:hAnsi="Arial"/>
          <w:sz w:val="18"/>
          <w:szCs w:val="18"/>
          <w:b w:val="1"/>
          <w:bCs w:val="1"/>
          <w:color w:val="auto"/>
        </w:rPr>
      </w:pPr>
    </w:p>
    <w:p>
      <w:pPr>
        <w:ind w:left="220" w:right="140" w:hanging="212"/>
        <w:spacing w:after="0" w:line="264" w:lineRule="auto"/>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Company returned $208 million to shareholders in the fourth quarter, consisting of $150 million in cash dividends and $58 million in common stock repurchases. For the full year, the Company returned $1.1 billion to shareholders, consisting of $604 million in dividends and $501 million in common stock repurchases.</w:t>
      </w:r>
    </w:p>
    <w:p>
      <w:pPr>
        <w:spacing w:after="0" w:line="86" w:lineRule="exact"/>
        <w:rPr>
          <w:rFonts w:ascii="Arial" w:cs="Arial" w:eastAsia="Arial" w:hAnsi="Arial"/>
          <w:sz w:val="18"/>
          <w:szCs w:val="18"/>
          <w:b w:val="1"/>
          <w:bCs w:val="1"/>
          <w:color w:val="auto"/>
        </w:rPr>
      </w:pPr>
    </w:p>
    <w:p>
      <w:pPr>
        <w:ind w:left="220" w:right="300" w:hanging="212"/>
        <w:spacing w:after="0" w:line="264" w:lineRule="auto"/>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effective income tax rate in the quarter was approximately 35.1%, due principally to the net favorable impacts of income tax audit settlements and state income tax net operating loss carry-forwards. Adjusted for the items excluded in calculating the Company’s as-adjusted earnings, the effective income tax rate for the fourth quarter of 2010 would have been 36.6%.</w:t>
      </w:r>
      <w:r>
        <w:rPr>
          <w:rFonts w:ascii="Arial" w:cs="Arial" w:eastAsia="Arial" w:hAnsi="Arial"/>
          <w:sz w:val="15"/>
          <w:szCs w:val="15"/>
          <w:color w:val="auto"/>
        </w:rPr>
        <w:t>(b)</w:t>
      </w:r>
    </w:p>
    <w:p>
      <w:pPr>
        <w:spacing w:after="0" w:line="7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Steiner added, “We finished the year with our strongest quarterly pricing performance of 2010, with internal revenue growth from yield of 2.6% for our collection and disposal business. We once again demonstrated our pricing discipline, and we remain committed to pricing of at least 50 to 100 basis points above CPI. As for our volumes, internal revenue growth from volume declined by 1.8% in the fourth quarter of 2010, compared with the prior year period. Volumes were down in the collection line of business, primarily because of the loss of certain residential contracts and severe winter weather. Volumes continue to be strong in our landfill line of business.</w:t>
      </w:r>
    </w:p>
    <w:p>
      <w:pPr>
        <w:spacing w:after="0" w:line="80"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“We are proud of our 2010 accomplishments. We continued to produce strong cash flow and continued our strategy of returning cash to our shareholders. In the fourth quarter, we returned $208 million of cash in the form of dividends and common stock repurchases, and for the full year, we returned $1.1 billion.</w:t>
      </w:r>
    </w:p>
    <w:p>
      <w:pPr>
        <w:spacing w:after="0" w:line="1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2011, we expect internal revenue growth from volume to be flat to slightly positive. January volumes were still soft, reflecting the severe winter weather throughout North America, but we expect the remainder of the year to show steady improvement. We expect internal revenue growth from yield in 2011 of approximately 2.0%. The consumer price index has been running close to 1.0%, whereas at this time last year CPI was running above 2.0%. This decrease in the consumer price index will negatively impact pricing on the roughly 40% of our collection business that has annual price adjustments based on a published price index. In 2010, the effect of CPI negatively impacted yield by approximately 70 basis points. But, just as we did in 2010, we expect to overcome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effect of CPI to produce strong pricing in 2011.</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“Based on these yield and volume estimates and other assumptions, we forecast that our full-year 2011 adjusted earnings will be in the range of $2.24 to</w:t>
      </w:r>
    </w:p>
    <w:p>
      <w:pPr>
        <w:spacing w:after="0" w:line="4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$2.30 per diluted share. Free cash flow is projected to be in the range of $1.25 billion to $1.35 billion, with capital expenditures of between $1.35 billion and $1.45 billion.</w:t>
      </w:r>
      <w:r>
        <w:rPr>
          <w:rFonts w:ascii="Arial" w:cs="Arial" w:eastAsia="Arial" w:hAnsi="Arial"/>
          <w:sz w:val="15"/>
          <w:szCs w:val="15"/>
          <w:color w:val="auto"/>
        </w:rPr>
        <w:t>(b)</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of Directors has announced its intent to increase our quarterly dividend by 8%, to $1.36 per share on an annual basis. We expect our dividend payments to total approximately $650 million in 2011, and we expect common stock repurchases of up to $575 million. In 2011 we will continue to make investments to grow our business, and we remain committed to our goals of growing our revenues, expanding our operating margins, increasing our return on invested capital, increasing our free cash flow and returning cash to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announced the following with regard to its financial outlook for 2011:</w:t>
      </w:r>
    </w:p>
    <w:p>
      <w:pPr>
        <w:spacing w:after="0" w:line="117"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2011 adjusted earnings per diluted share are expected to be between $2.24 and $2.30.</w:t>
      </w:r>
      <w:r>
        <w:rPr>
          <w:rFonts w:ascii="Arial" w:cs="Arial" w:eastAsia="Arial" w:hAnsi="Arial"/>
          <w:sz w:val="15"/>
          <w:szCs w:val="15"/>
          <w:color w:val="auto"/>
        </w:rPr>
        <w:t>(b)</w:t>
      </w:r>
    </w:p>
    <w:p>
      <w:pPr>
        <w:spacing w:after="0" w:line="130" w:lineRule="exact"/>
        <w:rPr>
          <w:rFonts w:ascii="Arial" w:cs="Arial" w:eastAsia="Arial" w:hAnsi="Arial"/>
          <w:sz w:val="18"/>
          <w:szCs w:val="18"/>
          <w:b w:val="1"/>
          <w:bCs w:val="1"/>
          <w:color w:val="auto"/>
        </w:rPr>
      </w:pPr>
    </w:p>
    <w:p>
      <w:pPr>
        <w:ind w:left="660" w:right="420" w:hanging="436"/>
        <w:spacing w:after="0" w:line="286"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Internal revenue growth from yield on the collection and disposal business is expected to be approximately 2.0%, which is in line with the Company’s goal of internal revenue growth from yield being at least 50 to 100 basis points above CPI. Internal revenue growth from volume is expected to be flat to slightly positive, an improvement of over 260 basis points compared with the full year 2010.</w:t>
      </w:r>
    </w:p>
    <w:p>
      <w:pPr>
        <w:spacing w:after="0" w:line="70" w:lineRule="exact"/>
        <w:rPr>
          <w:rFonts w:ascii="Arial" w:cs="Arial" w:eastAsia="Arial" w:hAnsi="Arial"/>
          <w:sz w:val="17"/>
          <w:szCs w:val="17"/>
          <w:b w:val="1"/>
          <w:bCs w:val="1"/>
          <w:color w:val="auto"/>
        </w:rPr>
      </w:pPr>
    </w:p>
    <w:p>
      <w:pPr>
        <w:ind w:left="660" w:hanging="436"/>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Recycling commodity sales prices are expected to have a slight positive impact on earnings per share in 2011, compared with the prior year. Average electricity sales prices in 2011 at the Company’s waste-to-energy operations are expected to have no net impact on earnings per share, compared with the prior year.</w:t>
      </w:r>
    </w:p>
    <w:p>
      <w:pPr>
        <w:spacing w:after="0" w:line="86"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Company’s waste-to-energy operations are expected to have a negative $0.02 impact on fully diluted earnings per share in 2011 compared with 2010, primarily from upgrades at the recently acquired waste-to-energy plant in Virginia.</w:t>
      </w:r>
    </w:p>
    <w:p>
      <w:pPr>
        <w:spacing w:after="0" w:line="75" w:lineRule="exact"/>
        <w:rPr>
          <w:rFonts w:ascii="Arial" w:cs="Arial" w:eastAsia="Arial" w:hAnsi="Arial"/>
          <w:sz w:val="18"/>
          <w:szCs w:val="18"/>
          <w:b w:val="1"/>
          <w:bCs w:val="1"/>
          <w:color w:val="auto"/>
        </w:rPr>
      </w:pPr>
    </w:p>
    <w:p>
      <w:pPr>
        <w:ind w:left="660" w:hanging="436"/>
        <w:spacing w:after="0" w:line="259"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Company expects increased labor costs, due primarily to annual merit increases, which will add approximately $65 million to 2011 expenses. The Company is also planning to increase expenses by up to $50 million primarily for information technology upgrades, customer focused growth initiatives, and other initiatives. Interest expense is expected to increase approximately $25 million, principally because of higher fees and rates from the revolving credit facility that was executed in June of 2010.</w:t>
      </w:r>
    </w:p>
    <w:p>
      <w:pPr>
        <w:spacing w:after="0" w:line="92"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full-year 2011 forecast reflects an expected tax rate of approximately 35.7%.</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Capital expenditures are expected to be in the range of $1.35 billion to $1.45 billion.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Free cash flow is projected to be in the range of $1.25 billion to $1.35 billion.</w:t>
      </w:r>
      <w:r>
        <w:rPr>
          <w:rFonts w:ascii="Arial" w:cs="Arial" w:eastAsia="Arial" w:hAnsi="Arial"/>
          <w:sz w:val="15"/>
          <w:szCs w:val="15"/>
          <w:color w:val="auto"/>
        </w:rPr>
        <w:t>(b)</w:t>
      </w:r>
    </w:p>
    <w:p>
      <w:pPr>
        <w:spacing w:after="0" w:line="130" w:lineRule="exact"/>
        <w:rPr>
          <w:rFonts w:ascii="Arial" w:cs="Arial" w:eastAsia="Arial" w:hAnsi="Arial"/>
          <w:sz w:val="18"/>
          <w:szCs w:val="18"/>
          <w:b w:val="1"/>
          <w:bCs w:val="1"/>
          <w:color w:val="auto"/>
        </w:rPr>
      </w:pPr>
    </w:p>
    <w:p>
      <w:pPr>
        <w:ind w:left="660" w:hanging="436"/>
        <w:spacing w:after="0" w:line="259"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Company expects an annual payment of $1.36 per share in cash dividends over the course of the year, at an approximate cost of $650 million. The Board must separately declare each dividend. The Company also expects to spend up to $575 million on share repurchases. The amount of stock the Company repurchases will depend on a number of items, including any cash it may in the future decide to use to increase its business acquisitions and investments beyond budgeted levels or to accelerate debt repayments.</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Steiner concluded, “I expect continued strong performance in 2011 in our core business, despite expected headwinds from workforce wage increases, start-up costs associated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 w:name="page8"/>
    <w:bookmarkEnd w:id="7"/>
    <w:p>
      <w:pPr>
        <w:ind w:right="100"/>
        <w:spacing w:after="0" w:line="264" w:lineRule="auto"/>
        <w:rPr>
          <w:sz w:val="20"/>
          <w:szCs w:val="20"/>
          <w:color w:val="auto"/>
        </w:rPr>
      </w:pPr>
      <w:r>
        <w:rPr>
          <w:rFonts w:ascii="Arial" w:cs="Arial" w:eastAsia="Arial" w:hAnsi="Arial"/>
          <w:sz w:val="18"/>
          <w:szCs w:val="18"/>
          <w:color w:val="auto"/>
        </w:rPr>
        <w:t>with new cost savings programs, our customer focused growth and information technology initiatives, and upgrades at our recently acquired waste-to-energy facility. The impact of these headwinds, however, should decline as we progress through 2011, and these investments will build a platform to accelerate earnings growth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3" w:lineRule="exact"/>
        <w:rPr>
          <w:sz w:val="20"/>
          <w:szCs w:val="20"/>
          <w:color w:val="auto"/>
        </w:rPr>
      </w:pPr>
    </w:p>
    <w:p>
      <w:pPr>
        <w:ind w:left="460" w:right="840" w:hanging="452"/>
        <w:spacing w:after="0" w:line="277"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For purposes of this press release, all references to “Net income” refer to the financial statement line item “Net income attributable to Waste Management, Inc.”</w:t>
      </w:r>
    </w:p>
    <w:p>
      <w:pPr>
        <w:spacing w:after="0" w:line="21" w:lineRule="exact"/>
        <w:rPr>
          <w:rFonts w:ascii="Arial" w:cs="Arial" w:eastAsia="Arial" w:hAnsi="Arial"/>
          <w:sz w:val="15"/>
          <w:szCs w:val="15"/>
          <w:color w:val="auto"/>
        </w:rPr>
      </w:pPr>
    </w:p>
    <w:p>
      <w:pPr>
        <w:ind w:left="460" w:right="200" w:hanging="452"/>
        <w:spacing w:after="0" w:line="291"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6"/>
          <w:szCs w:val="16"/>
          <w:color w:val="auto"/>
        </w:rPr>
        <w:t>This earnings release contains a discussion of non-GAAP measures, as defined in Regulation G of the Securities Exchange Act of 1934, as amended. The Company reports its financial results in compliance with GAAP, but believes that also discussing non-GAAP measures provides investors with</w:t>
      </w:r>
    </w:p>
    <w:p>
      <w:pPr>
        <w:ind w:left="460" w:right="80"/>
        <w:spacing w:after="0" w:line="271" w:lineRule="auto"/>
        <w:rPr>
          <w:rFonts w:ascii="Arial" w:cs="Arial" w:eastAsia="Arial" w:hAnsi="Arial"/>
          <w:sz w:val="14"/>
          <w:szCs w:val="14"/>
          <w:color w:val="auto"/>
        </w:rPr>
      </w:pPr>
      <w:r>
        <w:rPr>
          <w:rFonts w:ascii="Arial" w:cs="Arial" w:eastAsia="Arial" w:hAnsi="Arial"/>
          <w:sz w:val="17"/>
          <w:szCs w:val="17"/>
          <w:color w:val="auto"/>
        </w:rPr>
        <w:t>(i) additional, meaningful comparisons of current results to prior periods’ results by excluding items that the Company does not believe reflect its fundamental business performance and are not representative or indicative of our results of operations and (ii) financial measures the Company uses in the management of its business. Accordingly, our net income; earnings per diluted share; projected earnings per diluted share; income from operations margin; selling, general and administrative expenses as a percentage of revenue; operating expenses as a percentage of revenue; and effective tax rate have been presented in certain instances excluding special items noted in this press release.</w:t>
      </w:r>
    </w:p>
    <w:p>
      <w:pPr>
        <w:spacing w:after="0" w:line="30" w:lineRule="exact"/>
        <w:rPr>
          <w:sz w:val="20"/>
          <w:szCs w:val="20"/>
          <w:color w:val="auto"/>
        </w:rPr>
      </w:pPr>
    </w:p>
    <w:p>
      <w:pPr>
        <w:ind w:left="460" w:right="200"/>
        <w:spacing w:after="0" w:line="293" w:lineRule="auto"/>
        <w:rPr>
          <w:sz w:val="20"/>
          <w:szCs w:val="20"/>
          <w:color w:val="auto"/>
        </w:rPr>
      </w:pPr>
      <w:r>
        <w:rPr>
          <w:rFonts w:ascii="Arial" w:cs="Arial" w:eastAsia="Arial" w:hAnsi="Arial"/>
          <w:sz w:val="16"/>
          <w:szCs w:val="16"/>
          <w:color w:val="auto"/>
        </w:rPr>
        <w:t>The Company also discusses free cash flow and provides a projection of free cash flow, which is a non-GAAP measure, because it believes that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U.S. GAAP measure. However, we believe free cash flow gives investors useful insight into how we view our liquidity. Nonetheless, the use of free cash flow as a liquidity measure has material limitations because it excludes certain expenditures that are required or that we have committed to, such as declared dividend payments and debt service requirements. The Company defines free cash flow as:</w:t>
      </w:r>
    </w:p>
    <w:p>
      <w:pPr>
        <w:spacing w:after="0" w:line="5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5"/>
          <w:szCs w:val="15"/>
          <w:b w:val="1"/>
          <w:bCs w:val="1"/>
          <w:color w:val="auto"/>
        </w:rPr>
      </w:pPr>
      <w:r>
        <w:rPr>
          <w:rFonts w:ascii="Arial" w:cs="Arial" w:eastAsia="Arial" w:hAnsi="Arial"/>
          <w:sz w:val="18"/>
          <w:szCs w:val="18"/>
          <w:color w:val="auto"/>
        </w:rPr>
        <w:t>Net cash provided by operating activities</w:t>
      </w:r>
    </w:p>
    <w:p>
      <w:pPr>
        <w:spacing w:after="0" w:line="130" w:lineRule="exact"/>
        <w:rPr>
          <w:rFonts w:ascii="Arial" w:cs="Arial" w:eastAsia="Arial" w:hAnsi="Arial"/>
          <w:sz w:val="15"/>
          <w:szCs w:val="15"/>
          <w:b w:val="1"/>
          <w:bCs w:val="1"/>
          <w:color w:val="auto"/>
        </w:rPr>
      </w:pPr>
    </w:p>
    <w:p>
      <w:pPr>
        <w:ind w:left="900" w:hanging="446"/>
        <w:spacing w:after="0"/>
        <w:tabs>
          <w:tab w:leader="none" w:pos="900" w:val="left"/>
        </w:tabs>
        <w:numPr>
          <w:ilvl w:val="0"/>
          <w:numId w:val="8"/>
        </w:numPr>
        <w:rPr>
          <w:rFonts w:ascii="Arial" w:cs="Arial" w:eastAsia="Arial" w:hAnsi="Arial"/>
          <w:sz w:val="15"/>
          <w:szCs w:val="15"/>
          <w:b w:val="1"/>
          <w:bCs w:val="1"/>
          <w:color w:val="auto"/>
        </w:rPr>
      </w:pPr>
      <w:r>
        <w:rPr>
          <w:rFonts w:ascii="Arial" w:cs="Arial" w:eastAsia="Arial" w:hAnsi="Arial"/>
          <w:sz w:val="18"/>
          <w:szCs w:val="18"/>
          <w:color w:val="auto"/>
        </w:rPr>
        <w:t>Less, capital expenditures</w:t>
      </w:r>
    </w:p>
    <w:p>
      <w:pPr>
        <w:spacing w:after="0" w:line="130" w:lineRule="exact"/>
        <w:rPr>
          <w:rFonts w:ascii="Arial" w:cs="Arial" w:eastAsia="Arial" w:hAnsi="Arial"/>
          <w:sz w:val="15"/>
          <w:szCs w:val="15"/>
          <w:b w:val="1"/>
          <w:bCs w:val="1"/>
          <w:color w:val="auto"/>
        </w:rPr>
      </w:pPr>
    </w:p>
    <w:p>
      <w:pPr>
        <w:ind w:left="900" w:hanging="446"/>
        <w:spacing w:after="0"/>
        <w:tabs>
          <w:tab w:leader="none" w:pos="900" w:val="left"/>
        </w:tabs>
        <w:numPr>
          <w:ilvl w:val="0"/>
          <w:numId w:val="8"/>
        </w:numPr>
        <w:rPr>
          <w:rFonts w:ascii="Arial" w:cs="Arial" w:eastAsia="Arial" w:hAnsi="Arial"/>
          <w:sz w:val="15"/>
          <w:szCs w:val="15"/>
          <w:b w:val="1"/>
          <w:bCs w:val="1"/>
          <w:color w:val="auto"/>
        </w:rPr>
      </w:pPr>
      <w:r>
        <w:rPr>
          <w:rFonts w:ascii="Arial" w:cs="Arial" w:eastAsia="Arial" w:hAnsi="Arial"/>
          <w:sz w:val="18"/>
          <w:szCs w:val="18"/>
          <w:color w:val="auto"/>
        </w:rPr>
        <w:t>Plus, proceeds from divestitures of businesses (net of cash divested), and other sales of assets.</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and therefore not subject to comparison.</w:t>
      </w:r>
    </w:p>
    <w:p>
      <w:pPr>
        <w:spacing w:after="0" w:line="62" w:lineRule="exact"/>
        <w:rPr>
          <w:sz w:val="20"/>
          <w:szCs w:val="20"/>
          <w:color w:val="auto"/>
        </w:rPr>
      </w:pPr>
    </w:p>
    <w:p>
      <w:pPr>
        <w:ind w:left="460" w:right="340"/>
        <w:spacing w:after="0" w:line="259" w:lineRule="auto"/>
        <w:rPr>
          <w:sz w:val="20"/>
          <w:szCs w:val="20"/>
          <w:color w:val="auto"/>
        </w:rPr>
      </w:pPr>
      <w:r>
        <w:rPr>
          <w:rFonts w:ascii="Arial" w:cs="Arial" w:eastAsia="Arial" w:hAnsi="Arial"/>
          <w:sz w:val="18"/>
          <w:szCs w:val="18"/>
          <w:color w:val="auto"/>
        </w:rPr>
        <w:t>The quantitative reconciliations of each of the non-GAAP measures presented herein, other than projected earnings per diluted share, to the most comparable GAAP measures are included in the accompanying schedules. Non-GAAP measures should not be considered a substitute for financial measures presented in accordance with GAAP, and investors are urged to take into account GAAP measures as well as non-GAAP measures in evaluating the Company.</w:t>
      </w:r>
    </w:p>
    <w:p>
      <w:pPr>
        <w:spacing w:after="0" w:line="79"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The Company’s projected full year 2011 earnings of $2.24 to $2.30 per diluted share are not GAAP net earnings per diluted share and are anticipated to be adjusted to exclude the effects of events or circumstances in 2011 that management believes are not representative or indicative of our results of operations. Projected GAAP earnings per diluted share for the full year would require inclusion of the projected impact of future excluded items, including items that are not currently determinable, but may be significant, such as asset impairments and one-time items, charges, gains or losses from divestitures, resolution of income tax items or other items. Due to the uncertainty of the likelihood, amount and timing of any such items, we do not have information available to provide a quantitative reconciliation of adjusted projected full year earnings per diluted share to a GAAP earnings per diluted share projection.</w:t>
      </w:r>
    </w:p>
    <w:p>
      <w:pPr>
        <w:spacing w:after="0" w:line="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will host a conference call at 10:00 AM (Eastern) today to discuss the fourth quarter and full-year 2010 results. Information contained within this press release will be referenced and should be considered in conjunction with the call.</w:t>
      </w:r>
    </w:p>
    <w:p>
      <w:pPr>
        <w:spacing w:after="0" w:line="62"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conference call will be webcast live from the Investor Relations section of Waste Management’s website www.wm.com. To access the conference call by telephone, please dial (877) 710-6139 approximately 10 minutes prior to the scheduled start of the call. If you are calling from outside of the United States or Canada, please dial (706) 643-7398. Please utilize conference ID number 33194439 when prompted by the conference call operator.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replay of the conference call will be available on our website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and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ind w:right="140"/>
        <w:spacing w:after="0" w:line="264" w:lineRule="auto"/>
        <w:rPr>
          <w:sz w:val="20"/>
          <w:szCs w:val="20"/>
          <w:color w:val="auto"/>
        </w:rPr>
      </w:pPr>
      <w:r>
        <w:rPr>
          <w:rFonts w:ascii="Arial" w:cs="Arial" w:eastAsia="Arial" w:hAnsi="Arial"/>
          <w:sz w:val="18"/>
          <w:szCs w:val="18"/>
          <w:color w:val="auto"/>
        </w:rPr>
        <w:t>telephone from approximately 1:00 PM (Eastern) Thursday, February 17, 2011 through 5:00 PM (Eastern) on Thursday, March 3, 2011. To access the replay telephonically, please dial 800-642-1687, or from outside of the United States or Canada dial 706-645-9291, and use the replay conference ID number 33194439.</w:t>
      </w:r>
    </w:p>
    <w:p>
      <w:pPr>
        <w:spacing w:after="0" w:line="73"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The Company, from time to time, provides estimates of financial and other data, comments on expectations relating to future periods and makes statements of opinion, view or belief about current and future events. Statements relating to future events and performance are “forward-looking statements” and include statements regarding financial results, future internal revenue growth from yield and volume, business goals and investments, capital allocation, including future dividends, share repurchases and capital expenditures, strategic initiatives and their future performance, future volume and pricing and related trends, future recycling commodity prices, future costs and cost reduction, future electricity sales prices, future tax rates, 2011 earnings per diluted share, 2011 free cash flow, future operating earnings and earnings growth, and general market and industry conditions. You should view these statements with caution. These statements are not guarantees of future performance, circumstances or events. They are based on the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cause actual results to be materially different from those set forth in such forward-looking statement. We assume no obligation to update any forward-looking statement, including financial estimates and forecasts, whether as a result of future events, circumstances or developments or otherwise.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are some of the risks that we face:</w:t>
      </w:r>
    </w:p>
    <w:p>
      <w:pPr>
        <w:spacing w:after="0" w:line="117" w:lineRule="exact"/>
        <w:rPr>
          <w:sz w:val="20"/>
          <w:szCs w:val="20"/>
          <w:color w:val="auto"/>
        </w:rPr>
      </w:pPr>
    </w:p>
    <w:p>
      <w:pPr>
        <w:ind w:left="660" w:right="34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volatility and deterioration in the credit markets, inflation and other general and local economic conditions may negatively affect the volumes of waste generated;</w:t>
      </w:r>
    </w:p>
    <w:p>
      <w:pPr>
        <w:spacing w:after="0" w:line="75" w:lineRule="exact"/>
        <w:rPr>
          <w:rFonts w:ascii="Arial" w:cs="Arial" w:eastAsia="Arial" w:hAnsi="Arial"/>
          <w:sz w:val="18"/>
          <w:szCs w:val="18"/>
          <w:b w:val="1"/>
          <w:bCs w:val="1"/>
          <w:color w:val="auto"/>
        </w:rPr>
      </w:pPr>
    </w:p>
    <w:p>
      <w:pPr>
        <w:ind w:left="660" w:right="80" w:hanging="436"/>
        <w:spacing w:after="0" w:line="342" w:lineRule="auto"/>
        <w:tabs>
          <w:tab w:leader="none" w:pos="660" w:val="left"/>
        </w:tabs>
        <w:numPr>
          <w:ilvl w:val="0"/>
          <w:numId w:val="9"/>
        </w:numPr>
        <w:rPr>
          <w:rFonts w:ascii="Arial" w:cs="Arial" w:eastAsia="Arial" w:hAnsi="Arial"/>
          <w:sz w:val="16"/>
          <w:szCs w:val="16"/>
          <w:b w:val="1"/>
          <w:bCs w:val="1"/>
          <w:color w:val="auto"/>
        </w:rPr>
      </w:pPr>
      <w:r>
        <w:rPr>
          <w:rFonts w:ascii="Arial" w:cs="Arial" w:eastAsia="Arial" w:hAnsi="Arial"/>
          <w:sz w:val="16"/>
          <w:szCs w:val="16"/>
          <w:i w:val="1"/>
          <w:iCs w:val="1"/>
          <w:color w:val="auto"/>
        </w:rPr>
        <w:t>competition may negatively affect our profitability or cash flows, our pricing strategy may have negative effects on volumes, and inability to execute our pricing strategy in order to retain and attract customers may negatively affect our average yield on collection and disposal business;</w:t>
      </w:r>
    </w:p>
    <w:p>
      <w:pPr>
        <w:spacing w:after="0" w:line="29" w:lineRule="exact"/>
        <w:rPr>
          <w:rFonts w:ascii="Arial" w:cs="Arial" w:eastAsia="Arial" w:hAnsi="Arial"/>
          <w:sz w:val="16"/>
          <w:szCs w:val="16"/>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we may fail to implement our business strategy, which could adversely impact our financial performance and growth;</w:t>
      </w:r>
    </w:p>
    <w:p>
      <w:pPr>
        <w:spacing w:after="0" w:line="130"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weather conditions and one-time special projects cause our results to fluctuate, and harsh weather or natural disasters may cause us to temporarily suspend operations;</w:t>
      </w:r>
    </w:p>
    <w:p>
      <w:pPr>
        <w:spacing w:after="0" w:line="75" w:lineRule="exact"/>
        <w:rPr>
          <w:rFonts w:ascii="Arial" w:cs="Arial" w:eastAsia="Arial" w:hAnsi="Arial"/>
          <w:sz w:val="18"/>
          <w:szCs w:val="18"/>
          <w:b w:val="1"/>
          <w:bCs w:val="1"/>
          <w:color w:val="auto"/>
        </w:rPr>
      </w:pPr>
    </w:p>
    <w:p>
      <w:pPr>
        <w:ind w:left="660" w:right="30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changes in our estimates of costs for site remediation requirements, final capping, closure and post-closure obligations, compliance and regulatory developments may increase our expenses;</w:t>
      </w:r>
    </w:p>
    <w:p>
      <w:pPr>
        <w:spacing w:after="0" w:line="75" w:lineRule="exact"/>
        <w:rPr>
          <w:rFonts w:ascii="Arial" w:cs="Arial" w:eastAsia="Arial" w:hAnsi="Arial"/>
          <w:sz w:val="18"/>
          <w:szCs w:val="18"/>
          <w:b w:val="1"/>
          <w:bCs w:val="1"/>
          <w:color w:val="auto"/>
        </w:rPr>
      </w:pPr>
    </w:p>
    <w:p>
      <w:pPr>
        <w:ind w:left="660" w:right="52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regulations may negatively impact our business by, among other things, restricting our operations, increasing costs of operations or requiring additional capital expenditures;</w:t>
      </w:r>
    </w:p>
    <w:p>
      <w:pPr>
        <w:spacing w:after="0" w:line="75" w:lineRule="exact"/>
        <w:rPr>
          <w:rFonts w:ascii="Arial" w:cs="Arial" w:eastAsia="Arial" w:hAnsi="Arial"/>
          <w:sz w:val="18"/>
          <w:szCs w:val="18"/>
          <w:b w:val="1"/>
          <w:bCs w:val="1"/>
          <w:color w:val="auto"/>
        </w:rPr>
      </w:pPr>
    </w:p>
    <w:p>
      <w:pPr>
        <w:ind w:left="660" w:right="260" w:hanging="436"/>
        <w:spacing w:after="0" w:line="264"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such legislation;</w:t>
      </w:r>
    </w:p>
    <w:p>
      <w:pPr>
        <w:spacing w:after="0" w:line="86" w:lineRule="exact"/>
        <w:rPr>
          <w:rFonts w:ascii="Arial" w:cs="Arial" w:eastAsia="Arial" w:hAnsi="Arial"/>
          <w:sz w:val="18"/>
          <w:szCs w:val="18"/>
          <w:b w:val="1"/>
          <w:bCs w:val="1"/>
          <w:color w:val="auto"/>
        </w:rPr>
      </w:pPr>
    </w:p>
    <w:p>
      <w:pPr>
        <w:ind w:left="660" w:right="28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limitations or bans on disposal or transportation of out-of-state, cross-border, or certain categories of waste, as well as mandates on the disposal of waste, can increase our expenses and reduce our revenue;</w:t>
      </w:r>
    </w:p>
    <w:p>
      <w:pPr>
        <w:spacing w:after="0" w:line="75"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adverse publicity (whether or not justified) relating to activities by our operations, employees or agents could tarnish our reputation and reduce the value of our brand;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fuel price increases or fuel supply shortages may increase our expenses or restrict our ability to operate;</w:t>
      </w:r>
    </w:p>
    <w:p>
      <w:pPr>
        <w:spacing w:after="0" w:line="130"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75"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increased costs or the inability to obtain financial assurance or the inadequacy of our insurance coverage could negatively impact our liquidity and increase our liabilities;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charges as a result of shut-down operations, uncompleted development or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i w:val="1"/>
          <w:iCs w:val="1"/>
          <w:color w:val="auto"/>
        </w:rPr>
        <w:t>projects or other events may negatively affect earnings;</w:t>
      </w:r>
    </w:p>
    <w:p>
      <w:pPr>
        <w:spacing w:after="0" w:line="131"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i w:val="1"/>
          <w:iCs w:val="1"/>
          <w:color w:val="auto"/>
        </w:rPr>
        <w:t>fluctuations in commodity prices may have negative effects on our operating results;</w:t>
      </w:r>
    </w:p>
    <w:p>
      <w:pPr>
        <w:spacing w:after="0" w:line="130" w:lineRule="exact"/>
        <w:rPr>
          <w:rFonts w:ascii="Arial" w:cs="Arial" w:eastAsia="Arial" w:hAnsi="Arial"/>
          <w:sz w:val="18"/>
          <w:szCs w:val="18"/>
          <w:b w:val="1"/>
          <w:bCs w:val="1"/>
          <w:color w:val="auto"/>
        </w:rPr>
      </w:pPr>
    </w:p>
    <w:p>
      <w:pPr>
        <w:ind w:left="660" w:right="140" w:hanging="436"/>
        <w:spacing w:after="0" w:line="264"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i w:val="1"/>
          <w:iCs w:val="1"/>
          <w:color w:val="auto"/>
        </w:rPr>
        <w:t>increasing use by customers of alternatives to traditional disposal, government mandates requiring recycling and prohibiting disposal of certain types of waste, and overall reduction of waste generated could continue to have a negative effect on volumes of waste going to landfills and waste-to-energy facilities;</w:t>
      </w:r>
    </w:p>
    <w:p>
      <w:pPr>
        <w:spacing w:after="0" w:line="86" w:lineRule="exact"/>
        <w:rPr>
          <w:rFonts w:ascii="Arial" w:cs="Arial" w:eastAsia="Arial" w:hAnsi="Arial"/>
          <w:sz w:val="18"/>
          <w:szCs w:val="18"/>
          <w:b w:val="1"/>
          <w:bCs w:val="1"/>
          <w:color w:val="auto"/>
        </w:rPr>
      </w:pPr>
    </w:p>
    <w:p>
      <w:pPr>
        <w:ind w:left="660" w:right="180" w:hanging="436"/>
        <w:spacing w:after="0" w:line="264"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i w:val="1"/>
          <w:iCs w:val="1"/>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i w:val="1"/>
          <w:iCs w:val="1"/>
          <w:color w:val="auto"/>
        </w:rPr>
        <w:t>we could face significant liability for withdrawal from multiemployer pension plans;</w:t>
      </w:r>
    </w:p>
    <w:p>
      <w:pPr>
        <w:spacing w:after="0" w:line="130"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i w:val="1"/>
          <w:iCs w:val="1"/>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75"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i w:val="1"/>
          <w:iCs w:val="1"/>
          <w:color w:val="auto"/>
        </w:rPr>
        <w:t>problems with the operation of our current information technology or the development and deployment of new information systems could decrease our efficiencies and increase our costs;</w:t>
      </w:r>
    </w:p>
    <w:p>
      <w:pPr>
        <w:spacing w:after="0" w:line="75"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i w:val="1"/>
          <w:iCs w:val="1"/>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75"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i w:val="1"/>
          <w:iCs w:val="1"/>
          <w:color w:val="auto"/>
        </w:rPr>
        <w:t>the adoption of new accounting standards or interpretations may cause fluctuations in reported quarterly results of operations or adversely impact our reported results of operations;</w:t>
      </w:r>
    </w:p>
    <w:p>
      <w:pPr>
        <w:spacing w:after="0" w:line="75"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i w:val="1"/>
          <w:iCs w:val="1"/>
          <w:color w:val="auto"/>
        </w:rPr>
        <w:t>we may reduce or suspend capital expenditures, acquisition activity, dividend declarations or share repurchases if we suffer a significant reduction in cash flows; and</w:t>
      </w:r>
    </w:p>
    <w:p>
      <w:pPr>
        <w:spacing w:after="0" w:line="7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i w:val="1"/>
          <w:iCs w:val="1"/>
          <w:color w:val="auto"/>
        </w:rPr>
        <w:t>we may be unable to incur future indebtedness on terms we deem acceptable or to refinance our debt obligations, including near-term maturities, on acceptable terms and higher interest rates and market conditions may increase our expenses.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Additional information regarding these and/or other factors that could materially affect results and the accuracy of the forward-looking statements contained herein may be found in Part I, Item 1A of the Company’s most recent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6"/>
          <w:szCs w:val="16"/>
          <w:u w:val="single" w:color="auto"/>
          <w:color w:val="auto"/>
        </w:rPr>
        <w:t>www.wm.com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www.thinkgreen.com</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14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5"/>
              </w:rPr>
              <w:t>Quarters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3,187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432"/>
        </w:trPr>
        <w:tc>
          <w:tcPr>
            <w:tcW w:w="55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(Income) expense from divestitures, asset impairments and unusual items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7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Less : Net income attributable to noncontrolling interests</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0.59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475.8</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478.0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0.315</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vMerge w:val="restart"/>
          </w:tcPr>
          <w:p>
            <w:pPr>
              <w:jc w:val="right"/>
              <w:ind w:right="3370"/>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140" w:type="dxa"/>
            <w:vAlign w:val="bottom"/>
            <w:gridSpan w:val="7"/>
          </w:tcPr>
          <w:p>
            <w:pPr>
              <w:ind w:left="80"/>
              <w:spacing w:after="0"/>
              <w:rPr>
                <w:sz w:val="20"/>
                <w:szCs w:val="20"/>
                <w:color w:val="auto"/>
              </w:rPr>
            </w:pPr>
            <w:r>
              <w:rPr>
                <w:rFonts w:ascii="Arial" w:cs="Arial" w:eastAsia="Arial" w:hAnsi="Arial"/>
                <w:sz w:val="14"/>
                <w:szCs w:val="14"/>
                <w:b w:val="1"/>
                <w:bCs w:val="1"/>
                <w:color w:val="auto"/>
              </w:rPr>
              <w:t>Quarters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4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281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475.0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475.8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478.0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20"/>
        </w:trPr>
        <w:tc>
          <w:tcPr>
            <w:tcW w:w="8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0.59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jc w:val="right"/>
              <w:ind w:right="2130"/>
              <w:spacing w:after="0"/>
              <w:rPr>
                <w:sz w:val="20"/>
                <w:szCs w:val="20"/>
                <w:color w:val="auto"/>
              </w:rPr>
            </w:pPr>
            <w:r>
              <w:rPr>
                <w:rFonts w:ascii="Arial" w:cs="Arial" w:eastAsia="Arial" w:hAnsi="Arial"/>
                <w:sz w:val="18"/>
                <w:szCs w:val="18"/>
                <w:color w:val="auto"/>
              </w:rPr>
              <w:t>(2)</w:t>
            </w: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12,515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11,791</w:t>
            </w:r>
          </w:p>
        </w:tc>
        <w:tc>
          <w:tcPr>
            <w:tcW w:w="0" w:type="dxa"/>
            <w:vAlign w:val="bottom"/>
          </w:tcPr>
          <w:p>
            <w:pPr>
              <w:spacing w:after="0"/>
              <w:rPr>
                <w:sz w:val="1"/>
                <w:szCs w:val="1"/>
                <w:color w:val="auto"/>
              </w:rPr>
            </w:pPr>
          </w:p>
        </w:tc>
      </w:tr>
      <w:tr>
        <w:trPr>
          <w:trHeight w:val="432"/>
        </w:trPr>
        <w:tc>
          <w:tcPr>
            <w:tcW w:w="55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7,824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1,461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(Income) expense from divestitures, asset impairments and unusual items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10,399</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7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629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Less : Net income attributable to noncontrolling interests</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3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3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1.98</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480.2</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3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1.26</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vMerge w:val="restart"/>
          </w:tcPr>
          <w:p>
            <w:pPr>
              <w:jc w:val="right"/>
              <w:ind w:right="3370"/>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4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953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475.0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480.2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482.2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0"/>
        </w:trPr>
        <w:tc>
          <w:tcPr>
            <w:tcW w:w="8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1.98</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jc w:val="right"/>
              <w:ind w:right="2130"/>
              <w:spacing w:after="0"/>
              <w:rPr>
                <w:sz w:val="20"/>
                <w:szCs w:val="20"/>
                <w:color w:val="auto"/>
              </w:rPr>
            </w:pPr>
            <w:r>
              <w:rPr>
                <w:rFonts w:ascii="Arial" w:cs="Arial" w:eastAsia="Arial" w:hAnsi="Arial"/>
                <w:sz w:val="18"/>
                <w:szCs w:val="18"/>
                <w:color w:val="auto"/>
              </w:rPr>
              <w:t>(4)</w:t>
            </w: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080" w:type="dxa"/>
            <w:vAlign w:val="bottom"/>
            <w:gridSpan w:val="2"/>
            <w:shd w:val="clear" w:color="auto" w:fill="CCEEFF"/>
          </w:tcPr>
          <w:p>
            <w:pPr>
              <w:ind w:left="39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1,656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39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2,482</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Goodwill</w:t>
            </w: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5,726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assets</w:t>
            </w:r>
          </w:p>
        </w:tc>
        <w:tc>
          <w:tcPr>
            <w:tcW w:w="3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080" w:type="dxa"/>
            <w:vAlign w:val="bottom"/>
            <w:gridSpan w:val="2"/>
            <w:shd w:val="clear" w:color="auto" w:fill="CCEEFF"/>
          </w:tcPr>
          <w:p>
            <w:pPr>
              <w:ind w:left="39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21,476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21,154</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3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80" w:type="dxa"/>
            <w:vAlign w:val="bottom"/>
            <w:gridSpan w:val="2"/>
            <w:vMerge w:val="continue"/>
          </w:tcPr>
          <w:p>
            <w:pPr>
              <w:spacing w:after="0"/>
              <w:rPr>
                <w:sz w:val="24"/>
                <w:szCs w:val="24"/>
                <w:color w:val="auto"/>
              </w:rPr>
            </w:pPr>
          </w:p>
        </w:tc>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deferred revenues</w:t>
            </w:r>
          </w:p>
        </w:tc>
        <w:tc>
          <w:tcPr>
            <w:tcW w:w="4080" w:type="dxa"/>
            <w:vAlign w:val="bottom"/>
            <w:gridSpan w:val="2"/>
          </w:tcPr>
          <w:p>
            <w:pPr>
              <w:ind w:left="39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2,252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39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2,485</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8,674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liabilities</w:t>
            </w:r>
          </w:p>
        </w:tc>
        <w:tc>
          <w:tcPr>
            <w:tcW w:w="3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14,885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14,563</w:t>
            </w:r>
          </w:p>
        </w:tc>
        <w:tc>
          <w:tcPr>
            <w:tcW w:w="0" w:type="dxa"/>
            <w:vAlign w:val="bottom"/>
          </w:tcPr>
          <w:p>
            <w:pPr>
              <w:spacing w:after="0"/>
              <w:rPr>
                <w:sz w:val="1"/>
                <w:szCs w:val="1"/>
                <w:color w:val="auto"/>
              </w:rPr>
            </w:pPr>
          </w:p>
        </w:tc>
      </w:tr>
      <w:tr>
        <w:trPr>
          <w:trHeight w:val="439"/>
        </w:trPr>
        <w:tc>
          <w:tcPr>
            <w:tcW w:w="50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9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Waste Management, Inc. stockholders’ equity</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6,260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3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equity</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6,591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Total liabilities and equity</w:t>
            </w:r>
          </w:p>
        </w:tc>
        <w:tc>
          <w:tcPr>
            <w:tcW w:w="39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21,476</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900" w:type="dxa"/>
            <w:vAlign w:val="bottom"/>
            <w:vMerge w:val="restart"/>
          </w:tcPr>
          <w:p>
            <w:pPr>
              <w:jc w:val="right"/>
              <w:ind w:right="3070"/>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1,002</w:t>
            </w:r>
          </w:p>
        </w:tc>
        <w:tc>
          <w:tcPr>
            <w:tcW w:w="3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1,194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(230)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(1,104)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Investments in unconsolidated entities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(173)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receipts from restricted trust and escrow accounts, and 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(1,606)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New borrowings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908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repayments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Common stock repurchases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(501)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(1,273)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(601)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2010 presentation.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9"/>
          </w:tcPr>
          <w:p>
            <w:pPr>
              <w:jc w:val="right"/>
              <w:ind w:right="480"/>
              <w:spacing w:after="0"/>
              <w:rPr>
                <w:sz w:val="20"/>
                <w:szCs w:val="20"/>
                <w:color w:val="auto"/>
              </w:rPr>
            </w:pPr>
            <w:r>
              <w:rPr>
                <w:rFonts w:ascii="Arial" w:cs="Arial" w:eastAsia="Arial" w:hAnsi="Arial"/>
                <w:sz w:val="14"/>
                <w:szCs w:val="14"/>
                <w:b w:val="1"/>
                <w:bCs w:val="1"/>
                <w:color w:val="auto"/>
              </w:rPr>
              <w:t>Quarters Ended</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9"/>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c>
          <w:tcPr>
            <w:tcW w:w="1420" w:type="dxa"/>
            <w:vAlign w:val="bottom"/>
            <w:gridSpan w:val="8"/>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0"/>
                <w:szCs w:val="10"/>
                <w:color w:val="auto"/>
              </w:rPr>
            </w:pPr>
          </w:p>
        </w:tc>
        <w:tc>
          <w:tcPr>
            <w:tcW w:w="7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w w:val="87"/>
              </w:rPr>
              <w:t>December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6"/>
          </w:tcPr>
          <w:p>
            <w:pPr>
              <w:ind w:left="46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31"/>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by Lines of Business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Collection</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5"/>
          </w:tcPr>
          <w:p>
            <w:pPr>
              <w:jc w:val="right"/>
              <w:ind w:right="60"/>
              <w:spacing w:after="0"/>
              <w:rPr>
                <w:sz w:val="20"/>
                <w:szCs w:val="20"/>
                <w:color w:val="auto"/>
              </w:rPr>
            </w:pPr>
            <w:r>
              <w:rPr>
                <w:rFonts w:ascii="Arial" w:cs="Arial" w:eastAsia="Arial" w:hAnsi="Arial"/>
                <w:sz w:val="18"/>
                <w:szCs w:val="18"/>
                <w:color w:val="auto"/>
              </w:rPr>
              <w:t>2,072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2,119</w:t>
            </w:r>
          </w:p>
        </w:tc>
        <w:tc>
          <w:tcPr>
            <w:tcW w:w="400" w:type="dxa"/>
            <w:vAlign w:val="bottom"/>
          </w:tcPr>
          <w:p>
            <w:pPr>
              <w:spacing w:after="0"/>
              <w:rPr>
                <w:sz w:val="24"/>
                <w:szCs w:val="24"/>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Transfer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5"/>
          </w:tcPr>
          <w:p>
            <w:pPr>
              <w:jc w:val="right"/>
              <w:ind w:right="60"/>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342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Wheelabrator</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Recycling</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5"/>
          </w:tcPr>
          <w:p>
            <w:pPr>
              <w:jc w:val="right"/>
              <w:ind w:right="60"/>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286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6"/>
          </w:tcPr>
          <w:p>
            <w:pPr>
              <w:jc w:val="right"/>
              <w:ind w:right="160"/>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(509)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3,187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3"/>
              </w:rPr>
              <w:t>3,235</w:t>
            </w:r>
          </w:p>
        </w:tc>
        <w:tc>
          <w:tcPr>
            <w:tcW w:w="4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10"/>
          </w:tcPr>
          <w:p>
            <w:pPr>
              <w:jc w:val="right"/>
              <w:ind w:right="128"/>
              <w:spacing w:after="0"/>
              <w:rPr>
                <w:sz w:val="20"/>
                <w:szCs w:val="20"/>
                <w:color w:val="auto"/>
              </w:rPr>
            </w:pPr>
            <w:r>
              <w:rPr>
                <w:rFonts w:ascii="Arial" w:cs="Arial" w:eastAsia="Arial" w:hAnsi="Arial"/>
                <w:sz w:val="14"/>
                <w:szCs w:val="14"/>
                <w:b w:val="1"/>
                <w:bCs w:val="1"/>
                <w:color w:val="auto"/>
              </w:rPr>
              <w:t>Quarters Ended</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10"/>
          </w:tcPr>
          <w:p>
            <w:pPr>
              <w:jc w:val="right"/>
              <w:ind w:right="148"/>
              <w:spacing w:after="0" w:line="142" w:lineRule="exact"/>
              <w:rPr>
                <w:sz w:val="20"/>
                <w:szCs w:val="20"/>
                <w:color w:val="auto"/>
              </w:rPr>
            </w:pPr>
            <w:r>
              <w:rPr>
                <w:rFonts w:ascii="Arial" w:cs="Arial" w:eastAsia="Arial" w:hAnsi="Arial"/>
                <w:sz w:val="14"/>
                <w:szCs w:val="14"/>
                <w:b w:val="1"/>
                <w:bCs w:val="1"/>
                <w:color w:val="auto"/>
                <w:w w:val="99"/>
              </w:rPr>
              <w:t>December 31, 2010</w:t>
            </w: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8"/>
          </w:tcPr>
          <w:p>
            <w:pPr>
              <w:jc w:val="right"/>
              <w:spacing w:after="0" w:line="142" w:lineRule="exact"/>
              <w:rPr>
                <w:sz w:val="20"/>
                <w:szCs w:val="20"/>
                <w:color w:val="auto"/>
              </w:rPr>
            </w:pPr>
            <w:r>
              <w:rPr>
                <w:rFonts w:ascii="Arial" w:cs="Arial" w:eastAsia="Arial" w:hAnsi="Arial"/>
                <w:sz w:val="14"/>
                <w:szCs w:val="14"/>
                <w:b w:val="1"/>
                <w:bCs w:val="1"/>
                <w:color w:val="auto"/>
              </w:rPr>
              <w:t>December 31, 2009</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5"/>
          </w:tcPr>
          <w:p>
            <w:pPr>
              <w:jc w:val="right"/>
              <w:ind w:right="160"/>
              <w:spacing w:after="0" w:line="123" w:lineRule="exact"/>
              <w:rPr>
                <w:sz w:val="20"/>
                <w:szCs w:val="20"/>
                <w:color w:val="auto"/>
              </w:rPr>
            </w:pPr>
            <w:r>
              <w:rPr>
                <w:rFonts w:ascii="Arial" w:cs="Arial" w:eastAsia="Arial" w:hAnsi="Arial"/>
                <w:sz w:val="14"/>
                <w:szCs w:val="14"/>
                <w:color w:val="auto"/>
                <w:w w:val="96"/>
              </w:rPr>
              <w:t>As a % of</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4"/>
          </w:tcPr>
          <w:p>
            <w:pPr>
              <w:jc w:val="right"/>
              <w:ind w:right="71"/>
              <w:spacing w:after="0" w:line="123" w:lineRule="exact"/>
              <w:rPr>
                <w:sz w:val="20"/>
                <w:szCs w:val="20"/>
                <w:color w:val="auto"/>
              </w:rPr>
            </w:pPr>
            <w:r>
              <w:rPr>
                <w:rFonts w:ascii="Arial" w:cs="Arial" w:eastAsia="Arial" w:hAnsi="Arial"/>
                <w:sz w:val="14"/>
                <w:szCs w:val="14"/>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4"/>
                <w:szCs w:val="14"/>
                <w:color w:val="auto"/>
                <w:w w:val="95"/>
              </w:rPr>
              <w:t>Amount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9"/>
          </w:tcPr>
          <w:p>
            <w:pPr>
              <w:ind w:left="20"/>
              <w:spacing w:after="0"/>
              <w:rPr>
                <w:sz w:val="20"/>
                <w:szCs w:val="20"/>
                <w:color w:val="auto"/>
              </w:rPr>
            </w:pPr>
            <w:r>
              <w:rPr>
                <w:rFonts w:ascii="Arial" w:cs="Arial" w:eastAsia="Arial" w:hAnsi="Arial"/>
                <w:sz w:val="14"/>
                <w:szCs w:val="14"/>
                <w:color w:val="auto"/>
              </w:rPr>
              <w:t>Total Company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7"/>
          </w:tcPr>
          <w:p>
            <w:pPr>
              <w:jc w:val="right"/>
              <w:ind w:right="740"/>
              <w:spacing w:after="0"/>
              <w:rPr>
                <w:sz w:val="20"/>
                <w:szCs w:val="20"/>
                <w:color w:val="auto"/>
              </w:rPr>
            </w:pPr>
            <w:r>
              <w:rPr>
                <w:rFonts w:ascii="Arial" w:cs="Arial" w:eastAsia="Arial" w:hAnsi="Arial"/>
                <w:sz w:val="14"/>
                <w:szCs w:val="14"/>
                <w:color w:val="auto"/>
              </w:rPr>
              <w:t>Amount</w:t>
            </w:r>
          </w:p>
        </w:tc>
        <w:tc>
          <w:tcPr>
            <w:tcW w:w="1060" w:type="dxa"/>
            <w:vAlign w:val="bottom"/>
            <w:gridSpan w:val="6"/>
          </w:tcPr>
          <w:p>
            <w:pPr>
              <w:jc w:val="right"/>
              <w:ind w:right="160"/>
              <w:spacing w:after="0"/>
              <w:rPr>
                <w:sz w:val="20"/>
                <w:szCs w:val="20"/>
                <w:color w:val="auto"/>
              </w:rPr>
            </w:pPr>
            <w:r>
              <w:rPr>
                <w:rFonts w:ascii="Arial" w:cs="Arial" w:eastAsia="Arial" w:hAnsi="Arial"/>
                <w:sz w:val="14"/>
                <w:szCs w:val="14"/>
                <w:color w:val="auto"/>
                <w:w w:val="92"/>
              </w:rPr>
              <w:t>Total Company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Analysis of Change in Year Over Year Revenues</w:t>
            </w: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169</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3"/>
          </w:tcPr>
          <w:p>
            <w:pPr>
              <w:jc w:val="right"/>
              <w:ind w:right="1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Volume</w:t>
            </w: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(200)</w:t>
            </w: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vMerge w:val="restart"/>
          </w:tcPr>
          <w:p>
            <w:pPr>
              <w:ind w:left="200"/>
              <w:spacing w:after="0"/>
              <w:rPr>
                <w:sz w:val="20"/>
                <w:szCs w:val="20"/>
                <w:color w:val="auto"/>
              </w:rPr>
            </w:pPr>
            <w:r>
              <w:rPr>
                <w:rFonts w:ascii="Arial" w:cs="Arial" w:eastAsia="Arial" w:hAnsi="Arial"/>
                <w:sz w:val="18"/>
                <w:szCs w:val="18"/>
                <w:color w:val="auto"/>
              </w:rPr>
              <w:t>Internal revenue growth</w:t>
            </w: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115</w:t>
            </w:r>
          </w:p>
        </w:tc>
        <w:tc>
          <w:tcPr>
            <w:tcW w:w="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6"/>
              </w:rPr>
              <w:t>(151)</w:t>
            </w:r>
          </w:p>
        </w:tc>
        <w:tc>
          <w:tcPr>
            <w:tcW w:w="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Divestitures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5"/>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181</w:t>
            </w:r>
          </w:p>
        </w:tc>
        <w:tc>
          <w:tcPr>
            <w:tcW w:w="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8"/>
              </w:rPr>
              <w:t>(102</w:t>
            </w:r>
          </w:p>
        </w:tc>
        <w:tc>
          <w:tcPr>
            <w:tcW w:w="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7"/>
          </w:tcPr>
          <w:p>
            <w:pPr>
              <w:jc w:val="center"/>
              <w:ind w:right="260"/>
              <w:spacing w:after="0"/>
              <w:rPr>
                <w:sz w:val="20"/>
                <w:szCs w:val="20"/>
                <w:color w:val="auto"/>
              </w:rPr>
            </w:pPr>
            <w:r>
              <w:rPr>
                <w:rFonts w:ascii="Arial" w:cs="Arial" w:eastAsia="Arial" w:hAnsi="Arial"/>
                <w:sz w:val="14"/>
                <w:szCs w:val="14"/>
                <w:color w:val="auto"/>
                <w:w w:val="96"/>
              </w:rPr>
              <w:t>As a % of</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4"/>
          </w:tcPr>
          <w:p>
            <w:pPr>
              <w:jc w:val="center"/>
              <w:ind w:right="160"/>
              <w:spacing w:after="0"/>
              <w:rPr>
                <w:sz w:val="20"/>
                <w:szCs w:val="20"/>
                <w:color w:val="auto"/>
              </w:rPr>
            </w:pPr>
            <w:r>
              <w:rPr>
                <w:rFonts w:ascii="Arial" w:cs="Arial" w:eastAsia="Arial" w:hAnsi="Arial"/>
                <w:sz w:val="14"/>
                <w:szCs w:val="14"/>
                <w:color w:val="auto"/>
                <w:w w:val="93"/>
              </w:rPr>
              <w:t>As a %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6"/>
          </w:tcPr>
          <w:p>
            <w:pPr>
              <w:jc w:val="center"/>
              <w:ind w:right="400"/>
              <w:spacing w:after="0" w:line="149" w:lineRule="exact"/>
              <w:rPr>
                <w:sz w:val="20"/>
                <w:szCs w:val="20"/>
                <w:color w:val="auto"/>
              </w:rPr>
            </w:pPr>
            <w:r>
              <w:rPr>
                <w:rFonts w:ascii="Arial" w:cs="Arial" w:eastAsia="Arial" w:hAnsi="Arial"/>
                <w:sz w:val="14"/>
                <w:szCs w:val="14"/>
                <w:color w:val="auto"/>
                <w:w w:val="91"/>
              </w:rPr>
              <w:t>Related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1"/>
              </w:rPr>
              <w:t>Related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5"/>
          </w:tcPr>
          <w:p>
            <w:pPr>
              <w:jc w:val="right"/>
              <w:ind w:right="320"/>
              <w:spacing w:after="0"/>
              <w:rPr>
                <w:sz w:val="20"/>
                <w:szCs w:val="20"/>
                <w:color w:val="auto"/>
              </w:rPr>
            </w:pPr>
            <w:r>
              <w:rPr>
                <w:rFonts w:ascii="Arial" w:cs="Arial" w:eastAsia="Arial" w:hAnsi="Arial"/>
                <w:sz w:val="14"/>
                <w:szCs w:val="14"/>
                <w:color w:val="auto"/>
              </w:rPr>
              <w:t>Amount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7"/>
          </w:tcPr>
          <w:p>
            <w:pPr>
              <w:jc w:val="center"/>
              <w:ind w:right="280"/>
              <w:spacing w:after="0"/>
              <w:rPr>
                <w:sz w:val="20"/>
                <w:szCs w:val="20"/>
                <w:color w:val="auto"/>
              </w:rPr>
            </w:pPr>
            <w:r>
              <w:rPr>
                <w:rFonts w:ascii="Arial" w:cs="Arial" w:eastAsia="Arial" w:hAnsi="Arial"/>
                <w:sz w:val="14"/>
                <w:szCs w:val="14"/>
                <w:color w:val="auto"/>
                <w:w w:val="91"/>
              </w:rPr>
              <w:t>Business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5"/>
          </w:tcPr>
          <w:p>
            <w:pPr>
              <w:jc w:val="right"/>
              <w:ind w:right="56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4"/>
                <w:szCs w:val="14"/>
                <w:color w:val="auto"/>
                <w:w w:val="91"/>
              </w:rPr>
              <w:t>Business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600"/>
              <w:spacing w:after="0"/>
              <w:rPr>
                <w:sz w:val="20"/>
                <w:szCs w:val="20"/>
                <w:color w:val="auto"/>
              </w:rPr>
            </w:pPr>
            <w:r>
              <w:rPr>
                <w:rFonts w:ascii="Arial" w:cs="Arial" w:eastAsia="Arial" w:hAnsi="Arial"/>
                <w:sz w:val="18"/>
                <w:szCs w:val="18"/>
                <w:color w:val="auto"/>
              </w:rPr>
              <w:t>Collection, landfill and transfer</w:t>
            </w:r>
          </w:p>
        </w:tc>
        <w:tc>
          <w:tcPr>
            <w:tcW w:w="100" w:type="dxa"/>
            <w:vAlign w:val="bottom"/>
          </w:tcPr>
          <w:p>
            <w:pPr>
              <w:spacing w:after="0"/>
              <w:rPr>
                <w:sz w:val="18"/>
                <w:szCs w:val="18"/>
                <w:color w:val="auto"/>
              </w:rPr>
            </w:pPr>
          </w:p>
        </w:tc>
        <w:tc>
          <w:tcPr>
            <w:tcW w:w="580" w:type="dxa"/>
            <w:vAlign w:val="bottom"/>
            <w:gridSpan w:val="3"/>
          </w:tcPr>
          <w:p>
            <w:pPr>
              <w:jc w:val="right"/>
              <w:ind w:right="16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5"/>
          </w:tcPr>
          <w:p>
            <w:pPr>
              <w:jc w:val="right"/>
              <w:ind w:right="120"/>
              <w:spacing w:after="0"/>
              <w:rPr>
                <w:sz w:val="20"/>
                <w:szCs w:val="20"/>
                <w:color w:val="auto"/>
              </w:rPr>
            </w:pPr>
            <w:r>
              <w:rPr>
                <w:rFonts w:ascii="Arial" w:cs="Arial" w:eastAsia="Arial" w:hAnsi="Arial"/>
                <w:sz w:val="18"/>
                <w:szCs w:val="18"/>
                <w:color w:val="auto"/>
              </w:rPr>
              <w:t>2.6%</w:t>
            </w:r>
          </w:p>
        </w:tc>
        <w:tc>
          <w:tcPr>
            <w:tcW w:w="600" w:type="dxa"/>
            <w:vAlign w:val="bottom"/>
            <w:gridSpan w:val="5"/>
          </w:tcPr>
          <w:p>
            <w:pPr>
              <w:ind w:left="46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65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Waste-to-energy disposal</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Collection and disposal</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5"/>
          </w:tcPr>
          <w:p>
            <w:pPr>
              <w:jc w:val="right"/>
              <w:ind w:right="12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3"/>
          </w:tcPr>
          <w:p>
            <w:pPr>
              <w:ind w:left="340"/>
              <w:spacing w:after="0"/>
              <w:rPr>
                <w:sz w:val="20"/>
                <w:szCs w:val="20"/>
                <w:color w:val="auto"/>
              </w:rPr>
            </w:pPr>
            <w:r>
              <w:rPr>
                <w:rFonts w:ascii="Arial" w:cs="Arial" w:eastAsia="Arial" w:hAnsi="Arial"/>
                <w:sz w:val="18"/>
                <w:szCs w:val="18"/>
                <w:color w:val="auto"/>
                <w:w w:val="99"/>
              </w:rPr>
              <w:t>72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Recycling commodities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Electricity</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5"/>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4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Fuel surcharges and mandated fees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64"/>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169</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5"/>
          </w:tcPr>
          <w:p>
            <w:pPr>
              <w:jc w:val="right"/>
              <w:ind w:right="120"/>
              <w:spacing w:after="0"/>
              <w:rPr>
                <w:sz w:val="20"/>
                <w:szCs w:val="20"/>
                <w:color w:val="auto"/>
              </w:rPr>
            </w:pPr>
            <w:r>
              <w:rPr>
                <w:rFonts w:ascii="Arial" w:cs="Arial" w:eastAsia="Arial" w:hAnsi="Arial"/>
                <w:sz w:val="18"/>
                <w:szCs w:val="18"/>
                <w:color w:val="auto"/>
              </w:rPr>
              <w:t>5.6%</w:t>
            </w:r>
          </w:p>
        </w:tc>
        <w:tc>
          <w:tcPr>
            <w:tcW w:w="460" w:type="dxa"/>
            <w:vAlign w:val="bottom"/>
            <w:gridSpan w:val="3"/>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3"/>
          </w:tcPr>
          <w:p>
            <w:pPr>
              <w:ind w:left="340"/>
              <w:spacing w:after="0"/>
              <w:rPr>
                <w:sz w:val="20"/>
                <w:szCs w:val="20"/>
                <w:color w:val="auto"/>
              </w:rPr>
            </w:pPr>
            <w:r>
              <w:rPr>
                <w:rFonts w:ascii="Arial" w:cs="Arial" w:eastAsia="Arial" w:hAnsi="Arial"/>
                <w:sz w:val="18"/>
                <w:szCs w:val="18"/>
                <w:color w:val="auto"/>
                <w:w w:val="99"/>
              </w:rPr>
              <w:t>49</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gridSpan w:val="15"/>
          </w:tcPr>
          <w:p>
            <w:pPr>
              <w:jc w:val="right"/>
              <w:ind w:right="280"/>
              <w:spacing w:after="0"/>
              <w:rPr>
                <w:sz w:val="20"/>
                <w:szCs w:val="20"/>
                <w:color w:val="auto"/>
              </w:rPr>
            </w:pPr>
            <w:r>
              <w:rPr>
                <w:rFonts w:ascii="Arial" w:cs="Arial" w:eastAsia="Arial" w:hAnsi="Arial"/>
                <w:sz w:val="14"/>
                <w:szCs w:val="14"/>
                <w:b w:val="1"/>
                <w:bCs w:val="1"/>
                <w:color w:val="auto"/>
                <w:w w:val="96"/>
              </w:rPr>
              <w:t>Quarters Ended December 31,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10"/>
          </w:tcPr>
          <w:p>
            <w:pPr>
              <w:jc w:val="right"/>
              <w:ind w:right="300"/>
              <w:spacing w:after="0"/>
              <w:rPr>
                <w:sz w:val="20"/>
                <w:szCs w:val="20"/>
                <w:color w:val="auto"/>
              </w:rPr>
            </w:pPr>
            <w:r>
              <w:rPr>
                <w:rFonts w:ascii="Arial" w:cs="Arial" w:eastAsia="Arial" w:hAnsi="Arial"/>
                <w:sz w:val="14"/>
                <w:szCs w:val="14"/>
                <w:b w:val="1"/>
                <w:bCs w:val="1"/>
                <w:color w:val="auto"/>
                <w:w w:val="95"/>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620" w:type="dxa"/>
            <w:vAlign w:val="bottom"/>
            <w:tcBorders>
              <w:top w:val="single" w:sz="8" w:color="auto"/>
              <w:bottom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Analysis (b)</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1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24"/>
                <w:szCs w:val="24"/>
                <w:color w:val="auto"/>
              </w:rPr>
            </w:pPr>
          </w:p>
        </w:tc>
        <w:tc>
          <w:tcPr>
            <w:tcW w:w="580" w:type="dxa"/>
            <w:vAlign w:val="bottom"/>
            <w:gridSpan w:val="3"/>
          </w:tcPr>
          <w:p>
            <w:pPr>
              <w:jc w:val="right"/>
              <w:ind w:right="10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8"/>
                <w:szCs w:val="18"/>
                <w:color w:val="auto"/>
              </w:rPr>
              <w:t>622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5"/>
          </w:tcPr>
          <w:p>
            <w:pPr>
              <w:jc w:val="right"/>
              <w:ind w:right="160"/>
              <w:spacing w:after="0"/>
              <w:rPr>
                <w:sz w:val="20"/>
                <w:szCs w:val="20"/>
                <w:color w:val="auto"/>
              </w:rPr>
            </w:pPr>
            <w:r>
              <w:rPr>
                <w:rFonts w:ascii="Arial" w:cs="Arial" w:eastAsia="Arial" w:hAnsi="Arial"/>
                <w:sz w:val="18"/>
                <w:szCs w:val="18"/>
                <w:color w:val="auto"/>
              </w:rPr>
              <w:t>720</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400"/>
              <w:spacing w:after="0"/>
              <w:rPr>
                <w:sz w:val="20"/>
                <w:szCs w:val="20"/>
                <w:color w:val="auto"/>
              </w:rPr>
            </w:pPr>
            <w:r>
              <w:rPr>
                <w:rFonts w:ascii="Arial" w:cs="Arial" w:eastAsia="Arial" w:hAnsi="Arial"/>
                <w:sz w:val="18"/>
                <w:szCs w:val="18"/>
                <w:color w:val="auto"/>
              </w:rPr>
              <w:t>2,275</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(367)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(1,104)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tcPr>
          <w:p>
            <w:pPr>
              <w:spacing w:after="0" w:line="201" w:lineRule="exact"/>
              <w:rPr>
                <w:sz w:val="20"/>
                <w:szCs w:val="20"/>
                <w:color w:val="auto"/>
              </w:rPr>
            </w:pPr>
            <w:r>
              <w:rPr>
                <w:rFonts w:ascii="Arial" w:cs="Arial" w:eastAsia="Arial" w:hAnsi="Arial"/>
                <w:sz w:val="18"/>
                <w:szCs w:val="18"/>
                <w:color w:val="auto"/>
                <w:w w:val="93"/>
              </w:rPr>
              <w:t>Proceeds from divestitures of businesses (net of cash divested) and other sales of</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4"/>
          </w:tcPr>
          <w:p>
            <w:pPr>
              <w:jc w:val="right"/>
              <w:ind w:right="40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372</w:t>
            </w: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1,215</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88"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Quarters Ended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2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5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539</w:t>
            </w:r>
          </w:p>
        </w:tc>
        <w:tc>
          <w:tcPr>
            <w:tcW w:w="360" w:type="dxa"/>
            <w:vAlign w:val="bottom"/>
          </w:tcPr>
          <w:p>
            <w:pPr>
              <w:spacing w:after="0"/>
              <w:rPr>
                <w:sz w:val="24"/>
                <w:szCs w:val="24"/>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Long-term indebtedness, including current portion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8,907</w:t>
            </w:r>
          </w:p>
        </w:tc>
        <w:tc>
          <w:tcPr>
            <w:tcW w:w="36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8,959</w:t>
            </w:r>
          </w:p>
        </w:tc>
        <w:tc>
          <w:tcPr>
            <w:tcW w:w="6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Total capital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15,398</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Debt-to-total capital</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57.5%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2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4"/>
                <w:szCs w:val="24"/>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 Summary (a)</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Gross annualized revenue acquired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w:t>
            </w:r>
          </w:p>
        </w:tc>
        <w:tc>
          <w:tcPr>
            <w:tcW w:w="6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consideration</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Cash paid for acquisitions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24"/>
                <w:szCs w:val="24"/>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Operational Data</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Internalization of waste, based on disposal costs</w:t>
            </w:r>
          </w:p>
        </w:tc>
        <w:tc>
          <w:tcPr>
            <w:tcW w:w="180" w:type="dxa"/>
            <w:vAlign w:val="bottom"/>
          </w:tcPr>
          <w:p>
            <w:pPr>
              <w:spacing w:after="0"/>
              <w:rPr>
                <w:sz w:val="24"/>
                <w:szCs w:val="2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68.6%</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67.9%</w:t>
            </w:r>
          </w:p>
        </w:tc>
        <w:tc>
          <w:tcPr>
            <w:tcW w:w="1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disposal volumes (tons in millions)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20" w:type="dxa"/>
            <w:vAlign w:val="bottom"/>
            <w:gridSpan w:val="2"/>
          </w:tcPr>
          <w:p>
            <w:pPr>
              <w:spacing w:after="0"/>
              <w:rPr>
                <w:sz w:val="20"/>
                <w:szCs w:val="20"/>
                <w:color w:val="auto"/>
              </w:rPr>
            </w:pPr>
            <w:r>
              <w:rPr>
                <w:rFonts w:ascii="Arial" w:cs="Arial" w:eastAsia="Arial" w:hAnsi="Arial"/>
                <w:sz w:val="18"/>
                <w:szCs w:val="18"/>
                <w:color w:val="auto"/>
              </w:rPr>
              <w:t>Active landfills</w:t>
            </w:r>
          </w:p>
        </w:tc>
        <w:tc>
          <w:tcPr>
            <w:tcW w:w="1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271</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Amortization, Accretion and Other Expenses for Landfills Included in Operating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73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ind w:left="200"/>
              <w:spacing w:after="0"/>
              <w:rPr>
                <w:sz w:val="20"/>
                <w:szCs w:val="20"/>
                <w:color w:val="auto"/>
              </w:rPr>
            </w:pPr>
            <w:r>
              <w:rPr>
                <w:rFonts w:ascii="Arial" w:cs="Arial" w:eastAsia="Arial" w:hAnsi="Arial"/>
                <w:sz w:val="18"/>
                <w:szCs w:val="18"/>
                <w:b w:val="1"/>
                <w:bCs w:val="1"/>
                <w:color w:val="auto"/>
              </w:rPr>
              <w:t>Groups: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amortization expense -</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Cost basis of landfill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79.1</w:t>
            </w:r>
          </w:p>
        </w:tc>
        <w:tc>
          <w:tcPr>
            <w:tcW w:w="36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89.5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retirement costs</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Total landfill amortization expense (b)</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Landfill amortization, accretion and other related expense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 Note that cash paid for acquisitions may include cash payments for business acquisitions consummated in prior quarters.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quarter ended December 31, 2010 as compared to the quarter ended September 30, 2010 reflects a reduction in amortization expense of</w:t>
      </w:r>
    </w:p>
    <w:p>
      <w:pPr>
        <w:spacing w:after="0" w:line="34" w:lineRule="exact"/>
        <w:rPr>
          <w:rFonts w:ascii="Arial" w:cs="Arial" w:eastAsia="Arial" w:hAnsi="Arial"/>
          <w:sz w:val="17"/>
          <w:szCs w:val="17"/>
          <w:color w:val="auto"/>
        </w:rPr>
      </w:pPr>
    </w:p>
    <w:p>
      <w:pPr>
        <w:ind w:left="460" w:right="280"/>
        <w:spacing w:after="0" w:line="302" w:lineRule="auto"/>
        <w:rPr>
          <w:rFonts w:ascii="Arial" w:cs="Arial" w:eastAsia="Arial" w:hAnsi="Arial"/>
          <w:sz w:val="17"/>
          <w:szCs w:val="17"/>
          <w:color w:val="auto"/>
        </w:rPr>
      </w:pPr>
      <w:r>
        <w:rPr>
          <w:rFonts w:ascii="Arial" w:cs="Arial" w:eastAsia="Arial" w:hAnsi="Arial"/>
          <w:sz w:val="16"/>
          <w:szCs w:val="16"/>
          <w:color w:val="auto"/>
        </w:rPr>
        <w:t>$44.7 million of which $28.6 million is attributable to year-end adjustments of the landfill capping construction and closure/post-closure obligations identified in our annual review process. The remaining decrease is due to seasonal reduction in landfill volumes and one-time upward adjustments charged to amortization expense for revisions in estimates of closure and post-closure estimates during the quarter ended September 30, 2010.</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w w:val="96"/>
              </w:rPr>
              <w:t>Quarter Ended</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4"/>
          </w:tcPr>
          <w:p>
            <w:pPr>
              <w:jc w:val="center"/>
              <w:ind w:left="73"/>
              <w:spacing w:after="0"/>
              <w:rPr>
                <w:sz w:val="20"/>
                <w:szCs w:val="20"/>
                <w:color w:val="auto"/>
              </w:rPr>
            </w:pPr>
            <w:r>
              <w:rPr>
                <w:rFonts w:ascii="Arial" w:cs="Arial" w:eastAsia="Arial" w:hAnsi="Arial"/>
                <w:sz w:val="14"/>
                <w:szCs w:val="14"/>
                <w:b w:val="1"/>
                <w:bCs w:val="1"/>
                <w:color w:val="auto"/>
                <w:w w:val="96"/>
              </w:rPr>
              <w:t>Quarter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113"/>
              <w:spacing w:after="0"/>
              <w:rPr>
                <w:sz w:val="20"/>
                <w:szCs w:val="20"/>
                <w:color w:val="auto"/>
              </w:rPr>
            </w:pPr>
            <w:r>
              <w:rPr>
                <w:rFonts w:ascii="Arial" w:cs="Arial" w:eastAsia="Arial" w:hAnsi="Arial"/>
                <w:sz w:val="14"/>
                <w:szCs w:val="14"/>
                <w:b w:val="1"/>
                <w:bCs w:val="1"/>
                <w:color w:val="auto"/>
                <w:w w:val="91"/>
              </w:rPr>
              <w:t>December 31, 2010</w:t>
            </w:r>
          </w:p>
        </w:tc>
        <w:tc>
          <w:tcPr>
            <w:tcW w:w="3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53"/>
              <w:spacing w:after="0"/>
              <w:rPr>
                <w:sz w:val="20"/>
                <w:szCs w:val="20"/>
                <w:color w:val="auto"/>
              </w:rPr>
            </w:pPr>
            <w:r>
              <w:rPr>
                <w:rFonts w:ascii="Arial" w:cs="Arial" w:eastAsia="Arial" w:hAnsi="Arial"/>
                <w:sz w:val="14"/>
                <w:szCs w:val="14"/>
                <w:b w:val="1"/>
                <w:bCs w:val="1"/>
                <w:color w:val="auto"/>
                <w:w w:val="91"/>
              </w:rPr>
              <w:t>December 31, 2009</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60" w:type="dxa"/>
            <w:vAlign w:val="bottom"/>
            <w:gridSpan w:val="3"/>
          </w:tcPr>
          <w:p>
            <w:pPr>
              <w:jc w:val="right"/>
              <w:ind w:right="740"/>
              <w:spacing w:after="0" w:line="119" w:lineRule="exact"/>
              <w:rPr>
                <w:sz w:val="20"/>
                <w:szCs w:val="20"/>
                <w:color w:val="auto"/>
              </w:rPr>
            </w:pPr>
            <w:r>
              <w:rPr>
                <w:rFonts w:ascii="Arial" w:cs="Arial" w:eastAsia="Arial" w:hAnsi="Arial"/>
                <w:sz w:val="13"/>
                <w:szCs w:val="13"/>
                <w:b w:val="1"/>
                <w:bCs w:val="1"/>
                <w:color w:val="auto"/>
              </w:rPr>
              <w:t>After-tax</w:t>
            </w: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Per Share</w:t>
            </w:r>
          </w:p>
        </w:tc>
        <w:tc>
          <w:tcPr>
            <w:tcW w:w="680" w:type="dxa"/>
            <w:vAlign w:val="bottom"/>
          </w:tcPr>
          <w:p>
            <w:pPr>
              <w:spacing w:after="0"/>
              <w:rPr>
                <w:sz w:val="10"/>
                <w:szCs w:val="10"/>
                <w:color w:val="auto"/>
              </w:rPr>
            </w:pPr>
          </w:p>
        </w:tc>
        <w:tc>
          <w:tcPr>
            <w:tcW w:w="1060" w:type="dxa"/>
            <w:vAlign w:val="bottom"/>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rPr>
              <w:t>After-tax</w:t>
            </w:r>
          </w:p>
        </w:tc>
        <w:tc>
          <w:tcPr>
            <w:tcW w:w="32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Net income and Diluted Earnings Per Share</w:t>
            </w:r>
          </w:p>
        </w:tc>
        <w:tc>
          <w:tcPr>
            <w:tcW w:w="1740" w:type="dxa"/>
            <w:vAlign w:val="bottom"/>
            <w:gridSpan w:val="4"/>
          </w:tcPr>
          <w:p>
            <w:pPr>
              <w:ind w:left="380"/>
              <w:spacing w:after="0"/>
              <w:rPr>
                <w:sz w:val="20"/>
                <w:szCs w:val="20"/>
                <w:color w:val="auto"/>
              </w:rPr>
            </w:pPr>
            <w:r>
              <w:rPr>
                <w:rFonts w:ascii="Arial" w:cs="Arial" w:eastAsia="Arial" w:hAnsi="Arial"/>
                <w:sz w:val="14"/>
                <w:szCs w:val="14"/>
                <w:b w:val="1"/>
                <w:bCs w:val="1"/>
                <w:color w:val="auto"/>
              </w:rPr>
              <w:t>Amount (a)</w:t>
            </w: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Amount (a)</w:t>
            </w:r>
          </w:p>
        </w:tc>
        <w:tc>
          <w:tcPr>
            <w:tcW w:w="3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reported</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281</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0.59</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315</w:t>
            </w:r>
          </w:p>
        </w:tc>
        <w:tc>
          <w:tcPr>
            <w:tcW w:w="5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0.64</w:t>
            </w:r>
          </w:p>
        </w:tc>
        <w:tc>
          <w:tcPr>
            <w:tcW w:w="0" w:type="dxa"/>
            <w:vAlign w:val="bottom"/>
          </w:tcPr>
          <w:p>
            <w:pPr>
              <w:spacing w:after="0"/>
              <w:rPr>
                <w:sz w:val="1"/>
                <w:szCs w:val="1"/>
                <w:color w:val="auto"/>
              </w:rPr>
            </w:pPr>
          </w:p>
        </w:tc>
      </w:tr>
      <w:tr>
        <w:trPr>
          <w:trHeight w:val="432"/>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Adjustments to Net income and Diluted EPS:</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Litigation</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Benefit from income tax related items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 operating costs — changes in risk-free interest rates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Expense from divestitures, asset impairments and unusual items, net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0.01</w:t>
            </w: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7"/>
              </w:rPr>
              <w:t>(0.12)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adjusted (b)</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287</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0.60</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257</w:t>
            </w:r>
          </w:p>
        </w:tc>
        <w:tc>
          <w:tcPr>
            <w:tcW w:w="5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center"/>
              <w:ind w:left="113"/>
              <w:spacing w:after="0"/>
              <w:rPr>
                <w:sz w:val="20"/>
                <w:szCs w:val="20"/>
                <w:color w:val="auto"/>
              </w:rPr>
            </w:pPr>
            <w:r>
              <w:rPr>
                <w:rFonts w:ascii="Arial" w:cs="Arial" w:eastAsia="Arial" w:hAnsi="Arial"/>
                <w:sz w:val="14"/>
                <w:szCs w:val="14"/>
                <w:b w:val="1"/>
                <w:bCs w:val="1"/>
                <w:color w:val="auto"/>
                <w:w w:val="93"/>
              </w:rPr>
              <w:t>Year Ended</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4"/>
          </w:tcPr>
          <w:p>
            <w:pPr>
              <w:jc w:val="center"/>
              <w:ind w:left="53"/>
              <w:spacing w:after="0"/>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113"/>
              <w:spacing w:after="0"/>
              <w:rPr>
                <w:sz w:val="20"/>
                <w:szCs w:val="20"/>
                <w:color w:val="auto"/>
              </w:rPr>
            </w:pPr>
            <w:r>
              <w:rPr>
                <w:rFonts w:ascii="Arial" w:cs="Arial" w:eastAsia="Arial" w:hAnsi="Arial"/>
                <w:sz w:val="14"/>
                <w:szCs w:val="14"/>
                <w:b w:val="1"/>
                <w:bCs w:val="1"/>
                <w:color w:val="auto"/>
                <w:w w:val="91"/>
              </w:rPr>
              <w:t>December 31, 2010</w:t>
            </w:r>
          </w:p>
        </w:tc>
        <w:tc>
          <w:tcPr>
            <w:tcW w:w="3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53"/>
              <w:spacing w:after="0"/>
              <w:rPr>
                <w:sz w:val="20"/>
                <w:szCs w:val="20"/>
                <w:color w:val="auto"/>
              </w:rPr>
            </w:pPr>
            <w:r>
              <w:rPr>
                <w:rFonts w:ascii="Arial" w:cs="Arial" w:eastAsia="Arial" w:hAnsi="Arial"/>
                <w:sz w:val="14"/>
                <w:szCs w:val="14"/>
                <w:b w:val="1"/>
                <w:bCs w:val="1"/>
                <w:color w:val="auto"/>
                <w:w w:val="91"/>
              </w:rPr>
              <w:t>December 31, 2009</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60" w:type="dxa"/>
            <w:vAlign w:val="bottom"/>
            <w:gridSpan w:val="3"/>
          </w:tcPr>
          <w:p>
            <w:pPr>
              <w:jc w:val="right"/>
              <w:ind w:right="740"/>
              <w:spacing w:after="0" w:line="119" w:lineRule="exact"/>
              <w:rPr>
                <w:sz w:val="20"/>
                <w:szCs w:val="20"/>
                <w:color w:val="auto"/>
              </w:rPr>
            </w:pPr>
            <w:r>
              <w:rPr>
                <w:rFonts w:ascii="Arial" w:cs="Arial" w:eastAsia="Arial" w:hAnsi="Arial"/>
                <w:sz w:val="13"/>
                <w:szCs w:val="13"/>
                <w:b w:val="1"/>
                <w:bCs w:val="1"/>
                <w:color w:val="auto"/>
              </w:rPr>
              <w:t>After-tax</w:t>
            </w: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Per Share</w:t>
            </w:r>
          </w:p>
        </w:tc>
        <w:tc>
          <w:tcPr>
            <w:tcW w:w="680" w:type="dxa"/>
            <w:vAlign w:val="bottom"/>
          </w:tcPr>
          <w:p>
            <w:pPr>
              <w:spacing w:after="0"/>
              <w:rPr>
                <w:sz w:val="10"/>
                <w:szCs w:val="10"/>
                <w:color w:val="auto"/>
              </w:rPr>
            </w:pPr>
          </w:p>
        </w:tc>
        <w:tc>
          <w:tcPr>
            <w:tcW w:w="1060" w:type="dxa"/>
            <w:vAlign w:val="bottom"/>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rPr>
              <w:t>After-tax</w:t>
            </w:r>
          </w:p>
        </w:tc>
        <w:tc>
          <w:tcPr>
            <w:tcW w:w="32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Net income and Diluted Earnings Per Share</w:t>
            </w:r>
          </w:p>
        </w:tc>
        <w:tc>
          <w:tcPr>
            <w:tcW w:w="1740" w:type="dxa"/>
            <w:vAlign w:val="bottom"/>
            <w:gridSpan w:val="4"/>
          </w:tcPr>
          <w:p>
            <w:pPr>
              <w:ind w:left="380"/>
              <w:spacing w:after="0"/>
              <w:rPr>
                <w:sz w:val="20"/>
                <w:szCs w:val="20"/>
                <w:color w:val="auto"/>
              </w:rPr>
            </w:pPr>
            <w:r>
              <w:rPr>
                <w:rFonts w:ascii="Arial" w:cs="Arial" w:eastAsia="Arial" w:hAnsi="Arial"/>
                <w:sz w:val="14"/>
                <w:szCs w:val="14"/>
                <w:b w:val="1"/>
                <w:bCs w:val="1"/>
                <w:color w:val="auto"/>
              </w:rPr>
              <w:t>Amount (a)</w:t>
            </w: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Amount (a)</w:t>
            </w:r>
          </w:p>
        </w:tc>
        <w:tc>
          <w:tcPr>
            <w:tcW w:w="3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reported</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953</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1.98</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994</w:t>
            </w:r>
          </w:p>
        </w:tc>
        <w:tc>
          <w:tcPr>
            <w:tcW w:w="5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2.01</w:t>
            </w:r>
          </w:p>
        </w:tc>
        <w:tc>
          <w:tcPr>
            <w:tcW w:w="0" w:type="dxa"/>
            <w:vAlign w:val="bottom"/>
          </w:tcPr>
          <w:p>
            <w:pPr>
              <w:spacing w:after="0"/>
              <w:rPr>
                <w:sz w:val="1"/>
                <w:szCs w:val="1"/>
                <w:color w:val="auto"/>
              </w:rPr>
            </w:pPr>
          </w:p>
        </w:tc>
      </w:tr>
      <w:tr>
        <w:trPr>
          <w:trHeight w:val="432"/>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Adjustments to Net income and Diluted EPS:</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4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w w:val="94"/>
              </w:rPr>
              <w:t>(Income) expense from divestitures, asset impairments and unusual items, net</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(c)</w:t>
            </w: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Tax items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Landfill operating costs </w:t>
            </w:r>
            <w:r>
              <w:rPr>
                <w:rFonts w:ascii="Arial" w:cs="Arial" w:eastAsia="Arial" w:hAnsi="Arial"/>
                <w:sz w:val="18"/>
                <w:szCs w:val="18"/>
                <w:b w:val="1"/>
                <w:bCs w:val="1"/>
                <w:color w:val="auto"/>
              </w:rPr>
              <w:t>(d)</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Litigation</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Multiemployer pension withdrawal costs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Labor disruptions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vMerge w:val="restart"/>
          </w:tcPr>
          <w:p>
            <w:pPr>
              <w:jc w:val="right"/>
              <w:ind w:right="680"/>
              <w:spacing w:after="0"/>
              <w:rPr>
                <w:sz w:val="20"/>
                <w:szCs w:val="20"/>
                <w:color w:val="auto"/>
              </w:rPr>
            </w:pPr>
            <w:r>
              <w:rPr>
                <w:rFonts w:ascii="Arial" w:cs="Arial" w:eastAsia="Arial" w:hAnsi="Arial"/>
                <w:sz w:val="18"/>
                <w:szCs w:val="18"/>
                <w:b w:val="1"/>
                <w:bCs w:val="1"/>
                <w:color w:val="auto"/>
              </w:rPr>
              <w:t>0.11</w:t>
            </w: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w w:val="97"/>
              </w:rPr>
              <w:t>(0.01)</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6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adjusted</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1,011</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2.09</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986</w:t>
            </w:r>
          </w:p>
        </w:tc>
        <w:tc>
          <w:tcPr>
            <w:tcW w:w="5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4"/>
          </w:tcPr>
          <w:p>
            <w:pPr>
              <w:jc w:val="right"/>
              <w:ind w:right="130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14"/>
                <w:szCs w:val="14"/>
                <w:color w:val="auto"/>
              </w:rPr>
            </w:pPr>
          </w:p>
        </w:tc>
        <w:tc>
          <w:tcPr>
            <w:tcW w:w="20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December 31, 2010</w:t>
            </w:r>
          </w:p>
        </w:tc>
        <w:tc>
          <w:tcPr>
            <w:tcW w:w="180" w:type="dxa"/>
            <w:vAlign w:val="bottom"/>
          </w:tcPr>
          <w:p>
            <w:pPr>
              <w:spacing w:after="0"/>
              <w:rPr>
                <w:sz w:val="14"/>
                <w:szCs w:val="14"/>
                <w:color w:val="auto"/>
              </w:rPr>
            </w:pPr>
          </w:p>
        </w:tc>
        <w:tc>
          <w:tcPr>
            <w:tcW w:w="20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As a % of</w:t>
            </w:r>
          </w:p>
        </w:tc>
        <w:tc>
          <w:tcPr>
            <w:tcW w:w="7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As a %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Income from Operations as a percent of Revenues</w:t>
            </w:r>
          </w:p>
        </w:tc>
        <w:tc>
          <w:tcPr>
            <w:tcW w:w="64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Revenues</w:t>
            </w:r>
          </w:p>
        </w:tc>
        <w:tc>
          <w:tcPr>
            <w:tcW w:w="76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Revenues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8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3,187</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3,006</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 as reported (e)</w:t>
            </w:r>
          </w:p>
        </w:tc>
        <w:tc>
          <w:tcPr>
            <w:tcW w:w="82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574</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18.0%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456</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Income from Operations: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Litigation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 operating costs — changes in risk-free interest rates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Expense from divestitures, asset impairments and unusual items, net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 as adjusted (f)</w:t>
            </w:r>
          </w:p>
        </w:tc>
        <w:tc>
          <w:tcPr>
            <w:tcW w:w="8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593</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493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60" w:hanging="452"/>
        <w:spacing w:after="0" w:line="264" w:lineRule="auto"/>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Please see the reconciliation of “Adjusted effective tax rate” for the tax expense associated with each of the after-tax adjustments to net income and diluted EPS in the fourth quarter of 2010 and 2009 and “Adjusted tax expense reconciliation” for the tax expense associated with each of the after-tax adjustments to net income and diluted EPS for the full year 2010 and 2009.</w:t>
      </w:r>
    </w:p>
    <w:p>
      <w:pPr>
        <w:spacing w:after="0" w:line="32" w:lineRule="exact"/>
        <w:rPr>
          <w:rFonts w:ascii="Arial" w:cs="Arial" w:eastAsia="Arial" w:hAnsi="Arial"/>
          <w:sz w:val="18"/>
          <w:szCs w:val="18"/>
          <w:b w:val="1"/>
          <w:b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Increase of over 15% in diluted EPS, as adjusted.</w:t>
      </w:r>
    </w:p>
    <w:p>
      <w:pPr>
        <w:spacing w:after="0" w:line="76" w:lineRule="exact"/>
        <w:rPr>
          <w:rFonts w:ascii="Arial" w:cs="Arial" w:eastAsia="Arial" w:hAnsi="Arial"/>
          <w:sz w:val="18"/>
          <w:szCs w:val="18"/>
          <w:b w:val="1"/>
          <w:bCs w:val="1"/>
          <w:color w:val="auto"/>
        </w:rPr>
      </w:pPr>
    </w:p>
    <w:p>
      <w:pPr>
        <w:ind w:left="460" w:right="240" w:hanging="452"/>
        <w:spacing w:after="0" w:line="264" w:lineRule="auto"/>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Adjustment in 2010 included an after-tax benefit of $48 million associated with a litigation settlement in the second quarter. Adjustments in 2009 included a reduction in net income of $30 million associated with the abandonment of a new waste and recycling revenue management system in the first quarter.</w:t>
      </w:r>
    </w:p>
    <w:p>
      <w:pPr>
        <w:spacing w:after="0" w:line="32" w:lineRule="exact"/>
        <w:rPr>
          <w:rFonts w:ascii="Arial" w:cs="Arial" w:eastAsia="Arial" w:hAnsi="Arial"/>
          <w:sz w:val="18"/>
          <w:szCs w:val="18"/>
          <w:b w:val="1"/>
          <w:bCs w:val="1"/>
          <w:color w:val="auto"/>
        </w:rPr>
      </w:pPr>
    </w:p>
    <w:p>
      <w:pPr>
        <w:ind w:left="460" w:right="180" w:hanging="452"/>
        <w:spacing w:after="0" w:line="264" w:lineRule="auto"/>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Adjustments in 2010 included after-tax charges aggregating $37 million due to increases in environmental remediation reserves and closure and post-closure costs offset by after-tax benefit aggregating $3 million due to the changes in ten-year Treasury rates, which are used to discount remediation reserves.</w:t>
      </w:r>
    </w:p>
    <w:p>
      <w:pPr>
        <w:spacing w:after="0" w:line="32" w:lineRule="exact"/>
        <w:rPr>
          <w:rFonts w:ascii="Arial" w:cs="Arial" w:eastAsia="Arial" w:hAnsi="Arial"/>
          <w:sz w:val="18"/>
          <w:szCs w:val="18"/>
          <w:b w:val="1"/>
          <w:b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Improvement in income from operations of 280 basis points as a percent of revenues, as reported.</w:t>
      </w:r>
    </w:p>
    <w:p>
      <w:pPr>
        <w:spacing w:after="0" w:line="76" w:lineRule="exact"/>
        <w:rPr>
          <w:rFonts w:ascii="Arial" w:cs="Arial" w:eastAsia="Arial" w:hAnsi="Arial"/>
          <w:sz w:val="18"/>
          <w:szCs w:val="18"/>
          <w:b w:val="1"/>
          <w:b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Improvement in income from operations of 220 basis points as a percent of revenues, as adjusted.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572"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Adjusted Operating expenses as a percent of Revenues</w:t>
            </w:r>
          </w:p>
        </w:tc>
        <w:tc>
          <w:tcPr>
            <w:tcW w:w="3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w w:val="97"/>
              </w:rPr>
              <w:t>Quarters Ended December 31,</w:t>
            </w:r>
          </w:p>
        </w:tc>
        <w:tc>
          <w:tcPr>
            <w:tcW w:w="0" w:type="dxa"/>
            <w:vAlign w:val="bottom"/>
          </w:tcPr>
          <w:p>
            <w:pPr>
              <w:spacing w:after="0"/>
              <w:rPr>
                <w:sz w:val="1"/>
                <w:szCs w:val="1"/>
                <w:color w:val="auto"/>
              </w:rPr>
            </w:pPr>
          </w:p>
        </w:tc>
      </w:tr>
      <w:tr>
        <w:trPr>
          <w:trHeight w:val="142"/>
        </w:trPr>
        <w:tc>
          <w:tcPr>
            <w:tcW w:w="8700" w:type="dxa"/>
            <w:vAlign w:val="bottom"/>
            <w:gridSpan w:val="2"/>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Operating revenues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4"/>
              <w:spacing w:after="0"/>
              <w:rPr>
                <w:sz w:val="20"/>
                <w:szCs w:val="20"/>
                <w:color w:val="auto"/>
              </w:rPr>
            </w:pPr>
            <w:r>
              <w:rPr>
                <w:rFonts w:ascii="Arial" w:cs="Arial" w:eastAsia="Arial" w:hAnsi="Arial"/>
                <w:sz w:val="18"/>
                <w:szCs w:val="18"/>
                <w:color w:val="auto"/>
                <w:w w:val="88"/>
              </w:rPr>
              <w:t>3,187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3,006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8"/>
              </w:rPr>
              <w:t>1,941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4"/>
              </w:rPr>
              <w:t>1,874</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 as a percent of Revenues</w:t>
            </w:r>
          </w:p>
        </w:tc>
        <w:tc>
          <w:tcPr>
            <w:tcW w:w="320" w:type="dxa"/>
            <w:vAlign w:val="bottom"/>
          </w:tcPr>
          <w:p>
            <w:pPr>
              <w:spacing w:after="0"/>
              <w:rPr>
                <w:sz w:val="24"/>
                <w:szCs w:val="24"/>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b w:val="1"/>
                <w:bCs w:val="1"/>
                <w:color w:val="auto"/>
              </w:rPr>
              <w:t>60.9%</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b w:val="1"/>
                <w:bCs w:val="1"/>
                <w:color w:val="auto"/>
              </w:rPr>
              <w:t>62.3%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Operating revenues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18"/>
                <w:szCs w:val="18"/>
                <w:b w:val="1"/>
                <w:bCs w:val="1"/>
                <w:color w:val="auto"/>
              </w:rPr>
              <w:t>(g)</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As adjusted:</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revenues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8"/>
              </w:rPr>
              <w:t>3,187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4"/>
              </w:rPr>
              <w:t>3,006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18"/>
                <w:szCs w:val="18"/>
                <w:b w:val="1"/>
                <w:bCs w:val="1"/>
                <w:color w:val="auto"/>
              </w:rPr>
              <w:t>(h)</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4"/>
              <w:spacing w:after="0"/>
              <w:rPr>
                <w:sz w:val="20"/>
                <w:szCs w:val="20"/>
                <w:color w:val="auto"/>
              </w:rPr>
            </w:pPr>
            <w:r>
              <w:rPr>
                <w:rFonts w:ascii="Arial" w:cs="Arial" w:eastAsia="Arial" w:hAnsi="Arial"/>
                <w:sz w:val="18"/>
                <w:szCs w:val="18"/>
                <w:color w:val="auto"/>
                <w:w w:val="88"/>
              </w:rPr>
              <w:t>1,951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1,874</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expenses as a percent of Revenues (h)</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61.2%</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62.3%</w:t>
            </w:r>
          </w:p>
        </w:tc>
        <w:tc>
          <w:tcPr>
            <w:tcW w:w="0" w:type="dxa"/>
            <w:vAlign w:val="bottom"/>
          </w:tcPr>
          <w:p>
            <w:pPr>
              <w:spacing w:after="0"/>
              <w:rPr>
                <w:sz w:val="1"/>
                <w:szCs w:val="1"/>
                <w:color w:val="auto"/>
              </w:rPr>
            </w:pPr>
          </w:p>
        </w:tc>
      </w:tr>
      <w:tr>
        <w:trPr>
          <w:trHeight w:val="365"/>
        </w:trPr>
        <w:tc>
          <w:tcPr>
            <w:tcW w:w="87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Adjusted Selling, general and administrative expenses as a percent of Revenues</w:t>
            </w:r>
          </w:p>
        </w:tc>
        <w:tc>
          <w:tcPr>
            <w:tcW w:w="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w w:val="97"/>
              </w:rPr>
              <w:t>Quarters Ended December 31,</w:t>
            </w:r>
          </w:p>
        </w:tc>
        <w:tc>
          <w:tcPr>
            <w:tcW w:w="0" w:type="dxa"/>
            <w:vAlign w:val="bottom"/>
          </w:tcPr>
          <w:p>
            <w:pPr>
              <w:spacing w:after="0"/>
              <w:rPr>
                <w:sz w:val="1"/>
                <w:szCs w:val="1"/>
                <w:color w:val="auto"/>
              </w:rPr>
            </w:pPr>
          </w:p>
        </w:tc>
      </w:tr>
      <w:tr>
        <w:trPr>
          <w:trHeight w:val="142"/>
        </w:trPr>
        <w:tc>
          <w:tcPr>
            <w:tcW w:w="8700" w:type="dxa"/>
            <w:vAlign w:val="bottom"/>
            <w:gridSpan w:val="2"/>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Operating revenues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4"/>
              <w:spacing w:after="0"/>
              <w:rPr>
                <w:sz w:val="20"/>
                <w:szCs w:val="20"/>
                <w:color w:val="auto"/>
              </w:rPr>
            </w:pPr>
            <w:r>
              <w:rPr>
                <w:rFonts w:ascii="Arial" w:cs="Arial" w:eastAsia="Arial" w:hAnsi="Arial"/>
                <w:sz w:val="18"/>
                <w:szCs w:val="18"/>
                <w:color w:val="auto"/>
                <w:w w:val="88"/>
              </w:rPr>
              <w:t>3,187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3,006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396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expenses as a percent of Revenues</w:t>
            </w:r>
          </w:p>
        </w:tc>
        <w:tc>
          <w:tcPr>
            <w:tcW w:w="320" w:type="dxa"/>
            <w:vAlign w:val="bottom"/>
          </w:tcPr>
          <w:p>
            <w:pPr>
              <w:spacing w:after="0"/>
              <w:rPr>
                <w:sz w:val="20"/>
                <w:szCs w:val="20"/>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b w:val="1"/>
                <w:bCs w:val="1"/>
                <w:color w:val="auto"/>
              </w:rPr>
              <w:t>12.4%</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Operating revenues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 expense — litigation</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As adjusted:</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revenues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8"/>
              </w:rPr>
              <w:t>3,187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4"/>
              </w:rPr>
              <w:t>3,006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4"/>
              <w:spacing w:after="0"/>
              <w:rPr>
                <w:sz w:val="20"/>
                <w:szCs w:val="20"/>
                <w:color w:val="auto"/>
              </w:rPr>
            </w:pPr>
            <w:r>
              <w:rPr>
                <w:rFonts w:ascii="Arial" w:cs="Arial" w:eastAsia="Arial" w:hAnsi="Arial"/>
                <w:sz w:val="18"/>
                <w:szCs w:val="18"/>
                <w:color w:val="auto"/>
              </w:rPr>
              <w:t>367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Selling, general and administrative expenses as a percent of Revenues (i)</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11.5%</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Adjustments in 2010 are primarily due to higher ten-year Treasury rates, which are used to discount remediation reserves.</w:t>
      </w:r>
    </w:p>
    <w:p>
      <w:pPr>
        <w:spacing w:after="0" w:line="76" w:lineRule="exact"/>
        <w:rPr>
          <w:rFonts w:ascii="Arial" w:cs="Arial" w:eastAsia="Arial" w:hAnsi="Arial"/>
          <w:sz w:val="18"/>
          <w:szCs w:val="18"/>
          <w:b w:val="1"/>
          <w:bCs w:val="1"/>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Increase of $77 million in operating expense, but 110 basis points improvement as a percent of revenues, as adjusted.</w:t>
      </w:r>
    </w:p>
    <w:p>
      <w:pPr>
        <w:spacing w:after="0" w:line="76" w:lineRule="exact"/>
        <w:rPr>
          <w:rFonts w:ascii="Arial" w:cs="Arial" w:eastAsia="Arial" w:hAnsi="Arial"/>
          <w:sz w:val="18"/>
          <w:szCs w:val="18"/>
          <w:b w:val="1"/>
          <w:bCs w:val="1"/>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Improvement in selling, general and administrative expense of 60 basis points as a percent of revenues, as adjusted.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5"/>
          </w:tcPr>
          <w:p>
            <w:pPr>
              <w:jc w:val="center"/>
              <w:ind w:left="316"/>
              <w:spacing w:after="0"/>
              <w:rPr>
                <w:sz w:val="20"/>
                <w:szCs w:val="20"/>
                <w:color w:val="auto"/>
              </w:rPr>
            </w:pPr>
            <w:r>
              <w:rPr>
                <w:rFonts w:ascii="Arial" w:cs="Arial" w:eastAsia="Arial" w:hAnsi="Arial"/>
                <w:sz w:val="14"/>
                <w:szCs w:val="14"/>
                <w:b w:val="1"/>
                <w:bCs w:val="1"/>
                <w:color w:val="auto"/>
                <w:w w:val="96"/>
              </w:rPr>
              <w:t>Quarter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 2010</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1"/>
              </w:rPr>
              <w:t>December 31, 2009</w:t>
            </w:r>
          </w:p>
        </w:tc>
      </w:tr>
      <w:tr>
        <w:trPr>
          <w:trHeight w:val="119"/>
        </w:trPr>
        <w:tc>
          <w:tcPr>
            <w:tcW w:w="5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w w:val="99"/>
              </w:rPr>
              <w:t>Pre-tax</w:t>
            </w: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right"/>
              <w:ind w:right="900"/>
              <w:spacing w:after="0" w:line="119" w:lineRule="exact"/>
              <w:rPr>
                <w:sz w:val="20"/>
                <w:szCs w:val="20"/>
                <w:color w:val="auto"/>
              </w:rPr>
            </w:pPr>
            <w:r>
              <w:rPr>
                <w:rFonts w:ascii="Arial" w:cs="Arial" w:eastAsia="Arial" w:hAnsi="Arial"/>
                <w:sz w:val="13"/>
                <w:szCs w:val="13"/>
                <w:b w:val="1"/>
                <w:bCs w:val="1"/>
                <w:color w:val="auto"/>
              </w:rPr>
              <w:t>Tax</w:t>
            </w:r>
          </w:p>
        </w:tc>
        <w:tc>
          <w:tcPr>
            <w:tcW w:w="72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Effective</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rPr>
              <w:t>Pre-tax</w:t>
            </w:r>
          </w:p>
        </w:tc>
        <w:tc>
          <w:tcPr>
            <w:tcW w:w="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92"/>
              <w:spacing w:after="0" w:line="119" w:lineRule="exact"/>
              <w:rPr>
                <w:sz w:val="20"/>
                <w:szCs w:val="20"/>
                <w:color w:val="auto"/>
              </w:rPr>
            </w:pPr>
            <w:r>
              <w:rPr>
                <w:rFonts w:ascii="Arial" w:cs="Arial" w:eastAsia="Arial" w:hAnsi="Arial"/>
                <w:sz w:val="13"/>
                <w:szCs w:val="13"/>
                <w:b w:val="1"/>
                <w:bCs w:val="1"/>
                <w:color w:val="auto"/>
                <w:w w:val="97"/>
              </w:rPr>
              <w:t>Tax</w:t>
            </w:r>
          </w:p>
        </w:tc>
        <w:tc>
          <w:tcPr>
            <w:tcW w:w="100" w:type="dxa"/>
            <w:vAlign w:val="bottom"/>
          </w:tcPr>
          <w:p>
            <w:pPr>
              <w:spacing w:after="0"/>
              <w:rPr>
                <w:sz w:val="10"/>
                <w:szCs w:val="10"/>
                <w:color w:val="auto"/>
              </w:rPr>
            </w:pPr>
          </w:p>
        </w:tc>
      </w:tr>
      <w:tr>
        <w:trPr>
          <w:trHeight w:val="171"/>
        </w:trPr>
        <w:tc>
          <w:tcPr>
            <w:tcW w:w="5100" w:type="dxa"/>
            <w:vAlign w:val="bottom"/>
          </w:tcPr>
          <w:p>
            <w:pPr>
              <w:spacing w:after="0"/>
              <w:rPr>
                <w:sz w:val="20"/>
                <w:szCs w:val="20"/>
                <w:color w:val="auto"/>
              </w:rPr>
            </w:pPr>
            <w:r>
              <w:rPr>
                <w:rFonts w:ascii="Arial" w:cs="Arial" w:eastAsia="Arial" w:hAnsi="Arial"/>
                <w:sz w:val="14"/>
                <w:szCs w:val="14"/>
                <w:b w:val="1"/>
                <w:bCs w:val="1"/>
                <w:i w:val="1"/>
                <w:iCs w:val="1"/>
                <w:color w:val="auto"/>
              </w:rPr>
              <w:t>Adjusted effective tax rate</w:t>
            </w:r>
          </w:p>
        </w:tc>
        <w:tc>
          <w:tcPr>
            <w:tcW w:w="100" w:type="dxa"/>
            <w:vAlign w:val="bottom"/>
          </w:tcPr>
          <w:p>
            <w:pPr>
              <w:spacing w:after="0"/>
              <w:rPr>
                <w:sz w:val="14"/>
                <w:szCs w:val="14"/>
                <w:color w:val="auto"/>
              </w:rPr>
            </w:pPr>
          </w:p>
        </w:tc>
        <w:tc>
          <w:tcPr>
            <w:tcW w:w="58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Income</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Expense</w:t>
            </w:r>
          </w:p>
        </w:tc>
        <w:tc>
          <w:tcPr>
            <w:tcW w:w="680" w:type="dxa"/>
            <w:vAlign w:val="bottom"/>
            <w:gridSpan w:val="2"/>
          </w:tcPr>
          <w:p>
            <w:pPr>
              <w:spacing w:after="0"/>
              <w:rPr>
                <w:sz w:val="14"/>
                <w:szCs w:val="14"/>
                <w:color w:val="auto"/>
              </w:rPr>
            </w:pPr>
          </w:p>
        </w:tc>
        <w:tc>
          <w:tcPr>
            <w:tcW w:w="14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95"/>
              </w:rPr>
              <w:t>Tax Rate (j)</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3"/>
              </w:rPr>
              <w:t>Income</w:t>
            </w:r>
          </w:p>
        </w:tc>
        <w:tc>
          <w:tcPr>
            <w:tcW w:w="3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Expense</w:t>
            </w:r>
          </w:p>
        </w:tc>
      </w:tr>
      <w:tr>
        <w:trPr>
          <w:trHeight w:val="20"/>
        </w:trPr>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c>
          <w:tcPr>
            <w:tcW w:w="2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160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35.1%</w:t>
            </w:r>
          </w:p>
        </w:tc>
        <w:tc>
          <w:tcPr>
            <w:tcW w:w="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347</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w:t>
            </w:r>
          </w:p>
        </w:tc>
      </w:tr>
      <w:tr>
        <w:trPr>
          <w:trHeight w:val="432"/>
        </w:trPr>
        <w:tc>
          <w:tcPr>
            <w:tcW w:w="5100" w:type="dxa"/>
            <w:vAlign w:val="bottom"/>
          </w:tcPr>
          <w:p>
            <w:pPr>
              <w:spacing w:after="0"/>
              <w:rPr>
                <w:sz w:val="20"/>
                <w:szCs w:val="20"/>
                <w:color w:val="auto"/>
              </w:rPr>
            </w:pPr>
            <w:r>
              <w:rPr>
                <w:rFonts w:ascii="Arial" w:cs="Arial" w:eastAsia="Arial" w:hAnsi="Arial"/>
                <w:sz w:val="18"/>
                <w:szCs w:val="18"/>
                <w:b w:val="1"/>
                <w:bCs w:val="1"/>
                <w:color w:val="auto"/>
              </w:rPr>
              <w:t>Adjustments to Tax Expense:</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Benefit from income tax related items</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202"/>
        </w:trPr>
        <w:tc>
          <w:tcPr>
            <w:tcW w:w="51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Landfill operating costs — changes in risk-free interest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rates</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100" w:type="dxa"/>
            <w:vAlign w:val="bottom"/>
          </w:tcPr>
          <w:p>
            <w:pPr>
              <w:ind w:left="220"/>
              <w:spacing w:after="0" w:line="201" w:lineRule="exact"/>
              <w:rPr>
                <w:sz w:val="20"/>
                <w:szCs w:val="20"/>
                <w:color w:val="auto"/>
              </w:rPr>
            </w:pPr>
            <w:r>
              <w:rPr>
                <w:rFonts w:ascii="Arial" w:cs="Arial" w:eastAsia="Arial" w:hAnsi="Arial"/>
                <w:sz w:val="18"/>
                <w:szCs w:val="18"/>
                <w:color w:val="auto"/>
              </w:rPr>
              <w:t>Expense from divestitures, asset impairments and unusual</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100" w:type="dxa"/>
            <w:vAlign w:val="bottom"/>
          </w:tcPr>
          <w:p>
            <w:pPr>
              <w:ind w:left="420"/>
              <w:spacing w:after="0"/>
              <w:rPr>
                <w:sz w:val="20"/>
                <w:szCs w:val="20"/>
                <w:color w:val="auto"/>
              </w:rPr>
            </w:pPr>
            <w:r>
              <w:rPr>
                <w:rFonts w:ascii="Arial" w:cs="Arial" w:eastAsia="Arial" w:hAnsi="Arial"/>
                <w:sz w:val="18"/>
                <w:szCs w:val="18"/>
                <w:color w:val="auto"/>
              </w:rPr>
              <w:t>items, net</w:t>
            </w: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5100" w:type="dxa"/>
            <w:vAlign w:val="bottom"/>
          </w:tcPr>
          <w:p>
            <w:pPr>
              <w:spacing w:after="0"/>
              <w:rPr>
                <w:sz w:val="20"/>
                <w:szCs w:val="20"/>
                <w:color w:val="auto"/>
              </w:rPr>
            </w:pPr>
            <w:r>
              <w:rPr>
                <w:rFonts w:ascii="Arial" w:cs="Arial" w:eastAsia="Arial" w:hAnsi="Arial"/>
                <w:sz w:val="18"/>
                <w:szCs w:val="18"/>
                <w:b w:val="1"/>
                <w:bCs w:val="1"/>
                <w:color w:val="auto"/>
              </w:rPr>
              <w:t>As adjusted amounts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36.6%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gridSpan w:val="4"/>
          </w:tcPr>
          <w:p>
            <w:pPr>
              <w:jc w:val="right"/>
              <w:ind w:right="147"/>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gridSpan w:val="5"/>
          </w:tcPr>
          <w:p>
            <w:pPr>
              <w:jc w:val="center"/>
              <w:ind w:left="336"/>
              <w:spacing w:after="0"/>
              <w:rPr>
                <w:sz w:val="20"/>
                <w:szCs w:val="20"/>
                <w:color w:val="auto"/>
              </w:rPr>
            </w:pPr>
            <w:r>
              <w:rPr>
                <w:rFonts w:ascii="Arial" w:cs="Arial" w:eastAsia="Arial" w:hAnsi="Arial"/>
                <w:sz w:val="14"/>
                <w:szCs w:val="14"/>
                <w:b w:val="1"/>
                <w:bCs w:val="1"/>
                <w:color w:val="auto"/>
                <w:w w:val="93"/>
              </w:rPr>
              <w:t>Year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spacing w:after="0"/>
              <w:rPr>
                <w:sz w:val="20"/>
                <w:szCs w:val="20"/>
                <w:color w:val="auto"/>
              </w:rPr>
            </w:pPr>
            <w:r>
              <w:rPr>
                <w:rFonts w:ascii="Arial" w:cs="Arial" w:eastAsia="Arial" w:hAnsi="Arial"/>
                <w:sz w:val="14"/>
                <w:szCs w:val="14"/>
                <w:b w:val="1"/>
                <w:bCs w:val="1"/>
                <w:color w:val="auto"/>
              </w:rPr>
              <w:t>December 31, 2010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1"/>
              </w:rPr>
              <w:t>December 31, 2009</w:t>
            </w:r>
          </w:p>
        </w:tc>
      </w:tr>
      <w:tr>
        <w:trPr>
          <w:trHeight w:val="119"/>
        </w:trPr>
        <w:tc>
          <w:tcPr>
            <w:tcW w:w="5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right"/>
              <w:ind w:right="700"/>
              <w:spacing w:after="0" w:line="119" w:lineRule="exact"/>
              <w:rPr>
                <w:sz w:val="20"/>
                <w:szCs w:val="20"/>
                <w:color w:val="auto"/>
              </w:rPr>
            </w:pPr>
            <w:r>
              <w:rPr>
                <w:rFonts w:ascii="Arial" w:cs="Arial" w:eastAsia="Arial" w:hAnsi="Arial"/>
                <w:sz w:val="13"/>
                <w:szCs w:val="13"/>
                <w:b w:val="1"/>
                <w:bCs w:val="1"/>
                <w:color w:val="auto"/>
                <w:w w:val="99"/>
              </w:rPr>
              <w:t>Pre-tax</w:t>
            </w: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w w:val="89"/>
              </w:rPr>
              <w:t>Tax</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rPr>
              <w:t>Pre-tax</w:t>
            </w:r>
          </w:p>
        </w:tc>
        <w:tc>
          <w:tcPr>
            <w:tcW w:w="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92"/>
              <w:spacing w:after="0" w:line="119" w:lineRule="exact"/>
              <w:rPr>
                <w:sz w:val="20"/>
                <w:szCs w:val="20"/>
                <w:color w:val="auto"/>
              </w:rPr>
            </w:pPr>
            <w:r>
              <w:rPr>
                <w:rFonts w:ascii="Arial" w:cs="Arial" w:eastAsia="Arial" w:hAnsi="Arial"/>
                <w:sz w:val="13"/>
                <w:szCs w:val="13"/>
                <w:b w:val="1"/>
                <w:bCs w:val="1"/>
                <w:color w:val="auto"/>
                <w:w w:val="97"/>
              </w:rPr>
              <w:t>Tax</w:t>
            </w:r>
          </w:p>
        </w:tc>
        <w:tc>
          <w:tcPr>
            <w:tcW w:w="100" w:type="dxa"/>
            <w:vAlign w:val="bottom"/>
          </w:tcPr>
          <w:p>
            <w:pPr>
              <w:spacing w:after="0"/>
              <w:rPr>
                <w:sz w:val="10"/>
                <w:szCs w:val="10"/>
                <w:color w:val="auto"/>
              </w:rPr>
            </w:pPr>
          </w:p>
        </w:tc>
      </w:tr>
      <w:tr>
        <w:trPr>
          <w:trHeight w:val="171"/>
        </w:trPr>
        <w:tc>
          <w:tcPr>
            <w:tcW w:w="5100" w:type="dxa"/>
            <w:vAlign w:val="bottom"/>
          </w:tcPr>
          <w:p>
            <w:pPr>
              <w:spacing w:after="0"/>
              <w:rPr>
                <w:sz w:val="20"/>
                <w:szCs w:val="20"/>
                <w:color w:val="auto"/>
              </w:rPr>
            </w:pPr>
            <w:r>
              <w:rPr>
                <w:rFonts w:ascii="Arial" w:cs="Arial" w:eastAsia="Arial" w:hAnsi="Arial"/>
                <w:sz w:val="14"/>
                <w:szCs w:val="14"/>
                <w:b w:val="1"/>
                <w:bCs w:val="1"/>
                <w:i w:val="1"/>
                <w:iCs w:val="1"/>
                <w:color w:val="auto"/>
              </w:rPr>
              <w:t>Adjusted tax expense reconciliation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w w:val="93"/>
              </w:rPr>
              <w:t>Income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7"/>
              </w:rPr>
              <w:t>Expense</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3"/>
              </w:rPr>
              <w:t>Income</w:t>
            </w:r>
          </w:p>
        </w:tc>
        <w:tc>
          <w:tcPr>
            <w:tcW w:w="36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Expense</w:t>
            </w:r>
          </w:p>
        </w:tc>
        <w:tc>
          <w:tcPr>
            <w:tcW w:w="100" w:type="dxa"/>
            <w:vAlign w:val="bottom"/>
          </w:tcPr>
          <w:p>
            <w:pPr>
              <w:spacing w:after="0"/>
              <w:rPr>
                <w:sz w:val="14"/>
                <w:szCs w:val="14"/>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1,631</w:t>
            </w: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629</w:t>
            </w:r>
          </w:p>
        </w:tc>
        <w:tc>
          <w:tcPr>
            <w:tcW w:w="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1,473</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413</w:t>
            </w:r>
          </w:p>
        </w:tc>
      </w:tr>
      <w:tr>
        <w:trPr>
          <w:trHeight w:val="432"/>
        </w:trPr>
        <w:tc>
          <w:tcPr>
            <w:tcW w:w="5100" w:type="dxa"/>
            <w:vAlign w:val="bottom"/>
          </w:tcPr>
          <w:p>
            <w:pPr>
              <w:spacing w:after="0"/>
              <w:rPr>
                <w:sz w:val="20"/>
                <w:szCs w:val="20"/>
                <w:color w:val="auto"/>
              </w:rPr>
            </w:pPr>
            <w:r>
              <w:rPr>
                <w:rFonts w:ascii="Arial" w:cs="Arial" w:eastAsia="Arial" w:hAnsi="Arial"/>
                <w:sz w:val="18"/>
                <w:szCs w:val="18"/>
                <w:b w:val="1"/>
                <w:bCs w:val="1"/>
                <w:color w:val="auto"/>
              </w:rPr>
              <w:t>Adjustments to Tax Expense:</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93"/>
              </w:rPr>
              <w:t>(Income) expense from divestitures, asset impairments and unusual items, net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Tax items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60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Landfill operating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Litigation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Multiemployer pension withdrawal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Labor disruptions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23"/>
        </w:trPr>
        <w:tc>
          <w:tcPr>
            <w:tcW w:w="5100" w:type="dxa"/>
            <w:vAlign w:val="bottom"/>
          </w:tcPr>
          <w:p>
            <w:pPr>
              <w:spacing w:after="0"/>
              <w:rPr>
                <w:sz w:val="20"/>
                <w:szCs w:val="20"/>
                <w:color w:val="auto"/>
              </w:rPr>
            </w:pPr>
            <w:r>
              <w:rPr>
                <w:rFonts w:ascii="Arial" w:cs="Arial" w:eastAsia="Arial" w:hAnsi="Arial"/>
                <w:sz w:val="18"/>
                <w:szCs w:val="18"/>
                <w:b w:val="1"/>
                <w:bCs w:val="1"/>
                <w:color w:val="auto"/>
              </w:rPr>
              <w:t>As adjusted amounts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1,666</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606</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w:t>
            </w:r>
          </w:p>
        </w:tc>
        <w:tc>
          <w:tcPr>
            <w:tcW w:w="10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100" w:type="dxa"/>
            <w:vAlign w:val="bottom"/>
          </w:tcPr>
          <w:p>
            <w:pPr>
              <w:spacing w:after="0"/>
              <w:rPr>
                <w:sz w:val="20"/>
                <w:szCs w:val="20"/>
                <w:color w:val="auto"/>
              </w:rPr>
            </w:pPr>
            <w:r>
              <w:rPr>
                <w:rFonts w:ascii="Arial" w:cs="Arial" w:eastAsia="Arial" w:hAnsi="Arial"/>
                <w:sz w:val="14"/>
                <w:szCs w:val="14"/>
                <w:b w:val="1"/>
                <w:bCs w:val="1"/>
                <w:i w:val="1"/>
                <w:iCs w:val="1"/>
                <w:color w:val="auto"/>
              </w:rPr>
              <w:t xml:space="preserve">Full Year 2011 Free Cash Flow Reconciliation </w:t>
            </w:r>
            <w:r>
              <w:rPr>
                <w:rFonts w:ascii="Arial" w:cs="Arial" w:eastAsia="Arial" w:hAnsi="Arial"/>
                <w:sz w:val="14"/>
                <w:szCs w:val="14"/>
                <w:b w:val="1"/>
                <w:bCs w:val="1"/>
                <w:color w:val="auto"/>
              </w:rPr>
              <w:t>(k)</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4"/>
              </w:rPr>
              <w:t>Scenario 1</w:t>
            </w:r>
          </w:p>
        </w:tc>
        <w:tc>
          <w:tcPr>
            <w:tcW w:w="36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Scenario 2</w:t>
            </w:r>
          </w:p>
        </w:tc>
        <w:tc>
          <w:tcPr>
            <w:tcW w:w="100" w:type="dxa"/>
            <w:vAlign w:val="bottom"/>
          </w:tcPr>
          <w:p>
            <w:pPr>
              <w:spacing w:after="0"/>
              <w:rPr>
                <w:sz w:val="24"/>
                <w:szCs w:val="24"/>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2,650</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(1,450)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(1,350)</w:t>
            </w:r>
          </w:p>
        </w:tc>
      </w:tr>
      <w:tr>
        <w:trPr>
          <w:trHeight w:val="216"/>
        </w:trPr>
        <w:tc>
          <w:tcPr>
            <w:tcW w:w="664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Proceeds from divestitures of businesses (net of cash divested) and other sales of assets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1,350</w:t>
            </w:r>
          </w:p>
        </w:tc>
        <w:tc>
          <w:tcPr>
            <w:tcW w:w="10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20" w:hanging="452"/>
        <w:spacing w:after="0" w:line="304" w:lineRule="auto"/>
        <w:tabs>
          <w:tab w:leader="none" w:pos="46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The Company calculates its effective tax rate based on actual dollars. Rounding differences occurred when the effective tax rate was calculated using the Pre-tax Income and Tax Expense amounts included in the table above, as these line items have been rounded in millions.</w:t>
      </w:r>
    </w:p>
    <w:p>
      <w:pPr>
        <w:spacing w:after="0" w:line="4" w:lineRule="exact"/>
        <w:rPr>
          <w:rFonts w:ascii="Arial" w:cs="Arial" w:eastAsia="Arial" w:hAnsi="Arial"/>
          <w:sz w:val="17"/>
          <w:szCs w:val="17"/>
          <w:b w:val="1"/>
          <w:bCs w:val="1"/>
          <w:color w:val="auto"/>
        </w:rPr>
      </w:pPr>
    </w:p>
    <w:p>
      <w:pPr>
        <w:ind w:left="460" w:right="160" w:hanging="452"/>
        <w:spacing w:after="0" w:line="277" w:lineRule="auto"/>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reconciliation illustrates two scenarios that show our projected Free Cash Flow range. The amounts used in the reconciliation are subject to many variables, some of which are not under our control and, therefore, are not necessarily indicative of actual results.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7"/>
    </w:lvl>
  </w:abstractNum>
  <w:abstractNum w:abstractNumId="14">
    <w:nsid w:val="1BEFD79F"/>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2019-12-10T08:32:40Z</dcterms:created>
  <dcterms:modified xsi:type="dcterms:W3CDTF">2019-12-10T08:32:40Z</dcterms:modified>
</cp:coreProperties>
</file>