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4"/>
          <w:szCs w:val="24"/>
          <w:color w:val="auto"/>
        </w:rPr>
      </w:pPr>
    </w:p>
    <w:p>
      <w:pPr>
        <w:ind w:left="4440" w:right="4700" w:hanging="4078"/>
        <w:spacing w:after="0" w:line="252" w:lineRule="auto"/>
        <w:rPr>
          <w:sz w:val="20"/>
          <w:szCs w:val="20"/>
          <w:color w:val="auto"/>
        </w:rPr>
      </w:pPr>
      <w:r>
        <w:rPr>
          <w:rFonts w:ascii="Courier New" w:cs="Courier New" w:eastAsia="Courier New" w:hAnsi="Courier New"/>
          <w:sz w:val="14"/>
          <w:szCs w:val="14"/>
          <w:color w:val="auto"/>
        </w:rPr>
        <w:t>As filed with the Securities and Exchange Commission on February 3, 1997 Registration No. 333-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ind w:left="2360"/>
        <w:spacing w:after="0"/>
        <w:tabs>
          <w:tab w:leader="none" w:pos="3900" w:val="left"/>
        </w:tabs>
        <w:rPr>
          <w:sz w:val="20"/>
          <w:szCs w:val="20"/>
          <w:color w:val="auto"/>
        </w:rPr>
      </w:pPr>
      <w:r>
        <w:rPr>
          <w:rFonts w:ascii="Courier New" w:cs="Courier New" w:eastAsia="Courier New" w:hAnsi="Courier New"/>
          <w:sz w:val="14"/>
          <w:szCs w:val="14"/>
          <w:color w:val="auto"/>
        </w:rPr>
        <w:t>WASHINGTON, D.C.</w:t>
        <w:tab/>
        <w:t>20549</w:t>
      </w:r>
    </w:p>
    <w:p>
      <w:pPr>
        <w:spacing w:after="0" w:line="175"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2960"/>
        <w:spacing w:after="0"/>
        <w:rPr>
          <w:sz w:val="20"/>
          <w:szCs w:val="20"/>
          <w:color w:val="auto"/>
        </w:rPr>
      </w:pPr>
      <w:r>
        <w:rPr>
          <w:rFonts w:ascii="Courier New" w:cs="Courier New" w:eastAsia="Courier New" w:hAnsi="Courier New"/>
          <w:sz w:val="14"/>
          <w:szCs w:val="14"/>
          <w:color w:val="auto"/>
        </w:rPr>
        <w:t>FORM S-3</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REGISTRATION STATEMENT</w:t>
      </w:r>
    </w:p>
    <w:p>
      <w:pPr>
        <w:spacing w:after="0" w:line="8"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UNDER</w:t>
      </w:r>
    </w:p>
    <w:p>
      <w:pPr>
        <w:spacing w:after="0" w:line="8"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THE SECURITIES ACT OF 1933</w:t>
      </w:r>
    </w:p>
    <w:p>
      <w:pPr>
        <w:spacing w:after="0" w:line="175"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4340"/>
        <w:spacing w:after="0"/>
        <w:rPr>
          <w:sz w:val="20"/>
          <w:szCs w:val="20"/>
          <w:color w:val="auto"/>
        </w:rPr>
      </w:pPr>
      <w:r>
        <w:rPr>
          <w:rFonts w:ascii="Courier New" w:cs="Courier New" w:eastAsia="Courier New" w:hAnsi="Courier New"/>
          <w:sz w:val="14"/>
          <w:szCs w:val="14"/>
          <w:color w:val="auto"/>
        </w:rPr>
        <w:t>USA WASTE SERVICES, INC.</w:t>
      </w:r>
    </w:p>
    <w:p>
      <w:pPr>
        <w:spacing w:after="0" w:line="8" w:lineRule="exact"/>
        <w:rPr>
          <w:sz w:val="24"/>
          <w:szCs w:val="24"/>
          <w:color w:val="auto"/>
        </w:rPr>
      </w:pPr>
    </w:p>
    <w:p>
      <w:pPr>
        <w:jc w:val="center"/>
        <w:ind w:right="43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1300"/>
          </w:cols>
          <w:pgMar w:left="220" w:top="230" w:right="379" w:bottom="0" w:gutter="0" w:footer="0" w:header="0"/>
        </w:sectPr>
      </w:pPr>
    </w:p>
    <w:p>
      <w:pPr>
        <w:spacing w:after="0" w:line="200" w:lineRule="exact"/>
        <w:rPr>
          <w:sz w:val="24"/>
          <w:szCs w:val="24"/>
          <w:color w:val="auto"/>
        </w:rPr>
      </w:pPr>
    </w:p>
    <w:p>
      <w:pPr>
        <w:spacing w:after="0" w:line="309"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(State or other jurisdiction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73-1309529</w:t>
      </w:r>
    </w:p>
    <w:p>
      <w:pPr>
        <w:spacing w:after="0" w:line="8"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4500" w:space="720"/>
            <w:col w:w="6080"/>
          </w:cols>
          <w:pgMar w:left="220" w:top="230" w:right="379" w:bottom="0" w:gutter="0" w:footer="0" w:header="0"/>
          <w:type w:val="continuous"/>
        </w:sectPr>
      </w:pPr>
    </w:p>
    <w:p>
      <w:pPr>
        <w:spacing w:after="0" w:line="142"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1001 FANNIN STREET</w:t>
      </w:r>
    </w:p>
    <w:p>
      <w:pPr>
        <w:spacing w:after="0" w:line="8"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SUITE 4000</w:t>
      </w:r>
    </w:p>
    <w:p>
      <w:pPr>
        <w:spacing w:after="0" w:line="8" w:lineRule="exact"/>
        <w:rPr>
          <w:sz w:val="24"/>
          <w:szCs w:val="24"/>
          <w:color w:val="auto"/>
        </w:rPr>
      </w:pPr>
    </w:p>
    <w:p>
      <w:pPr>
        <w:ind w:left="2520"/>
        <w:spacing w:after="0"/>
        <w:tabs>
          <w:tab w:leader="none" w:pos="3900" w:val="left"/>
        </w:tabs>
        <w:rPr>
          <w:sz w:val="20"/>
          <w:szCs w:val="20"/>
          <w:color w:val="auto"/>
        </w:rPr>
      </w:pPr>
      <w:r>
        <w:rPr>
          <w:rFonts w:ascii="Courier New" w:cs="Courier New" w:eastAsia="Courier New" w:hAnsi="Courier New"/>
          <w:sz w:val="14"/>
          <w:szCs w:val="14"/>
          <w:color w:val="auto"/>
        </w:rPr>
        <w:t>HOUSTON, TEXAS</w:t>
        <w:tab/>
        <w:t>77002</w:t>
      </w:r>
    </w:p>
    <w:p>
      <w:pPr>
        <w:spacing w:after="0" w:line="8"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(713) 512-6200</w:t>
      </w:r>
    </w:p>
    <w:p>
      <w:pPr>
        <w:spacing w:after="0" w:line="8"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(Address, including zip code, and telephone number,</w:t>
      </w:r>
    </w:p>
    <w:p>
      <w:pPr>
        <w:spacing w:after="0" w:line="8"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including area code, of Registrant's principal executive offices)</w:t>
      </w:r>
    </w:p>
    <w:p>
      <w:pPr>
        <w:sectPr>
          <w:pgSz w:w="11900" w:h="16838" w:orient="portrait"/>
          <w:cols w:equalWidth="0" w:num="1">
            <w:col w:w="11300"/>
          </w:cols>
          <w:pgMar w:left="220" w:top="230" w:right="379" w:bottom="0" w:gutter="0" w:footer="0" w:header="0"/>
          <w:type w:val="continuous"/>
        </w:sectPr>
      </w:pPr>
    </w:p>
    <w:p>
      <w:pPr>
        <w:spacing w:after="0" w:line="175" w:lineRule="exact"/>
        <w:rPr>
          <w:sz w:val="24"/>
          <w:szCs w:val="24"/>
          <w:color w:val="auto"/>
        </w:rPr>
      </w:pPr>
    </w:p>
    <w:p>
      <w:pPr>
        <w:jc w:val="center"/>
        <w:ind w:right="4420"/>
        <w:spacing w:after="0"/>
        <w:rPr>
          <w:sz w:val="20"/>
          <w:szCs w:val="20"/>
          <w:color w:val="auto"/>
        </w:rPr>
      </w:pPr>
      <w:r>
        <w:rPr>
          <w:rFonts w:ascii="Courier New" w:cs="Courier New" w:eastAsia="Courier New" w:hAnsi="Courier New"/>
          <w:sz w:val="14"/>
          <w:szCs w:val="14"/>
          <w:color w:val="auto"/>
        </w:rPr>
        <w:t>GREGORY T. SANGALIS</w:t>
      </w:r>
    </w:p>
    <w:p>
      <w:pPr>
        <w:spacing w:after="0" w:line="8" w:lineRule="exact"/>
        <w:rPr>
          <w:sz w:val="24"/>
          <w:szCs w:val="24"/>
          <w:color w:val="auto"/>
        </w:rPr>
      </w:pPr>
    </w:p>
    <w:p>
      <w:pPr>
        <w:jc w:val="center"/>
        <w:ind w:right="4420"/>
        <w:spacing w:after="0"/>
        <w:rPr>
          <w:sz w:val="20"/>
          <w:szCs w:val="20"/>
          <w:color w:val="auto"/>
        </w:rPr>
      </w:pPr>
      <w:r>
        <w:rPr>
          <w:rFonts w:ascii="Courier New" w:cs="Courier New" w:eastAsia="Courier New" w:hAnsi="Courier New"/>
          <w:sz w:val="14"/>
          <w:szCs w:val="14"/>
          <w:color w:val="auto"/>
        </w:rPr>
        <w:t>VICE PRESIDENT, GENERAL COUNSEL AND SECRETARY</w:t>
      </w:r>
    </w:p>
    <w:p>
      <w:pPr>
        <w:spacing w:after="0" w:line="8" w:lineRule="exact"/>
        <w:rPr>
          <w:sz w:val="24"/>
          <w:szCs w:val="24"/>
          <w:color w:val="auto"/>
        </w:rPr>
      </w:pPr>
    </w:p>
    <w:p>
      <w:pPr>
        <w:jc w:val="center"/>
        <w:ind w:right="4320"/>
        <w:spacing w:after="0"/>
        <w:rPr>
          <w:sz w:val="20"/>
          <w:szCs w:val="20"/>
          <w:color w:val="auto"/>
        </w:rPr>
      </w:pPr>
      <w:r>
        <w:rPr>
          <w:rFonts w:ascii="Courier New" w:cs="Courier New" w:eastAsia="Courier New" w:hAnsi="Courier New"/>
          <w:sz w:val="14"/>
          <w:szCs w:val="14"/>
          <w:color w:val="auto"/>
        </w:rPr>
        <w:t>1001 FANNIN STREET</w:t>
      </w:r>
    </w:p>
    <w:p>
      <w:pPr>
        <w:spacing w:after="0" w:line="8" w:lineRule="exact"/>
        <w:rPr>
          <w:sz w:val="24"/>
          <w:szCs w:val="24"/>
          <w:color w:val="auto"/>
        </w:rPr>
      </w:pPr>
    </w:p>
    <w:p>
      <w:pPr>
        <w:jc w:val="center"/>
        <w:ind w:right="4320"/>
        <w:spacing w:after="0"/>
        <w:rPr>
          <w:sz w:val="20"/>
          <w:szCs w:val="20"/>
          <w:color w:val="auto"/>
        </w:rPr>
      </w:pPr>
      <w:r>
        <w:rPr>
          <w:rFonts w:ascii="Courier New" w:cs="Courier New" w:eastAsia="Courier New" w:hAnsi="Courier New"/>
          <w:sz w:val="14"/>
          <w:szCs w:val="14"/>
          <w:color w:val="auto"/>
        </w:rPr>
        <w:t>SUITE 4000</w:t>
      </w:r>
    </w:p>
    <w:p>
      <w:pPr>
        <w:spacing w:after="0" w:line="8" w:lineRule="exact"/>
        <w:rPr>
          <w:sz w:val="24"/>
          <w:szCs w:val="24"/>
          <w:color w:val="auto"/>
        </w:rPr>
      </w:pPr>
    </w:p>
    <w:p>
      <w:pPr>
        <w:ind w:left="2520"/>
        <w:spacing w:after="0"/>
        <w:tabs>
          <w:tab w:leader="none" w:pos="3900" w:val="left"/>
        </w:tabs>
        <w:rPr>
          <w:sz w:val="20"/>
          <w:szCs w:val="20"/>
          <w:color w:val="auto"/>
        </w:rPr>
      </w:pPr>
      <w:r>
        <w:rPr>
          <w:rFonts w:ascii="Courier New" w:cs="Courier New" w:eastAsia="Courier New" w:hAnsi="Courier New"/>
          <w:sz w:val="14"/>
          <w:szCs w:val="14"/>
          <w:color w:val="auto"/>
        </w:rPr>
        <w:t>HOUSTON, TEXAS</w:t>
        <w:tab/>
        <w:t>77002</w:t>
      </w:r>
    </w:p>
    <w:p>
      <w:pPr>
        <w:spacing w:after="0" w:line="8"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(713) 512-6200</w:t>
      </w:r>
    </w:p>
    <w:p>
      <w:pPr>
        <w:spacing w:after="0" w:line="175"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(Name, address, including zip code, and telephone number,</w:t>
      </w:r>
    </w:p>
    <w:p>
      <w:pPr>
        <w:spacing w:after="0" w:line="8" w:lineRule="exact"/>
        <w:rPr>
          <w:sz w:val="24"/>
          <w:szCs w:val="24"/>
          <w:color w:val="auto"/>
        </w:rPr>
      </w:pPr>
    </w:p>
    <w:p>
      <w:pPr>
        <w:ind w:left="1660"/>
        <w:spacing w:after="0"/>
        <w:rPr>
          <w:sz w:val="20"/>
          <w:szCs w:val="20"/>
          <w:color w:val="auto"/>
        </w:rPr>
      </w:pPr>
      <w:r>
        <w:rPr>
          <w:rFonts w:ascii="Courier New" w:cs="Courier New" w:eastAsia="Courier New" w:hAnsi="Courier New"/>
          <w:sz w:val="14"/>
          <w:szCs w:val="14"/>
          <w:color w:val="auto"/>
        </w:rPr>
        <w:t>including area code, of agent for service)</w:t>
      </w:r>
    </w:p>
    <w:p>
      <w:pPr>
        <w:spacing w:after="0" w:line="175"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Copy to:</w:t>
      </w:r>
    </w:p>
    <w:p>
      <w:pPr>
        <w:sectPr>
          <w:pgSz w:w="11900" w:h="16838" w:orient="portrait"/>
          <w:cols w:equalWidth="0" w:num="1">
            <w:col w:w="11300"/>
          </w:cols>
          <w:pgMar w:left="220" w:top="230" w:right="379" w:bottom="0" w:gutter="0" w:footer="0" w:header="0"/>
          <w:type w:val="continuous"/>
        </w:sectPr>
      </w:pP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ROBERT H. WHILDEN, JR.</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VINSON &amp; ELKINS L.L.P.</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3600 FIRST CITY TOWER</w:t>
      </w:r>
    </w:p>
    <w:p>
      <w:pPr>
        <w:spacing w:after="0" w:line="8" w:lineRule="exact"/>
        <w:rPr>
          <w:sz w:val="24"/>
          <w:szCs w:val="24"/>
          <w:color w:val="auto"/>
        </w:rPr>
      </w:pPr>
    </w:p>
    <w:p>
      <w:pPr>
        <w:ind w:left="260"/>
        <w:spacing w:after="0"/>
        <w:tabs>
          <w:tab w:leader="none" w:pos="1640" w:val="left"/>
        </w:tabs>
        <w:rPr>
          <w:sz w:val="20"/>
          <w:szCs w:val="20"/>
          <w:color w:val="auto"/>
        </w:rPr>
      </w:pPr>
      <w:r>
        <w:rPr>
          <w:rFonts w:ascii="Courier New" w:cs="Courier New" w:eastAsia="Courier New" w:hAnsi="Courier New"/>
          <w:sz w:val="14"/>
          <w:szCs w:val="14"/>
          <w:color w:val="auto"/>
        </w:rPr>
        <w:t>HOUSTON, TEXAS</w:t>
        <w:tab/>
        <w:t>77002-6760</w:t>
      </w:r>
    </w:p>
    <w:p>
      <w:pPr>
        <w:spacing w:after="0" w:line="8"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(713) 758-2320</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THOMAS JAMES MURPHY, P.C.</w:t>
      </w:r>
    </w:p>
    <w:p>
      <w:pPr>
        <w:spacing w:after="0" w:line="8"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MCDERMOTT, WILL &amp; EMERY</w:t>
      </w:r>
    </w:p>
    <w:p>
      <w:pPr>
        <w:spacing w:after="0" w:line="8"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227 WEST MONROE STREET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CHICAGO, ILLINOIS 60606-5096</w:t>
      </w:r>
    </w:p>
    <w:p>
      <w:pPr>
        <w:spacing w:after="0" w:line="8"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(312) 372-2000</w:t>
      </w:r>
    </w:p>
    <w:p>
      <w:pPr>
        <w:spacing w:after="0" w:line="175" w:lineRule="exact"/>
        <w:rPr>
          <w:sz w:val="24"/>
          <w:szCs w:val="24"/>
          <w:color w:val="auto"/>
        </w:rPr>
      </w:pPr>
    </w:p>
    <w:p>
      <w:pPr>
        <w:sectPr>
          <w:pgSz w:w="11900" w:h="16838" w:orient="portrait"/>
          <w:cols w:equalWidth="0" w:num="2">
            <w:col w:w="3200" w:space="720"/>
            <w:col w:w="7380"/>
          </w:cols>
          <w:pgMar w:left="220" w:top="230" w:right="379" w:bottom="0" w:gutter="0" w:footer="0" w:header="0"/>
          <w:type w:val="continuous"/>
        </w:sect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right="4440" w:firstLine="347"/>
        <w:spacing w:after="0" w:line="258" w:lineRule="auto"/>
        <w:rPr>
          <w:sz w:val="20"/>
          <w:szCs w:val="20"/>
          <w:color w:val="auto"/>
        </w:rPr>
      </w:pPr>
      <w:r>
        <w:rPr>
          <w:rFonts w:ascii="Courier New" w:cs="Courier New" w:eastAsia="Courier New" w:hAnsi="Courier New"/>
          <w:sz w:val="14"/>
          <w:szCs w:val="14"/>
          <w:color w:val="auto"/>
        </w:rPr>
        <w:t>APPROXIMATE DATE OF COMMENCEMENT OF PROPOSED SALE TO THE PUBLIC: From time to time after this Registration Statement becomes effective.</w:t>
      </w:r>
    </w:p>
    <w:p>
      <w:pPr>
        <w:spacing w:after="0" w:line="160" w:lineRule="exact"/>
        <w:rPr>
          <w:sz w:val="24"/>
          <w:szCs w:val="24"/>
          <w:color w:val="auto"/>
        </w:rPr>
      </w:pPr>
    </w:p>
    <w:p>
      <w:pPr>
        <w:ind w:right="4440" w:firstLine="347"/>
        <w:spacing w:after="0" w:line="252" w:lineRule="auto"/>
        <w:rPr>
          <w:sz w:val="20"/>
          <w:szCs w:val="20"/>
          <w:color w:val="auto"/>
        </w:rPr>
      </w:pPr>
      <w:r>
        <w:rPr>
          <w:rFonts w:ascii="Courier New" w:cs="Courier New" w:eastAsia="Courier New" w:hAnsi="Courier New"/>
          <w:sz w:val="14"/>
          <w:szCs w:val="14"/>
          <w:color w:val="auto"/>
        </w:rPr>
        <w:t>If the only securities being registered on this form are being offered pursuant to dividend or interest reinvestment plans, please check the following box. [ ]</w:t>
      </w:r>
    </w:p>
    <w:p>
      <w:pPr>
        <w:spacing w:after="0" w:line="1" w:lineRule="exact"/>
        <w:rPr>
          <w:sz w:val="24"/>
          <w:szCs w:val="24"/>
          <w:color w:val="auto"/>
        </w:rPr>
      </w:pPr>
    </w:p>
    <w:p>
      <w:pPr>
        <w:ind w:right="4440" w:firstLine="347"/>
        <w:spacing w:after="0" w:line="254" w:lineRule="auto"/>
        <w:rPr>
          <w:sz w:val="20"/>
          <w:szCs w:val="20"/>
          <w:color w:val="auto"/>
        </w:rPr>
      </w:pPr>
      <w:r>
        <w:rPr>
          <w:rFonts w:ascii="Courier New" w:cs="Courier New" w:eastAsia="Courier New" w:hAnsi="Courier New"/>
          <w:sz w:val="14"/>
          <w:szCs w:val="14"/>
          <w:color w:val="auto"/>
        </w:rPr>
        <w:t>If any of the securities being registered on this Form are being offered on a delayed or continuous basis pursuant to Rule 415 under the Securities Act of 1933, other than securities offered only in connection with dividend or interest reinvestment plans, please check the following box. [x]</w:t>
      </w:r>
    </w:p>
    <w:p>
      <w:pPr>
        <w:spacing w:after="0" w:line="163" w:lineRule="exact"/>
        <w:rPr>
          <w:sz w:val="24"/>
          <w:szCs w:val="24"/>
          <w:color w:val="auto"/>
        </w:rPr>
      </w:pPr>
    </w:p>
    <w:p>
      <w:pPr>
        <w:ind w:right="4700" w:firstLine="347"/>
        <w:spacing w:after="0" w:line="254"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[x] Registration Statement No. 333-17453</w:t>
      </w:r>
    </w:p>
    <w:p>
      <w:pPr>
        <w:spacing w:after="0" w:line="162" w:lineRule="exact"/>
        <w:rPr>
          <w:sz w:val="24"/>
          <w:szCs w:val="24"/>
          <w:color w:val="auto"/>
        </w:rPr>
      </w:pPr>
    </w:p>
    <w:p>
      <w:pPr>
        <w:ind w:right="4700" w:firstLine="347"/>
        <w:spacing w:after="0" w:line="254" w:lineRule="auto"/>
        <w:rPr>
          <w:sz w:val="20"/>
          <w:szCs w:val="20"/>
          <w:color w:val="auto"/>
        </w:rPr>
      </w:pPr>
      <w:r>
        <w:rPr>
          <w:rFonts w:ascii="Courier New" w:cs="Courier New" w:eastAsia="Courier New" w:hAnsi="Courier New"/>
          <w:sz w:val="14"/>
          <w:szCs w:val="14"/>
          <w:color w:val="auto"/>
        </w:rPr>
        <w:t>If this Form is a post-effective amendment filed pursuant to Rule 462(c) under the Securities Act, please check the following box and list the Securities Act registration statement number of the earlier effective registration statement for the same offering. [ ]</w:t>
      </w:r>
    </w:p>
    <w:p>
      <w:pPr>
        <w:spacing w:after="0" w:line="163" w:lineRule="exact"/>
        <w:rPr>
          <w:sz w:val="24"/>
          <w:szCs w:val="24"/>
          <w:color w:val="auto"/>
        </w:rPr>
      </w:pPr>
    </w:p>
    <w:p>
      <w:pPr>
        <w:ind w:right="4520" w:firstLine="347"/>
        <w:spacing w:after="0" w:line="258" w:lineRule="auto"/>
        <w:rPr>
          <w:sz w:val="20"/>
          <w:szCs w:val="20"/>
          <w:color w:val="auto"/>
        </w:rPr>
      </w:pPr>
      <w:r>
        <w:rPr>
          <w:rFonts w:ascii="Courier New" w:cs="Courier New" w:eastAsia="Courier New" w:hAnsi="Courier New"/>
          <w:sz w:val="14"/>
          <w:szCs w:val="14"/>
          <w:color w:val="auto"/>
        </w:rPr>
        <w:t>If delivery of the prospectus is expected to be made pursuant to Rule 434, please check the following box. [ ]</w:t>
      </w:r>
    </w:p>
    <w:p>
      <w:pPr>
        <w:spacing w:after="0" w:line="327"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CALCULATION OF REGISTRATION FEE</w:t>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420"/>
        <w:spacing w:after="0"/>
        <w:rPr>
          <w:sz w:val="20"/>
          <w:szCs w:val="20"/>
          <w:color w:val="auto"/>
        </w:rPr>
      </w:pPr>
      <w:r>
        <w:rPr>
          <w:rFonts w:ascii="Courier New" w:cs="Courier New" w:eastAsia="Courier New" w:hAnsi="Courier New"/>
          <w:sz w:val="14"/>
          <w:szCs w:val="14"/>
          <w:color w:val="auto"/>
        </w:rPr>
        <w:t>Proposed</w:t>
      </w:r>
    </w:p>
    <w:p>
      <w:pPr>
        <w:spacing w:after="0" w:line="8" w:lineRule="exact"/>
        <w:rPr>
          <w:sz w:val="24"/>
          <w:szCs w:val="24"/>
          <w:color w:val="auto"/>
        </w:rPr>
      </w:pPr>
    </w:p>
    <w:p>
      <w:pPr>
        <w:ind w:left="3740"/>
        <w:spacing w:after="0"/>
        <w:tabs>
          <w:tab w:leader="none" w:pos="7980" w:val="left"/>
          <w:tab w:leader="none" w:pos="9980" w:val="left"/>
        </w:tabs>
        <w:rPr>
          <w:sz w:val="20"/>
          <w:szCs w:val="20"/>
          <w:color w:val="auto"/>
        </w:rPr>
      </w:pPr>
      <w:r>
        <w:rPr>
          <w:rFonts w:ascii="Courier New" w:cs="Courier New" w:eastAsia="Courier New" w:hAnsi="Courier New"/>
          <w:sz w:val="14"/>
          <w:szCs w:val="14"/>
          <w:color w:val="auto"/>
        </w:rPr>
        <w:t>Title of each class of</w:t>
      </w:r>
      <w:r>
        <w:rPr>
          <w:sz w:val="20"/>
          <w:szCs w:val="20"/>
          <w:color w:val="auto"/>
        </w:rPr>
        <w:tab/>
      </w:r>
      <w:r>
        <w:rPr>
          <w:rFonts w:ascii="Courier New" w:cs="Courier New" w:eastAsia="Courier New" w:hAnsi="Courier New"/>
          <w:sz w:val="14"/>
          <w:szCs w:val="14"/>
          <w:color w:val="auto"/>
        </w:rPr>
        <w:t>maximum aggregate</w:t>
      </w:r>
      <w:r>
        <w:rPr>
          <w:sz w:val="20"/>
          <w:szCs w:val="20"/>
          <w:color w:val="auto"/>
        </w:rPr>
        <w:tab/>
      </w:r>
      <w:r>
        <w:rPr>
          <w:rFonts w:ascii="Courier New" w:cs="Courier New" w:eastAsia="Courier New" w:hAnsi="Courier New"/>
          <w:sz w:val="14"/>
          <w:szCs w:val="14"/>
          <w:color w:val="auto"/>
        </w:rPr>
        <w:t>Amount of</w:t>
      </w:r>
    </w:p>
    <w:p>
      <w:pPr>
        <w:spacing w:after="0" w:line="8" w:lineRule="exact"/>
        <w:rPr>
          <w:sz w:val="24"/>
          <w:szCs w:val="24"/>
          <w:color w:val="auto"/>
        </w:rPr>
      </w:pPr>
    </w:p>
    <w:p>
      <w:pPr>
        <w:ind w:left="3560"/>
        <w:spacing w:after="0"/>
        <w:tabs>
          <w:tab w:leader="none" w:pos="7980" w:val="left"/>
          <w:tab w:leader="none" w:pos="9700" w:val="left"/>
        </w:tabs>
        <w:rPr>
          <w:sz w:val="20"/>
          <w:szCs w:val="20"/>
          <w:color w:val="auto"/>
        </w:rPr>
      </w:pPr>
      <w:r>
        <w:rPr>
          <w:rFonts w:ascii="Courier New" w:cs="Courier New" w:eastAsia="Courier New" w:hAnsi="Courier New"/>
          <w:sz w:val="14"/>
          <w:szCs w:val="14"/>
          <w:color w:val="auto"/>
        </w:rPr>
        <w:t>securities to be registered</w:t>
      </w:r>
      <w:r>
        <w:rPr>
          <w:sz w:val="20"/>
          <w:szCs w:val="20"/>
          <w:color w:val="auto"/>
        </w:rPr>
        <w:tab/>
      </w:r>
      <w:r>
        <w:rPr>
          <w:rFonts w:ascii="Courier New" w:cs="Courier New" w:eastAsia="Courier New" w:hAnsi="Courier New"/>
          <w:sz w:val="14"/>
          <w:szCs w:val="14"/>
          <w:color w:val="auto"/>
        </w:rPr>
        <w:t>offering price (1)</w:t>
        <w:tab/>
        <w:t>registration fee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tbl>
      <w:tblPr>
        <w:tblLayout w:type="fixed"/>
        <w:tblInd w:w="1840" w:type="dxa"/>
        <w:tblCellMar>
          <w:top w:w="0" w:type="dxa"/>
          <w:left w:w="0" w:type="dxa"/>
          <w:bottom w:w="0" w:type="dxa"/>
          <w:right w:w="0" w:type="dxa"/>
        </w:tblCellMar>
      </w:tblPr>
      <w:tr>
        <w:trPr>
          <w:trHeight w:val="162"/>
        </w:trPr>
        <w:tc>
          <w:tcPr>
            <w:tcW w:w="6200" w:type="dxa"/>
            <w:vAlign w:val="bottom"/>
          </w:tcPr>
          <w:p>
            <w:pPr>
              <w:spacing w:after="0"/>
              <w:rPr>
                <w:sz w:val="20"/>
                <w:szCs w:val="20"/>
                <w:color w:val="auto"/>
              </w:rPr>
            </w:pPr>
            <w:r>
              <w:rPr>
                <w:rFonts w:ascii="Courier New" w:cs="Courier New" w:eastAsia="Courier New" w:hAnsi="Courier New"/>
                <w:sz w:val="14"/>
                <w:szCs w:val="14"/>
                <w:color w:val="auto"/>
              </w:rPr>
              <w:t>Debt Securities   . . . . . . . . . . . . . . . . . . . . . . . . . .</w:t>
            </w:r>
          </w:p>
        </w:tc>
        <w:tc>
          <w:tcPr>
            <w:tcW w:w="1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6200" w:type="dxa"/>
            <w:vAlign w:val="bottom"/>
          </w:tcPr>
          <w:p>
            <w:pPr>
              <w:spacing w:after="0"/>
              <w:rPr>
                <w:sz w:val="20"/>
                <w:szCs w:val="20"/>
                <w:color w:val="auto"/>
              </w:rPr>
            </w:pPr>
            <w:r>
              <w:rPr>
                <w:rFonts w:ascii="Courier New" w:cs="Courier New" w:eastAsia="Courier New" w:hAnsi="Courier New"/>
                <w:sz w:val="14"/>
                <w:szCs w:val="14"/>
                <w:color w:val="auto"/>
              </w:rPr>
              <w:t>Common Stock, par value $.01 per share  . . . . . . . . . . . . . . .</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$89,212,500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$27,034</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360" w:right="5040" w:hanging="351"/>
        <w:spacing w:after="0" w:line="258"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the purpose of calculating the registration fee pursuant to Rule 457(o).</w:t>
      </w:r>
    </w:p>
    <w:p>
      <w:pPr>
        <w:sectPr>
          <w:pgSz w:w="11900" w:h="16838" w:orient="portrait"/>
          <w:cols w:equalWidth="0" w:num="1">
            <w:col w:w="11300"/>
          </w:cols>
          <w:pgMar w:left="220" w:top="230" w:right="379" w:bottom="0" w:gutter="0" w:footer="0" w:header="0"/>
          <w:type w:val="continuous"/>
        </w:sectPr>
      </w:pPr>
    </w:p>
    <w:bookmarkStart w:id="1" w:name="page2"/>
    <w:bookmarkEnd w:id="1"/>
    <w:p>
      <w:pPr>
        <w:ind w:right="3459" w:firstLine="434"/>
        <w:spacing w:after="0" w:line="252" w:lineRule="auto"/>
        <w:rPr>
          <w:sz w:val="20"/>
          <w:szCs w:val="20"/>
          <w:color w:val="auto"/>
        </w:rPr>
      </w:pPr>
      <w:r>
        <w:rPr>
          <w:rFonts w:ascii="Courier New" w:cs="Courier New" w:eastAsia="Courier New" w:hAnsi="Courier New"/>
          <w:sz w:val="14"/>
          <w:szCs w:val="14"/>
          <w:color w:val="auto"/>
        </w:rPr>
        <w:t>REGISTRATION STATEMENT NO. 333-17453, WHICH WAS DECLARED EFFECTIVE ON JANUARY 15, 1997, RELATES TO $850,000,000 OF SECURITIES OF THE REGISTRANT (THE</w:t>
      </w:r>
    </w:p>
    <w:p>
      <w:pPr>
        <w:spacing w:after="0" w:line="1"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"PREVIOUSLY REGISTERED SECURITIES"). THIS REGISTRATION STATEMENT REGISTERS ADDITIONAL SECURITIES FOR OFFERING PURSUANT TO RULE 462(B) UNDER THE SECURITIES ACT TO THE TOTAL AMOUNT OF PREVIOUSLY REGISTERED SECURITIES REGISTERED ON REGISTRATION STATEMENT NO. 333-17453. PURSUANT TO RULE 429 UNDER THE SECURITIES ACT, THE PREVIOUSLY REGISTERED SECURITIES MAY BE OFFERED AND SOLD AS DEBT SECURITIES AND/OR COMMON STOCK TOGETHER WITH THE SECURITIES REGISTERED HEREUNDER THROUGH THE USE OF THE COMBINED PROSPECTUS INCLUDED IN REGISTRATION STATEMENT NO. 17453. IN ACCORDANCE WITH RULE 429(B), THE AMOUNT OF THE PREVIOUSLY PAID FILING FEE ASSOCIATED WITH THE PREVIOUSLY REGISTERED SECURITIES WAS $257,576.</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14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The contents of the Registration Statement on Form S-3 (Registration No. 333-17453) registering Debt Securities and Common Stock of USA Waste Services, Inc. with a proposed maximum offering price of $850,000,000 are hereby incorporated by reference herein. Filed as exhibits hereto are the following opinion and consents.</w:t>
      </w:r>
    </w:p>
    <w:p>
      <w:pPr>
        <w:spacing w:after="0" w:line="200" w:lineRule="exact"/>
        <w:rPr>
          <w:sz w:val="20"/>
          <w:szCs w:val="20"/>
          <w:color w:val="auto"/>
        </w:rPr>
      </w:pPr>
    </w:p>
    <w:p>
      <w:pPr>
        <w:spacing w:after="0" w:line="296"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EXHIBIT</w:t>
            </w:r>
          </w:p>
        </w:tc>
        <w:tc>
          <w:tcPr>
            <w:tcW w:w="8120" w:type="dxa"/>
            <w:vAlign w:val="bottom"/>
          </w:tcPr>
          <w:p>
            <w:pPr>
              <w:spacing w:after="0"/>
              <w:rPr>
                <w:sz w:val="14"/>
                <w:szCs w:val="14"/>
                <w:color w:val="auto"/>
              </w:rPr>
            </w:pPr>
          </w:p>
        </w:tc>
      </w:tr>
      <w:tr>
        <w:trPr>
          <w:trHeight w:val="167"/>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NUMBERS</w:t>
            </w:r>
          </w:p>
        </w:tc>
        <w:tc>
          <w:tcPr>
            <w:tcW w:w="8120" w:type="dxa"/>
            <w:vAlign w:val="bottom"/>
          </w:tcPr>
          <w:p>
            <w:pPr>
              <w:ind w:left="3940"/>
              <w:spacing w:after="0"/>
              <w:rPr>
                <w:sz w:val="20"/>
                <w:szCs w:val="20"/>
                <w:color w:val="auto"/>
              </w:rPr>
            </w:pPr>
            <w:r>
              <w:rPr>
                <w:rFonts w:ascii="Courier New" w:cs="Courier New" w:eastAsia="Courier New" w:hAnsi="Courier New"/>
                <w:sz w:val="14"/>
                <w:szCs w:val="14"/>
                <w:color w:val="auto"/>
              </w:rPr>
              <w:t>EXHIBITS</w:t>
            </w:r>
          </w:p>
        </w:tc>
      </w:tr>
      <w:tr>
        <w:trPr>
          <w:trHeight w:val="167"/>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120" w:type="dxa"/>
            <w:vAlign w:val="bottom"/>
          </w:tcPr>
          <w:p>
            <w:pPr>
              <w:ind w:left="3940"/>
              <w:spacing w:after="0"/>
              <w:rPr>
                <w:sz w:val="20"/>
                <w:szCs w:val="20"/>
                <w:color w:val="auto"/>
              </w:rPr>
            </w:pPr>
            <w:r>
              <w:rPr>
                <w:rFonts w:ascii="Courier New" w:cs="Courier New" w:eastAsia="Courier New" w:hAnsi="Courier New"/>
                <w:sz w:val="14"/>
                <w:szCs w:val="14"/>
                <w:color w:val="auto"/>
              </w:rPr>
              <w:t>--------</w:t>
            </w:r>
          </w:p>
        </w:tc>
      </w:tr>
      <w:tr>
        <w:trPr>
          <w:trHeight w:val="334"/>
        </w:trPr>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8120" w:type="dxa"/>
            <w:vAlign w:val="bottom"/>
          </w:tcPr>
          <w:p>
            <w:pPr>
              <w:ind w:left="140"/>
              <w:spacing w:after="0"/>
              <w:rPr>
                <w:sz w:val="20"/>
                <w:szCs w:val="20"/>
                <w:color w:val="auto"/>
              </w:rPr>
            </w:pPr>
            <w:r>
              <w:rPr>
                <w:rFonts w:ascii="Courier New" w:cs="Courier New" w:eastAsia="Courier New" w:hAnsi="Courier New"/>
                <w:sz w:val="14"/>
                <w:szCs w:val="14"/>
                <w:color w:val="auto"/>
              </w:rPr>
              <w:t>--  Certificate of Registrant as to payment of additional registration fee.</w:t>
            </w:r>
          </w:p>
        </w:tc>
      </w:tr>
      <w:tr>
        <w:trPr>
          <w:trHeight w:val="167"/>
        </w:trPr>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w:t>
            </w:r>
          </w:p>
        </w:tc>
        <w:tc>
          <w:tcPr>
            <w:tcW w:w="8120" w:type="dxa"/>
            <w:vAlign w:val="bottom"/>
          </w:tcPr>
          <w:p>
            <w:pPr>
              <w:ind w:left="140"/>
              <w:spacing w:after="0"/>
              <w:rPr>
                <w:sz w:val="20"/>
                <w:szCs w:val="20"/>
                <w:color w:val="auto"/>
              </w:rPr>
            </w:pPr>
            <w:r>
              <w:rPr>
                <w:rFonts w:ascii="Courier New" w:cs="Courier New" w:eastAsia="Courier New" w:hAnsi="Courier New"/>
                <w:sz w:val="14"/>
                <w:szCs w:val="14"/>
                <w:color w:val="auto"/>
              </w:rPr>
              <w:t>--  Opinion of Vinson &amp; Elkins L.L.P. as to the legality of the Securities being registered.</w:t>
            </w:r>
          </w:p>
        </w:tc>
      </w:tr>
      <w:tr>
        <w:trPr>
          <w:trHeight w:val="167"/>
        </w:trPr>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23.1</w:t>
            </w:r>
          </w:p>
        </w:tc>
        <w:tc>
          <w:tcPr>
            <w:tcW w:w="8120" w:type="dxa"/>
            <w:vAlign w:val="bottom"/>
          </w:tcPr>
          <w:p>
            <w:pPr>
              <w:ind w:left="140"/>
              <w:spacing w:after="0"/>
              <w:rPr>
                <w:sz w:val="20"/>
                <w:szCs w:val="20"/>
                <w:color w:val="auto"/>
              </w:rPr>
            </w:pPr>
            <w:r>
              <w:rPr>
                <w:rFonts w:ascii="Courier New" w:cs="Courier New" w:eastAsia="Courier New" w:hAnsi="Courier New"/>
                <w:sz w:val="14"/>
                <w:szCs w:val="14"/>
                <w:color w:val="auto"/>
              </w:rPr>
              <w:t>--  Consent of Vinson &amp; Elkins L.L.P. (included in Exhibit 5.1).</w:t>
            </w:r>
          </w:p>
        </w:tc>
      </w:tr>
      <w:tr>
        <w:trPr>
          <w:trHeight w:val="167"/>
        </w:trPr>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w:t>
            </w:r>
          </w:p>
        </w:tc>
        <w:tc>
          <w:tcPr>
            <w:tcW w:w="8120" w:type="dxa"/>
            <w:vAlign w:val="bottom"/>
          </w:tcPr>
          <w:p>
            <w:pPr>
              <w:ind w:left="140"/>
              <w:spacing w:after="0"/>
              <w:rPr>
                <w:sz w:val="20"/>
                <w:szCs w:val="20"/>
                <w:color w:val="auto"/>
              </w:rPr>
            </w:pPr>
            <w:r>
              <w:rPr>
                <w:rFonts w:ascii="Courier New" w:cs="Courier New" w:eastAsia="Courier New" w:hAnsi="Courier New"/>
                <w:sz w:val="14"/>
                <w:szCs w:val="14"/>
                <w:color w:val="auto"/>
              </w:rPr>
              <w:t>--  Consent of Coopers &amp; Lybrand L.L.P.</w:t>
            </w:r>
          </w:p>
        </w:tc>
      </w:tr>
      <w:tr>
        <w:trPr>
          <w:trHeight w:val="167"/>
        </w:trPr>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23.3</w:t>
            </w:r>
          </w:p>
        </w:tc>
        <w:tc>
          <w:tcPr>
            <w:tcW w:w="8120" w:type="dxa"/>
            <w:vAlign w:val="bottom"/>
          </w:tcPr>
          <w:p>
            <w:pPr>
              <w:ind w:left="140"/>
              <w:spacing w:after="0"/>
              <w:rPr>
                <w:sz w:val="20"/>
                <w:szCs w:val="20"/>
                <w:color w:val="auto"/>
              </w:rPr>
            </w:pPr>
            <w:r>
              <w:rPr>
                <w:rFonts w:ascii="Courier New" w:cs="Courier New" w:eastAsia="Courier New" w:hAnsi="Courier New"/>
                <w:sz w:val="14"/>
                <w:szCs w:val="14"/>
                <w:color w:val="auto"/>
              </w:rPr>
              <w:t>--  Consent of Arthur Andersen LLP.</w:t>
            </w:r>
          </w:p>
        </w:tc>
      </w:tr>
      <w:tr>
        <w:trPr>
          <w:trHeight w:val="167"/>
        </w:trPr>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23.4</w:t>
            </w:r>
          </w:p>
        </w:tc>
        <w:tc>
          <w:tcPr>
            <w:tcW w:w="8120" w:type="dxa"/>
            <w:vAlign w:val="bottom"/>
          </w:tcPr>
          <w:p>
            <w:pPr>
              <w:ind w:left="140"/>
              <w:spacing w:after="0"/>
              <w:rPr>
                <w:sz w:val="20"/>
                <w:szCs w:val="20"/>
                <w:color w:val="auto"/>
              </w:rPr>
            </w:pPr>
            <w:r>
              <w:rPr>
                <w:rFonts w:ascii="Courier New" w:cs="Courier New" w:eastAsia="Courier New" w:hAnsi="Courier New"/>
                <w:sz w:val="14"/>
                <w:szCs w:val="14"/>
                <w:color w:val="auto"/>
              </w:rPr>
              <w:t>--  Consent of Ernst &amp; Young LLP.</w:t>
            </w:r>
          </w:p>
        </w:tc>
      </w:tr>
      <w:tr>
        <w:trPr>
          <w:trHeight w:val="167"/>
        </w:trPr>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23.5</w:t>
            </w:r>
          </w:p>
        </w:tc>
        <w:tc>
          <w:tcPr>
            <w:tcW w:w="8120" w:type="dxa"/>
            <w:vAlign w:val="bottom"/>
          </w:tcPr>
          <w:p>
            <w:pPr>
              <w:ind w:left="140"/>
              <w:spacing w:after="0"/>
              <w:rPr>
                <w:sz w:val="20"/>
                <w:szCs w:val="20"/>
                <w:color w:val="auto"/>
              </w:rPr>
            </w:pPr>
            <w:r>
              <w:rPr>
                <w:rFonts w:ascii="Courier New" w:cs="Courier New" w:eastAsia="Courier New" w:hAnsi="Courier New"/>
                <w:sz w:val="14"/>
                <w:szCs w:val="14"/>
                <w:color w:val="auto"/>
              </w:rPr>
              <w:t>--  Consent of Deloitte &amp; Touche LLP.</w:t>
            </w:r>
          </w:p>
        </w:tc>
      </w:tr>
      <w:tr>
        <w:trPr>
          <w:trHeight w:val="167"/>
        </w:trPr>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23.6</w:t>
            </w:r>
          </w:p>
        </w:tc>
        <w:tc>
          <w:tcPr>
            <w:tcW w:w="8120" w:type="dxa"/>
            <w:vAlign w:val="bottom"/>
          </w:tcPr>
          <w:p>
            <w:pPr>
              <w:ind w:left="140"/>
              <w:spacing w:after="0"/>
              <w:rPr>
                <w:sz w:val="20"/>
                <w:szCs w:val="20"/>
                <w:color w:val="auto"/>
              </w:rPr>
            </w:pPr>
            <w:r>
              <w:rPr>
                <w:rFonts w:ascii="Courier New" w:cs="Courier New" w:eastAsia="Courier New" w:hAnsi="Courier New"/>
                <w:sz w:val="14"/>
                <w:szCs w:val="14"/>
                <w:color w:val="auto"/>
              </w:rPr>
              <w:t>--  Consent of Deloitte &amp; Touche, Chartered Accountants.</w:t>
            </w:r>
          </w:p>
        </w:tc>
      </w:tr>
      <w:tr>
        <w:trPr>
          <w:trHeight w:val="167"/>
        </w:trPr>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w:t>
            </w:r>
          </w:p>
        </w:tc>
        <w:tc>
          <w:tcPr>
            <w:tcW w:w="8120" w:type="dxa"/>
            <w:vAlign w:val="bottom"/>
          </w:tcPr>
          <w:p>
            <w:pPr>
              <w:ind w:left="140"/>
              <w:spacing w:after="0"/>
              <w:rPr>
                <w:sz w:val="20"/>
                <w:szCs w:val="20"/>
                <w:color w:val="auto"/>
              </w:rPr>
            </w:pPr>
            <w:r>
              <w:rPr>
                <w:rFonts w:ascii="Courier New" w:cs="Courier New" w:eastAsia="Courier New" w:hAnsi="Courier New"/>
                <w:sz w:val="14"/>
                <w:szCs w:val="14"/>
                <w:color w:val="auto"/>
              </w:rPr>
              <w:t>--  Consent of Coopers &amp; Lybrand L.L.P.</w:t>
            </w:r>
          </w:p>
        </w:tc>
      </w:tr>
      <w:tr>
        <w:trPr>
          <w:trHeight w:val="167"/>
        </w:trPr>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23.8</w:t>
            </w:r>
          </w:p>
        </w:tc>
        <w:tc>
          <w:tcPr>
            <w:tcW w:w="8120" w:type="dxa"/>
            <w:vAlign w:val="bottom"/>
          </w:tcPr>
          <w:p>
            <w:pPr>
              <w:ind w:left="140"/>
              <w:spacing w:after="0"/>
              <w:rPr>
                <w:sz w:val="20"/>
                <w:szCs w:val="20"/>
                <w:color w:val="auto"/>
              </w:rPr>
            </w:pPr>
            <w:r>
              <w:rPr>
                <w:rFonts w:ascii="Courier New" w:cs="Courier New" w:eastAsia="Courier New" w:hAnsi="Courier New"/>
                <w:sz w:val="14"/>
                <w:szCs w:val="14"/>
                <w:color w:val="auto"/>
              </w:rPr>
              <w:t>--  Consent of Kaplan Sipos &amp; Associates Certified Public Accountants.</w:t>
            </w:r>
          </w:p>
        </w:tc>
      </w:tr>
      <w:tr>
        <w:trPr>
          <w:trHeight w:val="167"/>
        </w:trPr>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23.9</w:t>
            </w:r>
          </w:p>
        </w:tc>
        <w:tc>
          <w:tcPr>
            <w:tcW w:w="8120" w:type="dxa"/>
            <w:vAlign w:val="bottom"/>
          </w:tcPr>
          <w:p>
            <w:pPr>
              <w:ind w:left="140"/>
              <w:spacing w:after="0"/>
              <w:rPr>
                <w:sz w:val="20"/>
                <w:szCs w:val="20"/>
                <w:color w:val="auto"/>
              </w:rPr>
            </w:pPr>
            <w:r>
              <w:rPr>
                <w:rFonts w:ascii="Courier New" w:cs="Courier New" w:eastAsia="Courier New" w:hAnsi="Courier New"/>
                <w:sz w:val="14"/>
                <w:szCs w:val="14"/>
                <w:color w:val="auto"/>
              </w:rPr>
              <w:t>--  Consent of Blake, Kuehler, Babione &amp; Pool.</w:t>
            </w:r>
          </w:p>
        </w:tc>
      </w:tr>
      <w:tr>
        <w:trPr>
          <w:trHeight w:val="167"/>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23.10</w:t>
            </w:r>
          </w:p>
        </w:tc>
        <w:tc>
          <w:tcPr>
            <w:tcW w:w="8120" w:type="dxa"/>
            <w:vAlign w:val="bottom"/>
          </w:tcPr>
          <w:p>
            <w:pPr>
              <w:ind w:left="140"/>
              <w:spacing w:after="0"/>
              <w:rPr>
                <w:sz w:val="20"/>
                <w:szCs w:val="20"/>
                <w:color w:val="auto"/>
              </w:rPr>
            </w:pPr>
            <w:r>
              <w:rPr>
                <w:rFonts w:ascii="Courier New" w:cs="Courier New" w:eastAsia="Courier New" w:hAnsi="Courier New"/>
                <w:sz w:val="14"/>
                <w:szCs w:val="14"/>
                <w:color w:val="auto"/>
              </w:rPr>
              <w:t>--  Consent of Buckno Lisicky &amp; Company.</w:t>
            </w:r>
          </w:p>
        </w:tc>
      </w:tr>
      <w:tr>
        <w:trPr>
          <w:trHeight w:val="167"/>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23.11</w:t>
            </w:r>
          </w:p>
        </w:tc>
        <w:tc>
          <w:tcPr>
            <w:tcW w:w="8120" w:type="dxa"/>
            <w:vAlign w:val="bottom"/>
          </w:tcPr>
          <w:p>
            <w:pPr>
              <w:ind w:left="140"/>
              <w:spacing w:after="0"/>
              <w:rPr>
                <w:sz w:val="20"/>
                <w:szCs w:val="20"/>
                <w:color w:val="auto"/>
              </w:rPr>
            </w:pPr>
            <w:r>
              <w:rPr>
                <w:rFonts w:ascii="Courier New" w:cs="Courier New" w:eastAsia="Courier New" w:hAnsi="Courier New"/>
                <w:sz w:val="14"/>
                <w:szCs w:val="14"/>
                <w:color w:val="auto"/>
              </w:rPr>
              <w:t>--  Consent of Osburn, Henning and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286"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3rd day of February, 1997.</w:t>
      </w: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USA WASTE SERVICES, INC.</w:t>
      </w:r>
    </w:p>
    <w:p>
      <w:pPr>
        <w:spacing w:after="0" w:line="342" w:lineRule="exact"/>
        <w:rPr>
          <w:sz w:val="20"/>
          <w:szCs w:val="20"/>
          <w:color w:val="auto"/>
        </w:rPr>
      </w:pPr>
    </w:p>
    <w:p>
      <w:pPr>
        <w:ind w:left="3480"/>
        <w:spacing w:after="0"/>
        <w:tabs>
          <w:tab w:leader="none" w:pos="3900" w:val="left"/>
        </w:tabs>
        <w:rPr>
          <w:sz w:val="20"/>
          <w:szCs w:val="20"/>
          <w:color w:val="auto"/>
        </w:rPr>
      </w:pPr>
      <w:r>
        <w:rPr>
          <w:rFonts w:ascii="Courier New" w:cs="Courier New" w:eastAsia="Courier New" w:hAnsi="Courier New"/>
          <w:sz w:val="14"/>
          <w:szCs w:val="14"/>
          <w:color w:val="auto"/>
        </w:rPr>
        <w:t>By:</w:t>
        <w:tab/>
        <w:t>/s/ JOHN E. DRURY</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Chairman of the Board and</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Chief Executive Officer</w:t>
      </w:r>
    </w:p>
    <w:p>
      <w:pPr>
        <w:spacing w:after="0" w:line="175" w:lineRule="exact"/>
        <w:rPr>
          <w:sz w:val="20"/>
          <w:szCs w:val="20"/>
          <w:color w:val="auto"/>
        </w:rPr>
      </w:pPr>
    </w:p>
    <w:p>
      <w:pPr>
        <w:ind w:right="3899" w:firstLine="781"/>
        <w:spacing w:after="0" w:line="255"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by the following persons in the capacities indicated on February 3, 1997</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6" w:lineRule="exact"/>
        <w:rPr>
          <w:sz w:val="20"/>
          <w:szCs w:val="20"/>
          <w:color w:val="auto"/>
        </w:rPr>
      </w:pPr>
    </w:p>
    <w:p>
      <w:pPr>
        <w:sectPr>
          <w:pgSz w:w="11900" w:h="16838" w:orient="portrait"/>
          <w:cols w:equalWidth="0" w:num="2">
            <w:col w:w="6240" w:space="720"/>
            <w:col w:w="3279"/>
          </w:cols>
          <w:pgMar w:left="220" w:top="286" w:right="1440" w:bottom="1440" w:gutter="0" w:footer="0" w:header="0"/>
          <w:type w:val="continuous"/>
        </w:sectPr>
      </w:pPr>
    </w:p>
    <w:p>
      <w:pPr>
        <w:spacing w:after="0"/>
        <w:tabs>
          <w:tab w:leader="none" w:pos="420" w:val="left"/>
        </w:tabs>
        <w:rPr>
          <w:sz w:val="20"/>
          <w:szCs w:val="20"/>
          <w:color w:val="auto"/>
        </w:rPr>
      </w:pPr>
      <w:r>
        <w:rPr>
          <w:rFonts w:ascii="Courier New" w:cs="Courier New" w:eastAsia="Courier New" w:hAnsi="Courier New"/>
          <w:sz w:val="14"/>
          <w:szCs w:val="14"/>
          <w:color w:val="auto"/>
        </w:rPr>
        <w:t>(i)</w:t>
        <w:tab/>
        <w:t>Principal executive officer:</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ind w:left="1140"/>
        <w:spacing w:after="0"/>
        <w:tabs>
          <w:tab w:leader="none" w:pos="1560" w:val="left"/>
        </w:tabs>
        <w:rPr>
          <w:sz w:val="20"/>
          <w:szCs w:val="20"/>
          <w:color w:val="auto"/>
        </w:rPr>
      </w:pPr>
      <w:r>
        <w:rPr>
          <w:rFonts w:ascii="Courier New" w:cs="Courier New" w:eastAsia="Courier New" w:hAnsi="Courier New"/>
          <w:sz w:val="14"/>
          <w:szCs w:val="14"/>
          <w:color w:val="auto"/>
        </w:rPr>
        <w:t>/s/</w:t>
        <w:tab/>
        <w:t>JOHN E. DRURY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John E. Drury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and Chief Executive Officer and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Director</w:t>
      </w:r>
    </w:p>
    <w:p>
      <w:pPr>
        <w:spacing w:after="0" w:line="341" w:lineRule="exact"/>
        <w:rPr>
          <w:sz w:val="20"/>
          <w:szCs w:val="20"/>
          <w:color w:val="auto"/>
        </w:rPr>
      </w:pPr>
    </w:p>
    <w:p>
      <w:pPr>
        <w:sectPr>
          <w:pgSz w:w="11900" w:h="16838" w:orient="portrait"/>
          <w:cols w:equalWidth="0" w:num="2">
            <w:col w:w="4520" w:space="0"/>
            <w:col w:w="5719"/>
          </w:cols>
          <w:pgMar w:left="220" w:top="286" w:right="1440" w:bottom="1440" w:gutter="0" w:footer="0" w:header="0"/>
          <w:type w:val="continuous"/>
        </w:sectPr>
      </w:pPr>
    </w:p>
    <w:p>
      <w:pPr>
        <w:spacing w:after="0"/>
        <w:tabs>
          <w:tab w:leader="none" w:pos="500" w:val="left"/>
        </w:tabs>
        <w:rPr>
          <w:sz w:val="20"/>
          <w:szCs w:val="20"/>
          <w:color w:val="auto"/>
        </w:rPr>
      </w:pPr>
      <w:r>
        <w:rPr>
          <w:rFonts w:ascii="Courier New" w:cs="Courier New" w:eastAsia="Courier New" w:hAnsi="Courier New"/>
          <w:sz w:val="14"/>
          <w:szCs w:val="14"/>
          <w:color w:val="auto"/>
        </w:rPr>
        <w:t>(ii)</w:t>
        <w:tab/>
        <w:t>Principal financial and accounting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Executive Vice President and Chief Financial Officer</w:t>
      </w:r>
    </w:p>
    <w:p>
      <w:pPr>
        <w:spacing w:after="0" w:line="8" w:lineRule="exact"/>
        <w:rPr>
          <w:sz w:val="20"/>
          <w:szCs w:val="20"/>
          <w:color w:val="auto"/>
        </w:rPr>
      </w:pPr>
    </w:p>
    <w:p>
      <w:pPr>
        <w:ind w:left="1060"/>
        <w:spacing w:after="0"/>
        <w:tabs>
          <w:tab w:leader="none" w:pos="1460" w:val="left"/>
        </w:tabs>
        <w:rPr>
          <w:sz w:val="20"/>
          <w:szCs w:val="20"/>
          <w:color w:val="auto"/>
        </w:rPr>
      </w:pPr>
      <w:r>
        <w:rPr>
          <w:rFonts w:ascii="Courier New" w:cs="Courier New" w:eastAsia="Courier New" w:hAnsi="Courier New"/>
          <w:sz w:val="14"/>
          <w:szCs w:val="14"/>
          <w:color w:val="auto"/>
        </w:rPr>
        <w:t>/s/</w:t>
        <w:tab/>
        <w:t>EARL E. DEFRATES</w:t>
      </w:r>
    </w:p>
    <w:p>
      <w:pPr>
        <w:sectPr>
          <w:pgSz w:w="11900" w:h="16838" w:orient="portrait"/>
          <w:cols w:equalWidth="0" w:num="1">
            <w:col w:w="10239"/>
          </w:cols>
          <w:pgMar w:left="220" w:top="286" w:right="1440" w:bottom="1440" w:gutter="0" w:footer="0" w:header="0"/>
          <w:type w:val="continuous"/>
        </w:sectPr>
      </w:pPr>
    </w:p>
    <w:p>
      <w:pPr>
        <w:spacing w:after="0" w:line="8" w:lineRule="exact"/>
        <w:rPr>
          <w:sz w:val="20"/>
          <w:szCs w:val="20"/>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Earl E. DeFrates</w:t>
      </w:r>
    </w:p>
    <w:p>
      <w:pPr>
        <w:spacing w:after="0" w:line="175" w:lineRule="exact"/>
        <w:rPr>
          <w:sz w:val="20"/>
          <w:szCs w:val="20"/>
          <w:color w:val="auto"/>
        </w:rPr>
      </w:pPr>
    </w:p>
    <w:p>
      <w:pPr>
        <w:jc w:val="right"/>
        <w:ind w:right="1979"/>
        <w:spacing w:after="0"/>
        <w:tabs>
          <w:tab w:leader="none" w:pos="6760" w:val="left"/>
          <w:tab w:leader="none" w:pos="3720" w:val="left"/>
        </w:tabs>
        <w:rPr>
          <w:sz w:val="20"/>
          <w:szCs w:val="20"/>
          <w:color w:val="auto"/>
        </w:rPr>
      </w:pPr>
      <w:r>
        <w:rPr>
          <w:rFonts w:ascii="Courier New" w:cs="Courier New" w:eastAsia="Courier New" w:hAnsi="Courier New"/>
          <w:sz w:val="14"/>
          <w:szCs w:val="14"/>
          <w:color w:val="auto"/>
        </w:rPr>
        <w:t>/s/</w:t>
        <w:tab/>
        <w:t>BRUCE E. SNYDER</w:t>
      </w:r>
      <w:r>
        <w:rPr>
          <w:sz w:val="20"/>
          <w:szCs w:val="20"/>
          <w:color w:val="auto"/>
        </w:rPr>
        <w:tab/>
      </w:r>
      <w:r>
        <w:rPr>
          <w:rFonts w:ascii="Courier New" w:cs="Courier New" w:eastAsia="Courier New" w:hAnsi="Courier New"/>
          <w:sz w:val="14"/>
          <w:szCs w:val="14"/>
          <w:color w:val="auto"/>
        </w:rPr>
        <w:t>Vice President and Chief Accounting Officer</w:t>
      </w:r>
    </w:p>
    <w:p>
      <w:pPr>
        <w:spacing w:after="0" w:line="8" w:lineRule="exact"/>
        <w:rPr>
          <w:sz w:val="20"/>
          <w:szCs w:val="20"/>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Bruce E. Snyder</w:t>
      </w:r>
    </w:p>
    <w:p>
      <w:pPr>
        <w:spacing w:after="0" w:line="175" w:lineRule="exact"/>
        <w:rPr>
          <w:sz w:val="20"/>
          <w:szCs w:val="20"/>
          <w:color w:val="auto"/>
        </w:rPr>
      </w:pPr>
    </w:p>
    <w:p>
      <w:pPr>
        <w:ind w:left="620" w:hanging="611"/>
        <w:spacing w:after="0"/>
        <w:tabs>
          <w:tab w:leader="none" w:pos="6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Ralph F. Cox</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Richard J. Heckmann</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Donald F. Moorehead, Jr.</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hanging="171"/>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David Sutherland-Yoest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10239"/>
          </w:cols>
          <w:pgMar w:left="220" w:top="286" w:right="1440"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4</w:t>
      </w:r>
    </w:p>
    <w:p>
      <w:pPr>
        <w:spacing w:after="0" w:line="34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hanging="171"/>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Larry J. Martin</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hanging="171"/>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Rodney R. Proto</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hanging="171"/>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William E. Moffett</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Alexander W. Rangos</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hanging="171"/>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John G. Rangos, Sr.</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hanging="171"/>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Kosti Shirvanian</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hanging="171"/>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Savey Tufenkian</w:t>
      </w:r>
    </w:p>
    <w:p>
      <w:pPr>
        <w:sectPr>
          <w:pgSz w:w="11900" w:h="16838" w:orient="portrait"/>
          <w:cols w:equalWidth="0" w:num="1">
            <w:col w:w="10239"/>
          </w:cols>
          <w:pgMar w:left="220" w:top="286"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 GREGORY T. SANGALIS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Gregory T. Sangalis, Attorney-in-Fact</w:t>
      </w:r>
    </w:p>
    <w:p>
      <w:pPr>
        <w:spacing w:after="0" w:line="200" w:lineRule="exact"/>
        <w:rPr>
          <w:sz w:val="20"/>
          <w:szCs w:val="20"/>
          <w:color w:val="auto"/>
        </w:rPr>
      </w:pPr>
    </w:p>
    <w:p>
      <w:pPr>
        <w:sectPr>
          <w:pgSz w:w="11900" w:h="16838" w:orient="portrait"/>
          <w:cols w:equalWidth="0" w:num="2">
            <w:col w:w="360" w:space="160"/>
            <w:col w:w="9719"/>
          </w:cols>
          <w:pgMar w:left="220" w:top="28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10239"/>
          </w:cols>
          <w:pgMar w:left="220" w:top="286"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5</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2000" w:type="dxa"/>
            <w:vAlign w:val="bottom"/>
          </w:tcPr>
          <w:p>
            <w:pPr>
              <w:ind w:left="1520"/>
              <w:spacing w:after="0"/>
              <w:rPr>
                <w:sz w:val="20"/>
                <w:szCs w:val="20"/>
                <w:color w:val="auto"/>
              </w:rPr>
            </w:pPr>
            <w:r>
              <w:rPr>
                <w:rFonts w:ascii="Courier New" w:cs="Courier New" w:eastAsia="Courier New" w:hAnsi="Courier New"/>
                <w:sz w:val="14"/>
                <w:szCs w:val="14"/>
                <w:color w:val="auto"/>
              </w:rPr>
              <w:t>INDEX</w:t>
            </w: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TO EXHIBITS</w:t>
            </w:r>
          </w:p>
        </w:tc>
      </w:tr>
      <w:tr>
        <w:trPr>
          <w:trHeight w:val="668"/>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EXHIBIT</w:t>
            </w:r>
          </w:p>
        </w:tc>
        <w:tc>
          <w:tcPr>
            <w:tcW w:w="2000" w:type="dxa"/>
            <w:vAlign w:val="bottom"/>
          </w:tcPr>
          <w:p>
            <w:pPr>
              <w:spacing w:after="0"/>
              <w:rPr>
                <w:sz w:val="24"/>
                <w:szCs w:val="24"/>
                <w:color w:val="auto"/>
              </w:rPr>
            </w:pPr>
          </w:p>
        </w:tc>
        <w:tc>
          <w:tcPr>
            <w:tcW w:w="6120" w:type="dxa"/>
            <w:vAlign w:val="bottom"/>
          </w:tcPr>
          <w:p>
            <w:pPr>
              <w:spacing w:after="0"/>
              <w:rPr>
                <w:sz w:val="24"/>
                <w:szCs w:val="24"/>
                <w:color w:val="auto"/>
              </w:rPr>
            </w:pPr>
          </w:p>
        </w:tc>
      </w:tr>
      <w:tr>
        <w:trPr>
          <w:trHeight w:val="167"/>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NUMBERS</w:t>
            </w:r>
          </w:p>
        </w:tc>
        <w:tc>
          <w:tcPr>
            <w:tcW w:w="2000" w:type="dxa"/>
            <w:vAlign w:val="bottom"/>
          </w:tcPr>
          <w:p>
            <w:pPr>
              <w:spacing w:after="0"/>
              <w:rPr>
                <w:sz w:val="14"/>
                <w:szCs w:val="14"/>
                <w:color w:val="auto"/>
              </w:rPr>
            </w:pPr>
          </w:p>
        </w:tc>
        <w:tc>
          <w:tcPr>
            <w:tcW w:w="6120" w:type="dxa"/>
            <w:vAlign w:val="bottom"/>
          </w:tcPr>
          <w:p>
            <w:pPr>
              <w:ind w:left="1940"/>
              <w:spacing w:after="0"/>
              <w:rPr>
                <w:sz w:val="20"/>
                <w:szCs w:val="20"/>
                <w:color w:val="auto"/>
              </w:rPr>
            </w:pPr>
            <w:r>
              <w:rPr>
                <w:rFonts w:ascii="Courier New" w:cs="Courier New" w:eastAsia="Courier New" w:hAnsi="Courier New"/>
                <w:sz w:val="14"/>
                <w:szCs w:val="14"/>
                <w:color w:val="auto"/>
              </w:rPr>
              <w:t>EXHIBITS</w:t>
            </w:r>
          </w:p>
        </w:tc>
      </w:tr>
      <w:tr>
        <w:trPr>
          <w:trHeight w:val="167"/>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spacing w:after="0"/>
              <w:rPr>
                <w:sz w:val="14"/>
                <w:szCs w:val="14"/>
                <w:color w:val="auto"/>
              </w:rPr>
            </w:pPr>
          </w:p>
        </w:tc>
        <w:tc>
          <w:tcPr>
            <w:tcW w:w="6120" w:type="dxa"/>
            <w:vAlign w:val="bottom"/>
          </w:tcPr>
          <w:p>
            <w:pPr>
              <w:ind w:left="1940"/>
              <w:spacing w:after="0"/>
              <w:rPr>
                <w:sz w:val="20"/>
                <w:szCs w:val="20"/>
                <w:color w:val="auto"/>
              </w:rPr>
            </w:pPr>
            <w:r>
              <w:rPr>
                <w:rFonts w:ascii="Courier New" w:cs="Courier New" w:eastAsia="Courier New" w:hAnsi="Courier New"/>
                <w:sz w:val="14"/>
                <w:szCs w:val="14"/>
                <w:color w:val="auto"/>
              </w:rPr>
              <w:t>--------</w:t>
            </w:r>
          </w:p>
        </w:tc>
      </w:tr>
      <w:tr>
        <w:trPr>
          <w:trHeight w:val="334"/>
        </w:trPr>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8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  Certificate of Registrant as to payment of additional registration fee.</w:t>
            </w:r>
          </w:p>
        </w:tc>
      </w:tr>
      <w:tr>
        <w:trPr>
          <w:trHeight w:val="167"/>
        </w:trPr>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w:t>
            </w:r>
          </w:p>
        </w:tc>
        <w:tc>
          <w:tcPr>
            <w:tcW w:w="2000" w:type="dxa"/>
            <w:vAlign w:val="bottom"/>
          </w:tcPr>
          <w:p>
            <w:pPr>
              <w:ind w:left="140"/>
              <w:spacing w:after="0"/>
              <w:rPr>
                <w:sz w:val="20"/>
                <w:szCs w:val="20"/>
                <w:color w:val="auto"/>
              </w:rPr>
            </w:pPr>
            <w:r>
              <w:rPr>
                <w:rFonts w:ascii="Courier New" w:cs="Courier New" w:eastAsia="Courier New" w:hAnsi="Courier New"/>
                <w:sz w:val="14"/>
                <w:szCs w:val="14"/>
                <w:color w:val="auto"/>
              </w:rPr>
              <w:t>--  Opinion of Vinson</w:t>
            </w: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&amp; Elkins L.L.P. as to the legality of the Securities being registered.</w:t>
            </w:r>
          </w:p>
        </w:tc>
      </w:tr>
      <w:tr>
        <w:trPr>
          <w:trHeight w:val="167"/>
        </w:trPr>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23.1</w:t>
            </w:r>
          </w:p>
        </w:tc>
        <w:tc>
          <w:tcPr>
            <w:tcW w:w="2000" w:type="dxa"/>
            <w:vAlign w:val="bottom"/>
          </w:tcPr>
          <w:p>
            <w:pPr>
              <w:ind w:left="140"/>
              <w:spacing w:after="0"/>
              <w:rPr>
                <w:sz w:val="20"/>
                <w:szCs w:val="20"/>
                <w:color w:val="auto"/>
              </w:rPr>
            </w:pPr>
            <w:r>
              <w:rPr>
                <w:rFonts w:ascii="Courier New" w:cs="Courier New" w:eastAsia="Courier New" w:hAnsi="Courier New"/>
                <w:sz w:val="14"/>
                <w:szCs w:val="14"/>
                <w:color w:val="auto"/>
              </w:rPr>
              <w:t>--  Consent of Vinson</w:t>
            </w: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&amp; Elkins L.L.P. (included in Exhibit 5.1).</w:t>
            </w:r>
          </w:p>
        </w:tc>
      </w:tr>
      <w:tr>
        <w:trPr>
          <w:trHeight w:val="167"/>
        </w:trPr>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w:t>
            </w:r>
          </w:p>
        </w:tc>
        <w:tc>
          <w:tcPr>
            <w:tcW w:w="8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  Consent of Coopers &amp; Lybrand L.L.P.</w:t>
            </w:r>
          </w:p>
        </w:tc>
      </w:tr>
      <w:tr>
        <w:trPr>
          <w:trHeight w:val="167"/>
        </w:trPr>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23.3</w:t>
            </w:r>
          </w:p>
        </w:tc>
        <w:tc>
          <w:tcPr>
            <w:tcW w:w="2000" w:type="dxa"/>
            <w:vAlign w:val="bottom"/>
          </w:tcPr>
          <w:p>
            <w:pPr>
              <w:ind w:left="140"/>
              <w:spacing w:after="0"/>
              <w:rPr>
                <w:sz w:val="20"/>
                <w:szCs w:val="20"/>
                <w:color w:val="auto"/>
              </w:rPr>
            </w:pPr>
            <w:r>
              <w:rPr>
                <w:rFonts w:ascii="Courier New" w:cs="Courier New" w:eastAsia="Courier New" w:hAnsi="Courier New"/>
                <w:sz w:val="14"/>
                <w:szCs w:val="14"/>
                <w:color w:val="auto"/>
              </w:rPr>
              <w:t>--  Consent of Arthur</w:t>
            </w: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Andersen LLP.</w:t>
            </w:r>
          </w:p>
        </w:tc>
      </w:tr>
      <w:tr>
        <w:trPr>
          <w:trHeight w:val="167"/>
        </w:trPr>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23.4</w:t>
            </w:r>
          </w:p>
        </w:tc>
        <w:tc>
          <w:tcPr>
            <w:tcW w:w="8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  Consent of Ernst &amp; Young LLP.</w:t>
            </w:r>
          </w:p>
        </w:tc>
      </w:tr>
      <w:tr>
        <w:trPr>
          <w:trHeight w:val="167"/>
        </w:trPr>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23.5</w:t>
            </w:r>
          </w:p>
        </w:tc>
        <w:tc>
          <w:tcPr>
            <w:tcW w:w="8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  Consent of Deloitte &amp; Touche LLP.</w:t>
            </w:r>
          </w:p>
        </w:tc>
      </w:tr>
      <w:tr>
        <w:trPr>
          <w:trHeight w:val="167"/>
        </w:trPr>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23.6</w:t>
            </w:r>
          </w:p>
        </w:tc>
        <w:tc>
          <w:tcPr>
            <w:tcW w:w="8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  Consent of Deloitte &amp; Touche, Chartered Accountants.</w:t>
            </w:r>
          </w:p>
        </w:tc>
      </w:tr>
      <w:tr>
        <w:trPr>
          <w:trHeight w:val="167"/>
        </w:trPr>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w:t>
            </w:r>
          </w:p>
        </w:tc>
        <w:tc>
          <w:tcPr>
            <w:tcW w:w="8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  Consent of Coopers &amp; Lybrand L.L.P.</w:t>
            </w:r>
          </w:p>
        </w:tc>
      </w:tr>
      <w:tr>
        <w:trPr>
          <w:trHeight w:val="167"/>
        </w:trPr>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23.8</w:t>
            </w:r>
          </w:p>
        </w:tc>
        <w:tc>
          <w:tcPr>
            <w:tcW w:w="2000" w:type="dxa"/>
            <w:vAlign w:val="bottom"/>
          </w:tcPr>
          <w:p>
            <w:pPr>
              <w:ind w:left="140"/>
              <w:spacing w:after="0"/>
              <w:rPr>
                <w:sz w:val="20"/>
                <w:szCs w:val="20"/>
                <w:color w:val="auto"/>
              </w:rPr>
            </w:pPr>
            <w:r>
              <w:rPr>
                <w:rFonts w:ascii="Courier New" w:cs="Courier New" w:eastAsia="Courier New" w:hAnsi="Courier New"/>
                <w:sz w:val="14"/>
                <w:szCs w:val="14"/>
                <w:color w:val="auto"/>
              </w:rPr>
              <w:t>--  Consent of Kaplan</w:t>
            </w: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Sipos &amp; Associates Certified Public Accountants.</w:t>
            </w:r>
          </w:p>
        </w:tc>
      </w:tr>
      <w:tr>
        <w:trPr>
          <w:trHeight w:val="167"/>
        </w:trPr>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23.9</w:t>
            </w:r>
          </w:p>
        </w:tc>
        <w:tc>
          <w:tcPr>
            <w:tcW w:w="2000" w:type="dxa"/>
            <w:vAlign w:val="bottom"/>
          </w:tcPr>
          <w:p>
            <w:pPr>
              <w:ind w:left="140"/>
              <w:spacing w:after="0"/>
              <w:rPr>
                <w:sz w:val="20"/>
                <w:szCs w:val="20"/>
                <w:color w:val="auto"/>
              </w:rPr>
            </w:pPr>
            <w:r>
              <w:rPr>
                <w:rFonts w:ascii="Courier New" w:cs="Courier New" w:eastAsia="Courier New" w:hAnsi="Courier New"/>
                <w:sz w:val="14"/>
                <w:szCs w:val="14"/>
                <w:color w:val="auto"/>
              </w:rPr>
              <w:t>--  Consent of Blake,</w:t>
            </w: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Kuehler, Babione &amp; Pool.</w:t>
            </w:r>
          </w:p>
        </w:tc>
      </w:tr>
      <w:tr>
        <w:trPr>
          <w:trHeight w:val="167"/>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23.10</w:t>
            </w:r>
          </w:p>
        </w:tc>
        <w:tc>
          <w:tcPr>
            <w:tcW w:w="2000" w:type="dxa"/>
            <w:vAlign w:val="bottom"/>
          </w:tcPr>
          <w:p>
            <w:pPr>
              <w:ind w:left="140"/>
              <w:spacing w:after="0"/>
              <w:rPr>
                <w:sz w:val="20"/>
                <w:szCs w:val="20"/>
                <w:color w:val="auto"/>
              </w:rPr>
            </w:pPr>
            <w:r>
              <w:rPr>
                <w:rFonts w:ascii="Courier New" w:cs="Courier New" w:eastAsia="Courier New" w:hAnsi="Courier New"/>
                <w:sz w:val="14"/>
                <w:szCs w:val="14"/>
                <w:color w:val="auto"/>
              </w:rPr>
              <w:t>--  Consent of Buckno</w:t>
            </w:r>
          </w:p>
        </w:tc>
        <w:tc>
          <w:tcPr>
            <w:tcW w:w="6120" w:type="dxa"/>
            <w:vAlign w:val="bottom"/>
          </w:tcPr>
          <w:p>
            <w:pPr>
              <w:ind w:left="40"/>
              <w:spacing w:after="0"/>
              <w:rPr>
                <w:sz w:val="20"/>
                <w:szCs w:val="20"/>
                <w:color w:val="auto"/>
              </w:rPr>
            </w:pPr>
            <w:r>
              <w:rPr>
                <w:rFonts w:ascii="Courier New" w:cs="Courier New" w:eastAsia="Courier New" w:hAnsi="Courier New"/>
                <w:sz w:val="14"/>
                <w:szCs w:val="14"/>
                <w:color w:val="auto"/>
              </w:rPr>
              <w:t>Lisicky &amp; Company.</w:t>
            </w:r>
          </w:p>
        </w:tc>
      </w:tr>
      <w:tr>
        <w:trPr>
          <w:trHeight w:val="167"/>
        </w:trPr>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23.11</w:t>
            </w:r>
          </w:p>
        </w:tc>
        <w:tc>
          <w:tcPr>
            <w:tcW w:w="8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  Consent of Osburn, Henning and Company</w:t>
            </w:r>
          </w:p>
        </w:tc>
      </w:tr>
    </w:tbl>
    <w:p>
      <w:pPr>
        <w:sectPr>
          <w:pgSz w:w="11900" w:h="16838" w:orient="portrait"/>
          <w:cols w:equalWidth="0" w:num="1">
            <w:col w:w="9979"/>
          </w:cols>
          <w:pgMar w:left="480" w:top="286"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CERTIFICATE OF</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USA WASTE SERVICES, INC.</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AS TO PAYMENT OF ADDITIONAL REGISTRATION FEE</w:t>
      </w:r>
    </w:p>
    <w:p>
      <w:pPr>
        <w:spacing w:after="0" w:line="34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USA Waste Services, Inc. (the "Registrant") hereby certifies to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and Exchange Commission that on February 3, 1997:</w:t>
      </w:r>
    </w:p>
    <w:p>
      <w:pPr>
        <w:spacing w:after="0" w:line="175" w:lineRule="exact"/>
        <w:rPr>
          <w:sz w:val="20"/>
          <w:szCs w:val="20"/>
          <w:color w:val="auto"/>
        </w:rPr>
      </w:pPr>
    </w:p>
    <w:p>
      <w:pPr>
        <w:ind w:left="700" w:right="3379" w:firstLine="698"/>
        <w:spacing w:after="0" w:line="254" w:lineRule="auto"/>
        <w:tabs>
          <w:tab w:leader="none" w:pos="208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has instructed its bank to wire transfer to the Securities and Exchange Commission the requisite filing fee of $27,034 in connection with its Registration Statement pursuant to Rule 462(b) filed on February 3, 1997;</w:t>
      </w:r>
    </w:p>
    <w:p>
      <w:pPr>
        <w:spacing w:after="0" w:line="163" w:lineRule="exact"/>
        <w:rPr>
          <w:rFonts w:ascii="Courier New" w:cs="Courier New" w:eastAsia="Courier New" w:hAnsi="Courier New"/>
          <w:sz w:val="14"/>
          <w:szCs w:val="14"/>
          <w:color w:val="auto"/>
        </w:rPr>
      </w:pPr>
    </w:p>
    <w:p>
      <w:pPr>
        <w:ind w:left="2100" w:hanging="789"/>
        <w:spacing w:after="0"/>
        <w:tabs>
          <w:tab w:leader="none" w:pos="21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will not revoke such instructions;</w:t>
      </w:r>
    </w:p>
    <w:p>
      <w:pPr>
        <w:spacing w:after="0" w:line="175" w:lineRule="exact"/>
        <w:rPr>
          <w:rFonts w:ascii="Courier New" w:cs="Courier New" w:eastAsia="Courier New" w:hAnsi="Courier New"/>
          <w:sz w:val="14"/>
          <w:szCs w:val="14"/>
          <w:color w:val="auto"/>
        </w:rPr>
      </w:pPr>
    </w:p>
    <w:p>
      <w:pPr>
        <w:ind w:left="700" w:right="3539" w:firstLine="524"/>
        <w:spacing w:after="0" w:line="255" w:lineRule="auto"/>
        <w:tabs>
          <w:tab w:leader="none" w:pos="208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has sufficient funds in the account in which the wire transfer will originate to cover the amount of the filing fee.</w:t>
      </w:r>
    </w:p>
    <w:p>
      <w:pPr>
        <w:spacing w:after="0" w:line="162" w:lineRule="exact"/>
        <w:rPr>
          <w:sz w:val="20"/>
          <w:szCs w:val="20"/>
          <w:color w:val="auto"/>
        </w:rPr>
      </w:pPr>
    </w:p>
    <w:p>
      <w:pPr>
        <w:ind w:right="3639" w:firstLine="694"/>
        <w:spacing w:after="0" w:line="258" w:lineRule="auto"/>
        <w:rPr>
          <w:sz w:val="20"/>
          <w:szCs w:val="20"/>
          <w:color w:val="auto"/>
        </w:rPr>
      </w:pPr>
      <w:r>
        <w:rPr>
          <w:rFonts w:ascii="Courier New" w:cs="Courier New" w:eastAsia="Courier New" w:hAnsi="Courier New"/>
          <w:sz w:val="14"/>
          <w:szCs w:val="14"/>
          <w:color w:val="auto"/>
        </w:rPr>
        <w:t>The Registrant hereby undertakes to confirm on February 4, 1997 that its bank has received such instructions.</w:t>
      </w:r>
    </w:p>
    <w:p>
      <w:pPr>
        <w:spacing w:after="0" w:line="160"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USA WASTE SERVICES, INC.</w:t>
      </w: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By: /s/ Bruce E. Snyder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Bruce E. Snyder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Vice President - Chief Accounting Officer</w:t>
      </w:r>
    </w:p>
    <w:p>
      <w:pPr>
        <w:sectPr>
          <w:pgSz w:w="11900" w:h="16838" w:orient="portrait"/>
          <w:cols w:equalWidth="0" w:num="1">
            <w:col w:w="10239"/>
          </w:cols>
          <w:pgMar w:left="220" w:top="141"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[VINSON &amp; ELKINS L.L.P. LETTERHEAD]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
        <w:spacing w:after="0"/>
        <w:tabs>
          <w:tab w:leader="none" w:pos="780" w:val="left"/>
          <w:tab w:leader="none" w:pos="5720" w:val="left"/>
        </w:tabs>
        <w:rPr>
          <w:sz w:val="20"/>
          <w:szCs w:val="20"/>
          <w:color w:val="auto"/>
        </w:rPr>
      </w:pPr>
      <w:r>
        <w:rPr>
          <w:rFonts w:ascii="Courier New" w:cs="Courier New" w:eastAsia="Courier New" w:hAnsi="Courier New"/>
          <w:sz w:val="14"/>
          <w:szCs w:val="14"/>
          <w:color w:val="auto"/>
        </w:rPr>
        <w:t>(713)</w:t>
        <w:tab/>
        <w:t>758-2222</w:t>
      </w:r>
      <w:r>
        <w:rPr>
          <w:sz w:val="20"/>
          <w:szCs w:val="20"/>
          <w:color w:val="auto"/>
        </w:rPr>
        <w:tab/>
      </w:r>
      <w:r>
        <w:rPr>
          <w:rFonts w:ascii="Courier New" w:cs="Courier New" w:eastAsia="Courier New" w:hAnsi="Courier New"/>
          <w:sz w:val="14"/>
          <w:szCs w:val="14"/>
          <w:color w:val="auto"/>
        </w:rPr>
        <w:t>(713) 615-2346</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February 3, 1997</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Services,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1001 Fannin, Suite 4000</w:t>
      </w:r>
    </w:p>
    <w:p>
      <w:pPr>
        <w:spacing w:after="0" w:line="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Houston, Texas</w:t>
        <w:tab/>
        <w:t>77002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have acted as counsel to USA Waste Services, Inc., a Delaware corporation ("USA Waste"), in connection with the preparation of the Registration Statement on Form S-3 (the "Registration Statement") filed on February 3, 1997, with the Securities and Exchange Commission (the "Commission") under the Securities Act of 1933, as amended (the "Securities Act") pursuant to Rule 462(b), with respect to (a) USA Waste's (i) unsecured debt securities ("Debt Securities"), in one or more series, which may be senior or subordinated in priority of payment, any of which may be convertible or exchangeable into common stock, par value $.01 per share, of USA Waste ("Common Stock") and (ii) shares of Common Stock (such Debt Securities and Common Stock are collectively referred to herein as the "Securities"), which Securities may be issued from time to time pursuant to Rule 415 under the Securities Act for an aggregate initial offering price not to exceed $89,212,500.</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We have examined originals or copies, certified or otherwise identified to our satisfaction, of (i) the Restated Certificate of Incorporation and Bylaws of USA Waste, each as amended to the date hereof, (ii) the Senior Indenture (the "Senior Indenture") to be entered into between USA Waste and a trustee, in the form included as an exhibit to the Registration Statement, (iii) the Senior Subordinated Indenture (the "Subordinated Indenture") to be entered into between USA Waste and a trustee, in the form included as an exhibit to the Registration Statement, and (iv) such other certificates, statutes and other instruments and documents as we considered appropriate for purposes of the opinions hereafter expressed.</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connection with this opinion, we have assumed that (i) the Registration Statement, and any amendments thereto (including post-effective amendments), will have become effective; (ii) a Prospectus Supplement will have been prepared and filed with the Commission describing the Securities offered thereby; (iii) all Securities will be issued and sold in compliance with applicable federal and state securities laws and in the manner described in the Registration Statement and the applicable Prospectus Supplement; (iv) the Senior Indenture and the Subordinated Indenture will each be duly authorized, executed and delivered by USA Waste and a trustee qualified under the Trust Indenture Act of 1939, as amended (the "TIA"), in substantially the form reviewed by us; (v) a definitive purchase, underwriting or similar agreement with respect to any Securities offered will have been duly authorized and validly</w:t>
      </w:r>
    </w:p>
    <w:p>
      <w:pPr>
        <w:sectPr>
          <w:pgSz w:w="11900" w:h="16838" w:orient="portrait"/>
          <w:cols w:equalWidth="0" w:num="1">
            <w:col w:w="10239"/>
          </w:cols>
          <w:pgMar w:left="220" w:top="141"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Services,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3, 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34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executed and delivered by USA Waste and the other parties thereto; and (vi) any Securities issuable upon conversion, exchange or exercise of any Security being offered will have been duly authorized, created and, if appropriate, reserved for issuance upon such conversion, exchange or exercise.</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Based on the foregoing, we are of the opinion that:</w:t>
      </w:r>
    </w:p>
    <w:p>
      <w:pPr>
        <w:spacing w:after="0" w:line="175" w:lineRule="exact"/>
        <w:rPr>
          <w:sz w:val="20"/>
          <w:szCs w:val="20"/>
          <w:color w:val="auto"/>
        </w:rPr>
      </w:pPr>
    </w:p>
    <w:p>
      <w:pPr>
        <w:ind w:right="3539" w:firstLine="790"/>
        <w:spacing w:after="0" w:line="258" w:lineRule="auto"/>
        <w:tabs>
          <w:tab w:leader="none" w:pos="147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USA Waste has been duly incorporated and is validly existing and in good standing under the laws of the State of Delaware.</w:t>
      </w:r>
    </w:p>
    <w:p>
      <w:pPr>
        <w:spacing w:after="0" w:line="159" w:lineRule="exact"/>
        <w:rPr>
          <w:rFonts w:ascii="Courier New" w:cs="Courier New" w:eastAsia="Courier New" w:hAnsi="Courier New"/>
          <w:sz w:val="14"/>
          <w:szCs w:val="14"/>
          <w:color w:val="auto"/>
        </w:rPr>
      </w:pPr>
    </w:p>
    <w:p>
      <w:pPr>
        <w:ind w:right="3279" w:firstLine="790"/>
        <w:spacing w:after="0" w:line="252" w:lineRule="auto"/>
        <w:tabs>
          <w:tab w:leader="none" w:pos="147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Debt Securities to be issued under the Senior Indenture, when (i) the Board of Directors of USA Waste or, to the extent permitted by Section 141 of the Delaware General Corporation Act (the "DGCL"), a duly constituted and acting committee thereof (such Board of Directors or committee being referred to herein as the "Board") has taken all necessary corporate action to approve the issuance and terms of such Debt Securities, the terms of the offering thereof and related matters; (ii) the terms of such Debt Securities and of their issuance and sale have been established so as not to violate any applicable law or result in a default under or breach of any agreement or instrument binding upon USA Waste and so as to comply with any requirement or restriction imposed by any court or governmental body having jurisdiction over USA Waste; and (iii) such Debt Securities have been duly executed, authenticated, issued and delivered in accordance with the provisions of the Senior Indenture and in accordance with the applicable definitive purchase, underwriting or similar agreement approved by the Board upon payment of the consideration provided for therein, such Debt Securities will be legally issued and will constitute valid and binding obligations of USA Waste, enforceable against USA Waste in accordance with their terms, except as such enforcement is subject to any applicable bankruptcy, insolvency, reorganization or other law relating to or affecting creditors' rights generally and general principles of equity and will be entitled to the benefits of the Senior Indenture.</w:t>
      </w:r>
    </w:p>
    <w:p>
      <w:pPr>
        <w:spacing w:after="0" w:line="341" w:lineRule="exact"/>
        <w:rPr>
          <w:rFonts w:ascii="Courier New" w:cs="Courier New" w:eastAsia="Courier New" w:hAnsi="Courier New"/>
          <w:sz w:val="14"/>
          <w:szCs w:val="14"/>
          <w:color w:val="auto"/>
        </w:rPr>
      </w:pPr>
    </w:p>
    <w:p>
      <w:pPr>
        <w:ind w:right="3379" w:firstLine="790"/>
        <w:spacing w:after="0" w:line="253" w:lineRule="auto"/>
        <w:tabs>
          <w:tab w:leader="none" w:pos="147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Debt Securities to be issued under the Subordinated Indenture, when such Debt Securities have been duly executed, authenticated, issued and delivered in accordance with the provisions of the Subordinated Indenture and in accordance with the applicable definitive purchase, underwriting or similar agreement approved by the Board upon payment of the consideration provided for therein, such Debt Securities will be legally issued and will constitute valid and binding obligations of USA Waste, enforceable against USA Waste in accordance with their terms, except as such enforcement is subject to any applicable bankruptcy, insolvency, reorganization or other law relating to or affecting creditors' rights generally and general principles of equity and will be entitled to the benefits of the Subordinated Indenture.</w:t>
      </w:r>
    </w:p>
    <w:p>
      <w:pPr>
        <w:sectPr>
          <w:pgSz w:w="11900" w:h="16838" w:orient="portrait"/>
          <w:cols w:equalWidth="0" w:num="1">
            <w:col w:w="10239"/>
          </w:cols>
          <w:pgMar w:left="220" w:top="286"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Services,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3, 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w:t>
      </w:r>
    </w:p>
    <w:p>
      <w:pPr>
        <w:spacing w:after="0" w:line="342" w:lineRule="exact"/>
        <w:rPr>
          <w:sz w:val="20"/>
          <w:szCs w:val="20"/>
          <w:color w:val="auto"/>
        </w:rPr>
      </w:pPr>
    </w:p>
    <w:p>
      <w:pPr>
        <w:ind w:right="3279" w:firstLine="790"/>
        <w:spacing w:after="0" w:line="253" w:lineRule="auto"/>
        <w:tabs>
          <w:tab w:leader="none" w:pos="147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shares of Common Stock, when certificates representing the shares of Common Stock have been duly executed, countersigned, registered and delivered either (a) in accordance with the applicable definitive purchase, underwriting or similar agreement approved by the Board upon payment of the consideration therefor (not less than the par value of the Common Stock) provided for therein, or (b) upon conversion, exchange or exercise of any other Security in accordance with the terms of such Security or the instrument governing such Security providing for such conversion, exchange or exercise as approved by the Board, for the consideration approved by the Board (not less than the par value of the Common Stock and, in the case of shares of Common Stock issued upon the conversion, exchange or exercise of another security, the consideration specified in Section 153 of the DGCL), the shares of Common Stock will be duly authorized, validly issued, fully paid and non-assessable.</w:t>
      </w:r>
    </w:p>
    <w:p>
      <w:pPr>
        <w:spacing w:after="0" w:line="163"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The foregoing opinions are limited in all respects to the laws of the State of New York, the General Corporation Law of the State of Delaware and federal laws.</w:t>
      </w:r>
    </w:p>
    <w:p>
      <w:pPr>
        <w:spacing w:after="0" w:line="16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hereby consent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33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Very truly yours,</w:t>
      </w:r>
    </w:p>
    <w:p>
      <w:pPr>
        <w:spacing w:after="0" w:line="200" w:lineRule="exact"/>
        <w:rPr>
          <w:sz w:val="20"/>
          <w:szCs w:val="20"/>
          <w:color w:val="auto"/>
        </w:rPr>
      </w:pPr>
    </w:p>
    <w:p>
      <w:pPr>
        <w:spacing w:after="0" w:line="30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/s/ VINSON &amp; ELKINS L.L.P.</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VINSON &amp; ELKINS L.L.P.</w:t>
      </w:r>
    </w:p>
    <w:p>
      <w:pPr>
        <w:sectPr>
          <w:pgSz w:w="11900" w:h="16838" w:orient="portrait"/>
          <w:cols w:equalWidth="0" w:num="1">
            <w:col w:w="10239"/>
          </w:cols>
          <w:pgMar w:left="220" w:top="286"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w:t>
      </w:r>
    </w:p>
    <w:p>
      <w:pPr>
        <w:spacing w:after="0" w:line="342"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EXHIBIT 23.2</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of USA Waste Services, Inc. on Form S-3 of our report dated March 1, 1996, on our audits of the consolidated financial statements of USA Waste Services, Inc. and subsidiaries as of December 31, 1995 and 1994, and for each of the three years in the period ended December 31, 1995, which is included in USA Waste Services, Inc.'s Annual Report on Form 10-K for the fiscal year ended December 31, 1995, our report dated May 23, 1996, on our audits of the supplemental consolidated balance sheets of USA Waste Services, Inc. and subsidiaries as of December 31, 1995 and 1994, and the related supplemental consolidated statements of operations, stockholders' equity, and cash flows for each of the years in the three year period ended December 31, 1995, which are included in USA Waste Services, Inc.'s Current report on Form 8-K/A filed on July 1, 1996 with the Securities and Exchange Commission, and our report dated November 8, 1996, on our audits of the supplemental consolidated balance sheets of USA Waste Services, Inc. and subsidiaries as of December 31, 1995 and 1994, and the related supplemental consolidated statements of operations, stockholders' equity, and cash flows for each of the years in the three year period ended December 31, 1995, which are included in USA Waste Services, Inc.'s Current Report on Form 8-K filed on November 12, 1996 with the Securities and Exchange Commission.</w:t>
      </w:r>
    </w:p>
    <w:p>
      <w:pPr>
        <w:spacing w:after="0" w:line="341"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COOPERS &amp; LYBRAND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Houston,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3, 1997</w:t>
      </w:r>
    </w:p>
    <w:p>
      <w:pPr>
        <w:sectPr>
          <w:pgSz w:w="11900" w:h="16838" w:orient="portrait"/>
          <w:cols w:equalWidth="0" w:num="1">
            <w:col w:w="10239"/>
          </w:cols>
          <w:pgMar w:left="220" w:top="141"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ind w:left="5660"/>
        <w:spacing w:after="0"/>
        <w:rPr>
          <w:sz w:val="20"/>
          <w:szCs w:val="20"/>
          <w:color w:val="auto"/>
        </w:rPr>
      </w:pPr>
      <w:r>
        <w:rPr>
          <w:rFonts w:ascii="Courier New" w:cs="Courier New" w:eastAsia="Courier New" w:hAnsi="Courier New"/>
          <w:sz w:val="14"/>
          <w:szCs w:val="14"/>
          <w:color w:val="auto"/>
        </w:rPr>
        <w:t>Exhibit 23.3</w:t>
      </w:r>
    </w:p>
    <w:p>
      <w:pPr>
        <w:spacing w:after="0" w:line="34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As independent public accountants, we hereby consent to the incorporation by reference in this registration statement of USA Waste Services, Inc. on Form S-3 of (a) our report dated February 23, 1996 (except with respect to the matters discussed in paragraphs one and two of Note 16, as to which the dates are March 4, 1996 and March 18, 1996 as indicated) with respect to the consolidated balance sheets of Sanifill, Inc. and subsidiaries as of December 31, 1995 and 1994, and the related consolidated statements of operations, stockholders' investment and cash flows for each of the three years in the period ended December 31, 1995 which is included in the Current Report on Form 8-K of USA Waste Services, Inc. dated November 12, 1996; (b) our report dated September 13, 1996, with respect to the combined balance sheet of the Combined Companies (consisting of City Disposal, Inc., Alpine Disposal and Recycling, Inc. and L. G. Industries, Inc.) as of December 31, 1995, and the related combined statements of operations, stockholders' equity and partners' capital and cash flows for the year then ended, which is included in the Current Report on Form 8-K/A of USA Waste Services, Inc. filed on November 15, 1996; and (c) to all references to our Firm included in this registration statement.</w:t>
      </w:r>
    </w:p>
    <w:p>
      <w:pPr>
        <w:spacing w:after="0" w:line="340"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ARTHUR ANDERSEN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Houston,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3, 1997</w:t>
      </w:r>
    </w:p>
    <w:p>
      <w:pPr>
        <w:sectPr>
          <w:pgSz w:w="11900" w:h="16838" w:orient="portrait"/>
          <w:cols w:equalWidth="0" w:num="1">
            <w:col w:w="10239"/>
          </w:cols>
          <w:pgMar w:left="220" w:top="141"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EXHIBIT 23.4</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CONSENT OF INDEPENDENT AUDITORS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on Form S-3 of USA Waste Services, Inc. of our reports (a) dated August 25, 1995 (except Note 8, as to which the date is September 12, 1995) with respect to the consolidated financial statements of Western Waste Industries at June 30, 1995 and 1994, and for each of the three years in the period ended June 30, 1995 included in USA Waste Services, Inc.'s Current Report on Form 8-K dated January 9, 1996, and (b) dated August 25, 1995 (except Note 8, as to which the date is September 12, 1995) with respect to the consolidated financial statements of Western Waste Industries at June 30, 1995 and 1994, and for each of the two years in the period ended June 30, 1995 (which consolidated financial statements are not presented separately therein) included in USA Waste Services, Inc.'s Current Report on Form 8-K/A (Amendment No. 3), dated July 1, 1996, both filed with the Securities and Exchange Commission.</w:t>
      </w:r>
    </w:p>
    <w:p>
      <w:pPr>
        <w:spacing w:after="0" w:line="330"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Ernst &amp; Young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 Beach, 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3, 1997</w:t>
      </w:r>
    </w:p>
    <w:p>
      <w:pPr>
        <w:sectPr>
          <w:pgSz w:w="11900" w:h="16838" w:orient="portrait"/>
          <w:cols w:equalWidth="0" w:num="1">
            <w:col w:w="10239"/>
          </w:cols>
          <w:pgMar w:left="220" w:top="141"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EXHIBIT 23.5</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INDEPENDENT AUDITORS' CONSENT</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of USA Waste Services, Inc. on Form S-3 of our report dated March 30, 1995 (relating to the consolidated financial statements of Chambers Development Company, Inc. and subsidiaries not presented separately herein) appearing in USA Waste Services, Inc.'s Annual Report on Form 10-K for the year ended December 31, 1995 and USA Waste Services, Inc.'s Current Report on Form 8-K/A, Amendment No. 3, filed on July 1, 1996.</w:t>
      </w:r>
    </w:p>
    <w:p>
      <w:pPr>
        <w:spacing w:after="0" w:line="165"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DELOITTE &amp; TOUCHE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Pittsburgh, Pennsylvania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3, 1997</w:t>
      </w:r>
    </w:p>
    <w:p>
      <w:pPr>
        <w:sectPr>
          <w:pgSz w:w="11900" w:h="16838" w:orient="portrait"/>
          <w:cols w:equalWidth="0" w:num="1">
            <w:col w:w="10239"/>
          </w:cols>
          <w:pgMar w:left="220" w:top="141"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EXHIBIT 23.6</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CONSENT OF INDEPENDENT AUDITORS</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of USA Waste Services, Inc. on Form S-3 of our report dated October 25, 1996, on our audit of the balance sheet of the business of Les Enterprises de Rebuts Sanipan Inc. acquired by USA Waste Services, Inc. as of December 31, 1995, and the related statements of earnings and retained earnings and changes in financial position for the year then ended, our report dated October 25, 1996, on our audit of the balance sheet of Transport Sanico Ltee as of December 31, 1995, and the related statements of earnings and retained earnings and changes in financial position for the year then ended, our report dated November 8, 1996, on our audit of the historical summary of revenues and direct operating expenses of the Combined Ontario and Michigan Operations of the Solid Waste Division of Philip Environmental Inc. for the year ended December 31, 1995, and our report dated November 8, 1996, on our audit of the historical summary of the net book value of property, plant and equipment of the Combined Ontario and Michigan Operations of the Solid Waste Division of Philip Environmental Inc. for the year ended December 31, 1995, which are included in USA Waste Services, Inc.'s Current Report on Form 8-K/A filed November 15, 1996.</w:t>
      </w:r>
    </w:p>
    <w:p>
      <w:pPr>
        <w:spacing w:after="0" w:line="340"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DELOITTE &amp; TOUCHE</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Chartered Accountants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Mississauga, Ontario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3, 1997</w:t>
      </w:r>
    </w:p>
    <w:p>
      <w:pPr>
        <w:sectPr>
          <w:pgSz w:w="11900" w:h="16838" w:orient="portrait"/>
          <w:cols w:equalWidth="0" w:num="1">
            <w:col w:w="10239"/>
          </w:cols>
          <w:pgMar w:left="220" w:top="141"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EXHIBIT 23.7</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of USA Waste Services, Inc. on Form S-3 of our report dated October 15, 1996, on our audit of the balance sheet of Kasper Brothers, Inc. as of September 30, 1995 and the related statements of operations and retained earnings and cash flows for the fiscal year then ended, which is included in USA Waste Services, Inc.'s Current Report on Form 8-K/A filed November 15, 1996.</w:t>
      </w:r>
    </w:p>
    <w:p>
      <w:pPr>
        <w:spacing w:after="0" w:line="16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COOPERS &amp; LYBRAND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3, 1997</w:t>
      </w:r>
    </w:p>
    <w:p>
      <w:pPr>
        <w:sectPr>
          <w:pgSz w:w="11900" w:h="16838" w:orient="portrait"/>
          <w:cols w:equalWidth="0" w:num="1">
            <w:col w:w="10239"/>
          </w:cols>
          <w:pgMar w:left="220" w:top="141"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EXHIBIT 23.8</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of USA Waste Services, Inc. on Form S-3 of our report dated March 11, 1996, on our audit of the combined balance sheet of the Arnoni Group of Companies (consisting of The Arnoni Group, Inc., M.C. Arnoni Company, South Hills Disposal Company, Cochran Mill Associates, Inc. and Arnoni Family Partnership) as of December 31, 1995, and the related combined statement of income and retained earnings and combined statement of cash flows for the year then ended, which is included in USA Waste Services, Inc.'s Current Report on Form 8-K/A filed November 15, 1996.</w:t>
      </w:r>
    </w:p>
    <w:p>
      <w:pPr>
        <w:spacing w:after="0" w:line="200" w:lineRule="exact"/>
        <w:rPr>
          <w:sz w:val="20"/>
          <w:szCs w:val="20"/>
          <w:color w:val="auto"/>
        </w:rPr>
      </w:pPr>
    </w:p>
    <w:p>
      <w:pPr>
        <w:spacing w:after="0" w:line="29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KAPLAN SIPOS &amp; ASSOCIATES</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CERTIFIED PUBLIC ACCOUNTANTS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Pittsburgh, Pennsylvania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3, 1997</w:t>
      </w:r>
    </w:p>
    <w:p>
      <w:pPr>
        <w:sectPr>
          <w:pgSz w:w="11900" w:h="16838" w:orient="portrait"/>
          <w:cols w:equalWidth="0" w:num="1">
            <w:col w:w="10239"/>
          </w:cols>
          <w:pgMar w:left="220" w:top="141"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EXHIBIT 23.9</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of USA Waste Services, Inc. on Form S-3 of our report dated March 18, 1996, on our audit of the balance sheet of Jennings Environmental Services, Inc. (an</w:t>
      </w:r>
    </w:p>
    <w:p>
      <w:pPr>
        <w:spacing w:after="0" w:line="1"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S Corporation) as of December 31, 1995 and the related statements of income and changes in stockholders' equity and the statement of cash flows for the year then ended, which is included in USA Waste Services, Inc.'s Current Report on Form 8-K/A filed November 15, 1996.</w:t>
      </w:r>
    </w:p>
    <w:p>
      <w:pPr>
        <w:spacing w:after="0" w:line="330"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4"/>
          <w:szCs w:val="14"/>
          <w:color w:val="auto"/>
        </w:rPr>
        <w:t>BLAKE, KUEHLER, BABIONE &amp; POOL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Orlando, Florida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3, 1997</w:t>
      </w:r>
    </w:p>
    <w:p>
      <w:pPr>
        <w:sectPr>
          <w:pgSz w:w="11900" w:h="16838" w:orient="portrait"/>
          <w:cols w:equalWidth="0" w:num="1">
            <w:col w:w="10239"/>
          </w:cols>
          <w:pgMar w:left="220" w:top="141"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23.10</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of USA Waste Services, Inc. on Form S-3 of our report dated September 19, 1996, on our audits of the combined balance sheet of Grand Central Sanitation, Inc. and Related Companies as of December 31, 1995, and the related combined statements of income, stockholders' equity and cash flows for the year then ended, which is included in USA Waste Services, Inc.'s Current Report on Form 8-K/A filed November 15, 1996.</w:t>
      </w:r>
    </w:p>
    <w:p>
      <w:pPr>
        <w:spacing w:after="0" w:line="332"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BUCKNO LISICKY &amp; COMPANY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Allentown, Pennsylvania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3, 1997</w:t>
      </w:r>
    </w:p>
    <w:p>
      <w:pPr>
        <w:sectPr>
          <w:pgSz w:w="11900" w:h="16838" w:orient="portrait"/>
          <w:cols w:equalWidth="0" w:num="1">
            <w:col w:w="10239"/>
          </w:cols>
          <w:pgMar w:left="220" w:top="141"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EXHIBIT 23.11</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CONSENT OF INDEPENDENT AUDITORS</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We consent of the incorporation by reference in this registration statement of USA Waste Services, Inc. on Form S-3 of our report dated July 13, 1996, on our audit of the combined balance sheet of The Orange Group (consisting of Orange Waste, Recycling &amp; Materials, Inc., Orange Soil Cement, Inc., Orange Trucking, Inc. and Orange Transportation Corp.), as of December 31, 1995, and the related combined statements of operations, retained earnings, and cash flows for the year then ended, which is included in USA Waste Services, Inc.'s Current Report on Form 8-K/A filed November 15, 1996.</w:t>
      </w:r>
    </w:p>
    <w:p>
      <w:pPr>
        <w:spacing w:after="0" w:line="332"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OSBURN, HENNING AND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Orlando, Florida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3, 1997</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lowerRoman"/>
      <w:start w:val="3"/>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lowerRoman"/>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2019-12-20T04:13:40Z</dcterms:created>
  <dcterms:modified xsi:type="dcterms:W3CDTF">2019-12-20T04:13:40Z</dcterms:modified>
</cp:coreProperties>
</file>