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160" w:hanging="1014"/>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w:t>
      </w:r>
    </w:p>
    <w:p>
      <w:pPr>
        <w:spacing w:after="0" w:line="13"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ind w:left="1160"/>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 w:lineRule="exact"/>
        <w:rPr>
          <w:sz w:val="24"/>
          <w:szCs w:val="24"/>
          <w:color w:val="auto"/>
        </w:rPr>
      </w:pPr>
    </w:p>
    <w:p>
      <w:pPr>
        <w:ind w:left="6200"/>
        <w:spacing w:after="0"/>
        <w:rPr>
          <w:sz w:val="20"/>
          <w:szCs w:val="20"/>
          <w:color w:val="auto"/>
        </w:rPr>
      </w:pPr>
      <w:r>
        <w:rPr>
          <w:rFonts w:ascii="Arial" w:cs="Arial" w:eastAsia="Arial" w:hAnsi="Arial"/>
          <w:sz w:val="18"/>
          <w:szCs w:val="18"/>
          <w:b w:val="1"/>
          <w:bCs w:val="1"/>
          <w:color w:val="auto"/>
        </w:rPr>
        <w:t>or</w:t>
      </w:r>
    </w:p>
    <w:p>
      <w:pPr>
        <w:ind w:left="1160" w:hanging="1014"/>
        <w:spacing w:after="0" w:line="237" w:lineRule="auto"/>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w:t>
      </w:r>
    </w:p>
    <w:p>
      <w:pPr>
        <w:spacing w:after="0" w:line="1"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381" w:right="239" w:bottom="1440" w:gutter="0" w:footer="0" w:header="0"/>
        </w:sectPr>
      </w:pPr>
    </w:p>
    <w:p>
      <w:pPr>
        <w:spacing w:after="0" w:line="4"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38" w:lineRule="exact"/>
        <w:rPr>
          <w:sz w:val="24"/>
          <w:szCs w:val="24"/>
          <w:color w:val="auto"/>
        </w:rPr>
      </w:pPr>
    </w:p>
    <w:p>
      <w:pPr>
        <w:sectPr>
          <w:pgSz w:w="11900" w:h="16838" w:orient="portrait"/>
          <w:cols w:equalWidth="0" w:num="2">
            <w:col w:w="3420" w:space="620"/>
            <w:col w:w="738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Waste Management, Inc.</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20"/>
          </w:cols>
          <w:pgMar w:left="240" w:top="381" w:right="239" w:bottom="1440" w:gutter="0" w:footer="0" w:header="0"/>
          <w:type w:val="continuous"/>
        </w:sectPr>
      </w:pPr>
    </w:p>
    <w:p>
      <w:pPr>
        <w:spacing w:after="0" w:line="187"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56" w:lineRule="exact"/>
        <w:rPr>
          <w:sz w:val="24"/>
          <w:szCs w:val="24"/>
          <w:color w:val="auto"/>
        </w:rPr>
      </w:pPr>
    </w:p>
    <w:p>
      <w:pPr>
        <w:sectPr>
          <w:pgSz w:w="11900" w:h="16838" w:orient="portrait"/>
          <w:cols w:equalWidth="0" w:num="2">
            <w:col w:w="7540" w:space="720"/>
            <w:col w:w="3160"/>
          </w:cols>
          <w:pgMar w:left="240" w:top="381" w:right="239" w:bottom="1440" w:gutter="0" w:footer="0" w:header="0"/>
          <w:type w:val="continuous"/>
        </w:sectPr>
      </w:pPr>
    </w:p>
    <w:p>
      <w:pPr>
        <w:ind w:left="208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ind w:left="204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71" w:lineRule="exact"/>
        <w:rPr>
          <w:sz w:val="24"/>
          <w:szCs w:val="24"/>
          <w:color w:val="auto"/>
        </w:rPr>
      </w:pPr>
    </w:p>
    <w:p>
      <w:pPr>
        <w:sectPr>
          <w:pgSz w:w="11900" w:h="16838" w:orient="portrait"/>
          <w:cols w:equalWidth="0" w:num="2">
            <w:col w:w="7460" w:space="720"/>
            <w:col w:w="324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1001 Fannin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43"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81" w:right="239" w:bottom="1440" w:gutter="0" w:footer="0" w:header="0"/>
          <w:type w:val="continuous"/>
        </w:sectPr>
      </w:pPr>
    </w:p>
    <w:p>
      <w:pPr>
        <w:spacing w:after="0" w:line="85"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07" w:lineRule="exact"/>
        <w:tabs>
          <w:tab w:leader="none" w:pos="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p>
      <w:pPr>
        <w:spacing w:after="0" w:line="56" w:lineRule="exact"/>
        <w:rPr>
          <w:sz w:val="24"/>
          <w:szCs w:val="24"/>
          <w:color w:val="auto"/>
        </w:rPr>
      </w:pPr>
    </w:p>
    <w:p>
      <w:pPr>
        <w:ind w:left="160"/>
        <w:spacing w:after="0"/>
        <w:rPr>
          <w:sz w:val="20"/>
          <w:szCs w:val="20"/>
          <w:color w:val="auto"/>
        </w:rPr>
      </w:pPr>
      <w:r>
        <w:rPr>
          <w:rFonts w:ascii="Arial" w:cs="Arial" w:eastAsia="Arial" w:hAnsi="Arial"/>
          <w:sz w:val="16"/>
          <w:szCs w:val="16"/>
          <w:color w:val="auto"/>
        </w:rPr>
        <w:t>(Do not check if a smaller reporting company)</w:t>
      </w:r>
    </w:p>
    <w:p>
      <w:pPr>
        <w:spacing w:after="0" w:line="148" w:lineRule="exact"/>
        <w:rPr>
          <w:sz w:val="24"/>
          <w:szCs w:val="24"/>
          <w:color w:val="auto"/>
        </w:rPr>
      </w:pPr>
    </w:p>
    <w:p>
      <w:pPr>
        <w:sectPr>
          <w:pgSz w:w="11900" w:h="16838" w:orient="portrait"/>
          <w:cols w:equalWidth="0" w:num="6">
            <w:col w:w="1580" w:space="100"/>
            <w:col w:w="140" w:space="320"/>
            <w:col w:w="1160" w:space="100"/>
            <w:col w:w="160" w:space="260"/>
            <w:col w:w="1480" w:space="100"/>
            <w:col w:w="6020"/>
          </w:cols>
          <w:pgMar w:left="240" w:top="381"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700" w:space="180"/>
            <w:col w:w="240" w:space="100"/>
            <w:col w:w="160" w:space="180"/>
            <w:col w:w="200" w:space="100"/>
            <w:col w:w="2560"/>
          </w:cols>
          <w:pgMar w:left="240" w:top="381" w:right="23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July 20, 2012 was 463,557,830 (excluding treasury shares of 166,724,631).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8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8000" w:type="dxa"/>
            <w:vAlign w:val="bottom"/>
          </w:tcPr>
          <w:p>
            <w:pPr>
              <w:jc w:val="center"/>
              <w:ind w:left="2507"/>
              <w:spacing w:after="0"/>
              <w:rPr>
                <w:sz w:val="20"/>
                <w:szCs w:val="20"/>
                <w:color w:val="auto"/>
              </w:rPr>
            </w:pPr>
            <w:r>
              <w:rPr>
                <w:rFonts w:ascii="Arial" w:cs="Arial" w:eastAsia="Arial" w:hAnsi="Arial"/>
                <w:sz w:val="18"/>
                <w:szCs w:val="18"/>
                <w:b w:val="1"/>
                <w:bCs w:val="1"/>
                <w:color w:val="auto"/>
                <w:w w:val="96"/>
              </w:rPr>
              <w:t>PART I.</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2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b w:val="1"/>
                <w:bCs w:val="1"/>
                <w:i w:val="1"/>
                <w:iCs w:val="1"/>
                <w:color w:val="auto"/>
              </w:rPr>
              <w:t>Financial Statements.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0" w:type="dxa"/>
            <w:vAlign w:val="bottom"/>
          </w:tcPr>
          <w:p>
            <w:pPr>
              <w:spacing w:after="0"/>
              <w:rPr>
                <w:sz w:val="24"/>
                <w:szCs w:val="24"/>
                <w:color w:val="auto"/>
              </w:rPr>
            </w:pPr>
          </w:p>
        </w:tc>
        <w:tc>
          <w:tcPr>
            <w:tcW w:w="8000" w:type="dxa"/>
            <w:vAlign w:val="bottom"/>
          </w:tcPr>
          <w:p>
            <w:pPr>
              <w:jc w:val="center"/>
              <w:ind w:left="2507"/>
              <w:spacing w:after="0"/>
              <w:rPr>
                <w:sz w:val="20"/>
                <w:szCs w:val="20"/>
                <w:color w:val="auto"/>
              </w:rPr>
            </w:pPr>
            <w:r>
              <w:rPr>
                <w:rFonts w:ascii="Arial" w:cs="Arial" w:eastAsia="Arial" w:hAnsi="Arial"/>
                <w:sz w:val="18"/>
                <w:szCs w:val="18"/>
                <w:b w:val="1"/>
                <w:bCs w:val="1"/>
                <w:color w:val="auto"/>
                <w:w w:val="97"/>
              </w:rPr>
              <w:t>WASTE MANAGEMENT, INC.</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20" w:type="dxa"/>
            <w:vAlign w:val="bottom"/>
          </w:tcPr>
          <w:p>
            <w:pPr>
              <w:spacing w:after="0"/>
              <w:rPr>
                <w:sz w:val="24"/>
                <w:szCs w:val="24"/>
                <w:color w:val="auto"/>
              </w:rPr>
            </w:pPr>
          </w:p>
        </w:tc>
        <w:tc>
          <w:tcPr>
            <w:tcW w:w="8000" w:type="dxa"/>
            <w:vAlign w:val="bottom"/>
          </w:tcPr>
          <w:p>
            <w:pPr>
              <w:jc w:val="center"/>
              <w:ind w:left="2507"/>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8000" w:type="dxa"/>
            <w:vAlign w:val="bottom"/>
          </w:tcPr>
          <w:p>
            <w:pPr>
              <w:jc w:val="center"/>
              <w:ind w:left="2507"/>
              <w:spacing w:after="0"/>
              <w:rPr>
                <w:sz w:val="20"/>
                <w:szCs w:val="20"/>
                <w:color w:val="auto"/>
              </w:rPr>
            </w:pPr>
            <w:r>
              <w:rPr>
                <w:rFonts w:ascii="Arial" w:cs="Arial" w:eastAsia="Arial" w:hAnsi="Arial"/>
                <w:sz w:val="18"/>
                <w:szCs w:val="18"/>
                <w:b w:val="1"/>
                <w:bCs w:val="1"/>
                <w:color w:val="auto"/>
                <w:w w:val="89"/>
              </w:rPr>
              <w:t>(In Millions, Except Share and Par Value Amounts)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4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4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8000" w:type="dxa"/>
            <w:vAlign w:val="bottom"/>
            <w:shd w:val="clear" w:color="auto" w:fill="CCEEFF"/>
          </w:tcPr>
          <w:p>
            <w:pPr>
              <w:ind w:left="5000"/>
              <w:spacing w:after="0" w:line="149" w:lineRule="exact"/>
              <w:rPr>
                <w:sz w:val="20"/>
                <w:szCs w:val="20"/>
                <w:color w:val="auto"/>
              </w:rPr>
            </w:pPr>
            <w:r>
              <w:rPr>
                <w:rFonts w:ascii="Arial" w:cs="Arial" w:eastAsia="Arial" w:hAnsi="Arial"/>
                <w:sz w:val="14"/>
                <w:szCs w:val="14"/>
                <w:b w:val="1"/>
                <w:bCs w:val="1"/>
                <w:color w:val="auto"/>
              </w:rPr>
              <w:t>ASSETS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20" w:type="dxa"/>
            <w:vAlign w:val="bottom"/>
            <w:gridSpan w:val="2"/>
          </w:tcPr>
          <w:p>
            <w:pPr>
              <w:spacing w:after="0" w:line="149" w:lineRule="exact"/>
              <w:rPr>
                <w:sz w:val="20"/>
                <w:szCs w:val="20"/>
                <w:color w:val="auto"/>
              </w:rPr>
            </w:pPr>
            <w:r>
              <w:rPr>
                <w:rFonts w:ascii="Arial" w:cs="Arial" w:eastAsia="Arial" w:hAnsi="Arial"/>
                <w:sz w:val="14"/>
                <w:szCs w:val="14"/>
                <w:color w:val="auto"/>
              </w:rPr>
              <w:t>Current assets: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6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49"/>
        </w:trPr>
        <w:tc>
          <w:tcPr>
            <w:tcW w:w="84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Accounts receivable, net of allowance for doubtful accounts of $34 and $29, respectively</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1,694</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1,631</w:t>
            </w:r>
          </w:p>
        </w:tc>
        <w:tc>
          <w:tcPr>
            <w:tcW w:w="0" w:type="dxa"/>
            <w:vAlign w:val="bottom"/>
          </w:tcPr>
          <w:p>
            <w:pPr>
              <w:spacing w:after="0"/>
              <w:rPr>
                <w:sz w:val="1"/>
                <w:szCs w:val="1"/>
                <w:color w:val="auto"/>
              </w:rPr>
            </w:pPr>
          </w:p>
        </w:tc>
      </w:tr>
      <w:tr>
        <w:trPr>
          <w:trHeight w:val="149"/>
        </w:trPr>
        <w:tc>
          <w:tcPr>
            <w:tcW w:w="8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receivables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49"/>
        </w:trPr>
        <w:tc>
          <w:tcPr>
            <w:tcW w:w="84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Parts and supplies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8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56"/>
        </w:trPr>
        <w:tc>
          <w:tcPr>
            <w:tcW w:w="84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Other assets</w:t>
            </w:r>
          </w:p>
        </w:tc>
        <w:tc>
          <w:tcPr>
            <w:tcW w:w="6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166</w:t>
            </w:r>
          </w:p>
        </w:tc>
        <w:tc>
          <w:tcPr>
            <w:tcW w:w="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8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Total current assets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2,454</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2,379</w:t>
            </w:r>
          </w:p>
        </w:tc>
        <w:tc>
          <w:tcPr>
            <w:tcW w:w="0" w:type="dxa"/>
            <w:vAlign w:val="bottom"/>
          </w:tcPr>
          <w:p>
            <w:pPr>
              <w:spacing w:after="0"/>
              <w:rPr>
                <w:sz w:val="1"/>
                <w:szCs w:val="1"/>
                <w:color w:val="auto"/>
              </w:rPr>
            </w:pPr>
          </w:p>
        </w:tc>
      </w:tr>
      <w:tr>
        <w:trPr>
          <w:trHeight w:val="149"/>
        </w:trPr>
        <w:tc>
          <w:tcPr>
            <w:tcW w:w="842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equipment, net of accumulated depreciation and amortization of $15,735 and $15,308 respectively</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12,360</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12,242</w:t>
            </w:r>
          </w:p>
        </w:tc>
        <w:tc>
          <w:tcPr>
            <w:tcW w:w="0" w:type="dxa"/>
            <w:vAlign w:val="bottom"/>
          </w:tcPr>
          <w:p>
            <w:pPr>
              <w:spacing w:after="0"/>
              <w:rPr>
                <w:sz w:val="1"/>
                <w:szCs w:val="1"/>
                <w:color w:val="auto"/>
              </w:rPr>
            </w:pPr>
          </w:p>
        </w:tc>
      </w:tr>
      <w:tr>
        <w:trPr>
          <w:trHeight w:val="149"/>
        </w:trPr>
        <w:tc>
          <w:tcPr>
            <w:tcW w:w="8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6,237</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6,215</w:t>
            </w:r>
          </w:p>
        </w:tc>
        <w:tc>
          <w:tcPr>
            <w:tcW w:w="0" w:type="dxa"/>
            <w:vAlign w:val="bottom"/>
          </w:tcPr>
          <w:p>
            <w:pPr>
              <w:spacing w:after="0"/>
              <w:rPr>
                <w:sz w:val="1"/>
                <w:szCs w:val="1"/>
                <w:color w:val="auto"/>
              </w:rPr>
            </w:pPr>
          </w:p>
        </w:tc>
      </w:tr>
      <w:tr>
        <w:trPr>
          <w:trHeight w:val="149"/>
        </w:trPr>
        <w:tc>
          <w:tcPr>
            <w:tcW w:w="8420" w:type="dxa"/>
            <w:vAlign w:val="bottom"/>
            <w:gridSpan w:val="2"/>
          </w:tcPr>
          <w:p>
            <w:pPr>
              <w:spacing w:after="0" w:line="149" w:lineRule="exact"/>
              <w:rPr>
                <w:sz w:val="20"/>
                <w:szCs w:val="20"/>
                <w:color w:val="auto"/>
              </w:rPr>
            </w:pPr>
            <w:r>
              <w:rPr>
                <w:rFonts w:ascii="Arial" w:cs="Arial" w:eastAsia="Arial" w:hAnsi="Arial"/>
                <w:sz w:val="14"/>
                <w:szCs w:val="14"/>
                <w:color w:val="auto"/>
              </w:rPr>
              <w:t>Other intangible assets, net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416</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49"/>
        </w:trPr>
        <w:tc>
          <w:tcPr>
            <w:tcW w:w="8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Investments in unconsolidated entities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56"/>
        </w:trPr>
        <w:tc>
          <w:tcPr>
            <w:tcW w:w="8420" w:type="dxa"/>
            <w:vAlign w:val="bottom"/>
            <w:gridSpan w:val="2"/>
          </w:tcPr>
          <w:p>
            <w:pPr>
              <w:spacing w:after="0" w:line="149" w:lineRule="exact"/>
              <w:rPr>
                <w:sz w:val="20"/>
                <w:szCs w:val="20"/>
                <w:color w:val="auto"/>
              </w:rPr>
            </w:pPr>
            <w:r>
              <w:rPr>
                <w:rFonts w:ascii="Arial" w:cs="Arial" w:eastAsia="Arial" w:hAnsi="Arial"/>
                <w:sz w:val="14"/>
                <w:szCs w:val="14"/>
                <w:color w:val="auto"/>
              </w:rPr>
              <w:t>Other assets</w:t>
            </w:r>
          </w:p>
        </w:tc>
        <w:tc>
          <w:tcPr>
            <w:tcW w:w="6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568</w:t>
            </w:r>
          </w:p>
        </w:tc>
        <w:tc>
          <w:tcPr>
            <w:tcW w:w="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8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Total assets</w:t>
            </w:r>
          </w:p>
        </w:tc>
        <w:tc>
          <w:tcPr>
            <w:tcW w:w="6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22,691</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22,569</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00" w:type="dxa"/>
            <w:vAlign w:val="bottom"/>
            <w:vMerge w:val="restart"/>
          </w:tcPr>
          <w:p>
            <w:pPr>
              <w:ind w:left="4400"/>
              <w:spacing w:after="0"/>
              <w:rPr>
                <w:sz w:val="20"/>
                <w:szCs w:val="20"/>
                <w:color w:val="auto"/>
              </w:rPr>
            </w:pPr>
            <w:r>
              <w:rPr>
                <w:rFonts w:ascii="Arial" w:cs="Arial" w:eastAsia="Arial" w:hAnsi="Arial"/>
                <w:sz w:val="14"/>
                <w:szCs w:val="14"/>
                <w:b w:val="1"/>
                <w:bCs w:val="1"/>
                <w:color w:val="auto"/>
              </w:rPr>
              <w:t>LIABILITIES AND EQUITY</w:t>
            </w: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 w:type="dxa"/>
            <w:vAlign w:val="bottom"/>
          </w:tcPr>
          <w:p>
            <w:pPr>
              <w:spacing w:after="0"/>
              <w:rPr>
                <w:sz w:val="24"/>
                <w:szCs w:val="24"/>
                <w:color w:val="auto"/>
              </w:rPr>
            </w:pPr>
          </w:p>
        </w:tc>
        <w:tc>
          <w:tcPr>
            <w:tcW w:w="80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68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720</w:t>
            </w:r>
          </w:p>
        </w:tc>
        <w:tc>
          <w:tcPr>
            <w:tcW w:w="82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149"/>
        </w:trPr>
        <w:tc>
          <w:tcPr>
            <w:tcW w:w="8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liabilities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149"/>
        </w:trPr>
        <w:tc>
          <w:tcPr>
            <w:tcW w:w="84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Deferred revenues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49"/>
        </w:trPr>
        <w:tc>
          <w:tcPr>
            <w:tcW w:w="8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portion of long-term debt</w:t>
            </w:r>
          </w:p>
        </w:tc>
        <w:tc>
          <w:tcPr>
            <w:tcW w:w="6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853</w:t>
            </w:r>
          </w:p>
        </w:tc>
        <w:tc>
          <w:tcPr>
            <w:tcW w:w="8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8000" w:type="dxa"/>
            <w:vAlign w:val="bottom"/>
          </w:tcPr>
          <w:p>
            <w:pPr>
              <w:ind w:left="20"/>
              <w:spacing w:after="0" w:line="155" w:lineRule="exact"/>
              <w:rPr>
                <w:sz w:val="20"/>
                <w:szCs w:val="20"/>
                <w:color w:val="auto"/>
              </w:rPr>
            </w:pPr>
            <w:r>
              <w:rPr>
                <w:rFonts w:ascii="Arial" w:cs="Arial" w:eastAsia="Arial" w:hAnsi="Arial"/>
                <w:sz w:val="14"/>
                <w:szCs w:val="14"/>
                <w:color w:val="auto"/>
              </w:rPr>
              <w:t>Total current liabilities</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3,187</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3,068</w:t>
            </w:r>
          </w:p>
        </w:tc>
        <w:tc>
          <w:tcPr>
            <w:tcW w:w="0" w:type="dxa"/>
            <w:vAlign w:val="bottom"/>
          </w:tcPr>
          <w:p>
            <w:pPr>
              <w:spacing w:after="0"/>
              <w:rPr>
                <w:sz w:val="1"/>
                <w:szCs w:val="1"/>
                <w:color w:val="auto"/>
              </w:rPr>
            </w:pPr>
          </w:p>
        </w:tc>
      </w:tr>
      <w:tr>
        <w:trPr>
          <w:trHeight w:val="149"/>
        </w:trPr>
        <w:tc>
          <w:tcPr>
            <w:tcW w:w="8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8,973</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9,125</w:t>
            </w:r>
          </w:p>
        </w:tc>
        <w:tc>
          <w:tcPr>
            <w:tcW w:w="0" w:type="dxa"/>
            <w:vAlign w:val="bottom"/>
          </w:tcPr>
          <w:p>
            <w:pPr>
              <w:spacing w:after="0"/>
              <w:rPr>
                <w:sz w:val="1"/>
                <w:szCs w:val="1"/>
                <w:color w:val="auto"/>
              </w:rPr>
            </w:pPr>
          </w:p>
        </w:tc>
      </w:tr>
      <w:tr>
        <w:trPr>
          <w:trHeight w:val="149"/>
        </w:trPr>
        <w:tc>
          <w:tcPr>
            <w:tcW w:w="8420" w:type="dxa"/>
            <w:vAlign w:val="bottom"/>
            <w:gridSpan w:val="2"/>
          </w:tcPr>
          <w:p>
            <w:pPr>
              <w:spacing w:after="0" w:line="149" w:lineRule="exact"/>
              <w:rPr>
                <w:sz w:val="20"/>
                <w:szCs w:val="20"/>
                <w:color w:val="auto"/>
              </w:rPr>
            </w:pPr>
            <w:r>
              <w:rPr>
                <w:rFonts w:ascii="Arial" w:cs="Arial" w:eastAsia="Arial" w:hAnsi="Arial"/>
                <w:sz w:val="14"/>
                <w:szCs w:val="14"/>
                <w:color w:val="auto"/>
              </w:rPr>
              <w:t>Deferred income taxes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1,879</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1,884</w:t>
            </w:r>
          </w:p>
        </w:tc>
        <w:tc>
          <w:tcPr>
            <w:tcW w:w="0" w:type="dxa"/>
            <w:vAlign w:val="bottom"/>
          </w:tcPr>
          <w:p>
            <w:pPr>
              <w:spacing w:after="0"/>
              <w:rPr>
                <w:sz w:val="1"/>
                <w:szCs w:val="1"/>
                <w:color w:val="auto"/>
              </w:rPr>
            </w:pPr>
          </w:p>
        </w:tc>
      </w:tr>
      <w:tr>
        <w:trPr>
          <w:trHeight w:val="149"/>
        </w:trPr>
        <w:tc>
          <w:tcPr>
            <w:tcW w:w="8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Landfill and environmental remediation liabilities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1,437</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56"/>
        </w:trPr>
        <w:tc>
          <w:tcPr>
            <w:tcW w:w="8420" w:type="dxa"/>
            <w:vAlign w:val="bottom"/>
            <w:gridSpan w:val="2"/>
          </w:tcPr>
          <w:p>
            <w:pPr>
              <w:spacing w:after="0" w:line="149" w:lineRule="exact"/>
              <w:rPr>
                <w:sz w:val="20"/>
                <w:szCs w:val="20"/>
                <w:color w:val="auto"/>
              </w:rPr>
            </w:pPr>
            <w:r>
              <w:rPr>
                <w:rFonts w:ascii="Arial" w:cs="Arial" w:eastAsia="Arial" w:hAnsi="Arial"/>
                <w:sz w:val="14"/>
                <w:szCs w:val="14"/>
                <w:color w:val="auto"/>
              </w:rPr>
              <w:t>Other liabilities</w:t>
            </w:r>
          </w:p>
        </w:tc>
        <w:tc>
          <w:tcPr>
            <w:tcW w:w="6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728</w:t>
            </w:r>
          </w:p>
        </w:tc>
        <w:tc>
          <w:tcPr>
            <w:tcW w:w="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8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Total liabilities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16,204</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16,179</w:t>
            </w:r>
          </w:p>
        </w:tc>
        <w:tc>
          <w:tcPr>
            <w:tcW w:w="0" w:type="dxa"/>
            <w:vAlign w:val="bottom"/>
          </w:tcPr>
          <w:p>
            <w:pPr>
              <w:spacing w:after="0"/>
              <w:rPr>
                <w:sz w:val="1"/>
                <w:szCs w:val="1"/>
                <w:color w:val="auto"/>
              </w:rPr>
            </w:pPr>
          </w:p>
        </w:tc>
      </w:tr>
      <w:tr>
        <w:trPr>
          <w:trHeight w:val="156"/>
        </w:trPr>
        <w:tc>
          <w:tcPr>
            <w:tcW w:w="842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w:t>
            </w:r>
          </w:p>
        </w:tc>
        <w:tc>
          <w:tcPr>
            <w:tcW w:w="6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Equity:</w:t>
            </w:r>
          </w:p>
        </w:tc>
        <w:tc>
          <w:tcPr>
            <w:tcW w:w="80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Waste Management, Inc. stockholders’ equity:</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8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$0.01 par value; 1,500,000,000 shares authorized; 630,282,461 shares issued</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00" w:type="dxa"/>
            <w:vAlign w:val="bottom"/>
          </w:tcPr>
          <w:p>
            <w:pPr>
              <w:ind w:left="20"/>
              <w:spacing w:after="0" w:line="149" w:lineRule="exact"/>
              <w:rPr>
                <w:sz w:val="20"/>
                <w:szCs w:val="20"/>
                <w:color w:val="auto"/>
              </w:rPr>
            </w:pPr>
            <w:r>
              <w:rPr>
                <w:rFonts w:ascii="Arial" w:cs="Arial" w:eastAsia="Arial" w:hAnsi="Arial"/>
                <w:sz w:val="14"/>
                <w:szCs w:val="14"/>
                <w:color w:val="auto"/>
              </w:rPr>
              <w:t>Additional paid-in capital</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4,540</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4,561</w:t>
            </w: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8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Retained earnings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6,771</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6,721</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00" w:type="dxa"/>
            <w:vAlign w:val="bottom"/>
          </w:tcPr>
          <w:p>
            <w:pPr>
              <w:ind w:left="20"/>
              <w:spacing w:after="0" w:line="149" w:lineRule="exact"/>
              <w:rPr>
                <w:sz w:val="20"/>
                <w:szCs w:val="20"/>
                <w:color w:val="auto"/>
              </w:rPr>
            </w:pPr>
            <w:r>
              <w:rPr>
                <w:rFonts w:ascii="Arial" w:cs="Arial" w:eastAsia="Arial" w:hAnsi="Arial"/>
                <w:sz w:val="14"/>
                <w:szCs w:val="14"/>
                <w:color w:val="auto"/>
              </w:rPr>
              <w:t>Accumulated other comprehensive income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163</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8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Treasury stock at cost, 167,283,574 and 169,749,709 shares, respectively</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(5,312)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(5,390)</w:t>
            </w: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8000" w:type="dxa"/>
            <w:vAlign w:val="bottom"/>
          </w:tcPr>
          <w:p>
            <w:pPr>
              <w:ind w:left="240"/>
              <w:spacing w:after="0" w:line="155" w:lineRule="exact"/>
              <w:rPr>
                <w:sz w:val="20"/>
                <w:szCs w:val="20"/>
                <w:color w:val="auto"/>
              </w:rPr>
            </w:pPr>
            <w:r>
              <w:rPr>
                <w:rFonts w:ascii="Arial" w:cs="Arial" w:eastAsia="Arial" w:hAnsi="Arial"/>
                <w:sz w:val="14"/>
                <w:szCs w:val="14"/>
                <w:color w:val="auto"/>
              </w:rPr>
              <w:t>Total Waste Management, Inc. stockholders’ equity</w:t>
            </w:r>
          </w:p>
        </w:tc>
        <w:tc>
          <w:tcPr>
            <w:tcW w:w="6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6,168</w:t>
            </w:r>
          </w:p>
        </w:tc>
        <w:tc>
          <w:tcPr>
            <w:tcW w:w="8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6,070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Noncontrolling interests</w:t>
            </w:r>
          </w:p>
        </w:tc>
        <w:tc>
          <w:tcPr>
            <w:tcW w:w="6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8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 w:type="dxa"/>
            <w:vAlign w:val="bottom"/>
          </w:tcPr>
          <w:p>
            <w:pPr>
              <w:spacing w:after="0"/>
              <w:rPr>
                <w:sz w:val="14"/>
                <w:szCs w:val="14"/>
                <w:color w:val="auto"/>
              </w:rPr>
            </w:pPr>
          </w:p>
        </w:tc>
        <w:tc>
          <w:tcPr>
            <w:tcW w:w="8000" w:type="dxa"/>
            <w:vAlign w:val="bottom"/>
          </w:tcPr>
          <w:p>
            <w:pPr>
              <w:ind w:left="240"/>
              <w:spacing w:after="0" w:line="155" w:lineRule="exact"/>
              <w:rPr>
                <w:sz w:val="20"/>
                <w:szCs w:val="20"/>
                <w:color w:val="auto"/>
              </w:rPr>
            </w:pPr>
            <w:r>
              <w:rPr>
                <w:rFonts w:ascii="Arial" w:cs="Arial" w:eastAsia="Arial" w:hAnsi="Arial"/>
                <w:sz w:val="14"/>
                <w:szCs w:val="14"/>
                <w:color w:val="auto"/>
              </w:rPr>
              <w:t>Total equity</w:t>
            </w: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6,487</w:t>
            </w: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8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Total liabilities and equity</w:t>
            </w:r>
          </w:p>
        </w:tc>
        <w:tc>
          <w:tcPr>
            <w:tcW w:w="6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22,691</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22,569</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left="235"/>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left="235"/>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2012</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2012</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3,459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3,347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6,754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4"/>
              </w:rPr>
              <w:t>2,260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2,140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4,426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2,993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2,841</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5,887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5,517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22"/>
        </w:trPr>
        <w:tc>
          <w:tcPr>
            <w:tcW w:w="67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9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gridSpan w:val="2"/>
          </w:tcPr>
          <w:p>
            <w:pPr>
              <w:jc w:val="right"/>
              <w:ind w:right="29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0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Net income attributable to noncontrolling interests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gridSpan w:val="2"/>
            <w:vMerge w:val="continue"/>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208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379</w:t>
            </w:r>
          </w:p>
        </w:tc>
        <w:tc>
          <w:tcPr>
            <w:tcW w:w="4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4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gridSpan w:val="2"/>
            <w:vMerge w:val="continue"/>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0.45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0.50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0.82</w:t>
            </w:r>
          </w:p>
        </w:tc>
        <w:tc>
          <w:tcPr>
            <w:tcW w:w="4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4"/>
              </w:rPr>
              <w:t>0.355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4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9"/>
              </w:rPr>
              <w:t>Three Months</w:t>
            </w:r>
          </w:p>
        </w:tc>
        <w:tc>
          <w:tcPr>
            <w:tcW w:w="12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5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5"/>
              </w:rPr>
              <w:t>June 30,</w:t>
            </w: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219</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250</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402</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gains (losses) on derivative instruments:</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Unrealized losses, resulting from changes in fair value, net of tax benefit of $(10), $(5), $(8) and $(8),</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760" w:type="dxa"/>
            <w:vAlign w:val="bottom"/>
            <w:gridSpan w:val="2"/>
          </w:tcPr>
          <w:p>
            <w:pPr>
              <w:jc w:val="right"/>
              <w:ind w:right="272"/>
              <w:spacing w:after="0"/>
              <w:rPr>
                <w:sz w:val="20"/>
                <w:szCs w:val="20"/>
                <w:color w:val="auto"/>
              </w:rPr>
            </w:pPr>
            <w:r>
              <w:rPr>
                <w:rFonts w:ascii="Arial" w:cs="Arial" w:eastAsia="Arial" w:hAnsi="Arial"/>
                <w:sz w:val="18"/>
                <w:szCs w:val="18"/>
                <w:color w:val="auto"/>
              </w:rPr>
              <w:t>(16)</w:t>
            </w: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(8)</w:t>
            </w: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(12)</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Reclassification adjustment for (gains) losses included in net income, net of tax (expense) benefit of $(2), $1,</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$0 and $6, respectively</w:t>
            </w:r>
          </w:p>
        </w:tc>
        <w:tc>
          <w:tcPr>
            <w:tcW w:w="7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w:t>
            </w:r>
          </w:p>
        </w:tc>
        <w:tc>
          <w:tcPr>
            <w:tcW w:w="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760" w:type="dxa"/>
            <w:vAlign w:val="bottom"/>
            <w:gridSpan w:val="2"/>
          </w:tcPr>
          <w:p>
            <w:pPr>
              <w:jc w:val="right"/>
              <w:ind w:right="272"/>
              <w:spacing w:after="0"/>
              <w:rPr>
                <w:sz w:val="20"/>
                <w:szCs w:val="20"/>
                <w:color w:val="auto"/>
              </w:rPr>
            </w:pPr>
            <w:r>
              <w:rPr>
                <w:rFonts w:ascii="Arial" w:cs="Arial" w:eastAsia="Arial" w:hAnsi="Arial"/>
                <w:sz w:val="18"/>
                <w:szCs w:val="18"/>
                <w:color w:val="auto"/>
              </w:rPr>
              <w:t>(20)</w:t>
            </w: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(7)</w:t>
            </w: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(12)</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Unrealized gains (losses) on available-for-sale securities, net of tax expense (benefit) of $0, $0, $1 and $(1),</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7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w:t>
            </w:r>
          </w:p>
        </w:tc>
        <w:tc>
          <w:tcPr>
            <w:tcW w:w="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760" w:type="dxa"/>
            <w:vAlign w:val="bottom"/>
            <w:gridSpan w:val="2"/>
          </w:tcPr>
          <w:p>
            <w:pPr>
              <w:jc w:val="right"/>
              <w:ind w:right="272"/>
              <w:spacing w:after="0"/>
              <w:rPr>
                <w:sz w:val="20"/>
                <w:szCs w:val="20"/>
                <w:color w:val="auto"/>
              </w:rPr>
            </w:pPr>
            <w:r>
              <w:rPr>
                <w:rFonts w:ascii="Arial" w:cs="Arial" w:eastAsia="Arial" w:hAnsi="Arial"/>
                <w:sz w:val="18"/>
                <w:szCs w:val="18"/>
                <w:color w:val="auto"/>
              </w:rPr>
              <w:t>(22)</w:t>
            </w:r>
          </w:p>
        </w:tc>
        <w:tc>
          <w:tcPr>
            <w:tcW w:w="800" w:type="dxa"/>
            <w:vAlign w:val="bottom"/>
            <w:gridSpan w:val="3"/>
          </w:tcPr>
          <w:p>
            <w:pPr>
              <w:jc w:val="right"/>
              <w:ind w:right="420"/>
              <w:spacing w:after="0"/>
              <w:rPr>
                <w:sz w:val="20"/>
                <w:szCs w:val="20"/>
                <w:color w:val="auto"/>
              </w:rPr>
            </w:pPr>
            <w:r>
              <w:rPr>
                <w:rFonts w:ascii="Arial" w:cs="Arial" w:eastAsia="Arial" w:hAnsi="Arial"/>
                <w:sz w:val="18"/>
                <w:szCs w:val="18"/>
                <w:color w:val="auto"/>
              </w:rPr>
              <w:t>8</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funded status of post-retirement benefit obligation, net of tax benefit of $0, $0, $0 and $(1),</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7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taxes</w:t>
            </w: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gridSpan w:val="2"/>
            <w:vMerge w:val="continue"/>
          </w:tcPr>
          <w:p>
            <w:pPr>
              <w:spacing w:after="0"/>
              <w:rPr>
                <w:sz w:val="19"/>
                <w:szCs w:val="19"/>
                <w:color w:val="auto"/>
              </w:rPr>
            </w:pPr>
          </w:p>
        </w:tc>
        <w:tc>
          <w:tcPr>
            <w:tcW w:w="760" w:type="dxa"/>
            <w:vAlign w:val="bottom"/>
            <w:gridSpan w:val="2"/>
          </w:tcPr>
          <w:p>
            <w:pPr>
              <w:jc w:val="right"/>
              <w:ind w:right="272"/>
              <w:spacing w:after="0"/>
              <w:rPr>
                <w:sz w:val="20"/>
                <w:szCs w:val="20"/>
                <w:color w:val="auto"/>
              </w:rPr>
            </w:pPr>
            <w:r>
              <w:rPr>
                <w:rFonts w:ascii="Arial" w:cs="Arial" w:eastAsia="Arial" w:hAnsi="Arial"/>
                <w:sz w:val="18"/>
                <w:szCs w:val="18"/>
                <w:color w:val="auto"/>
              </w:rPr>
              <w:t>(43)</w:t>
            </w:r>
          </w:p>
        </w:tc>
        <w:tc>
          <w:tcPr>
            <w:tcW w:w="800" w:type="dxa"/>
            <w:vAlign w:val="bottom"/>
            <w:gridSpan w:val="3"/>
          </w:tcPr>
          <w:p>
            <w:pPr>
              <w:jc w:val="right"/>
              <w:ind w:right="42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(9)</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165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239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370</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402</w:t>
            </w:r>
          </w:p>
        </w:tc>
        <w:tc>
          <w:tcPr>
            <w:tcW w:w="5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consolidated net income to net cash provided by operating activities: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640</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 provision</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Interest accretion on landfill liabilities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accretion on and discount rate adjustments to environmental remediation liabilities and recovery assets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Provision for bad debts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Equity-based compensation expense</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14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(9)</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gain on disposal of assets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Effect of (income) expense from divestitures, asset impairments and unusual items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net losses of unconsolidated entities, net of dividends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Change in operating assets and liabilities, net of effects of acquisitions and divestitures: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(72)</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14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revenues and other liabilities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(23)</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3"/>
        </w:trPr>
        <w:tc>
          <w:tcPr>
            <w:tcW w:w="890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1,144</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14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(154)</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(730)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Proceeds from divestitures of businesses (net of cash divested) and other sales of assets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receipts from restricted trust and escrow accounts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unconsolidated entities</w:t>
            </w:r>
          </w:p>
        </w:tc>
        <w:tc>
          <w:tcPr>
            <w:tcW w:w="14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(40)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(16)</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(903)</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New borrowings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312</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Debt repayments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(271)</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Common stock repurchases</w:t>
            </w:r>
          </w:p>
        </w:tc>
        <w:tc>
          <w:tcPr>
            <w:tcW w:w="140" w:type="dxa"/>
            <w:vAlign w:val="bottom"/>
          </w:tcPr>
          <w:p>
            <w:pPr>
              <w:spacing w:after="0"/>
              <w:rPr>
                <w:sz w:val="12"/>
                <w:szCs w:val="12"/>
                <w:color w:val="auto"/>
              </w:rPr>
            </w:pPr>
          </w:p>
        </w:tc>
        <w:tc>
          <w:tcPr>
            <w:tcW w:w="10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(329)</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Exercise of common stock options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14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(23)</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financing activities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(262)</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900" w:type="dxa"/>
            <w:vAlign w:val="bottom"/>
            <w:gridSpan w:val="2"/>
          </w:tcPr>
          <w:p>
            <w:pPr>
              <w:spacing w:after="0" w:line="155" w:lineRule="exact"/>
              <w:rPr>
                <w:sz w:val="20"/>
                <w:szCs w:val="20"/>
                <w:color w:val="auto"/>
              </w:rPr>
            </w:pPr>
            <w:r>
              <w:rPr>
                <w:rFonts w:ascii="Arial" w:cs="Arial" w:eastAsia="Arial" w:hAnsi="Arial"/>
                <w:sz w:val="14"/>
                <w:szCs w:val="14"/>
                <w:color w:val="auto"/>
              </w:rPr>
              <w:t>Decrease in cash and cash equivalents</w:t>
            </w:r>
          </w:p>
        </w:tc>
        <w:tc>
          <w:tcPr>
            <w:tcW w:w="140" w:type="dxa"/>
            <w:vAlign w:val="bottom"/>
          </w:tcPr>
          <w:p>
            <w:pPr>
              <w:spacing w:after="0"/>
              <w:rPr>
                <w:sz w:val="13"/>
                <w:szCs w:val="13"/>
                <w:color w:val="auto"/>
              </w:rPr>
            </w:pPr>
          </w:p>
        </w:tc>
        <w:tc>
          <w:tcPr>
            <w:tcW w:w="108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(21)</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258</w:t>
            </w: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90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237</w:t>
            </w:r>
          </w:p>
        </w:tc>
        <w:tc>
          <w:tcPr>
            <w:tcW w:w="520" w:type="dxa"/>
            <w:vAlign w:val="bottom"/>
          </w:tcPr>
          <w:p>
            <w:pPr>
              <w:spacing w:after="0"/>
              <w:rPr>
                <w:sz w:val="13"/>
                <w:szCs w:val="13"/>
                <w:color w:val="auto"/>
              </w:rPr>
            </w:pPr>
          </w:p>
        </w:tc>
        <w:tc>
          <w:tcPr>
            <w:tcW w:w="6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11"/>
          </w:tcPr>
          <w:p>
            <w:pPr>
              <w:jc w:val="right"/>
              <w:ind w:right="320"/>
              <w:spacing w:after="0"/>
              <w:rPr>
                <w:sz w:val="20"/>
                <w:szCs w:val="20"/>
                <w:color w:val="auto"/>
              </w:rPr>
            </w:pPr>
            <w:r>
              <w:rPr>
                <w:rFonts w:ascii="Arial" w:cs="Arial" w:eastAsia="Arial" w:hAnsi="Arial"/>
                <w:sz w:val="14"/>
                <w:szCs w:val="14"/>
                <w:b w:val="1"/>
                <w:bCs w:val="1"/>
                <w:color w:val="auto"/>
                <w:w w:val="88"/>
              </w:rPr>
              <w:t>Waste Management, Inc. Stockholders’ Equity</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87"/>
              </w:rPr>
              <w:t>Common Stock</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580" w:type="dxa"/>
            <w:vAlign w:val="bottom"/>
            <w:gridSpan w:val="6"/>
            <w:vMerge w:val="restart"/>
          </w:tcPr>
          <w:p>
            <w:pPr>
              <w:jc w:val="right"/>
              <w:ind w:right="4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3"/>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80" w:type="dxa"/>
            <w:vAlign w:val="bottom"/>
            <w:gridSpan w:val="6"/>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3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Paid-In</w:t>
            </w:r>
          </w:p>
        </w:tc>
        <w:tc>
          <w:tcPr>
            <w:tcW w:w="160" w:type="dxa"/>
            <w:vAlign w:val="bottom"/>
          </w:tcPr>
          <w:p>
            <w:pPr>
              <w:spacing w:after="0"/>
              <w:rPr>
                <w:sz w:val="12"/>
                <w:szCs w:val="12"/>
                <w:color w:val="auto"/>
              </w:rPr>
            </w:pPr>
          </w:p>
        </w:tc>
        <w:tc>
          <w:tcPr>
            <w:tcW w:w="7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Retained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Income</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Total</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3"/>
              </w:rPr>
              <w:t>Earnings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0"/>
              </w:rPr>
              <w:t>(Loss)</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Interests</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2011</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$6,390</w:t>
            </w:r>
          </w:p>
        </w:tc>
        <w:tc>
          <w:tcPr>
            <w:tcW w:w="3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630,282</w:t>
            </w:r>
          </w:p>
        </w:tc>
        <w:tc>
          <w:tcPr>
            <w:tcW w:w="3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4,561</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6,721</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w:t>
            </w:r>
          </w:p>
        </w:tc>
        <w:tc>
          <w:tcPr>
            <w:tcW w:w="3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(169,750)</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(5,390)</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402</w:t>
            </w: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379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net of taxes</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Cash dividends declared</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(329)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Equity-based compensation transactions, including</w:t>
            </w: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dividend equivalents, net of taxes</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w:t>
            </w: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2,463</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78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4"/>
                <w:szCs w:val="14"/>
                <w:color w:val="auto"/>
              </w:rPr>
              <w:t>Balance, June 30, 2012</w:t>
            </w: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80" w:type="dxa"/>
            <w:vAlign w:val="bottom"/>
            <w:vMerge w:val="continue"/>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6,487</w:t>
            </w:r>
          </w:p>
        </w:tc>
        <w:tc>
          <w:tcPr>
            <w:tcW w:w="3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630,282</w:t>
            </w:r>
          </w:p>
        </w:tc>
        <w:tc>
          <w:tcPr>
            <w:tcW w:w="320" w:type="dxa"/>
            <w:vAlign w:val="bottom"/>
          </w:tcPr>
          <w:p>
            <w:pPr>
              <w:spacing w:after="0"/>
              <w:rPr>
                <w:sz w:val="13"/>
                <w:szCs w:val="13"/>
                <w:color w:val="auto"/>
              </w:rPr>
            </w:pPr>
          </w:p>
        </w:tc>
        <w:tc>
          <w:tcPr>
            <w:tcW w:w="3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6</w:t>
            </w: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4,540</w:t>
            </w:r>
          </w:p>
        </w:tc>
        <w:tc>
          <w:tcPr>
            <w:tcW w:w="180" w:type="dxa"/>
            <w:vAlign w:val="bottom"/>
          </w:tcPr>
          <w:p>
            <w:pPr>
              <w:spacing w:after="0"/>
              <w:rPr>
                <w:sz w:val="13"/>
                <w:szCs w:val="13"/>
                <w:color w:val="auto"/>
              </w:rPr>
            </w:pPr>
          </w:p>
        </w:tc>
        <w:tc>
          <w:tcPr>
            <w:tcW w:w="300" w:type="dxa"/>
            <w:vAlign w:val="bottom"/>
            <w:gridSpan w:val="2"/>
          </w:tcPr>
          <w:p>
            <w:pPr>
              <w:jc w:val="right"/>
              <w:ind w:right="18"/>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6,771</w:t>
            </w:r>
          </w:p>
        </w:tc>
        <w:tc>
          <w:tcPr>
            <w:tcW w:w="200" w:type="dxa"/>
            <w:vAlign w:val="bottom"/>
          </w:tcPr>
          <w:p>
            <w:pPr>
              <w:spacing w:after="0"/>
              <w:rPr>
                <w:sz w:val="13"/>
                <w:szCs w:val="13"/>
                <w:color w:val="auto"/>
              </w:rPr>
            </w:pP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163</w:t>
            </w:r>
          </w:p>
        </w:tc>
        <w:tc>
          <w:tcPr>
            <w:tcW w:w="340" w:type="dxa"/>
            <w:vAlign w:val="bottom"/>
          </w:tcPr>
          <w:p>
            <w:pPr>
              <w:spacing w:after="0"/>
              <w:rPr>
                <w:sz w:val="13"/>
                <w:szCs w:val="13"/>
                <w:color w:val="auto"/>
              </w:rPr>
            </w:pPr>
          </w:p>
        </w:tc>
        <w:tc>
          <w:tcPr>
            <w:tcW w:w="7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3"/>
              </w:rPr>
              <w:t>(167,284)</w:t>
            </w:r>
          </w:p>
        </w:tc>
        <w:tc>
          <w:tcPr>
            <w:tcW w:w="26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9"/>
              </w:rPr>
              <w:t>(5,312)</w:t>
            </w:r>
          </w:p>
        </w:tc>
        <w:tc>
          <w:tcPr>
            <w:tcW w:w="2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as described in Note 13.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35"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currently manage and evaluate our principal operations through five Groups. Our four geographic operating Groups, which are comprised of our Eastern, Midwest, Southern and Western Groups, provide collection, transfer, disposal (in both solid waste and hazardous waste landfills) and recycling services. Our fifth Group is the Wheelabrator Group, which provides waste-to-energy services and manages waste-to-energy facilities and independent power production plants. We also provide additional services that are not managed through our five Groups, including the operations of Oakleaf Global Holdings acquired on July 28, 2011 (“Oakleaf”), which are presented in this report as “Other.” Additional information related to our segments and to our acquisition of Oakleaf can be found in Note 8 and in Note 9, respectively.</w:t>
      </w:r>
    </w:p>
    <w:p>
      <w:pPr>
        <w:spacing w:after="0" w:line="6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Condensed Consolidated Financial Statements as of June 30, 2012 and for the three and six months ended June 30, 2012 and 2011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2011.</w:t>
      </w:r>
    </w:p>
    <w:p>
      <w:pPr>
        <w:spacing w:after="0" w:line="6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Actual results could differ materially from the estimates and assumptions that we use in the preparation of our financial statements.</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Fair Value Measurement </w:t>
      </w:r>
      <w:r>
        <w:rPr>
          <w:rFonts w:ascii="Arial" w:cs="Arial" w:eastAsia="Arial" w:hAnsi="Arial"/>
          <w:sz w:val="18"/>
          <w:szCs w:val="18"/>
          <w:color w:val="auto"/>
        </w:rPr>
        <w:t>— In May 2011, the Financial Accounting Standards Board (“FASB”) amended authoritative guidance associated with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This amended guidance defines certain requirements for measuring fair value and for disclosing information about fair value measurements in accordance with U.S. generally accepted accounting principles. The amendments to authoritative guidance associated with fair value measurements were effective for the Company on January 1, 2012 and have been applied prospectively. The adoption of this guidance did not have a material impact on our consolidated financial statements.</w:t>
      </w:r>
    </w:p>
    <w:p>
      <w:pPr>
        <w:spacing w:after="0" w:line="6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 In June 2011, the FASB issued amended authoritative guidance associated with comprehensive income, which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to present the total of comprehensive income, the components of net income, and the components of other comprehensive income either in a single continuous statement of comprehensive income or in two separate but consecutive statements. This update eliminates the option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present the components of other comprehensive income as part of the statement of changes in equity. In December 2011, the FASB deferred the effective date of the specific requirement to present items that are reclassified out of accumulated other comprehensive income to net income alongside their respective components of net income and other comprehensive income. The amendments to authoritative guidance associated with comprehensive income were effective for the Company on January 1, 2012 and have been applied retrospectively. The adoption of this guidance did not have a material impact on our consolidated financial statements.</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Landfill and Environmental Remediation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2012</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8"/>
              </w:rPr>
              <w:t>December 31, 2011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3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Landfill</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Remediation</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Total</w:t>
            </w:r>
          </w:p>
        </w:tc>
        <w:tc>
          <w:tcPr>
            <w:tcW w:w="4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Landfill</w:t>
            </w:r>
          </w:p>
        </w:tc>
        <w:tc>
          <w:tcPr>
            <w:tcW w:w="280" w:type="dxa"/>
            <w:vAlign w:val="bottom"/>
          </w:tcPr>
          <w:p>
            <w:pPr>
              <w:spacing w:after="0"/>
              <w:rPr>
                <w:sz w:val="14"/>
                <w:szCs w:val="14"/>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5"/>
              </w:rPr>
              <w:t>Remediation</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(in accrued liabilities)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Long-term</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1,210</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1,437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1,169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1,404</w:t>
            </w:r>
          </w:p>
        </w:tc>
        <w:tc>
          <w:tcPr>
            <w:tcW w:w="100" w:type="dxa"/>
            <w:vAlign w:val="bottom"/>
          </w:tcPr>
          <w:p>
            <w:pPr>
              <w:spacing w:after="0"/>
              <w:rPr>
                <w:sz w:val="18"/>
                <w:szCs w:val="18"/>
                <w:color w:val="auto"/>
              </w:rPr>
            </w:pPr>
          </w:p>
        </w:tc>
      </w:tr>
      <w:tr>
        <w:trPr>
          <w:trHeight w:val="27"/>
        </w:trPr>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1,329</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1,593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1,292</w:t>
            </w:r>
          </w:p>
        </w:tc>
        <w:tc>
          <w:tcPr>
            <w:tcW w:w="640" w:type="dxa"/>
            <w:vAlign w:val="bottom"/>
            <w:gridSpan w:val="2"/>
            <w:shd w:val="clear" w:color="auto" w:fill="CCEEFF"/>
          </w:tcPr>
          <w:p>
            <w:pPr>
              <w:jc w:val="right"/>
              <w:ind w:right="186"/>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1,565</w:t>
            </w:r>
          </w:p>
        </w:tc>
        <w:tc>
          <w:tcPr>
            <w:tcW w:w="100" w:type="dxa"/>
            <w:vAlign w:val="bottom"/>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2011 and the six months ended June 30, 2012 are reflected in the table below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Landfill</w:t>
            </w:r>
          </w:p>
        </w:tc>
        <w:tc>
          <w:tcPr>
            <w:tcW w:w="40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2010</w:t>
            </w:r>
          </w:p>
        </w:tc>
        <w:tc>
          <w:tcPr>
            <w:tcW w:w="19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$1,266</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Obligations incurred and capitalized</w:t>
            </w:r>
          </w:p>
        </w:tc>
        <w:tc>
          <w:tcPr>
            <w:tcW w:w="2940" w:type="dxa"/>
            <w:vAlign w:val="bottom"/>
            <w:gridSpan w:val="3"/>
          </w:tcPr>
          <w:p>
            <w:pPr>
              <w:jc w:val="right"/>
              <w:ind w:right="460"/>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2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Interest accretion</w:t>
            </w:r>
          </w:p>
        </w:tc>
        <w:tc>
          <w:tcPr>
            <w:tcW w:w="2940" w:type="dxa"/>
            <w:vAlign w:val="bottom"/>
            <w:gridSpan w:val="3"/>
          </w:tcPr>
          <w:p>
            <w:pPr>
              <w:jc w:val="right"/>
              <w:ind w:right="460"/>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Revisions in cost estimates and interest rate assumptions</w:t>
            </w:r>
          </w:p>
        </w:tc>
        <w:tc>
          <w:tcPr>
            <w:tcW w:w="2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Acquisitions, divestitures and other adjustments</w:t>
            </w:r>
          </w:p>
        </w:tc>
        <w:tc>
          <w:tcPr>
            <w:tcW w:w="1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19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Obligations incurred and capitalized</w:t>
            </w:r>
          </w:p>
        </w:tc>
        <w:tc>
          <w:tcPr>
            <w:tcW w:w="2940" w:type="dxa"/>
            <w:vAlign w:val="bottom"/>
            <w:gridSpan w:val="3"/>
          </w:tcPr>
          <w:p>
            <w:pPr>
              <w:jc w:val="right"/>
              <w:ind w:right="46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2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Interest accretion</w:t>
            </w:r>
          </w:p>
        </w:tc>
        <w:tc>
          <w:tcPr>
            <w:tcW w:w="2940" w:type="dxa"/>
            <w:vAlign w:val="bottom"/>
            <w:gridSpan w:val="3"/>
          </w:tcPr>
          <w:p>
            <w:pPr>
              <w:jc w:val="right"/>
              <w:ind w:right="46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Revisions in cost estimates and interest rate assumptions</w:t>
            </w:r>
          </w:p>
        </w:tc>
        <w:tc>
          <w:tcPr>
            <w:tcW w:w="2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Acquisitions, divestitures and other adjustments</w:t>
            </w:r>
          </w:p>
        </w:tc>
        <w:tc>
          <w:tcPr>
            <w:tcW w:w="19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June 30, 2012</w:t>
            </w:r>
          </w:p>
        </w:tc>
        <w:tc>
          <w:tcPr>
            <w:tcW w:w="2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1,329</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13 for additional information related to these trusts.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Debt</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June 30,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8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2012</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88"/>
        </w:trPr>
        <w:tc>
          <w:tcPr>
            <w:tcW w:w="83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Revolving credit facility (weighted average interest rate of 1.4% at June 30, 2012 and 1.5% at</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2011)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Letter of credit facilities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Canadian credit facility (weighted average effective interest rate of 2.0% at June 30, 2012 and 1.8% at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2011)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r>
      <w:tr>
        <w:trPr>
          <w:trHeight w:val="208"/>
        </w:trPr>
        <w:tc>
          <w:tcPr>
            <w:tcW w:w="8320" w:type="dxa"/>
            <w:vAlign w:val="bottom"/>
          </w:tcPr>
          <w:p>
            <w:pPr>
              <w:spacing w:after="0"/>
              <w:rPr>
                <w:sz w:val="20"/>
                <w:szCs w:val="20"/>
                <w:color w:val="auto"/>
              </w:rPr>
            </w:pPr>
            <w:r>
              <w:rPr>
                <w:rFonts w:ascii="Arial" w:cs="Arial" w:eastAsia="Arial" w:hAnsi="Arial"/>
                <w:sz w:val="18"/>
                <w:szCs w:val="18"/>
                <w:color w:val="auto"/>
                <w:w w:val="96"/>
              </w:rPr>
              <w:t>Senior notes and debentures, maturing through 2039, interest rates ranging from 2.60% to 7.75% (weighted</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320" w:type="dxa"/>
            <w:vAlign w:val="bottom"/>
          </w:tcPr>
          <w:p>
            <w:pPr>
              <w:ind w:left="220"/>
              <w:spacing w:after="0"/>
              <w:rPr>
                <w:sz w:val="20"/>
                <w:szCs w:val="20"/>
                <w:color w:val="auto"/>
              </w:rPr>
            </w:pPr>
            <w:r>
              <w:rPr>
                <w:rFonts w:ascii="Arial" w:cs="Arial" w:eastAsia="Arial" w:hAnsi="Arial"/>
                <w:sz w:val="18"/>
                <w:szCs w:val="18"/>
                <w:color w:val="auto"/>
              </w:rPr>
              <w:t>average interest rate of 6.0% at June 30, 2012 and December 31, 2011)</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6,220</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6,228</w:t>
            </w:r>
          </w:p>
        </w:tc>
        <w:tc>
          <w:tcPr>
            <w:tcW w:w="100" w:type="dxa"/>
            <w:vAlign w:val="bottom"/>
          </w:tcPr>
          <w:p>
            <w:pPr>
              <w:spacing w:after="0"/>
              <w:rPr>
                <w:sz w:val="19"/>
                <w:szCs w:val="19"/>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Tax-exempt bonds maturing through 2041, fixed and variable interest rates ranging from 0.2% to 7.4%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interest rate of 2.9% at June 30, 2012 and 3.1% at December 31, 2011)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2,722</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shd w:val="clear" w:color="auto" w:fill="CCEEFF"/>
          </w:tcPr>
          <w:p>
            <w:pPr>
              <w:spacing w:after="0"/>
              <w:rPr>
                <w:sz w:val="19"/>
                <w:szCs w:val="19"/>
                <w:color w:val="auto"/>
              </w:rPr>
            </w:pPr>
          </w:p>
        </w:tc>
      </w:tr>
      <w:tr>
        <w:trPr>
          <w:trHeight w:val="208"/>
        </w:trPr>
        <w:tc>
          <w:tcPr>
            <w:tcW w:w="8320" w:type="dxa"/>
            <w:vAlign w:val="bottom"/>
          </w:tcPr>
          <w:p>
            <w:pPr>
              <w:spacing w:after="0"/>
              <w:rPr>
                <w:sz w:val="20"/>
                <w:szCs w:val="20"/>
                <w:color w:val="auto"/>
              </w:rPr>
            </w:pPr>
            <w:r>
              <w:rPr>
                <w:rFonts w:ascii="Arial" w:cs="Arial" w:eastAsia="Arial" w:hAnsi="Arial"/>
                <w:sz w:val="18"/>
                <w:szCs w:val="18"/>
                <w:color w:val="auto"/>
                <w:w w:val="99"/>
              </w:rPr>
              <w:t>Tax-exempt project bonds, maturing through 2029, fixed and variable interest rates ranging from 0.2% to</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320" w:type="dxa"/>
            <w:vAlign w:val="bottom"/>
          </w:tcPr>
          <w:p>
            <w:pPr>
              <w:ind w:left="220"/>
              <w:spacing w:after="0"/>
              <w:rPr>
                <w:sz w:val="20"/>
                <w:szCs w:val="20"/>
                <w:color w:val="auto"/>
              </w:rPr>
            </w:pPr>
            <w:r>
              <w:rPr>
                <w:rFonts w:ascii="Arial" w:cs="Arial" w:eastAsia="Arial" w:hAnsi="Arial"/>
                <w:sz w:val="18"/>
                <w:szCs w:val="18"/>
                <w:color w:val="auto"/>
              </w:rPr>
              <w:t>3.4% (weighted average interest rate of 1.4% at June 30, 2012 and 1.3% at December 31, 2011 )</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r>
      <w:tr>
        <w:trPr>
          <w:trHeight w:val="218"/>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r>
      <w:tr>
        <w:trPr>
          <w:trHeight w:val="221"/>
        </w:trPr>
        <w:tc>
          <w:tcPr>
            <w:tcW w:w="8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9,826</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9,756</w:t>
            </w:r>
          </w:p>
        </w:tc>
        <w:tc>
          <w:tcPr>
            <w:tcW w:w="100" w:type="dxa"/>
            <w:vAlign w:val="bottom"/>
          </w:tcPr>
          <w:p>
            <w:pPr>
              <w:spacing w:after="0"/>
              <w:rPr>
                <w:sz w:val="19"/>
                <w:szCs w:val="19"/>
                <w:color w:val="auto"/>
              </w:rPr>
            </w:pPr>
          </w:p>
        </w:tc>
      </w:tr>
      <w:tr>
        <w:trPr>
          <w:trHeight w:val="218"/>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r>
      <w:tr>
        <w:trPr>
          <w:trHeight w:val="222"/>
        </w:trPr>
        <w:tc>
          <w:tcPr>
            <w:tcW w:w="83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8,973</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9,125</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As of June 30, 2012, we had $1,004 million of debt maturing within the next twelve months, including $300 million of borrowings outstanding under the revolving credit facility, U.S. $112 million of advances outstanding under our Canadian credit facility, $400 million of 6.375% senior notes that mature in November 2012 and $143 million of tax-exempt bonds. We have classified $151 million of these borrowings as long-term as of June 30, 2012 based on our intent and ability to refinance these borrowings on a long-term basis. We also had $550 million of tax-exempt borrowings subject to repricing within the next twelve months, which were classified as long-term based on our intent and ability to fund any failed remarketings with available capacity under our revolving credit facility.</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Credit and Letter of Credit Facilities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June 30, 2012, we had an aggregate committed capacity of $2.5 billion for letters of credit under various credit facilities. Our $2.0 billion revolving credit facility expires in May 2016 and is our primary source of letter of credit capacity. Our remaining letter of credit capacity is provided under facilities with terms that extend from June 2013 to June 2015. As of June 30, 2012, we had an aggregate of $1.5 billion of letters of credit outstanding under various credit facilities. Approximately $1.0 billion of these letters of credit have been issued under our revolving credit facility.</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changes in our debt balances from December 31, 2011 to June 30, 2012 are related to the following:</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Revolving credit facility — </w:t>
      </w:r>
      <w:r>
        <w:rPr>
          <w:rFonts w:ascii="Arial" w:cs="Arial" w:eastAsia="Arial" w:hAnsi="Arial"/>
          <w:sz w:val="18"/>
          <w:szCs w:val="18"/>
          <w:color w:val="auto"/>
        </w:rPr>
        <w:t>During the six months ended June 30, 2012, we incurred net borrowings of $150 million under our revolving credit facility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corporate purposes.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Canadian credit facility — </w:t>
      </w:r>
      <w:r>
        <w:rPr>
          <w:rFonts w:ascii="Arial" w:cs="Arial" w:eastAsia="Arial" w:hAnsi="Arial"/>
          <w:sz w:val="16"/>
          <w:szCs w:val="16"/>
          <w:color w:val="auto"/>
        </w:rPr>
        <w:t>We repaid $27 million of net advances under our Canadian credit facility during the six months ended June 30, 2012.</w:t>
      </w:r>
    </w:p>
    <w:p>
      <w:pPr>
        <w:spacing w:after="0" w:line="113"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i w:val="1"/>
          <w:iCs w:val="1"/>
          <w:color w:val="auto"/>
        </w:rPr>
        <w:t xml:space="preserve">Tax-exempt bonds — </w:t>
      </w:r>
      <w:r>
        <w:rPr>
          <w:rFonts w:ascii="Arial" w:cs="Arial" w:eastAsia="Arial" w:hAnsi="Arial"/>
          <w:sz w:val="15"/>
          <w:szCs w:val="15"/>
          <w:color w:val="auto"/>
        </w:rPr>
        <w:t>During the six months ended June 30, 2012, we repaid $66 million of our tax-exempt bonds with available cash upon their scheduled</w:t>
      </w:r>
      <w:r>
        <w:rPr>
          <w:rFonts w:ascii="Arial" w:cs="Arial" w:eastAsia="Arial" w:hAnsi="Arial"/>
          <w:sz w:val="15"/>
          <w:szCs w:val="15"/>
          <w:i w:val="1"/>
          <w:iCs w:val="1"/>
          <w:color w:val="auto"/>
        </w:rPr>
        <w:t xml:space="preserve"> </w:t>
      </w:r>
      <w:r>
        <w:rPr>
          <w:rFonts w:ascii="Arial" w:cs="Arial" w:eastAsia="Arial" w:hAnsi="Arial"/>
          <w:sz w:val="15"/>
          <w:szCs w:val="15"/>
          <w:color w:val="auto"/>
        </w:rPr>
        <w:t>maturities. In addition, we issued $43 million of new tax-exempt bonds, of which $25 million was used to repay tax-exempt bonds that matured in May 2012. The remaining $18 million of tax-exempt bond proceeds was held in a trust account as of June 30, 2012 and was used to repay tax-exempt debt maturing in July 2012.</w:t>
      </w:r>
    </w:p>
    <w:p>
      <w:pPr>
        <w:spacing w:after="0" w:line="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Derivative Instruments and Hedging Activities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fair values of derivative instruments recorded in our Condensed Consolidated Balance Sheet (in millions):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Hedging Instruments</w:t>
            </w:r>
          </w:p>
        </w:tc>
        <w:tc>
          <w:tcPr>
            <w:tcW w:w="5620" w:type="dxa"/>
            <w:vAlign w:val="bottom"/>
            <w:gridSpan w:val="3"/>
            <w:vMerge w:val="restart"/>
          </w:tcPr>
          <w:p>
            <w:pPr>
              <w:ind w:left="1580"/>
              <w:spacing w:after="0"/>
              <w:rPr>
                <w:sz w:val="20"/>
                <w:szCs w:val="20"/>
                <w:color w:val="auto"/>
              </w:rPr>
            </w:pPr>
            <w:r>
              <w:rPr>
                <w:rFonts w:ascii="Arial" w:cs="Arial" w:eastAsia="Arial" w:hAnsi="Arial"/>
                <w:sz w:val="14"/>
                <w:szCs w:val="14"/>
                <w:b w:val="1"/>
                <w:bCs w:val="1"/>
                <w:color w:val="auto"/>
              </w:rPr>
              <w:t>Balance Sheet Location</w:t>
            </w:r>
          </w:p>
        </w:tc>
        <w:tc>
          <w:tcPr>
            <w:tcW w:w="20" w:type="dxa"/>
            <w:vAlign w:val="bottom"/>
          </w:tcPr>
          <w:p>
            <w:pPr>
              <w:spacing w:after="0"/>
              <w:rPr>
                <w:sz w:val="14"/>
                <w:szCs w:val="14"/>
                <w:color w:val="auto"/>
              </w:rPr>
            </w:pPr>
          </w:p>
        </w:tc>
        <w:tc>
          <w:tcPr>
            <w:tcW w:w="480" w:type="dxa"/>
            <w:vAlign w:val="bottom"/>
            <w:gridSpan w:val="3"/>
          </w:tcPr>
          <w:p>
            <w:pPr>
              <w:spacing w:after="0"/>
              <w:rPr>
                <w:sz w:val="20"/>
                <w:szCs w:val="20"/>
                <w:color w:val="auto"/>
              </w:rPr>
            </w:pPr>
            <w:r>
              <w:rPr>
                <w:rFonts w:ascii="Arial" w:cs="Arial" w:eastAsia="Arial" w:hAnsi="Arial"/>
                <w:sz w:val="14"/>
                <w:szCs w:val="14"/>
                <w:b w:val="1"/>
                <w:bCs w:val="1"/>
                <w:color w:val="auto"/>
                <w:w w:val="82"/>
              </w:rPr>
              <w:t>June 30,</w:t>
            </w:r>
          </w:p>
        </w:tc>
        <w:tc>
          <w:tcPr>
            <w:tcW w:w="6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8"/>
        </w:trPr>
        <w:tc>
          <w:tcPr>
            <w:tcW w:w="2880" w:type="dxa"/>
            <w:vAlign w:val="bottom"/>
            <w:tcBorders>
              <w:bottom w:val="single" w:sz="8" w:color="auto"/>
            </w:tcBorders>
            <w:vMerge w:val="continue"/>
          </w:tcPr>
          <w:p>
            <w:pPr>
              <w:spacing w:after="0"/>
              <w:rPr>
                <w:sz w:val="14"/>
                <w:szCs w:val="14"/>
                <w:color w:val="auto"/>
              </w:rPr>
            </w:pPr>
          </w:p>
        </w:tc>
        <w:tc>
          <w:tcPr>
            <w:tcW w:w="56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14"/>
              <w:spacing w:after="0" w:line="148" w:lineRule="exact"/>
              <w:rPr>
                <w:sz w:val="20"/>
                <w:szCs w:val="20"/>
                <w:color w:val="auto"/>
              </w:rPr>
            </w:pPr>
            <w:r>
              <w:rPr>
                <w:rFonts w:ascii="Arial" w:cs="Arial" w:eastAsia="Arial" w:hAnsi="Arial"/>
                <w:sz w:val="14"/>
                <w:szCs w:val="14"/>
                <w:b w:val="1"/>
                <w:bCs w:val="1"/>
                <w:color w:val="auto"/>
                <w:w w:val="83"/>
              </w:rPr>
              <w:t>2012</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Electricity commodity contracts</w:t>
            </w:r>
          </w:p>
        </w:tc>
        <w:tc>
          <w:tcPr>
            <w:tcW w:w="158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Current other assets</w:t>
            </w:r>
          </w:p>
        </w:tc>
        <w:tc>
          <w:tcPr>
            <w:tcW w:w="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color w:val="auto"/>
              </w:rPr>
              <w:t>Interest rate contracts</w:t>
            </w:r>
          </w:p>
        </w:tc>
        <w:tc>
          <w:tcPr>
            <w:tcW w:w="5620" w:type="dxa"/>
            <w:vAlign w:val="bottom"/>
            <w:gridSpan w:val="3"/>
          </w:tcPr>
          <w:p>
            <w:pPr>
              <w:ind w:left="1580"/>
              <w:spacing w:after="0"/>
              <w:rPr>
                <w:sz w:val="20"/>
                <w:szCs w:val="20"/>
                <w:color w:val="auto"/>
              </w:rPr>
            </w:pPr>
            <w:r>
              <w:rPr>
                <w:rFonts w:ascii="Arial" w:cs="Arial" w:eastAsia="Arial" w:hAnsi="Arial"/>
                <w:sz w:val="18"/>
                <w:szCs w:val="18"/>
                <w:color w:val="auto"/>
              </w:rPr>
              <w:t>Long-term 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derivative assets</w:t>
            </w:r>
          </w:p>
        </w:tc>
        <w:tc>
          <w:tcPr>
            <w:tcW w:w="15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color w:val="auto"/>
              </w:rPr>
              <w:t>Interest rate contracts</w:t>
            </w:r>
          </w:p>
        </w:tc>
        <w:tc>
          <w:tcPr>
            <w:tcW w:w="5620" w:type="dxa"/>
            <w:vAlign w:val="bottom"/>
            <w:gridSpan w:val="3"/>
            <w:vMerge w:val="restart"/>
          </w:tcPr>
          <w:p>
            <w:pPr>
              <w:ind w:left="1580"/>
              <w:spacing w:after="0"/>
              <w:rPr>
                <w:sz w:val="20"/>
                <w:szCs w:val="20"/>
                <w:color w:val="auto"/>
              </w:rPr>
            </w:pPr>
            <w:r>
              <w:rPr>
                <w:rFonts w:ascii="Arial" w:cs="Arial" w:eastAsia="Arial" w:hAnsi="Arial"/>
                <w:sz w:val="18"/>
                <w:szCs w:val="18"/>
                <w:color w:val="auto"/>
              </w:rPr>
              <w:t>Current accrued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80" w:type="dxa"/>
            <w:vAlign w:val="bottom"/>
            <w:vMerge w:val="continue"/>
          </w:tcPr>
          <w:p>
            <w:pPr>
              <w:spacing w:after="0"/>
              <w:rPr>
                <w:sz w:val="18"/>
                <w:szCs w:val="18"/>
                <w:color w:val="auto"/>
              </w:rPr>
            </w:pPr>
          </w:p>
        </w:tc>
        <w:tc>
          <w:tcPr>
            <w:tcW w:w="5620" w:type="dxa"/>
            <w:vAlign w:val="bottom"/>
            <w:gridSpan w:val="3"/>
            <w:vMerge w:val="continue"/>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Electricity commodity contracts</w:t>
            </w:r>
          </w:p>
        </w:tc>
        <w:tc>
          <w:tcPr>
            <w:tcW w:w="562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Current 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Interest rate contracts</w:t>
            </w:r>
          </w:p>
        </w:tc>
        <w:tc>
          <w:tcPr>
            <w:tcW w:w="5620" w:type="dxa"/>
            <w:vAlign w:val="bottom"/>
            <w:gridSpan w:val="3"/>
          </w:tcPr>
          <w:p>
            <w:pPr>
              <w:ind w:left="1580"/>
              <w:spacing w:after="0"/>
              <w:rPr>
                <w:sz w:val="20"/>
                <w:szCs w:val="20"/>
                <w:color w:val="auto"/>
              </w:rPr>
            </w:pPr>
            <w:r>
              <w:rPr>
                <w:rFonts w:ascii="Arial" w:cs="Arial" w:eastAsia="Arial" w:hAnsi="Arial"/>
                <w:sz w:val="18"/>
                <w:szCs w:val="18"/>
                <w:color w:val="auto"/>
              </w:rPr>
              <w:t>Long-term 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562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Long-term accrued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220"/>
              <w:spacing w:after="0"/>
              <w:rPr>
                <w:sz w:val="20"/>
                <w:szCs w:val="20"/>
                <w:color w:val="auto"/>
              </w:rPr>
            </w:pPr>
            <w:r>
              <w:rPr>
                <w:rFonts w:ascii="Arial" w:cs="Arial" w:eastAsia="Arial" w:hAnsi="Arial"/>
                <w:sz w:val="18"/>
                <w:szCs w:val="18"/>
                <w:color w:val="auto"/>
              </w:rPr>
              <w:t>Total derivative liabilities</w:t>
            </w:r>
          </w:p>
        </w:tc>
        <w:tc>
          <w:tcPr>
            <w:tcW w:w="15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We have not offset fair value amounts recognized for our derivative instruments. For information related to the inputs used to measure our derivative assets and liabilities at fair value, refer to Note 12.</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Derivatives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have used interest rate swaps to maintain a portion of our debt obligations at variable market interest rates. As of June 30, 2012 and December 31, 2011, we had approximately $6.1 billion in fixed-rate senior notes outstanding. As of December 31, 2011, the interest payments on $1 billion, or 16%, of these senior notes were swapped to variable interest rates to protect the debt against changes in fair value due to changes in benchmark interest rates. In April 2012, we elected to terminate our interest rate swaps and, upon termination, we received $76 million in cash for their fair value plus accrued interest receivable. The terminated interest rate swaps were associated with senior notes that are scheduled to mature from November 2012 to March 2018. The associated fair value adjustments to long-term debt will be amortized as a reduction to interest expense over the remaining terms of the underlying debt using the effective interest method. The cash proceeds received from our termination of the swaps have been classified as a change in “Other assets” within “Net cash provided by operating activities” in the Consolidated Statement of Cash Flows.</w:t>
      </w:r>
    </w:p>
    <w:p>
      <w:pPr>
        <w:spacing w:after="0" w:line="3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designated our interest rate swaps as fair value hedges of our fixed-rate senior notes. Fair value hedge accounting for interest rate swap contracts increased the carrying value of our debt instruments by $93 million as of June 30, 2012 and $102 million as of December 31, 2011. Gains or losses on the derivatives as well as the offsetting losses or gains on the hedged items attributable to our interest rate swaps are recognized in current earnings. We include gains and losses on our interest rate swaps as adjustments to interest expense, which is the same financial statement line item where offsetting gains and losses on the related hedged items are recorded.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 adjustments from interest rate swaps and the underlying hedged items on our results of operations (in millions):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8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Three Months Ended June 30,</w:t>
            </w:r>
          </w:p>
        </w:tc>
        <w:tc>
          <w:tcPr>
            <w:tcW w:w="1260" w:type="dxa"/>
            <w:vAlign w:val="bottom"/>
          </w:tcPr>
          <w:p>
            <w:pPr>
              <w:spacing w:after="0"/>
              <w:rPr>
                <w:sz w:val="14"/>
                <w:szCs w:val="14"/>
                <w:color w:val="auto"/>
              </w:rPr>
            </w:pPr>
          </w:p>
        </w:tc>
        <w:tc>
          <w:tcPr>
            <w:tcW w:w="384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86"/>
              </w:rPr>
              <w:t>Statement of Operations Classification</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Gain (Loss) on</w:t>
            </w:r>
          </w:p>
        </w:tc>
        <w:tc>
          <w:tcPr>
            <w:tcW w:w="0" w:type="dxa"/>
            <w:vAlign w:val="bottom"/>
          </w:tcPr>
          <w:p>
            <w:pPr>
              <w:spacing w:after="0"/>
              <w:rPr>
                <w:sz w:val="1"/>
                <w:szCs w:val="1"/>
                <w:color w:val="auto"/>
              </w:rPr>
            </w:pPr>
          </w:p>
        </w:tc>
      </w:tr>
      <w:tr>
        <w:trPr>
          <w:trHeight w:val="153"/>
        </w:trPr>
        <w:tc>
          <w:tcPr>
            <w:tcW w:w="400" w:type="dxa"/>
            <w:vAlign w:val="bottom"/>
          </w:tcPr>
          <w:p>
            <w:pPr>
              <w:spacing w:after="0"/>
              <w:rPr>
                <w:sz w:val="12"/>
                <w:szCs w:val="12"/>
                <w:color w:val="auto"/>
              </w:rPr>
            </w:pPr>
          </w:p>
        </w:tc>
        <w:tc>
          <w:tcPr>
            <w:tcW w:w="1840" w:type="dxa"/>
            <w:vAlign w:val="bottom"/>
            <w:tcBorders>
              <w:bottom w:val="single" w:sz="8" w:color="auto"/>
            </w:tcBorders>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16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Gain (Loss) on Swap</w:t>
            </w:r>
          </w:p>
        </w:tc>
        <w:tc>
          <w:tcPr>
            <w:tcW w:w="420" w:type="dxa"/>
            <w:vAlign w:val="bottom"/>
          </w:tcPr>
          <w:p>
            <w:pPr>
              <w:spacing w:after="0"/>
              <w:rPr>
                <w:sz w:val="12"/>
                <w:szCs w:val="12"/>
                <w:color w:val="auto"/>
              </w:rPr>
            </w:pPr>
          </w:p>
        </w:tc>
        <w:tc>
          <w:tcPr>
            <w:tcW w:w="10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7"/>
              </w:rPr>
              <w:t>Fixed-Rate Debt</w:t>
            </w:r>
          </w:p>
        </w:tc>
        <w:tc>
          <w:tcPr>
            <w:tcW w:w="0" w:type="dxa"/>
            <w:vAlign w:val="bottom"/>
          </w:tcPr>
          <w:p>
            <w:pPr>
              <w:spacing w:after="0"/>
              <w:rPr>
                <w:sz w:val="1"/>
                <w:szCs w:val="1"/>
                <w:color w:val="auto"/>
              </w:rPr>
            </w:pPr>
          </w:p>
        </w:tc>
      </w:tr>
      <w:tr>
        <w:trPr>
          <w:trHeight w:val="20"/>
        </w:trPr>
        <w:tc>
          <w:tcPr>
            <w:tcW w:w="2160" w:type="dxa"/>
            <w:vAlign w:val="bottom"/>
            <w:gridSpan w:val="3"/>
            <w:vMerge w:val="restart"/>
            <w:shd w:val="clear" w:color="auto" w:fill="CCEEFF"/>
          </w:tcPr>
          <w:p>
            <w:pPr>
              <w:jc w:val="center"/>
              <w:ind w:left="392"/>
              <w:spacing w:after="0"/>
              <w:rPr>
                <w:sz w:val="20"/>
                <w:szCs w:val="20"/>
                <w:color w:val="auto"/>
              </w:rPr>
            </w:pPr>
            <w:r>
              <w:rPr>
                <w:rFonts w:ascii="Arial" w:cs="Arial" w:eastAsia="Arial" w:hAnsi="Arial"/>
                <w:sz w:val="18"/>
                <w:szCs w:val="18"/>
                <w:color w:val="auto"/>
                <w:w w:val="89"/>
              </w:rPr>
              <w:t>2012</w:t>
            </w:r>
          </w:p>
        </w:tc>
        <w:tc>
          <w:tcPr>
            <w:tcW w:w="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6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980" w:type="dxa"/>
            <w:vAlign w:val="bottom"/>
            <w:shd w:val="clear" w:color="auto" w:fill="CCEEFF"/>
          </w:tcPr>
          <w:p>
            <w:pPr>
              <w:ind w:left="900"/>
              <w:spacing w:after="0" w:line="203" w:lineRule="exact"/>
              <w:rPr>
                <w:sz w:val="20"/>
                <w:szCs w:val="20"/>
                <w:color w:val="auto"/>
              </w:rPr>
            </w:pPr>
            <w:r>
              <w:rPr>
                <w:rFonts w:ascii="Arial" w:cs="Arial" w:eastAsia="Arial" w:hAnsi="Arial"/>
                <w:sz w:val="18"/>
                <w:szCs w:val="18"/>
                <w:color w:val="auto"/>
              </w:rPr>
              <w:t>Interest expense</w:t>
            </w:r>
          </w:p>
        </w:tc>
        <w:tc>
          <w:tcPr>
            <w:tcW w:w="86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480" w:type="dxa"/>
            <w:vAlign w:val="bottom"/>
            <w:vMerge w:val="continue"/>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160" w:type="dxa"/>
            <w:vAlign w:val="bottom"/>
            <w:gridSpan w:val="3"/>
          </w:tcPr>
          <w:p>
            <w:pPr>
              <w:jc w:val="center"/>
              <w:ind w:left="412"/>
              <w:spacing w:after="0"/>
              <w:rPr>
                <w:sz w:val="20"/>
                <w:szCs w:val="20"/>
                <w:color w:val="auto"/>
              </w:rPr>
            </w:pPr>
            <w:r>
              <w:rPr>
                <w:rFonts w:ascii="Arial" w:cs="Arial" w:eastAsia="Arial" w:hAnsi="Arial"/>
                <w:sz w:val="18"/>
                <w:szCs w:val="18"/>
                <w:color w:val="auto"/>
                <w:w w:val="84"/>
              </w:rPr>
              <w:t>2011</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40" w:type="dxa"/>
            <w:vAlign w:val="bottom"/>
            <w:gridSpan w:val="2"/>
          </w:tcPr>
          <w:p>
            <w:pPr>
              <w:jc w:val="center"/>
              <w:ind w:right="860"/>
              <w:spacing w:after="0"/>
              <w:rPr>
                <w:sz w:val="20"/>
                <w:szCs w:val="20"/>
                <w:color w:val="auto"/>
              </w:rPr>
            </w:pPr>
            <w:r>
              <w:rPr>
                <w:rFonts w:ascii="Arial" w:cs="Arial" w:eastAsia="Arial" w:hAnsi="Arial"/>
                <w:sz w:val="18"/>
                <w:szCs w:val="18"/>
                <w:color w:val="auto"/>
                <w:w w:val="85"/>
              </w:rPr>
              <w:t>Interest expense</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18</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46"/>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Six Months Ended June 30,</w:t>
            </w:r>
          </w:p>
        </w:tc>
        <w:tc>
          <w:tcPr>
            <w:tcW w:w="80" w:type="dxa"/>
            <w:vAlign w:val="bottom"/>
            <w:vMerge w:val="restart"/>
          </w:tcPr>
          <w:p>
            <w:pPr>
              <w:spacing w:after="0"/>
              <w:rPr>
                <w:sz w:val="24"/>
                <w:szCs w:val="24"/>
                <w:color w:val="auto"/>
              </w:rPr>
            </w:pPr>
          </w:p>
        </w:tc>
        <w:tc>
          <w:tcPr>
            <w:tcW w:w="1260" w:type="dxa"/>
            <w:vAlign w:val="bottom"/>
          </w:tcPr>
          <w:p>
            <w:pPr>
              <w:spacing w:after="0"/>
              <w:rPr>
                <w:sz w:val="24"/>
                <w:szCs w:val="24"/>
                <w:color w:val="auto"/>
              </w:rPr>
            </w:pPr>
          </w:p>
        </w:tc>
        <w:tc>
          <w:tcPr>
            <w:tcW w:w="384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86"/>
              </w:rPr>
              <w:t>Statement of Operations Classification</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Gain (Loss) on</w:t>
            </w:r>
          </w:p>
        </w:tc>
        <w:tc>
          <w:tcPr>
            <w:tcW w:w="0" w:type="dxa"/>
            <w:vAlign w:val="bottom"/>
          </w:tcPr>
          <w:p>
            <w:pPr>
              <w:spacing w:after="0"/>
              <w:rPr>
                <w:sz w:val="1"/>
                <w:szCs w:val="1"/>
                <w:color w:val="auto"/>
              </w:rPr>
            </w:pPr>
          </w:p>
        </w:tc>
      </w:tr>
      <w:tr>
        <w:trPr>
          <w:trHeight w:val="153"/>
        </w:trPr>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16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Gain (Loss) on Swap</w:t>
            </w:r>
          </w:p>
        </w:tc>
        <w:tc>
          <w:tcPr>
            <w:tcW w:w="420" w:type="dxa"/>
            <w:vAlign w:val="bottom"/>
          </w:tcPr>
          <w:p>
            <w:pPr>
              <w:spacing w:after="0"/>
              <w:rPr>
                <w:sz w:val="12"/>
                <w:szCs w:val="12"/>
                <w:color w:val="auto"/>
              </w:rPr>
            </w:pPr>
          </w:p>
        </w:tc>
        <w:tc>
          <w:tcPr>
            <w:tcW w:w="10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7"/>
              </w:rPr>
              <w:t>Fixed-Rate Debt</w:t>
            </w:r>
          </w:p>
        </w:tc>
        <w:tc>
          <w:tcPr>
            <w:tcW w:w="0" w:type="dxa"/>
            <w:vAlign w:val="bottom"/>
          </w:tcPr>
          <w:p>
            <w:pPr>
              <w:spacing w:after="0"/>
              <w:rPr>
                <w:sz w:val="1"/>
                <w:szCs w:val="1"/>
                <w:color w:val="auto"/>
              </w:rPr>
            </w:pPr>
          </w:p>
        </w:tc>
      </w:tr>
      <w:tr>
        <w:trPr>
          <w:trHeight w:val="20"/>
        </w:trPr>
        <w:tc>
          <w:tcPr>
            <w:tcW w:w="2160" w:type="dxa"/>
            <w:vAlign w:val="bottom"/>
            <w:gridSpan w:val="3"/>
            <w:vMerge w:val="restart"/>
            <w:shd w:val="clear" w:color="auto" w:fill="CCEEFF"/>
          </w:tcPr>
          <w:p>
            <w:pPr>
              <w:jc w:val="center"/>
              <w:ind w:left="392"/>
              <w:spacing w:after="0"/>
              <w:rPr>
                <w:sz w:val="20"/>
                <w:szCs w:val="20"/>
                <w:color w:val="auto"/>
              </w:rPr>
            </w:pPr>
            <w:r>
              <w:rPr>
                <w:rFonts w:ascii="Arial" w:cs="Arial" w:eastAsia="Arial" w:hAnsi="Arial"/>
                <w:sz w:val="18"/>
                <w:szCs w:val="18"/>
                <w:color w:val="auto"/>
                <w:w w:val="89"/>
              </w:rPr>
              <w:t>2012</w:t>
            </w:r>
          </w:p>
        </w:tc>
        <w:tc>
          <w:tcPr>
            <w:tcW w:w="80" w:type="dxa"/>
            <w:vAlign w:val="bottom"/>
            <w:shd w:val="clear" w:color="auto" w:fill="CCEEFF"/>
          </w:tcPr>
          <w:p>
            <w:pPr>
              <w:spacing w:after="0" w:line="20" w:lineRule="exact"/>
              <w:rPr>
                <w:sz w:val="1"/>
                <w:szCs w:val="1"/>
                <w:color w:val="auto"/>
              </w:rPr>
            </w:pPr>
          </w:p>
        </w:tc>
        <w:tc>
          <w:tcPr>
            <w:tcW w:w="1260" w:type="dxa"/>
            <w:vAlign w:val="bottom"/>
            <w:vMerge w:val="restart"/>
            <w:shd w:val="clear" w:color="auto" w:fill="CCEEFF"/>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6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2980" w:type="dxa"/>
            <w:vAlign w:val="bottom"/>
            <w:shd w:val="clear" w:color="auto" w:fill="CCEEFF"/>
          </w:tcPr>
          <w:p>
            <w:pPr>
              <w:ind w:left="900"/>
              <w:spacing w:after="0" w:line="203" w:lineRule="exact"/>
              <w:rPr>
                <w:sz w:val="20"/>
                <w:szCs w:val="20"/>
                <w:color w:val="auto"/>
              </w:rPr>
            </w:pPr>
            <w:r>
              <w:rPr>
                <w:rFonts w:ascii="Arial" w:cs="Arial" w:eastAsia="Arial" w:hAnsi="Arial"/>
                <w:sz w:val="18"/>
                <w:szCs w:val="18"/>
                <w:color w:val="auto"/>
              </w:rPr>
              <w:t>Interest expense</w:t>
            </w:r>
          </w:p>
        </w:tc>
        <w:tc>
          <w:tcPr>
            <w:tcW w:w="86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(1)</w:t>
            </w:r>
          </w:p>
        </w:tc>
        <w:tc>
          <w:tcPr>
            <w:tcW w:w="42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160" w:type="dxa"/>
            <w:vAlign w:val="bottom"/>
            <w:gridSpan w:val="3"/>
          </w:tcPr>
          <w:p>
            <w:pPr>
              <w:jc w:val="center"/>
              <w:ind w:left="412"/>
              <w:spacing w:after="0"/>
              <w:rPr>
                <w:sz w:val="20"/>
                <w:szCs w:val="20"/>
                <w:color w:val="auto"/>
              </w:rPr>
            </w:pPr>
            <w:r>
              <w:rPr>
                <w:rFonts w:ascii="Arial" w:cs="Arial" w:eastAsia="Arial" w:hAnsi="Arial"/>
                <w:sz w:val="18"/>
                <w:szCs w:val="18"/>
                <w:color w:val="auto"/>
                <w:w w:val="84"/>
              </w:rPr>
              <w:t>2011</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40" w:type="dxa"/>
            <w:vAlign w:val="bottom"/>
            <w:gridSpan w:val="2"/>
          </w:tcPr>
          <w:p>
            <w:pPr>
              <w:jc w:val="center"/>
              <w:ind w:right="860"/>
              <w:spacing w:after="0"/>
              <w:rPr>
                <w:sz w:val="20"/>
                <w:szCs w:val="20"/>
                <w:color w:val="auto"/>
              </w:rPr>
            </w:pPr>
            <w:r>
              <w:rPr>
                <w:rFonts w:ascii="Arial" w:cs="Arial" w:eastAsia="Arial" w:hAnsi="Arial"/>
                <w:sz w:val="18"/>
                <w:szCs w:val="18"/>
                <w:color w:val="auto"/>
                <w:w w:val="85"/>
              </w:rPr>
              <w:t>Interest expense</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12</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also recognize the impacts of (i) net periodic settlements of current interest on our active interest rate swaps and (ii) the amortization of previously terminated interest rate swap agreements as adjustments to interest expense. The following table summarizes the impact of periodic settlements of active swap agreements and the impact of terminated swap agreements on our results of operations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center"/>
              <w:ind w:left="20"/>
              <w:spacing w:after="0"/>
              <w:rPr>
                <w:sz w:val="20"/>
                <w:szCs w:val="20"/>
                <w:color w:val="auto"/>
              </w:rPr>
            </w:pPr>
            <w:r>
              <w:rPr>
                <w:rFonts w:ascii="Arial" w:cs="Arial" w:eastAsia="Arial" w:hAnsi="Arial"/>
                <w:sz w:val="14"/>
                <w:szCs w:val="14"/>
                <w:b w:val="1"/>
                <w:bCs w:val="1"/>
                <w:color w:val="auto"/>
                <w:w w:val="88"/>
              </w:rPr>
              <w:t>Six Months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1"/>
              </w:rPr>
              <w:t>Decrease to Interest Expense Due to Hedge Accounting for Interest Rate Swaps</w:t>
            </w: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Ended June 30,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7"/>
              </w:rPr>
              <w:t>Ended June 30,</w:t>
            </w:r>
          </w:p>
        </w:tc>
        <w:tc>
          <w:tcPr>
            <w:tcW w:w="0" w:type="dxa"/>
            <w:vAlign w:val="bottom"/>
          </w:tcPr>
          <w:p>
            <w:pPr>
              <w:spacing w:after="0"/>
              <w:rPr>
                <w:sz w:val="1"/>
                <w:szCs w:val="1"/>
                <w:color w:val="auto"/>
              </w:rPr>
            </w:pPr>
          </w:p>
        </w:tc>
      </w:tr>
      <w:tr>
        <w:trPr>
          <w:trHeight w:val="149"/>
        </w:trPr>
        <w:tc>
          <w:tcPr>
            <w:tcW w:w="5320" w:type="dxa"/>
            <w:vAlign w:val="bottom"/>
            <w:gridSpan w:val="3"/>
            <w:vMerge w:val="continue"/>
          </w:tcPr>
          <w:p>
            <w:pPr>
              <w:spacing w:after="0"/>
              <w:rPr>
                <w:sz w:val="12"/>
                <w:szCs w:val="12"/>
                <w:color w:val="auto"/>
              </w:rPr>
            </w:pPr>
          </w:p>
        </w:tc>
        <w:tc>
          <w:tcPr>
            <w:tcW w:w="2640" w:type="dxa"/>
            <w:vAlign w:val="bottom"/>
          </w:tcPr>
          <w:p>
            <w:pPr>
              <w:spacing w:after="0"/>
              <w:rPr>
                <w:sz w:val="12"/>
                <w:szCs w:val="12"/>
                <w:color w:val="auto"/>
              </w:rPr>
            </w:pPr>
          </w:p>
        </w:tc>
        <w:tc>
          <w:tcPr>
            <w:tcW w:w="3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2012</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3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86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Periodic settlements of active swap agreements(a)</w:t>
            </w:r>
          </w:p>
        </w:tc>
        <w:tc>
          <w:tcPr>
            <w:tcW w:w="2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6</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Terminated swap agreements(b)</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amounts represent the net of our periodic variable-rate interest obligations and the swap counterparties’ fixed-rate interest obligations. Our variable-rate obligations are based on a spread from the three-month LIBOR.</w:t>
      </w:r>
    </w:p>
    <w:p>
      <w:pPr>
        <w:ind w:left="46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amortization to interest expense of terminated swap agreements has increased due to our election to terminate our interest rate swap portfolio with a notional amount of $1 billion in April 2012.</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Forward-Starting Interest Rate Swaps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2009, we entered into forward-starting interest rate swaps with a total notional value of $525 million to hedge the risk of changes in semi-annual interest payments due to fluctuations in the forward ten-year LIBOR swap rate for anticipated fixed-rate debt issuances in 2011, 2012 and 2014. We designated these forward-starting interest rate swaps as cash flow hedges.</w:t>
      </w:r>
    </w:p>
    <w:p>
      <w:pPr>
        <w:spacing w:after="0" w:line="5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During the first quarter of 2011, $150 million of these forward-starting interest rate swaps were terminated contemporaneously with the actual issuance of senior notes in February 2011, and we paid cash of $9 million to settle the liability related to these swap agreements. The ineffectiveness recognized upon termination of the hedges was immaterial and the related deferred loss continues to be recognized as a component of “Accumulated other comprehensive income.” The deferred loss is being amortized as an increase to interest expense over the ten-year life of the senior notes issued in February 2011 using the effective interest method. The incremental interest expense associated with these forward-starting interest rate swaps was immaterial during the three and six months ended June 30, 2012 and 2011 and is expected to be immaterial over the next twelve months.</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forward-starting interest rate swaps outstanding as of June 30, 2012 relate to anticipated debt issuances in November 2012 and March 2014. As of June 30, 2012, the fair value of these active interest rate derivatives was comprised of $55 million of current liabilities and $44 million of long-term liabilities compared with $42 million of current liabilities and $32 million of long-term liabilities as of December 31, 2011.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recognized pre-tax and after-tax losses of $30 million and $18 million, respectively, to other comprehensive income for changes in the fair value of our forward-starting interest rate swaps during the three months ended June 30, 2012 and $25 million and $15 million, respectively, during the six months ended June 30, 2012. We recognized pre-tax and after-tax losses of $11 million and $7 million, respectively, to other comprehensive income for changes in the fair value of our forward-starting interest rate swaps during the three months ended June 30, 2011 and $7 million and $5 million, respectively, during the six months ended June 30, 2011. There was no significant ineffectiveness associated with these hedges during the three and six months ended June 30, 2012 or 2011.</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Treasury Rate Locks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prior years, we used Treasury rate locks to secure underlying interest rates in anticipation of senior note issuances. These cash flow hedging agreements resulted in deferred losses, net of taxes, of $10 million at June 30, 2012 and $12 million at December 31, 2011, which are included in “Accumulated other comprehensive income.” These deferred losses are reclassified as an increase to interest expense over the life of the related senior note issuances, which extend through 2032. Pre-tax and after-tax amounts of $2 million and $1 million, respectively, for the three-month periods ended June 30, 2012 and 2011, and pre-tax and after-tax amounts of $4 million and $2 million, respectively, for the six-month periods ended June 30, 2012 and 2011, were reclassified out of accumulated other comprehensive income and into interest expense. As of June 30, 2012, $4 million (on a pre-tax basis) is scheduled to be reclassified as an increase to interest expense over the next twelve months.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Credit-Risk-Related Contingent Features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interest rate derivative instruments have in the past and may in the future contain provisions related to the Company’s credit rating. These provisions generally provide that if the Company’s credit rating were to fall to specified levels below investment grade, the counterparties have the ability to terminate the derivative agreements, resulting in settlement of all affected transactions. As of June 30, 2012, we did not have any interest rate derivatives outstanding that contained these credit-risk related provisions.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Derivatives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use foreign currency exchange rate derivatives to hedge our exposure to fluctuations in exchange rates for anticipated intercompany cash transactions between Waste Management Holdings, Inc., a wholly-owned subsidiary (“WM Holdings”), and its Canadian subsidiaries. As of June 30, 2012, we had foreign currency forward contracts outstanding for all of the anticipated cash flows associated with a debt arrangement between these wholly-owned subsidiaries. The hedged cash flows as of June 30, 2012 include C$370 million of principal, which is scheduled for payment on October 31, 2013, and scheduled interest payments of C$11 million on November 30, 2012 and C$10 million on October 31, 2013. We designated the forward contracts as cash flow hedges.</w:t>
      </w:r>
    </w:p>
    <w:p>
      <w:pPr>
        <w:spacing w:after="0" w:line="3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Gains or losses on the underlying hedged items attributable to foreign currency exchange risk are recognized in current earnings. The gains or losses on our foreign currency forward contracts that are reclassified out of accumulated other comprehensive income are recognized as adjustments to other income and expense, which is the same financial statement line item where offsetting gains or losses on the related hedged items are recorded. The following table summarizes the pre-tax impacts of our foreign currency cash flow derivatives on our comprehensive income and results of operations (in millions):</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Derivative Gain or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Derivative Gain or</w:t>
            </w:r>
          </w:p>
        </w:tc>
        <w:tc>
          <w:tcPr>
            <w:tcW w:w="1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(Loss) Reclassified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1540" w:type="dxa"/>
            <w:vAlign w:val="bottom"/>
          </w:tcPr>
          <w:p>
            <w:pPr>
              <w:spacing w:after="0"/>
              <w:rPr>
                <w:sz w:val="12"/>
                <w:szCs w:val="12"/>
                <w:color w:val="auto"/>
              </w:rPr>
            </w:pPr>
          </w:p>
        </w:tc>
        <w:tc>
          <w:tcPr>
            <w:tcW w:w="1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(Loss) Recognized</w:t>
            </w:r>
          </w:p>
        </w:tc>
        <w:tc>
          <w:tcPr>
            <w:tcW w:w="114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Statement of</w:t>
            </w:r>
          </w:p>
        </w:tc>
        <w:tc>
          <w:tcPr>
            <w:tcW w:w="1720" w:type="dxa"/>
            <w:vAlign w:val="bottom"/>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from AOCI into</w:t>
            </w:r>
          </w:p>
        </w:tc>
        <w:tc>
          <w:tcPr>
            <w:tcW w:w="0" w:type="dxa"/>
            <w:vAlign w:val="bottom"/>
          </w:tcPr>
          <w:p>
            <w:pPr>
              <w:spacing w:after="0"/>
              <w:rPr>
                <w:sz w:val="1"/>
                <w:szCs w:val="1"/>
                <w:color w:val="auto"/>
              </w:rPr>
            </w:pPr>
          </w:p>
        </w:tc>
      </w:tr>
      <w:tr>
        <w:trPr>
          <w:trHeight w:val="134"/>
        </w:trPr>
        <w:tc>
          <w:tcPr>
            <w:tcW w:w="4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2"/>
          </w:tcPr>
          <w:p>
            <w:pPr>
              <w:jc w:val="right"/>
              <w:ind w:right="940"/>
              <w:spacing w:after="0" w:line="135" w:lineRule="exact"/>
              <w:rPr>
                <w:sz w:val="20"/>
                <w:szCs w:val="20"/>
                <w:color w:val="auto"/>
              </w:rPr>
            </w:pPr>
            <w:r>
              <w:rPr>
                <w:rFonts w:ascii="Arial" w:cs="Arial" w:eastAsia="Arial" w:hAnsi="Arial"/>
                <w:sz w:val="14"/>
                <w:szCs w:val="14"/>
                <w:b w:val="1"/>
                <w:bCs w:val="1"/>
                <w:color w:val="auto"/>
              </w:rPr>
              <w:t>in OCI</w:t>
            </w:r>
          </w:p>
        </w:tc>
        <w:tc>
          <w:tcPr>
            <w:tcW w:w="114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Ended June 30,</w:t>
            </w:r>
          </w:p>
        </w:tc>
        <w:tc>
          <w:tcPr>
            <w:tcW w:w="1540" w:type="dxa"/>
            <w:vAlign w:val="bottom"/>
          </w:tcPr>
          <w:p>
            <w:pPr>
              <w:spacing w:after="0"/>
              <w:rPr>
                <w:sz w:val="12"/>
                <w:szCs w:val="12"/>
                <w:color w:val="auto"/>
              </w:rPr>
            </w:pPr>
          </w:p>
        </w:tc>
        <w:tc>
          <w:tcPr>
            <w:tcW w:w="1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(Effective Portion)</w:t>
            </w:r>
          </w:p>
        </w:tc>
        <w:tc>
          <w:tcPr>
            <w:tcW w:w="1140" w:type="dxa"/>
            <w:vAlign w:val="bottom"/>
          </w:tcPr>
          <w:p>
            <w:pPr>
              <w:spacing w:after="0"/>
              <w:rPr>
                <w:sz w:val="12"/>
                <w:szCs w:val="12"/>
                <w:color w:val="auto"/>
              </w:rPr>
            </w:pPr>
          </w:p>
        </w:tc>
        <w:tc>
          <w:tcPr>
            <w:tcW w:w="18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Operations Classification</w:t>
            </w:r>
          </w:p>
        </w:tc>
        <w:tc>
          <w:tcPr>
            <w:tcW w:w="1720" w:type="dxa"/>
            <w:vAlign w:val="bottom"/>
          </w:tcPr>
          <w:p>
            <w:pPr>
              <w:spacing w:after="0"/>
              <w:rPr>
                <w:sz w:val="12"/>
                <w:szCs w:val="12"/>
                <w:color w:val="auto"/>
              </w:rPr>
            </w:pPr>
          </w:p>
        </w:tc>
        <w:tc>
          <w:tcPr>
            <w:tcW w:w="118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00" w:type="dxa"/>
            <w:vAlign w:val="bottom"/>
            <w:gridSpan w:val="2"/>
            <w:shd w:val="clear" w:color="auto" w:fill="CCEEFF"/>
          </w:tcPr>
          <w:p>
            <w:pPr>
              <w:jc w:val="center"/>
              <w:ind w:left="372"/>
              <w:spacing w:after="0" w:line="196" w:lineRule="exact"/>
              <w:rPr>
                <w:sz w:val="20"/>
                <w:szCs w:val="20"/>
                <w:color w:val="auto"/>
              </w:rPr>
            </w:pPr>
            <w:r>
              <w:rPr>
                <w:rFonts w:ascii="Arial" w:cs="Arial" w:eastAsia="Arial" w:hAnsi="Arial"/>
                <w:sz w:val="18"/>
                <w:szCs w:val="18"/>
                <w:color w:val="auto"/>
                <w:w w:val="84"/>
              </w:rPr>
              <w:t>2012</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Other income (expense)</w:t>
            </w: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00" w:type="dxa"/>
            <w:vAlign w:val="bottom"/>
            <w:gridSpan w:val="2"/>
          </w:tcPr>
          <w:p>
            <w:pPr>
              <w:jc w:val="center"/>
              <w:ind w:left="372"/>
              <w:spacing w:after="0"/>
              <w:rPr>
                <w:sz w:val="20"/>
                <w:szCs w:val="20"/>
                <w:color w:val="auto"/>
              </w:rPr>
            </w:pPr>
            <w:r>
              <w:rPr>
                <w:rFonts w:ascii="Arial" w:cs="Arial" w:eastAsia="Arial" w:hAnsi="Arial"/>
                <w:sz w:val="18"/>
                <w:szCs w:val="18"/>
                <w:color w:val="auto"/>
                <w:w w:val="84"/>
              </w:rPr>
              <w:t>2011</w:t>
            </w:r>
          </w:p>
        </w:tc>
        <w:tc>
          <w:tcPr>
            <w:tcW w:w="17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Other income (expense)</w:t>
            </w:r>
          </w:p>
        </w:tc>
        <w:tc>
          <w:tcPr>
            <w:tcW w:w="19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56"/>
        </w:trPr>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jc w:val="right"/>
              <w:ind w:right="332"/>
              <w:spacing w:after="0"/>
              <w:rPr>
                <w:sz w:val="20"/>
                <w:szCs w:val="20"/>
                <w:color w:val="auto"/>
              </w:rPr>
            </w:pPr>
            <w:r>
              <w:rPr>
                <w:rFonts w:ascii="Arial" w:cs="Arial" w:eastAsia="Arial" w:hAnsi="Arial"/>
                <w:sz w:val="18"/>
                <w:szCs w:val="18"/>
                <w:color w:val="auto"/>
              </w:rPr>
              <w:t>12</w:t>
            </w: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Derivative Gain or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Derivative Gain or</w:t>
            </w:r>
          </w:p>
        </w:tc>
        <w:tc>
          <w:tcPr>
            <w:tcW w:w="18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(Loss) Reclassified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1540" w:type="dxa"/>
            <w:vAlign w:val="bottom"/>
          </w:tcPr>
          <w:p>
            <w:pPr>
              <w:spacing w:after="0"/>
              <w:rPr>
                <w:sz w:val="12"/>
                <w:szCs w:val="12"/>
                <w:color w:val="auto"/>
              </w:rPr>
            </w:pPr>
          </w:p>
        </w:tc>
        <w:tc>
          <w:tcPr>
            <w:tcW w:w="2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(Loss) Recognized</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Statement of</w:t>
            </w:r>
          </w:p>
        </w:tc>
        <w:tc>
          <w:tcPr>
            <w:tcW w:w="1720" w:type="dxa"/>
            <w:vAlign w:val="bottom"/>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from AOCI into</w:t>
            </w:r>
          </w:p>
        </w:tc>
        <w:tc>
          <w:tcPr>
            <w:tcW w:w="0" w:type="dxa"/>
            <w:vAlign w:val="bottom"/>
          </w:tcPr>
          <w:p>
            <w:pPr>
              <w:spacing w:after="0"/>
              <w:rPr>
                <w:sz w:val="1"/>
                <w:szCs w:val="1"/>
                <w:color w:val="auto"/>
              </w:rPr>
            </w:pPr>
          </w:p>
        </w:tc>
      </w:tr>
      <w:tr>
        <w:trPr>
          <w:trHeight w:val="134"/>
        </w:trPr>
        <w:tc>
          <w:tcPr>
            <w:tcW w:w="4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0" w:type="dxa"/>
            <w:vAlign w:val="bottom"/>
            <w:gridSpan w:val="2"/>
          </w:tcPr>
          <w:p>
            <w:pPr>
              <w:jc w:val="right"/>
              <w:ind w:right="2080"/>
              <w:spacing w:after="0" w:line="135" w:lineRule="exact"/>
              <w:rPr>
                <w:sz w:val="20"/>
                <w:szCs w:val="20"/>
                <w:color w:val="auto"/>
              </w:rPr>
            </w:pPr>
            <w:r>
              <w:rPr>
                <w:rFonts w:ascii="Arial" w:cs="Arial" w:eastAsia="Arial" w:hAnsi="Arial"/>
                <w:sz w:val="14"/>
                <w:szCs w:val="14"/>
                <w:b w:val="1"/>
                <w:bCs w:val="1"/>
                <w:color w:val="auto"/>
              </w:rPr>
              <w:t>in OCI</w:t>
            </w:r>
          </w:p>
        </w:tc>
        <w:tc>
          <w:tcPr>
            <w:tcW w:w="1840" w:type="dxa"/>
            <w:vAlign w:val="bottom"/>
            <w:vMerge w:val="continue"/>
          </w:tcPr>
          <w:p>
            <w:pPr>
              <w:spacing w:after="0"/>
              <w:rPr>
                <w:sz w:val="11"/>
                <w:szCs w:val="11"/>
                <w:color w:val="auto"/>
              </w:rPr>
            </w:pPr>
          </w:p>
        </w:tc>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Ended June 30,</w:t>
            </w:r>
          </w:p>
        </w:tc>
        <w:tc>
          <w:tcPr>
            <w:tcW w:w="1540" w:type="dxa"/>
            <w:vAlign w:val="bottom"/>
          </w:tcPr>
          <w:p>
            <w:pPr>
              <w:spacing w:after="0"/>
              <w:rPr>
                <w:sz w:val="12"/>
                <w:szCs w:val="12"/>
                <w:color w:val="auto"/>
              </w:rPr>
            </w:pPr>
          </w:p>
        </w:tc>
        <w:tc>
          <w:tcPr>
            <w:tcW w:w="2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(Effective Portion)</w:t>
            </w:r>
          </w:p>
        </w:tc>
        <w:tc>
          <w:tcPr>
            <w:tcW w:w="18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Operations Classification</w:t>
            </w:r>
          </w:p>
        </w:tc>
        <w:tc>
          <w:tcPr>
            <w:tcW w:w="1720" w:type="dxa"/>
            <w:vAlign w:val="bottom"/>
          </w:tcPr>
          <w:p>
            <w:pPr>
              <w:spacing w:after="0"/>
              <w:rPr>
                <w:sz w:val="12"/>
                <w:szCs w:val="12"/>
                <w:color w:val="auto"/>
              </w:rPr>
            </w:pPr>
          </w:p>
        </w:tc>
        <w:tc>
          <w:tcPr>
            <w:tcW w:w="118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00" w:type="dxa"/>
            <w:vAlign w:val="bottom"/>
            <w:gridSpan w:val="2"/>
            <w:shd w:val="clear" w:color="auto" w:fill="CCEEFF"/>
          </w:tcPr>
          <w:p>
            <w:pPr>
              <w:jc w:val="center"/>
              <w:ind w:left="372"/>
              <w:spacing w:after="0" w:line="196" w:lineRule="exact"/>
              <w:rPr>
                <w:sz w:val="20"/>
                <w:szCs w:val="20"/>
                <w:color w:val="auto"/>
              </w:rPr>
            </w:pPr>
            <w:r>
              <w:rPr>
                <w:rFonts w:ascii="Arial" w:cs="Arial" w:eastAsia="Arial" w:hAnsi="Arial"/>
                <w:sz w:val="18"/>
                <w:szCs w:val="18"/>
                <w:color w:val="auto"/>
                <w:w w:val="84"/>
              </w:rPr>
              <w:t>2012</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74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Other income (expense)</w:t>
            </w: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1400" w:type="dxa"/>
            <w:vAlign w:val="bottom"/>
            <w:gridSpan w:val="2"/>
          </w:tcPr>
          <w:p>
            <w:pPr>
              <w:jc w:val="center"/>
              <w:ind w:left="372"/>
              <w:spacing w:after="0"/>
              <w:rPr>
                <w:sz w:val="20"/>
                <w:szCs w:val="20"/>
                <w:color w:val="auto"/>
              </w:rPr>
            </w:pPr>
            <w:r>
              <w:rPr>
                <w:rFonts w:ascii="Arial" w:cs="Arial" w:eastAsia="Arial" w:hAnsi="Arial"/>
                <w:sz w:val="18"/>
                <w:szCs w:val="18"/>
                <w:color w:val="auto"/>
                <w:w w:val="84"/>
              </w:rPr>
              <w:t>2011</w:t>
            </w:r>
          </w:p>
        </w:tc>
        <w:tc>
          <w:tcPr>
            <w:tcW w:w="17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1680"/>
              <w:spacing w:after="0"/>
              <w:rPr>
                <w:sz w:val="20"/>
                <w:szCs w:val="20"/>
                <w:color w:val="auto"/>
              </w:rPr>
            </w:pPr>
            <w:r>
              <w:rPr>
                <w:rFonts w:ascii="Arial" w:cs="Arial" w:eastAsia="Arial" w:hAnsi="Arial"/>
                <w:sz w:val="18"/>
                <w:szCs w:val="18"/>
                <w:color w:val="auto"/>
              </w:rPr>
              <w:t>(14)</w:t>
            </w: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Other income (expense)</w:t>
            </w:r>
          </w:p>
        </w:tc>
        <w:tc>
          <w:tcPr>
            <w:tcW w:w="19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Amounts reported in other comprehensive income and accumulated other comprehensive income are reported net of tax. Adjustments to other comprehensive income for changes in the fair value of our foreign currency cash flow hedges resulted in the recognition of after-tax gains of $4 million and less than $1 million during the three and six months ended June 30, 2012, respectively, and after-tax losses of $2 million and $8 million during the three and six months ended June 30, 2011, respectively. After-tax adjustments for the reclassification of gains (losses) from accumulated other comprehensive income into income were $4 million and $(2) million during the three and six months ended June 30, 2012, respectively. After-tax adjustments for the reclassification of losses from accumulated other comprehensive income into income were $1 million and $7 million during the three and six months ended June 30, 2011, respectively. Ineffectiveness has been included in other income and expense during each of the reported periods. There was no significant ineffectiveness associated with these hedges during the three and six months ended June 30, 2012 or 2011.</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Electricity Commodity Derivatives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use short-term “receive fixed, pay variable” electricity commodity swaps to reduce the variability in our revenues and cash flows caused by fluctuations in the market prices for electricity. We hedged 1.55 million megawatt hours, or approximately 50%, of our Wheelabrator Group’s full year 2011 merchant electricity sales, and the swaps executed through June 30, 2012 are expected to hedge about 628,800 megawatt hours, or 19%, of the Wheelabrator Group’s full year 2012 merchant electricity sales. For the three- month periods ended June 30, 2012 and 2011, we hedged 16% and 49%, respectively, of our merchant electricity sales. For the six-month periods ended June 30, 2012 and 2011, we hedged 24% and 51%, respectively, of our merchant electricity sales.</w:t>
      </w:r>
    </w:p>
    <w:p>
      <w:pPr>
        <w:spacing w:after="0" w:line="35"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We recognized pre-tax and after-tax losses of $2 million in other comprehensive income for changes in the fair value of our electricity commodity derivatives during the three months ended June 30, 2012 and pre-tax and after-tax gains of $4 million and $3 million, respectively, for the six months ended June 30, 2012. We recognized pre-tax and after-tax adjustments of $2 million and $1 million, respectively, for the reclassification of gains from accumulated other comprehensive income into income as a component of “Operating revenues” during the three months ended June 30, 2012 and $7 million and $4 million, respectively, for the six months ended June 30, 2012. All financial statement impacts associated with these derivatives were immaterial for the three and six months ended June 30, 2011. There was no significant ineffectiveness associated with these cash flow hedges during the three and six months periods ended June 30, 2012 or 2011.</w:t>
      </w:r>
    </w:p>
    <w:p>
      <w:pPr>
        <w:spacing w:after="0" w:line="14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effective income tax rate for the three and six months ended June 30, 2012 was 34.3% and 33.6%, respectively, compared with 34.5% and 35.1% for the comparable prior year periods. We evaluate our effective income tax rate at each interim period and adjust it accordingly as facts and circumstances warrant. The difference between federal income taxes computed at the federal statutory rate and reported income taxes for the three and six months ended June 30, 2012 was primarily due to the favorable impact of federal and state tax credits and audit settlements, offset in part by the unfavorable impact of state and local income taxes and a Canadian provincial tax rate increase. The differences between federal income taxes computed at the federal statutory rate and reported income taxes for the three and six months ended June 30, 2011 were primarily due to the favorable impact of federal tax credits offset by the unfavorable impact of state and local income taxes.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In January 2011, we acquired a noncontrolling interest in a limited liability company, which was established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and manage a refined coal facility in North Dakota. The facility’s refinement processes qualify for federal tax credits that are expected to be realized through 2019 in accordance with Section 45 of the Internal Revenue Code. Our initial consideration for this investment consisted of a cash payment of $48 million.</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account for our investment in this entity using the equity method of accounting, recognizing our share of the entity’s results and other reductions in “Equity in net losses of unconsolidated entities,” within our Condensed Consolidated Statement of Operations. During the three and six months ended June 30, 2012, we recognized $1 million and $2 million of net losses resulting from our share of the entity’s operating losses and $2 million during both the three and six months ended June 30, 2011. Our tax provision for the three and six months ended June 30, 2012 was reduced by $5 million and $8 million, respectively, primarily as a result of tax credits realized from this investment and by $4 million and $7 million for the three and six months ended June 30, 2011, respectively. See Note 13 for additional information related to this investment.</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Federal Low-income Housing Tax Credits </w:t>
      </w:r>
      <w:r>
        <w:rPr>
          <w:rFonts w:ascii="Arial" w:cs="Arial" w:eastAsia="Arial" w:hAnsi="Arial"/>
          <w:sz w:val="18"/>
          <w:szCs w:val="18"/>
          <w:color w:val="auto"/>
        </w:rPr>
        <w:t>— In April 2010, we acquired a noncontrolling interest in a limited liability company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 in and manage low-income housing properties. The entity’s low-income housing investments qualify for federal tax credits that are expected to be realized through 2020 in accordance with Section 42 of the Internal Revenue Code.</w:t>
      </w:r>
    </w:p>
    <w:p>
      <w:pPr>
        <w:spacing w:after="0" w:line="5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account for our investment in this entity using the equity method of accounting. We recognize our share of the entity’s results and reductions in the value of our investment in “Equity in net losses of unconsolidated entities,” within our Condensed Consolidated Statement of Operations. The value of our investment decreases as the tax credits are generated and utilized. During the three and six months ended June 30, 2012, we recognized $6 million and $12 million of losses relating to our equity investment in this entity, $2 million and $3 million of interest expense, and a reduction in our tax provision of $9 million (including $6 million of tax credits) and $16 million (including $10 million of tax credits), respectively. During the three and six months ended June 30, 2011, we recognized $6 million and $12 million of losses relating to our equity investment in this entity, $2 million and $4 million of interest expense, and a reduction in our tax provision of $11 million (including $7 million of tax credits) and $18 million (including $11 million of tax credits), respectively. See Note 13 for additional information related to this investment.</w:t>
      </w:r>
    </w:p>
    <w:p>
      <w:pPr>
        <w:spacing w:after="0" w:line="3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Recent Legislation </w:t>
      </w:r>
      <w:r>
        <w:rPr>
          <w:rFonts w:ascii="Arial" w:cs="Arial" w:eastAsia="Arial" w:hAnsi="Arial"/>
          <w:sz w:val="18"/>
          <w:szCs w:val="18"/>
          <w:color w:val="auto"/>
        </w:rPr>
        <w:t>— The Tax Relief, Unemployment Insurance Reauthorization, and Job Creation Act, signed into law on December 17, 2010,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an extension of the bonus depreciation allowance through the end of 2012 and increased the amount of qualifying capital expenditures that can be depreciated immediately from 50% to 100%. The 100% depreciation deduction applied to qualifying property placed in service from September 8, 2010 through December 31, 2011. The depreciation deduction for qualifying property placed in service in 2012 has been reduced to 50%. The acceleration of deductions on capital expenditures resulting from the bonus depreciation provisions has no impact on our effective tax rates, but reduces our cash taxes in the periods in which the deductions are taken.</w:t>
      </w:r>
    </w:p>
    <w:p>
      <w:pPr>
        <w:spacing w:after="0" w:line="63"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Subject to the finalization of our 2011 income tax return, we estimate that the acceleration of depreciation deductions related to qualifying property additions in 2011 decreased our full year 2011 cash taxes by approximately $190 million and, based on our current forecast of 2012 capital expenditures, we estimate a reduction in our full year 2012 cash taxes of approximately $90 million related to qualifying property additions in 2012. However, taking accelerated deductions results in increased cash taxes in subsequent periods when the accelerated deductions for these capital expenditures would have otherwise been taken.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7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9"/>
              </w:rPr>
              <w:t>Three Months</w:t>
            </w:r>
          </w:p>
        </w:tc>
        <w:tc>
          <w:tcPr>
            <w:tcW w:w="1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7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Ended June 30,</w:t>
            </w:r>
          </w:p>
        </w:tc>
        <w:tc>
          <w:tcPr>
            <w:tcW w:w="1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common shares outstanding at end of period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463.0</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472.3</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Effect of using weighted average common shares outstanding</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0.4</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1.9</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463.4</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474.2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462.9</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w w:val="98"/>
              </w:rPr>
              <w:t>Dilutive effect of equity-based compensation awards and other contingently issuable shares</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0.6</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1.8</w:t>
            </w: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464.0</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476.0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463.7</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40" w:type="dxa"/>
            <w:vAlign w:val="bottom"/>
            <w:gridSpan w:val="2"/>
            <w:vMerge w:val="continue"/>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17.1</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17.3</w:t>
            </w:r>
          </w:p>
        </w:tc>
        <w:tc>
          <w:tcPr>
            <w:tcW w:w="460" w:type="dxa"/>
            <w:vAlign w:val="bottom"/>
          </w:tcPr>
          <w:p>
            <w:pPr>
              <w:jc w:val="right"/>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Number of anti-dilutive potentially issuable shares excluded from diluted common shares</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Commitments and Contingencies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performance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final capping, closure and post-closure requirements, environmental remediation, and other obligations. Letters of credit generally are supported by our revolving credit facility and other credit facilities established for that purpose. We obtain surety bonds and insurance policies from an entity in which we have a noncontrolling financial interest. We also obtain insurance from a wholly-owned insurance company, the sole business of which is to issue policies for us. In those instances where our use of financial assurance from entities we own or have financial interests in is not allowed, we have available alternative financial assurance mechanisms.</w:t>
      </w:r>
    </w:p>
    <w:p>
      <w:pPr>
        <w:spacing w:after="0" w:line="3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have retained a significant portion of the risks related to our automobile, general liability and workers’ compensation claims programs. “General liability” refers to the self-insured portion of specific third party claims made against us that may be covered under our commercial General Liability Insurance Policy.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We do not expect the impact of any known casualty, property, environmental or other contingency to have a material impact on our financial condition, results of operations or cash flows.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 In the ordinary course of our business, WM and WM Holdings enter into guarantee agreements associated with their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2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also have guaranteed the obligations and certain performance requirements of, and provided indemnification to, third parties in the ordinary course of business for both consolidated and unconsolidated entities. Guarantee agreements outstanding as of June 30, 2012 include (i) guarantees of unconsolidated entities’ financial obligations maturing through 2020 for maximum future payments of $20 million; and (ii) agreements guaranteeing certain market value losses for approximately 850 homeowners’ properties adjacent to or near 20 of our landfills. Our indemnification obligations generally arise from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are achieved post-closing, and we have recognized liabilities for these contingent obligations based on an estimate of the fair value of these contingencies at the time of acquisition. Contingent obligations related to indemnifications arising from our divestitures and contingent consideration provided for by our acquisitions are not expected to be material to our financial position, results of operations or cash flows.</w:t>
      </w:r>
    </w:p>
    <w:p>
      <w:pPr>
        <w:spacing w:after="0" w:line="3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A significant portion of our operating costs and capital expenditures could be characterized as costs of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as 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3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$150 million higher than the $264 million recorded in the Condensed Consolidated Financial Statements as of June 30, 2012.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4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 of June 30, 2012, we had been notified that we are a PRP in connection with 80 locations listed on the EPA’s Superfund National Priorities List, or NPL. Of the 80 sites at which claims have been made against us, 16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other 64 NPL sites, which we do not own, are at various procedural stages under the Comprehensive Environmental Response, Compensation and Liability Act of 1980, as amended, known as CERCLA or Superfund.</w:t>
      </w:r>
    </w:p>
    <w:p>
      <w:pPr>
        <w:spacing w:after="0" w:line="13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majority of these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1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are disclosed in accordance with that requirement. We do not currently believe that the eventual outcome of any such matters, individually or in the aggregate, could have a material adverse effect on the Company’s business, financial condition, results of operations or cash flows.</w:t>
      </w:r>
    </w:p>
    <w:p>
      <w:pPr>
        <w:spacing w:after="0" w:line="62" w:lineRule="exact"/>
        <w:rPr>
          <w:sz w:val="20"/>
          <w:szCs w:val="20"/>
          <w:color w:val="auto"/>
        </w:rPr>
      </w:pPr>
    </w:p>
    <w:p>
      <w:pPr>
        <w:jc w:val="both"/>
        <w:ind w:left="460" w:firstLine="438"/>
        <w:spacing w:after="0" w:line="291" w:lineRule="auto"/>
        <w:rPr>
          <w:sz w:val="20"/>
          <w:szCs w:val="20"/>
          <w:color w:val="auto"/>
        </w:rPr>
      </w:pPr>
      <w:r>
        <w:rPr>
          <w:rFonts w:ascii="Arial" w:cs="Arial" w:eastAsia="Arial" w:hAnsi="Arial"/>
          <w:sz w:val="16"/>
          <w:szCs w:val="16"/>
          <w:color w:val="auto"/>
        </w:rPr>
        <w:t>On April 4, 2006, the EPA issued a Notice of Violation (“NOV”) to Waste Management of Hawaii, Inc., an indirect wholly-owned subsidiary of WM, and to the City and County of Honolulu for alleged violations of the federal Clean Air Act, based on alleged failure to submit certain reports and design plans required by the EPA, and the failure to begin and timely complete the installation of a gas collection and control system (“GCCS”) for the Waimanalo Gulch Sanitary Landfill on Oahu. The EPA has also indicated that it will seek penalties and injunctive relief as part of the NOV enforcement for elevated landfill temperatures that were recorded after installation of the GCCS. The parties have been in confidential settlement negotiations. Pursuant to an indemnity agreement, any penalty assessed will be paid by the Company, and not by the City and County of Honolulu.</w:t>
      </w:r>
    </w:p>
    <w:p>
      <w:pPr>
        <w:spacing w:after="0" w:line="39" w:lineRule="exact"/>
        <w:rPr>
          <w:sz w:val="20"/>
          <w:szCs w:val="20"/>
          <w:color w:val="auto"/>
        </w:rPr>
      </w:pPr>
    </w:p>
    <w:p>
      <w:pPr>
        <w:jc w:val="both"/>
        <w:ind w:left="460" w:firstLine="438"/>
        <w:spacing w:after="0" w:line="254" w:lineRule="auto"/>
        <w:rPr>
          <w:sz w:val="20"/>
          <w:szCs w:val="20"/>
          <w:color w:val="auto"/>
        </w:rPr>
      </w:pPr>
      <w:r>
        <w:rPr>
          <w:rFonts w:ascii="Arial" w:cs="Arial" w:eastAsia="Arial" w:hAnsi="Arial"/>
          <w:sz w:val="18"/>
          <w:szCs w:val="18"/>
          <w:color w:val="auto"/>
        </w:rPr>
        <w:t>On November 16, 2011, the Regional Water Quality Control Board for the San Francisco Bay Region (the “Water Board”) issued an Administrative Civil Liability (“ACL”) Complaint to Guadalupe Rubbish Disposal Company, Inc. (“GRDC”), an indirect wholly-owned subsidiary of WM. The ACL Complaint seeks penalties for alleged violations of California’s water pollution statutes and GRDC’s stormwater permit relating to handling of landfill gas condensate from an on-site landfill gas-to-energy facility owned and operated by a third party. GRDC and the Water Board have agreed to a settlement under which GRDC would pay a penalty of $167,285 upon final approval by the Water Board. The third party operator has agreed to fully reimburse GRDC for the penalty amount.</w:t>
      </w:r>
    </w:p>
    <w:p>
      <w:pPr>
        <w:spacing w:after="0" w:line="63" w:lineRule="exact"/>
        <w:rPr>
          <w:sz w:val="20"/>
          <w:szCs w:val="20"/>
          <w:color w:val="auto"/>
        </w:rPr>
      </w:pPr>
    </w:p>
    <w:p>
      <w:pPr>
        <w:jc w:val="both"/>
        <w:ind w:left="460" w:firstLine="438"/>
        <w:spacing w:after="0" w:line="298" w:lineRule="auto"/>
        <w:rPr>
          <w:sz w:val="20"/>
          <w:szCs w:val="20"/>
          <w:color w:val="auto"/>
        </w:rPr>
      </w:pPr>
      <w:r>
        <w:rPr>
          <w:rFonts w:ascii="Arial" w:cs="Arial" w:eastAsia="Arial" w:hAnsi="Arial"/>
          <w:sz w:val="16"/>
          <w:szCs w:val="16"/>
          <w:color w:val="auto"/>
        </w:rPr>
        <w:t>On December 22, 2011, the Harris County Attorney in Houston, Texas filed suit against McGinnes Industrial Maintenance Corporation (“MIMC”), WM and Waste Management of Texas, Inc., et al, seeking civil penalties and attorneys’ fees for alleged violations of the Texas Water Code and the Texas Health and Safety Code. The County’s Original Petition pending in the District Court of Harris County, Texas alleges the mismanagement of certain waste pits that were operated from 1965 to 1966 by MIMC. In 1998, a predecessor of WM acquired the stock of the parent entity of MIMC.</w:t>
      </w:r>
    </w:p>
    <w:p>
      <w:pPr>
        <w:spacing w:after="0" w:line="32" w:lineRule="exact"/>
        <w:rPr>
          <w:sz w:val="20"/>
          <w:szCs w:val="20"/>
          <w:color w:val="auto"/>
        </w:rPr>
      </w:pPr>
    </w:p>
    <w:p>
      <w:pPr>
        <w:jc w:val="both"/>
        <w:ind w:left="460" w:firstLine="438"/>
        <w:spacing w:after="0" w:line="306" w:lineRule="auto"/>
        <w:rPr>
          <w:sz w:val="20"/>
          <w:szCs w:val="20"/>
          <w:color w:val="auto"/>
        </w:rPr>
      </w:pPr>
      <w:r>
        <w:rPr>
          <w:rFonts w:ascii="Arial" w:cs="Arial" w:eastAsia="Arial" w:hAnsi="Arial"/>
          <w:sz w:val="16"/>
          <w:szCs w:val="16"/>
          <w:color w:val="auto"/>
        </w:rPr>
        <w:t>On April 20, 2012, the Pennsylvania Department of Environmental Protection (“PADEP”) transmitted a proposed Consent Order and Agreement to Waste Management of Pennsylvania, Inc., an indirect wholly-owned subsidiary of WM, for alleged violations of Pennsylvania solid waste regulations, including certain operations failures, at the Northwest Sanitary Landfill. PADEP has indicated that it is seeking penalties and corrective action.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Additionally, the United States Attorney’s Office for the District of Hawaii has commenced an investigation into allegations of violations of the federal Clean Water Act involving discharge of stormwater at the Waimanalo Gulch Sanitary Landfill, located on Oahu, in connection with three major storm events in December 2010 and January 2011. No formal enforcement action has been brought against the Company. While we could potentially be subject to sanctions, including requirements to pay monetary penalties, in connection with a future proceeding that may arise from the investigation, a range of loss cannot currently be estimated because no proceeding has yet commenced and significant factual and legal issues remain. We are cooperating with the U.S. Attorney’s Office.</w:t>
      </w:r>
    </w:p>
    <w:p>
      <w:pPr>
        <w:spacing w:after="0" w:line="35"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In April 2002, certain former participants in the ERISA plans of WM Holdings filed a lawsuit in the U.S. District Court for the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Columbia in a case entitled </w:t>
      </w:r>
      <w:r>
        <w:rPr>
          <w:rFonts w:ascii="Arial" w:cs="Arial" w:eastAsia="Arial" w:hAnsi="Arial"/>
          <w:sz w:val="18"/>
          <w:szCs w:val="18"/>
          <w:i w:val="1"/>
          <w:iCs w:val="1"/>
          <w:color w:val="auto"/>
        </w:rPr>
        <w:t>William S. Harris, et al. v. James E. Koenig, et al</w:t>
      </w:r>
      <w:r>
        <w:rPr>
          <w:rFonts w:ascii="Arial" w:cs="Arial" w:eastAsia="Arial" w:hAnsi="Arial"/>
          <w:sz w:val="18"/>
          <w:szCs w:val="18"/>
          <w:color w:val="auto"/>
        </w:rPr>
        <w:t>. The lawsuit attempts to increase the recovery of a class of ERISA plan participants on behalf of the plan based on allegations related to both the events alleged in, and the settlements relating to, the securities class action against WM Holdings that was settled in 1998, the litigation against WM in Texas that was settled in 2002, as well as the decision to offer WM common stock as an investment option within the plan beginning in 1990, despite alleged knowledge by at least two members of the investment committee of financial misstatement by WM during the relevant time period.</w:t>
      </w:r>
    </w:p>
    <w:p>
      <w:pPr>
        <w:spacing w:after="0" w:line="6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During the second quarter of 2010, the Court dismissed certain claims against individual defendants, including all claims against each of the current members of our Board of Directors. Previously, plaintiffs dismissed all claims related to the settlement of the securities class action against WM that was settled in 2002, and the court certified a limited class of participants who may bring claims on behalf of the plan, but not individually. During the third quarter of 2011, the Court ruled in favor of WM and two former employees dismissing all claims brought by the plaintiffs related to the decision to offer WM stock as an investment option within the plan. The Court still has under consideration additional motions that, if granted, would resolve the few remaining claims against WM and its Committees. However, we currently estimate any impact on the Company’s results of operations as a result of any liability to the plaintiffs incurred as a result of this matter will be less than $1 million, and we do not believe the outcome of this matter could have a material adverse effect on the Company’s business, financial condition, results of operations, or cash flows.</w:t>
      </w:r>
    </w:p>
    <w:p>
      <w:pPr>
        <w:spacing w:after="0" w:line="3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October 2011 and January 2012, we were named as a defendant in a purported class action in the Circuit Court of Sarasota County, Florida and the Circuit Court of Lawrence County Alabama, respectively. These cases primarily pertain to our fuel and environmental charges, generally alleging that such charges were not properly disclosed, were unfair and were contrary to the customer service contracts. The law firm that filed these lawsuits had filed, in 2008, a purported class action against subsidiaries of WM in Bullock County, Alabama, making similar allegations. The prior Alabama suit was removed to federal court, where the federal court ultimately dismissed the plaintiffs’ national class action claims. The plaintiffs then elected to dismiss the case without prejudice. We will vigorously defend against these pending lawsuits. Given the inherent uncertainties of litigation, including the early stage of these cases, the unknown size of any potential class, and legal and factual issues in dispute, the outcome of these cases cannot be predicted and a range of loss cannot currently be estimated.</w:t>
      </w:r>
    </w:p>
    <w:p>
      <w:pPr>
        <w:spacing w:after="0" w:line="3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parties, among other factors. Additionally, we often enter into contractual arrangements with landowners imposing obligations on us to meet certain regulatory or contractual conditions upon site closure or upon termination of the agreements. Compliance with these arrangements is inherently subject to subjective determinations and may result in disputes, including litigation.</w:t>
      </w:r>
    </w:p>
    <w:p>
      <w:pPr>
        <w:spacing w:after="0" w:line="59"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sales and marketing practices and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could have a material adverse effect on the Company’s business, financial condition, results of operations, or cash flows.</w:t>
      </w:r>
    </w:p>
    <w:p>
      <w:pPr>
        <w:spacing w:after="0" w:line="2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WM’s charter and bylaws provide that WM shall indemnify against all liabilities and expenses, and upon request shall advance expenses to, any person who is subject to a pending or threatened proceeding because such person is a director or officer of the Company. Such indemnification is required to the maximum extent permitted under Delaware law. Accordingly, the director or officer must reimburse the Company for any fees advanced if it is later determined that the director or officer was not entitled to have such fees advanced under Delaware law. Additionally, WM has entered into separate indemnification agreements with each of the members of its Board of Directors, and the employment agreements between WM and its Chief Executive Officer, principal financial officer and other executive and senior vice presidents contain a direct contractual obligation of the Company to provide indemnification to the executive. The Company may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w:t>
      </w:r>
    </w:p>
    <w:p>
      <w:pPr>
        <w:spacing w:after="0" w:line="3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Multiemployer Defined Benefit Pension Plans </w:t>
      </w:r>
      <w:r>
        <w:rPr>
          <w:rFonts w:ascii="Arial" w:cs="Arial" w:eastAsia="Arial" w:hAnsi="Arial"/>
          <w:sz w:val="18"/>
          <w:szCs w:val="18"/>
          <w:color w:val="auto"/>
        </w:rPr>
        <w:t>— About 20% of our workforce is covered by collective bargaining agreements with various union locals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the United States and Canada. As a result of some of these agreements, certain of our subsidiaries are participating employers in a number of trustee-managed multiemployer, defined benefit pension plans for the affected employees. 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w:t>
      </w:r>
    </w:p>
    <w:p>
      <w:pPr>
        <w:spacing w:after="0" w:line="6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One of the most significant multiemployer pension plans in which we have participated is the Central States Southeast and Southwest Areas Pension Plan (“Central States Pension Plan”). The Central States Pension Plan is in “critical status” as defined by the Pension Protection Act of 2006. Since 2008, certain of our affiliates have bargained to remove covered employees from the Central States Pension Plan, resulting in a series of withdrawals. In October 2011, employees at the last of our affiliates with active participants in the Central States Pension Plan voted to decertify the union that represented them, withdrawing themselves from the Central States Pension Plan.</w:t>
      </w:r>
    </w:p>
    <w:p>
      <w:pPr>
        <w:spacing w:after="0" w:line="6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still negotiating and litigating final resolutions of our withdrawal liability for previous withdrawals, including our recent final withdrawal mentioned above, but we do not believe any additional liability above the charges we have already recognized for such previous withdrawals could be material to the Company’s business, financial condition, results of operations or cash flows. We also do not believe that any future withdrawals, individually or in the aggregate, from the multiemployer plans to which we contribute, could have a material adverse effect on our business, financial condition or liquidity. However, such withdrawals could have a material adverse effect on our results of operations for a particular reporting period, depending on the number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employees withdrawn in any future period and the financial condition of the multiemployer plan(s) at the time of such withdrawal(s).</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are currently in the examination phase of IRS audits for the tax years 2011 and 2012 and expect these audits to be completed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next six and 18 months, respectively. We participate in the IRS’s Compliance Assurance Program, which means we work with the IRS throughout the year in order to resolve any material issues prior to the filing of our year-end tax return. We are also currently undergoing audits by various state and local jurisdictions that date back to 2000. We have finalized audits in Canada through the 2005 tax year and are not currently under audit for any subsequent tax years in Canada. On July 28, 2011, we acquired Oakleaf, which is subject to IRS examinations for years dating back to 2008 and state income tax examinations for years dating back to 2002. Pursuant to the terms of our acquisition of Oakleaf, we are entitled to indemnification for Oakleaf’s pre-acquisition tax liabilities.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Segment and Related Information</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currently manage and evaluate our operations primarily through our Eastern, Midwest, Southern, Western and Wheelabrator Groups. These five Groups are presented below as our reportable segments. Our four geographic operating Groups provide collection, transfer, disposal (in both solid waste and hazardous waste landfills) and recycling services. Our fifth Group is the Wheelabrator Group, which provides waste-to-energy services and manages waste-to-energy facilities and independent power production plants. We serve residential, commercial, industrial, and municipal customers throughout North America. In addition, the Oakleaf operations we acquired on July 28, 2011 represent a separate operating segment; however, they do not meet the criteria to be presented as a separate reportable segment. The operations not managed through our five operating Groups, including the Oakleaf operations, are presented herein as “Other.” See Note 9 for additional information related to our acquisition of Oakleaf.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Summarized financial information concerning our reportable segments for the three and six months ended June 30 is shown in the following table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4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Net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7"/>
              </w:rPr>
              <w:t>Operating</w:t>
            </w:r>
          </w:p>
        </w:tc>
        <w:tc>
          <w:tcPr>
            <w:tcW w:w="3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Revenues</w:t>
            </w:r>
          </w:p>
        </w:tc>
        <w:tc>
          <w:tcPr>
            <w:tcW w:w="34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Revenues</w:t>
            </w:r>
          </w:p>
        </w:tc>
        <w:tc>
          <w:tcPr>
            <w:tcW w:w="4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Three Months Ended:</w:t>
            </w:r>
          </w:p>
        </w:tc>
        <w:tc>
          <w:tcPr>
            <w:tcW w:w="37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June 30, 2012</w:t>
            </w:r>
          </w:p>
        </w:tc>
        <w:tc>
          <w:tcPr>
            <w:tcW w:w="3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Eastern</w:t>
            </w:r>
          </w:p>
        </w:tc>
        <w:tc>
          <w:tcPr>
            <w:tcW w:w="3880" w:type="dxa"/>
            <w:vAlign w:val="bottom"/>
            <w:gridSpan w:val="2"/>
            <w:shd w:val="clear" w:color="auto" w:fill="CCEEFF"/>
          </w:tcPr>
          <w:p>
            <w:pPr>
              <w:ind w:left="37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686</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Southern</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Western</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710</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Wheelabrator</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543</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523</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3,459</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w w:val="98"/>
              </w:rPr>
              <w:t>Corporate and Other</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880" w:type="dxa"/>
            <w:vAlign w:val="bottom"/>
            <w:gridSpan w:val="2"/>
            <w:shd w:val="clear" w:color="auto" w:fill="CCEEFF"/>
          </w:tcPr>
          <w:p>
            <w:pPr>
              <w:ind w:left="37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4,052</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3,459</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1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June 30, 2011</w:t>
            </w: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660" w:type="dxa"/>
            <w:vAlign w:val="bottom"/>
            <w:gridSpan w:val="3"/>
            <w:vMerge w:val="continue"/>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Eastern</w:t>
            </w:r>
          </w:p>
        </w:tc>
        <w:tc>
          <w:tcPr>
            <w:tcW w:w="3880" w:type="dxa"/>
            <w:vAlign w:val="bottom"/>
            <w:gridSpan w:val="2"/>
            <w:shd w:val="clear" w:color="auto" w:fill="CCEEFF"/>
          </w:tcPr>
          <w:p>
            <w:pPr>
              <w:ind w:left="37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828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702</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Southern</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Western</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711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Wheelabrator</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330</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317</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3,347</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w w:val="98"/>
              </w:rPr>
              <w:t>Corporate and Other</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880" w:type="dxa"/>
            <w:vAlign w:val="bottom"/>
            <w:gridSpan w:val="2"/>
            <w:shd w:val="clear" w:color="auto" w:fill="CCEEFF"/>
          </w:tcPr>
          <w:p>
            <w:pPr>
              <w:ind w:left="37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3,871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(524)</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3,347</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1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Six Months Ended:</w:t>
            </w: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660" w:type="dxa"/>
            <w:vAlign w:val="bottom"/>
            <w:gridSpan w:val="3"/>
            <w:vMerge w:val="continue"/>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30, 2012</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Eastern</w:t>
            </w:r>
          </w:p>
        </w:tc>
        <w:tc>
          <w:tcPr>
            <w:tcW w:w="3880" w:type="dxa"/>
            <w:vAlign w:val="bottom"/>
            <w:gridSpan w:val="2"/>
          </w:tcPr>
          <w:p>
            <w:pPr>
              <w:ind w:left="37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1,516</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(276)</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1,240</w:t>
            </w:r>
          </w:p>
        </w:tc>
        <w:tc>
          <w:tcPr>
            <w:tcW w:w="40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Midwest</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1,332</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Southern</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1,713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(246)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1,467</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Western</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1,394</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351</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7,865</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(1,111)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6,754</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Corporate and Other</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w:t>
            </w: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3880" w:type="dxa"/>
            <w:vAlign w:val="bottom"/>
            <w:gridSpan w:val="2"/>
          </w:tcPr>
          <w:p>
            <w:pPr>
              <w:ind w:left="37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7,865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(1,111)</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6,754</w:t>
            </w:r>
          </w:p>
        </w:tc>
        <w:tc>
          <w:tcPr>
            <w:tcW w:w="400" w:type="dxa"/>
            <w:vAlign w:val="bottom"/>
          </w:tcPr>
          <w:p>
            <w:pPr>
              <w:spacing w:after="0"/>
              <w:rPr>
                <w:sz w:val="19"/>
                <w:szCs w:val="19"/>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30, 2011</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Eastern</w:t>
            </w:r>
          </w:p>
        </w:tc>
        <w:tc>
          <w:tcPr>
            <w:tcW w:w="3880" w:type="dxa"/>
            <w:vAlign w:val="bottom"/>
            <w:gridSpan w:val="2"/>
          </w:tcPr>
          <w:p>
            <w:pPr>
              <w:ind w:left="37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1,504</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(248)</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1,256</w:t>
            </w:r>
          </w:p>
        </w:tc>
        <w:tc>
          <w:tcPr>
            <w:tcW w:w="40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Midwest</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1,324</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Southern</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1,700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1,497</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Western</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1,393</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375</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7,434</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(984)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6,450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Corporate and Other</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w:t>
            </w: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3880" w:type="dxa"/>
            <w:vAlign w:val="bottom"/>
            <w:gridSpan w:val="2"/>
          </w:tcPr>
          <w:p>
            <w:pPr>
              <w:ind w:left="37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7,434</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(984)</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6,450</w:t>
            </w:r>
          </w:p>
        </w:tc>
        <w:tc>
          <w:tcPr>
            <w:tcW w:w="400" w:type="dxa"/>
            <w:vAlign w:val="bottom"/>
          </w:tcPr>
          <w:p>
            <w:pPr>
              <w:spacing w:after="0"/>
              <w:rPr>
                <w:sz w:val="19"/>
                <w:szCs w:val="19"/>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vMerge w:val="restart"/>
          </w:tcPr>
          <w:p>
            <w:pPr>
              <w:ind w:left="350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and operating segment and by general economic conditions. In addition, our revenues and income from operations typically reflect seasonal patterns. Our operating revenues normally tend to be somewhat higher in the summer months, primarily due to the traditional seasonal increase in the volume of construction and demolition waste. Historically, the volumes of industrial and residential waste in certain regions in which we operate have tended to increase during the summer months. Our second and third quarter revenues and results of operations typically reflect these seasonal trends.</w:t>
      </w:r>
    </w:p>
    <w:p>
      <w:pPr>
        <w:spacing w:after="0" w:line="3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Additionally, certain destructive weather conditions that tend to occur during the second half of the year, such as hurricanes that most often impact our Southern Group, can actually increase our revenues in the areas affected. While weather-related and other “one-time” occurrences can boost revenues through additional work,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1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Acquisitions</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Oakleaf </w:t>
      </w:r>
      <w:r>
        <w:rPr>
          <w:rFonts w:ascii="Arial" w:cs="Arial" w:eastAsia="Arial" w:hAnsi="Arial"/>
          <w:sz w:val="16"/>
          <w:szCs w:val="16"/>
          <w:color w:val="auto"/>
        </w:rPr>
        <w:t>— On July 28, 2011, we paid $432 million, net of cash received of $4 million and inclusive of certain adjustments, to acquire Oakleaf. Oakleaf</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outsourced waste and recycling services principally through a nationwide network of third-party haulers. The operations we acquired generated approximately $580 million in revenues in 2010. We acquired Oakleaf to advance our growth and transformation strategies and increase our national accounts customer base while enhancing our ability to provide comprehensive environmental solutions. For the year ended December 31, 2011, we incurred $1 million of acquisition-related costs, which were classified as “Selling, general and administrative” expenses. For the three- and six-month periods ended June 30, 2012, Oakleaf recognized revenues of $147 million and $295 million, respectively, and net losses of $4 million for each period. These amounts are included in our Condensed Consolidated Statement of Operations.</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shows adjustments since December 31, 2011 to the preliminary allocation of the purchase price of Oakleaf to the assets acquired and liabilities assumed based on their estimated fair value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w w:val="84"/>
              </w:rPr>
              <w:t>Adjustments</w:t>
            </w: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and other receivables</w:t>
            </w:r>
          </w:p>
        </w:tc>
        <w:tc>
          <w:tcPr>
            <w:tcW w:w="2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Other current assets</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Goodwill</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327</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Accounts payable</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220"/>
              <w:spacing w:after="0"/>
              <w:rPr>
                <w:sz w:val="20"/>
                <w:szCs w:val="20"/>
                <w:color w:val="auto"/>
              </w:rPr>
            </w:pPr>
            <w:r>
              <w:rPr>
                <w:rFonts w:ascii="Arial" w:cs="Arial" w:eastAsia="Arial" w:hAnsi="Arial"/>
                <w:sz w:val="18"/>
                <w:szCs w:val="18"/>
                <w:color w:val="auto"/>
              </w:rPr>
              <w:t>Total purchase price</w:t>
            </w:r>
          </w:p>
        </w:tc>
        <w:tc>
          <w:tcPr>
            <w:tcW w:w="2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vMerge w:val="continue"/>
          </w:tcPr>
          <w:p>
            <w:pPr>
              <w:spacing w:after="0"/>
              <w:rPr>
                <w:sz w:val="19"/>
                <w:szCs w:val="19"/>
                <w:color w:val="auto"/>
              </w:rPr>
            </w:pPr>
          </w:p>
        </w:tc>
        <w:tc>
          <w:tcPr>
            <w:tcW w:w="27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432</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760" w:type="dxa"/>
            <w:vAlign w:val="bottom"/>
            <w:vMerge w:val="restart"/>
          </w:tcPr>
          <w:p>
            <w:pPr>
              <w:jc w:val="right"/>
              <w:ind w:right="1012"/>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purchase price allocation, which is still preliminary and may change, will be finalized in the third quarter of 2012. The following table presents the preliminary allocation of the purchase price to other intangible assets (amounts in millions, except for amortization periods):</w:t>
      </w:r>
    </w:p>
    <w:p>
      <w:pPr>
        <w:spacing w:after="0" w:line="3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tcPr>
          <w:p>
            <w:pPr>
              <w:jc w:val="center"/>
              <w:ind w:left="857"/>
              <w:spacing w:after="0" w:line="149" w:lineRule="exact"/>
              <w:rPr>
                <w:sz w:val="20"/>
                <w:szCs w:val="20"/>
                <w:color w:val="auto"/>
              </w:rPr>
            </w:pPr>
            <w:r>
              <w:rPr>
                <w:rFonts w:ascii="Arial" w:cs="Arial" w:eastAsia="Arial" w:hAnsi="Arial"/>
                <w:sz w:val="14"/>
                <w:szCs w:val="14"/>
                <w:b w:val="1"/>
                <w:bCs w:val="1"/>
                <w:color w:val="auto"/>
                <w:w w:val="88"/>
              </w:rPr>
              <w:t>Amortization</w:t>
            </w:r>
          </w:p>
        </w:tc>
      </w:tr>
      <w:tr>
        <w:trPr>
          <w:trHeight w:val="149"/>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Periods</w:t>
            </w:r>
          </w:p>
        </w:tc>
      </w:tr>
      <w:tr>
        <w:trPr>
          <w:trHeight w:val="161"/>
        </w:trPr>
        <w:tc>
          <w:tcPr>
            <w:tcW w:w="6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9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Years)</w:t>
            </w:r>
          </w:p>
        </w:tc>
      </w:tr>
      <w:tr>
        <w:trPr>
          <w:trHeight w:val="210"/>
        </w:trPr>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Vendor relationships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740" w:type="dxa"/>
            <w:vAlign w:val="bottom"/>
            <w:gridSpan w:val="2"/>
          </w:tcPr>
          <w:p>
            <w:pPr>
              <w:jc w:val="center"/>
              <w:ind w:left="857"/>
              <w:spacing w:after="0"/>
              <w:rPr>
                <w:sz w:val="20"/>
                <w:szCs w:val="20"/>
                <w:color w:val="auto"/>
              </w:rPr>
            </w:pPr>
            <w:r>
              <w:rPr>
                <w:rFonts w:ascii="Arial" w:cs="Arial" w:eastAsia="Arial" w:hAnsi="Arial"/>
                <w:sz w:val="18"/>
                <w:szCs w:val="18"/>
                <w:color w:val="auto"/>
                <w:w w:val="91"/>
              </w:rPr>
              <w:t>10.0</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740" w:type="dxa"/>
            <w:vAlign w:val="bottom"/>
            <w:gridSpan w:val="2"/>
            <w:shd w:val="clear" w:color="auto" w:fill="CCEEFF"/>
          </w:tcPr>
          <w:p>
            <w:pPr>
              <w:jc w:val="center"/>
              <w:ind w:left="857"/>
              <w:spacing w:after="0"/>
              <w:rPr>
                <w:sz w:val="20"/>
                <w:szCs w:val="20"/>
                <w:color w:val="auto"/>
              </w:rPr>
            </w:pPr>
            <w:r>
              <w:rPr>
                <w:rFonts w:ascii="Arial" w:cs="Arial" w:eastAsia="Arial" w:hAnsi="Arial"/>
                <w:sz w:val="18"/>
                <w:szCs w:val="18"/>
                <w:color w:val="auto"/>
                <w:w w:val="91"/>
              </w:rPr>
              <w:t>15.0</w:t>
            </w:r>
          </w:p>
        </w:tc>
      </w:tr>
      <w:tr>
        <w:trPr>
          <w:trHeight w:val="222"/>
        </w:trPr>
        <w:tc>
          <w:tcPr>
            <w:tcW w:w="6440" w:type="dxa"/>
            <w:vAlign w:val="bottom"/>
          </w:tcPr>
          <w:p>
            <w:pPr>
              <w:spacing w:after="0"/>
              <w:rPr>
                <w:sz w:val="19"/>
                <w:szCs w:val="19"/>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740" w:type="dxa"/>
            <w:vAlign w:val="bottom"/>
            <w:gridSpan w:val="2"/>
          </w:tcPr>
          <w:p>
            <w:pPr>
              <w:jc w:val="center"/>
              <w:ind w:left="857"/>
              <w:spacing w:after="0"/>
              <w:rPr>
                <w:sz w:val="20"/>
                <w:szCs w:val="20"/>
                <w:color w:val="auto"/>
              </w:rPr>
            </w:pPr>
            <w:r>
              <w:rPr>
                <w:rFonts w:ascii="Arial" w:cs="Arial" w:eastAsia="Arial" w:hAnsi="Arial"/>
                <w:sz w:val="18"/>
                <w:szCs w:val="18"/>
                <w:color w:val="auto"/>
                <w:w w:val="91"/>
              </w:rPr>
              <w:t>10.5</w:t>
            </w: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Goodwill of $328 million was calculated as the excess of the consideration paid over the net assets recognized and represents the future economic benefits arising from other assets acquired that could not be individually identified and separately recognized. Goodwill is a result of expected synergies from combining the Company’s operations with Oakleaf’s national accounts customer base and vendor network. The vendor-hauler network expands our partnership with third-party service providers. In many cases we can provide vendor-haulers with opportunities to maintain and increase their business by utilizing our extensive post-collection network. We believe this will generate significant benefits for the Company and for the vendor-haulers. Based on our preliminary valuation, goodwill has been assigned to our four geographic Groups as they are expected to benefit from the synergies of the combination. Goodwill related to this acquisition is not deductible for income tax purposes.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pro forma consolidated results of operations for the three and six months ended June 30, 2011 have been prepared as if the acquisition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Oakleaf occurred at January 1, 2011 (in millions, except per share amounts):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50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9"/>
              </w:rPr>
              <w:t>Three Months Ended</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5"/>
              </w:rPr>
              <w:t>Six Months Ended</w:t>
            </w:r>
          </w:p>
        </w:tc>
      </w:tr>
      <w:tr>
        <w:trPr>
          <w:trHeight w:val="161"/>
        </w:trPr>
        <w:tc>
          <w:tcPr>
            <w:tcW w:w="6940" w:type="dxa"/>
            <w:vAlign w:val="bottom"/>
          </w:tcPr>
          <w:p>
            <w:pPr>
              <w:spacing w:after="0"/>
              <w:rPr>
                <w:sz w:val="14"/>
                <w:szCs w:val="14"/>
                <w:color w:val="auto"/>
              </w:rPr>
            </w:pPr>
          </w:p>
        </w:tc>
        <w:tc>
          <w:tcPr>
            <w:tcW w:w="250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5"/>
              </w:rPr>
              <w:t>June 30, 2011</w:t>
            </w: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w w:val="98"/>
              </w:rPr>
              <w:t>June 30, 2011</w:t>
            </w:r>
          </w:p>
        </w:tc>
      </w:tr>
      <w:tr>
        <w:trPr>
          <w:trHeight w:val="210"/>
        </w:trPr>
        <w:tc>
          <w:tcPr>
            <w:tcW w:w="6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2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$3,488</w:t>
            </w:r>
          </w:p>
        </w:tc>
        <w:tc>
          <w:tcPr>
            <w:tcW w:w="1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$6,721</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income attributable to Waste Management, Inc. .</w:t>
            </w:r>
          </w:p>
        </w:tc>
        <w:tc>
          <w:tcPr>
            <w:tcW w:w="1240" w:type="dxa"/>
            <w:vAlign w:val="bottom"/>
          </w:tcPr>
          <w:p>
            <w:pPr>
              <w:jc w:val="right"/>
              <w:ind w:right="159"/>
              <w:spacing w:after="0"/>
              <w:rPr>
                <w:sz w:val="20"/>
                <w:szCs w:val="20"/>
                <w:color w:val="auto"/>
              </w:rPr>
            </w:pPr>
            <w:r>
              <w:rPr>
                <w:rFonts w:ascii="Arial" w:cs="Arial" w:eastAsia="Arial" w:hAnsi="Arial"/>
                <w:sz w:val="18"/>
                <w:szCs w:val="18"/>
                <w:color w:val="auto"/>
              </w:rPr>
              <w:t>235</w:t>
            </w:r>
          </w:p>
        </w:tc>
        <w:tc>
          <w:tcPr>
            <w:tcW w:w="12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417</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0.49</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0.88</w:t>
            </w: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240" w:type="dxa"/>
            <w:vAlign w:val="bottom"/>
          </w:tcPr>
          <w:p>
            <w:pPr>
              <w:jc w:val="right"/>
              <w:ind w:right="159"/>
              <w:spacing w:after="0"/>
              <w:rPr>
                <w:sz w:val="20"/>
                <w:szCs w:val="20"/>
                <w:color w:val="auto"/>
              </w:rPr>
            </w:pPr>
            <w:r>
              <w:rPr>
                <w:rFonts w:ascii="Arial" w:cs="Arial" w:eastAsia="Arial" w:hAnsi="Arial"/>
                <w:sz w:val="18"/>
                <w:szCs w:val="18"/>
                <w:color w:val="auto"/>
              </w:rPr>
              <w:t>0.49</w:t>
            </w:r>
          </w:p>
        </w:tc>
        <w:tc>
          <w:tcPr>
            <w:tcW w:w="1260" w:type="dxa"/>
            <w:vAlign w:val="bottom"/>
          </w:tcPr>
          <w:p>
            <w:pPr>
              <w:spacing w:after="0"/>
              <w:rPr>
                <w:sz w:val="19"/>
                <w:szCs w:val="19"/>
                <w:color w:val="auto"/>
              </w:rPr>
            </w:pP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0.87</w:t>
            </w:r>
          </w:p>
        </w:tc>
      </w:tr>
    </w:tbl>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During the first half of 2012, we paid $94 million for interests in oil and gas producing properties through two transactions. The purchase price</w:t>
      </w:r>
      <w:r>
        <w:rPr>
          <w:rFonts w:ascii="Arial" w:cs="Arial" w:eastAsia="Arial" w:hAnsi="Arial"/>
          <w:sz w:val="18"/>
          <w:szCs w:val="18"/>
          <w:i w:val="1"/>
          <w:iCs w:val="1"/>
          <w:color w:val="auto"/>
        </w:rPr>
        <w:t xml:space="preserve"> </w:t>
      </w:r>
      <w:r>
        <w:rPr>
          <w:rFonts w:ascii="Arial" w:cs="Arial" w:eastAsia="Arial" w:hAnsi="Arial"/>
          <w:sz w:val="18"/>
          <w:szCs w:val="18"/>
          <w:color w:val="auto"/>
        </w:rPr>
        <w:t>was allocated primarily to “Property and equipment.” Additionally, during the six months ended June 30, 2012 we acquired 16 other businesses related to our collection and recycling operations.</w:t>
      </w:r>
    </w:p>
    <w:p>
      <w:pPr>
        <w:spacing w:after="0" w:line="13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Restructuring</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Beginning in July 2011, we took steps to streamline our organization as part of our cost savings programs. This reorganization eliminated over 700 employee positions throughout the Company, including approximately 300 open positions. Additionally, subsequent to our acquisition of Oakleaf, we incurred charges in connection with restructuring that organization. During the year ended December 31, 2011, we recognized a total of $19 million of pre-tax restructuring charges, of which $18 million were related to employee severance and benefit costs associated with these restructuring efforts. The remaining charges were primarily related to operating lease obligations for property that will no longer be utilized.</w:t>
      </w:r>
    </w:p>
    <w:p>
      <w:pPr>
        <w:spacing w:after="0" w:line="35"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During the first half of 2012, we recognized additional employee severance and benefit restructuring charges of $7 million, including $3 million associated with the reorganization of Oakleaf and additional amounts associated with certain other actions taken by the Company primarily in our Southern Group.</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Through June 30, 2012, we have paid approximately $17 million of the employee severance and benefit costs incurred as a result of these restructuring efforts.</w:t>
      </w:r>
    </w:p>
    <w:p>
      <w:pPr>
        <w:spacing w:after="0" w:line="126"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Expense from Divestitures, Asset Impairments and Unusual Items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second quarter of 2012, we recognized impairment charges of $34 million, relating primarily to two facilities in our medical waste services business as a result of projected operating losses at each of these facilities. We wrote down the carrying values of the facilities’ operating permits and property, plant and equipment to their estimated fair values. Our medical waste services business is included in our “Other” operations in Note 8.</w:t>
      </w:r>
    </w:p>
    <w:p>
      <w:pPr>
        <w:spacing w:after="0" w:line="10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addition, the negative effect on our revenues of the continued deterioration of electricity commodity prices, coupled with our continued increased exposure to market prices as a result of the expiration of several long-term, fixed-rate electricity commodity contracts at our waste-to-energy and independent power facilities, and the expiration of several long-term disposal contracts at above-market rates indicated that the fair value of our Wheelabrator Group could potentially be less than its carrying amount. As a result, in the second quarter of 2012, we performed an interim impairment analysis of our Wheelabrator Group’s goodwill balance, which was $788 million as of June 30, 2012.</w:t>
      </w:r>
    </w:p>
    <w:p>
      <w:pPr>
        <w:spacing w:after="0" w:line="6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performed an interim quantitative assessment using both an income and a market approach, which indicated that the estimated fair value of our Wheelabrator Group exceeded its carrying value; however, the amount by which the fair value exceeded the carrying value declined significantly from the most recent annual impairment test performed at October 1, 2011. At that time, our Wheelabrator Group’s estimated fair value exceeded its carrying value by approximately 30%, as compared with slightly greater than 10% as of the interim impairment test performed this quarter. If market prices for electricity worsen or do not recover as we have projected, if our disposal rates continue to decline, or if our costs and capital expenditures exceed our forecasts, the estimated fair value of our Wheelabrator Group could decrease further and potentially result in an impairment charge in a future period.</w:t>
      </w:r>
    </w:p>
    <w:p>
      <w:pPr>
        <w:spacing w:after="0" w:line="1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assets and liabilities that are measured at fair value on a recurring basis include the following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Fair Value Measurements at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June 30, 2012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Quoted</w:t>
            </w:r>
          </w:p>
        </w:tc>
        <w:tc>
          <w:tcPr>
            <w:tcW w:w="780" w:type="dxa"/>
            <w:vAlign w:val="bottom"/>
          </w:tcPr>
          <w:p>
            <w:pPr>
              <w:spacing w:after="0"/>
              <w:rPr>
                <w:sz w:val="11"/>
                <w:szCs w:val="11"/>
                <w:color w:val="auto"/>
              </w:rPr>
            </w:pPr>
          </w:p>
        </w:tc>
        <w:tc>
          <w:tcPr>
            <w:tcW w:w="13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Prices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Active</w:t>
            </w:r>
          </w:p>
        </w:tc>
        <w:tc>
          <w:tcPr>
            <w:tcW w:w="78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Markets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(Level 1)</w:t>
            </w:r>
          </w:p>
        </w:tc>
        <w:tc>
          <w:tcPr>
            <w:tcW w:w="780" w:type="dxa"/>
            <w:vAlign w:val="bottom"/>
          </w:tcPr>
          <w:p>
            <w:pPr>
              <w:spacing w:after="0"/>
              <w:rPr>
                <w:sz w:val="14"/>
                <w:szCs w:val="14"/>
                <w:color w:val="auto"/>
              </w:rPr>
            </w:pPr>
          </w:p>
        </w:tc>
        <w:tc>
          <w:tcPr>
            <w:tcW w:w="13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w w:val="79"/>
              </w:rPr>
              <w:t>112</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112</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79"/>
              </w:rPr>
              <w:t>162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Electricity commodity derivatives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79"/>
              </w:rPr>
              <w:t>277</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8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derivatives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Foreign currency derivatives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80" w:type="dxa"/>
            <w:vAlign w:val="bottom"/>
            <w:vMerge w:val="continue"/>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w w:val="79"/>
              </w:rPr>
              <w:t>101</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101</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40" w:type="dxa"/>
            <w:vAlign w:val="bottom"/>
            <w:vMerge w:val="restart"/>
          </w:tcPr>
          <w:p>
            <w:pPr>
              <w:jc w:val="right"/>
              <w:ind w:right="292"/>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8"/>
              </w:rPr>
              <w:t>Fair Value Measurements at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December 31, 2011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Quoted</w:t>
            </w:r>
          </w:p>
        </w:tc>
        <w:tc>
          <w:tcPr>
            <w:tcW w:w="540" w:type="dxa"/>
            <w:vAlign w:val="bottom"/>
          </w:tcPr>
          <w:p>
            <w:pPr>
              <w:spacing w:after="0"/>
              <w:rPr>
                <w:sz w:val="11"/>
                <w:szCs w:val="11"/>
                <w:color w:val="auto"/>
              </w:rPr>
            </w:pPr>
          </w:p>
        </w:tc>
        <w:tc>
          <w:tcPr>
            <w:tcW w:w="13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Prices in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Active</w:t>
            </w:r>
          </w:p>
        </w:tc>
        <w:tc>
          <w:tcPr>
            <w:tcW w:w="5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4"/>
                <w:szCs w:val="14"/>
                <w:color w:val="auto"/>
              </w:rPr>
            </w:pPr>
          </w:p>
        </w:tc>
        <w:tc>
          <w:tcPr>
            <w:tcW w:w="13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120</w:t>
            </w:r>
          </w:p>
        </w:tc>
        <w:tc>
          <w:tcPr>
            <w:tcW w:w="7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Interest rate derivatives</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377</w:t>
            </w:r>
          </w:p>
        </w:tc>
        <w:tc>
          <w:tcPr>
            <w:tcW w:w="7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78</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Interest rate derivatives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7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74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7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76</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i w:val="1"/>
          <w:iCs w:val="1"/>
          <w:color w:val="auto"/>
        </w:rPr>
        <w:t xml:space="preserve">Fair Value of Available-for-sale Securities </w:t>
      </w:r>
      <w:r>
        <w:rPr>
          <w:rFonts w:ascii="Arial" w:cs="Arial" w:eastAsia="Arial" w:hAnsi="Arial"/>
          <w:sz w:val="18"/>
          <w:szCs w:val="18"/>
          <w:color w:val="auto"/>
        </w:rPr>
        <w:t>— The available-for-sale securities measured using Level 1 inputs are primarily included in long-term “Other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our Condensed Consolidated Balance Sheets. The fair value of available-for-sale securities measured using Level 3 inputs consists of redeemable preferred stock that was acquired in November 2011 and is included in “Investments in unconsolidated entities” in our Condensed Consolidated Balance Sheets. The redeemable preferred stock is recorded at fair value based on other third-party investors’ recent or pending transactions in these securities, which are considered to be the best evidence of fair value currently available. When this evidence is not available, we use other valuation techniques as appropriate and available. These valuation methodologies may include transactions in similar instruments, discounted cash flow techniques, third-party appraisals or industry multiples and public comparables.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At June 30, 2012 and December 31, 2011, the carrying value of our debt was approximately $9.8 billion. The carrying value of our debt includes adjustments associated with fair value hedge accounting related to our interest rate swaps as discussed in Note 4.</w:t>
      </w:r>
    </w:p>
    <w:p>
      <w:pPr>
        <w:spacing w:after="0" w:line="5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estimated fair value of our debt was approximately $11.1 billion at June 30, 2012 and approximately $10.8 billion at December 31, 2011. The estimated fair value of our senior notes is based on quoted market prices. The carrying value of remarketable debt and borrowings under our revolving credit facilities approximates fair value due to the short-term nature of the interest rates. The fair value of our other debt is estimated using discounted cash flow analysis, based on current market rates for similar types of instruments.</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June 30, 2012 and December 31, 2011. These amounts have not been revalued since those dates, and current estimates of fair value could differ significantly from the amounts presented.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Variable Interest Entities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and (ii) those that represent a significant interest in an unconsolidated entity.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i w:val="1"/>
          <w:iCs w:val="1"/>
          <w:color w:val="auto"/>
        </w:rPr>
        <w:t xml:space="preserve">Waste-to-Energy LLCs </w:t>
      </w:r>
      <w:r>
        <w:rPr>
          <w:rFonts w:ascii="Arial" w:cs="Arial" w:eastAsia="Arial" w:hAnsi="Arial"/>
          <w:sz w:val="18"/>
          <w:szCs w:val="18"/>
          <w:color w:val="auto"/>
        </w:rPr>
        <w:t>— In June 2000, two limited liability companies were established to purchase interests in existing leveraged lease financings at</w:t>
      </w:r>
      <w:r>
        <w:rPr>
          <w:rFonts w:ascii="Arial" w:cs="Arial" w:eastAsia="Arial" w:hAnsi="Arial"/>
          <w:sz w:val="18"/>
          <w:szCs w:val="18"/>
          <w:i w:val="1"/>
          <w:iCs w:val="1"/>
          <w:color w:val="auto"/>
        </w:rPr>
        <w:t xml:space="preserve"> </w:t>
      </w:r>
      <w:r>
        <w:rPr>
          <w:rFonts w:ascii="Arial" w:cs="Arial" w:eastAsia="Arial" w:hAnsi="Arial"/>
          <w:sz w:val="18"/>
          <w:szCs w:val="18"/>
          <w:color w:val="auto"/>
        </w:rPr>
        <w:t>three waste-to-energy facilities that we lease, operate and maintain. We own a 0.5% interest in one of the LLCs (“LLC I”) and a 0.25% interest in the second LLC (“LLC II”). John Hancock Life Insurance Company (“Hancock”) owns 99.5% of LLC I and 99.75% of LLC II is owned by LLC I and the CIT Group (“CIT”). In 2000, Hancock and CIT made an initial investment of $167 million in the LLCs, which was used to purchase the three waste-to-energy facilities and assume the seller’s indebtedness. Under the LLC agreements, the LLCs shall be dissolved upon the occurrence of any of the following events: (i) a written decision of all members of the LLCs; (ii) December 31, 2063; (iii) a court’s dissolution of the LLCs; or (iv) the LLCs ceasing to own any interest in the waste-to-energy facilities.</w:t>
      </w:r>
    </w:p>
    <w:p>
      <w:pPr>
        <w:spacing w:after="0" w:line="6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Income, losses and cash flows of the LLCs are allocated to the members based on their initial capital account balances until Hancock and CIT achieve targeted returns; thereafter, we will receive 80% of the earnings of each of the LLCs and Hancock and CIT will be allocated the remaining 20% proportionate to their respective equity interests. All capital allocations made through June 30, 2012 have been based on initial capital account balances as the target returns have not yet been achieved.</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obligations associated with our interests in the LLCs are primarily related to the lease of the facilities. In addition to our minimum lease payment obligations, we are required to make cash payments to the LLCs for differences between fair market rents and our minimum lease payments. These payments are subject to adjustment based on factors that include the fair market value of rents for the facilities and lease payments made through the re-measurement dates. In addition, we may also be required under certain circumstances to make capital contributions to the LLCs based on differences between the fair market value of the facilities and defined termination values as provided for in the underlying lease agreements, although we believe the likelihood of the occurrence of these circumstances is remote.</w:t>
      </w:r>
    </w:p>
    <w:p>
      <w:pPr>
        <w:spacing w:after="0" w:line="6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determined that we are the primary beneficiary of the LLCs and consolidate these entities in our Consolidated Financial Statements because (i) all of the equity owners of the LLCs are considered related parties for purposes of applying this accounting guidance; (ii) the equity owners share power over the significant activities of the LLCs; and (iii) we are the entity within the related party group whose activities are most closely associated with the LLCs.</w:t>
      </w:r>
    </w:p>
    <w:p>
      <w:pPr>
        <w:spacing w:after="0" w:line="2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As of June 30, 2012 and December 31, 2011, our Condensed Consolidated Balance Sheets included $302 million and $308 million, respectively, of net property and equipment associated with the LLCs’ waste-to-energy facilities and $248 million and $246 million, respectively, in noncontrolling interests associated with Hancock’s and CIT’s interests in the LLCs. As of June 30, 2012 and December 31, 2011, all debt obligations of the LLCs had been paid in full and, therefore, the LLCs had no liabilities. We recognized reductions in earnings of $12 million and $25 million for the three and six months ended June 30, 2012 and 2011, respectively, for Hancock’s and CIT’s noncontrolling interests in the LLCs’ earnings. The LLCs’ earnings relate to the rental income generated from leasing the facilities to our subsidiaries, reduced by depreciation expense. The LLCs’ rental income is eliminated in WM’s consolidation.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Waste-to-Energy and Recycling LLC — </w:t>
      </w:r>
      <w:r>
        <w:rPr>
          <w:rFonts w:ascii="Arial" w:cs="Arial" w:eastAsia="Arial" w:hAnsi="Arial"/>
          <w:sz w:val="18"/>
          <w:szCs w:val="18"/>
          <w:color w:val="auto"/>
        </w:rPr>
        <w:t>In the first quarter of 2012, we established a limited liability company (the “LLC”) along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joint venture partner, a commercial entity in the waste management industry, to develop, construct, operate and maintain a waste-to-energy and recycling facility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England. We own a 50% interest in this joint venture. The total cost of constructing this facility is expected to be £200 million, or $314 million based on the exchange rate as of June 30, 2012. The LLC will be funded primarily through loans from the joint venture partners and loans under the LLC’s credit facility agreements with third-party financial institutions. The funds loaned under the credit facility agreements will be used for the development and construction of the facility. We are committed to provide up to £57 million, or $90 million based on the exchange rate as of June 30, 2012, of funding to the LLC. Our actual commitment may be more or less depending on the actual cost of the facility. Through June 30, 2012, we had funded approximately £7 million, or $11 million, through loans and less than $1 million through equity contributions. These amounts are included in our Condensed Consolidated Balance Sheet as long-term “Other assets” and “Investments in unconsolidated entities,” respectively. We also have guaranteed the performance of certain management services for the project for which our maximum exposure under the guarantee is not material.</w:t>
      </w:r>
    </w:p>
    <w:p>
      <w:pPr>
        <w:spacing w:after="0" w:line="3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addition, a wholly-owned subsidiary of the Company will be responsible for constructing the waste-to-energy facility for the LLC under a fixed-price construction contract. Once the facility is constructed, a majority-owned subsidiary of the Company will be responsible for operating and maintaining the facility for the LLC under a substantially fixed-price operating and maintenance contract. Under the operating and maintenance contract, we have guaranteed our ability to operate this facility at certain performance levels that we believe are within our control to achieve. We also will be jointly responsible, along with our LLC joint venture partner, for the performance of sales and marketing services for the LLC through a 50%-owned and unconsolidated entity. The fixed-price components of the above-mentioned contracts were established based on estimates of expected construction, operation and maintenance costs. However, we are subject to variation in our expected profits or potential losses if the actual costs differ from the costs established in the contracts. Our maximum exposure to loss under these contracts cannot be quantified.</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determined that we are not the primary beneficiary of the LLC as all decision-making responsibility is shared jointly with our joint venture partner. As such, we do not have the power to individually direct the entity’s activities. Accordingly, we account for this investment under the equity method of accounting and do not consolidate this entity.</w:t>
      </w:r>
    </w:p>
    <w:p>
      <w:pPr>
        <w:spacing w:after="0" w:line="59"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Investment in Refined Coal Facility </w:t>
      </w:r>
      <w:r>
        <w:rPr>
          <w:rFonts w:ascii="Arial" w:cs="Arial" w:eastAsia="Arial" w:hAnsi="Arial"/>
          <w:sz w:val="16"/>
          <w:szCs w:val="16"/>
          <w:color w:val="auto"/>
        </w:rPr>
        <w:t>— In January 2011, we acquired a noncontrolling interest in a limited liability company, which was established to</w:t>
      </w:r>
      <w:r>
        <w:rPr>
          <w:rFonts w:ascii="Arial" w:cs="Arial" w:eastAsia="Arial" w:hAnsi="Arial"/>
          <w:sz w:val="16"/>
          <w:szCs w:val="16"/>
          <w:i w:val="1"/>
          <w:iCs w:val="1"/>
          <w:color w:val="auto"/>
        </w:rPr>
        <w:t xml:space="preserve"> </w:t>
      </w:r>
      <w:r>
        <w:rPr>
          <w:rFonts w:ascii="Arial" w:cs="Arial" w:eastAsia="Arial" w:hAnsi="Arial"/>
          <w:sz w:val="16"/>
          <w:szCs w:val="16"/>
          <w:color w:val="auto"/>
        </w:rPr>
        <w:t>invest in and manage a refined coal facility. Along with the other equity investor, we support the operations of the entity in exchange for a pro-rata share of the tax credits it generates. Our initial consideration for this investment consisted of a cash payment of $48 million. As of June 30, 2012 and December 31, 2011, our investment balance was $30 million and $35 million, respectively, representing our current maximum pre-tax exposure to loss. Under the terms and conditions of the transaction, we do not believe that we have any material exposure to loss. Future contributions will commence once certain levels of tax credits have been generated and will continue through the expiration of the tax credits under Section 45 of the Internal Revenue Code, which occurs at the end of 2019. We are only obligated to make future 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3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Investment in Federal Low-income Housing Tax Credits </w:t>
      </w:r>
      <w:r>
        <w:rPr>
          <w:rFonts w:ascii="Arial" w:cs="Arial" w:eastAsia="Arial" w:hAnsi="Arial"/>
          <w:sz w:val="16"/>
          <w:szCs w:val="16"/>
          <w:color w:val="auto"/>
        </w:rPr>
        <w:t>— In April 2010, we acquired a noncontrolling interest in a limited liability company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to invest in and manage 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As of June 30, 2012 and December 31, 2011, our investment balance was $166 million and $178 million, respectively, and our debt balance was $164 million and $176 million, respectively. We determined that we are not the primary beneficiary of this entity as we do not have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power to individually direct the entity’s activities. Accordingly, we account for this investment under the equity method of accounting and do not consolidate the entity. Additional information related to this investment is discussed in Note 5.</w:t>
      </w:r>
    </w:p>
    <w:p>
      <w:pPr>
        <w:spacing w:after="0" w:line="13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Trusts for Final Capping, Closure, Post-Closure or Environmental Remediation Obligations </w:t>
      </w:r>
      <w:r>
        <w:rPr>
          <w:rFonts w:ascii="Arial" w:cs="Arial" w:eastAsia="Arial" w:hAnsi="Arial"/>
          <w:sz w:val="16"/>
          <w:szCs w:val="16"/>
          <w:color w:val="auto"/>
        </w:rPr>
        <w:t>— We have significant financial interests in trust funds that</w:t>
      </w:r>
      <w:r>
        <w:rPr>
          <w:rFonts w:ascii="Arial" w:cs="Arial" w:eastAsia="Arial" w:hAnsi="Arial"/>
          <w:sz w:val="16"/>
          <w:szCs w:val="16"/>
          <w:i w:val="1"/>
          <w:iCs w:val="1"/>
          <w:color w:val="auto"/>
        </w:rPr>
        <w:t xml:space="preserve"> </w:t>
      </w:r>
      <w:r>
        <w:rPr>
          <w:rFonts w:ascii="Arial" w:cs="Arial" w:eastAsia="Arial" w:hAnsi="Arial"/>
          <w:sz w:val="16"/>
          <w:szCs w:val="16"/>
          <w:color w:val="auto"/>
        </w:rPr>
        <w:t>were created to settle certain of our final capping, closure, post-closure or environmental remediation obligations. Generally, we are the sole beneficiary of these restricted balances; however, certain of the funds have been established for the benefit of both the Company and the host community in which we operate. We have determined that these trust funds are variable interest entities; however, we are not the primary beneficiary of these entities because either (i) we do not have the power to direct the significant activities of the trusts or (ii) power over the trusts’ significant activities is shared.</w:t>
      </w:r>
    </w:p>
    <w:p>
      <w:pPr>
        <w:spacing w:after="0" w:line="11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account for the trusts for which we are the sole beneficiary as long-term “Other assets” in our Condensed Consolidated Balance Sheet. These trusts had a fair value of $120 million at June 30, 2012 and $123 million at December 31, 2011. Our interests in the trusts that have been established for the benefit of both the Company and the host community in which we operate are accounted for as investments in unconsolidated entities and receivables. These amounts are recorded in “Other receivables,” “Investments in unconsolidated entities” and long-term “Other assets” in our Condensed Consolidated Balance Sheet, as appropriate. Our investments and receivables related to these trusts had an aggregate carrying value of $109 million as of June 30, 2012 and $107 million as of December 31, 2011. We reflect our interests in the unrealized gains and losses on available-for-sale securities held by these trusts as a component of “Accumulated other comprehensive income.”</w:t>
      </w:r>
    </w:p>
    <w:p>
      <w:pPr>
        <w:spacing w:after="0" w:line="3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1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Condensed Consolidating Financial Statements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Non-</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WM</w:t>
            </w:r>
          </w:p>
        </w:tc>
        <w:tc>
          <w:tcPr>
            <w:tcW w:w="6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Guarantor</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6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WM</w:t>
            </w: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Holdings</w:t>
            </w:r>
          </w:p>
        </w:tc>
        <w:tc>
          <w:tcPr>
            <w:tcW w:w="6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Subsidiaries</w:t>
            </w:r>
          </w:p>
        </w:tc>
        <w:tc>
          <w:tcPr>
            <w:tcW w:w="7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b w:val="1"/>
                <w:bCs w:val="1"/>
                <w:color w:val="auto"/>
                <w:w w:val="88"/>
              </w:rPr>
              <w:t>ASSETS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2,217</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7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12,360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12,338</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16,156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(31,695)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7,821</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12,494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16,168</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25,724</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(31,695)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960" w:type="dxa"/>
            <w:vAlign w:val="bottom"/>
          </w:tcPr>
          <w:p>
            <w:pPr>
              <w:spacing w:after="0"/>
              <w:rPr>
                <w:sz w:val="24"/>
                <w:szCs w:val="24"/>
                <w:color w:val="auto"/>
              </w:rPr>
            </w:pPr>
          </w:p>
        </w:tc>
        <w:tc>
          <w:tcPr>
            <w:tcW w:w="3060" w:type="dxa"/>
            <w:vAlign w:val="bottom"/>
            <w:gridSpan w:val="6"/>
          </w:tcPr>
          <w:p>
            <w:pPr>
              <w:jc w:val="right"/>
              <w:ind w:right="213"/>
              <w:spacing w:after="0"/>
              <w:rPr>
                <w:sz w:val="20"/>
                <w:szCs w:val="20"/>
                <w:color w:val="auto"/>
              </w:rPr>
            </w:pPr>
            <w:r>
              <w:rPr>
                <w:rFonts w:ascii="Arial" w:cs="Arial" w:eastAsia="Arial" w:hAnsi="Arial"/>
                <w:sz w:val="18"/>
                <w:szCs w:val="18"/>
                <w:b w:val="1"/>
                <w:bCs w:val="1"/>
                <w:color w:val="auto"/>
              </w:rPr>
              <w:t>LIABILITIES AND EQUITY</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552</w:t>
            </w: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301</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702</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2,472</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Equity:</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Stockholders’ equity</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15,706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15,989</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(31,695)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Noncontrolling interests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319</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15,706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16,308</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(31,695)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660"/>
              <w:spacing w:after="0"/>
              <w:rPr>
                <w:sz w:val="20"/>
                <w:szCs w:val="20"/>
                <w:color w:val="auto"/>
              </w:rPr>
            </w:pPr>
            <w:r>
              <w:rPr>
                <w:rFonts w:ascii="Arial" w:cs="Arial" w:eastAsia="Arial" w:hAnsi="Arial"/>
                <w:sz w:val="18"/>
                <w:szCs w:val="18"/>
                <w:color w:val="auto"/>
              </w:rPr>
              <w:t>Total liabilities and equity</w:t>
            </w:r>
          </w:p>
        </w:tc>
        <w:tc>
          <w:tcPr>
            <w:tcW w:w="12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12,494</w:t>
            </w:r>
          </w:p>
        </w:tc>
        <w:tc>
          <w:tcPr>
            <w:tcW w:w="6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16,168</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25,724</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(31,695)</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22,691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7"/>
              </w:rPr>
              <w:t>Non-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WM</w:t>
            </w:r>
          </w:p>
        </w:tc>
        <w:tc>
          <w:tcPr>
            <w:tcW w:w="680" w:type="dxa"/>
            <w:vAlign w:val="bottom"/>
          </w:tcPr>
          <w:p>
            <w:pPr>
              <w:spacing w:after="0"/>
              <w:rPr>
                <w:sz w:val="12"/>
                <w:szCs w:val="12"/>
                <w:color w:val="auto"/>
              </w:rPr>
            </w:pPr>
          </w:p>
        </w:tc>
        <w:tc>
          <w:tcPr>
            <w:tcW w:w="140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Guarantor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6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Holdings</w:t>
            </w: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6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420"/>
              <w:spacing w:after="0" w:line="196" w:lineRule="exact"/>
              <w:rPr>
                <w:sz w:val="20"/>
                <w:szCs w:val="20"/>
                <w:color w:val="auto"/>
              </w:rPr>
            </w:pPr>
            <w:r>
              <w:rPr>
                <w:rFonts w:ascii="Arial" w:cs="Arial" w:eastAsia="Arial" w:hAnsi="Arial"/>
                <w:sz w:val="18"/>
                <w:szCs w:val="18"/>
                <w:b w:val="1"/>
                <w:bCs w:val="1"/>
                <w:color w:val="auto"/>
                <w:w w:val="91"/>
              </w:rPr>
              <w:t>ASSETS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2,115</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12,242</w:t>
            </w: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12,242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14,905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3,033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(29,944)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7,816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12,251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14,917</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25,345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(29,944)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960" w:type="dxa"/>
            <w:vAlign w:val="bottom"/>
          </w:tcPr>
          <w:p>
            <w:pPr>
              <w:spacing w:after="0"/>
              <w:rPr>
                <w:sz w:val="24"/>
                <w:szCs w:val="24"/>
                <w:color w:val="auto"/>
              </w:rPr>
            </w:pPr>
          </w:p>
        </w:tc>
        <w:tc>
          <w:tcPr>
            <w:tcW w:w="3040" w:type="dxa"/>
            <w:vAlign w:val="bottom"/>
            <w:gridSpan w:val="6"/>
          </w:tcPr>
          <w:p>
            <w:pPr>
              <w:jc w:val="center"/>
              <w:ind w:left="152"/>
              <w:spacing w:after="0"/>
              <w:rPr>
                <w:sz w:val="20"/>
                <w:szCs w:val="20"/>
                <w:color w:val="auto"/>
              </w:rPr>
            </w:pPr>
            <w:r>
              <w:rPr>
                <w:rFonts w:ascii="Arial" w:cs="Arial" w:eastAsia="Arial" w:hAnsi="Arial"/>
                <w:sz w:val="18"/>
                <w:szCs w:val="18"/>
                <w:b w:val="1"/>
                <w:bCs w:val="1"/>
                <w:color w:val="auto"/>
              </w:rPr>
              <w:t>LIABILITIES AND EQUITY</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298</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333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422</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2,633</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2,949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3,954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Equity:</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14,455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15,489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(29,944)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14,455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15,809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(29,944)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660"/>
              <w:spacing w:after="0"/>
              <w:rPr>
                <w:sz w:val="20"/>
                <w:szCs w:val="20"/>
                <w:color w:val="auto"/>
              </w:rPr>
            </w:pPr>
            <w:r>
              <w:rPr>
                <w:rFonts w:ascii="Arial" w:cs="Arial" w:eastAsia="Arial" w:hAnsi="Arial"/>
                <w:sz w:val="18"/>
                <w:szCs w:val="18"/>
                <w:color w:val="auto"/>
              </w:rPr>
              <w:t>Total liabilities and equity</w:t>
            </w:r>
          </w:p>
        </w:tc>
        <w:tc>
          <w:tcPr>
            <w:tcW w:w="12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vMerge w:val="continue"/>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12,251</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14,917</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25,345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(29,944)</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22,569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Three Months Ended June 30,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Non-</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WM</w:t>
            </w: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6"/>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Costs and expenses</w:t>
            </w:r>
          </w:p>
        </w:tc>
        <w:tc>
          <w:tcPr>
            <w:tcW w:w="146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2,993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2"/>
        </w:trPr>
        <w:tc>
          <w:tcPr>
            <w:tcW w:w="41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2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2460" w:type="dxa"/>
            <w:vAlign w:val="bottom"/>
            <w:gridSpan w:val="3"/>
          </w:tcPr>
          <w:p>
            <w:pPr>
              <w:jc w:val="right"/>
              <w:ind w:right="64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(529)</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259</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(529)</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6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3"/>
              </w:rPr>
              <w:t>Less: Net income attributable to noncontrolling interests</w:t>
            </w:r>
          </w:p>
        </w:tc>
        <w:tc>
          <w:tcPr>
            <w:tcW w:w="146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24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267</w:t>
            </w:r>
          </w:p>
        </w:tc>
        <w:tc>
          <w:tcPr>
            <w:tcW w:w="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6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w w:val="94"/>
              </w:rPr>
              <w:t>Three Months Ended June 30, 2011</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4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Non-</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WM</w:t>
            </w: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6"/>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Costs and expenses</w:t>
            </w:r>
          </w:p>
        </w:tc>
        <w:tc>
          <w:tcPr>
            <w:tcW w:w="146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2,841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2"/>
        </w:trPr>
        <w:tc>
          <w:tcPr>
            <w:tcW w:w="41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2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2460" w:type="dxa"/>
            <w:vAlign w:val="bottom"/>
            <w:gridSpan w:val="3"/>
          </w:tcPr>
          <w:p>
            <w:pPr>
              <w:jc w:val="right"/>
              <w:ind w:right="64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(585)</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287</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(585)</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(585)</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6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(585)</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3"/>
              </w:rPr>
              <w:t>Less: Net income attributable to noncontrolling interests</w:t>
            </w:r>
          </w:p>
        </w:tc>
        <w:tc>
          <w:tcPr>
            <w:tcW w:w="146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24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295</w:t>
            </w:r>
          </w:p>
        </w:tc>
        <w:tc>
          <w:tcPr>
            <w:tcW w:w="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20" w:type="dxa"/>
            <w:vAlign w:val="bottom"/>
            <w:gridSpan w:val="2"/>
          </w:tcPr>
          <w:p>
            <w:pPr>
              <w:jc w:val="right"/>
              <w:ind w:right="114"/>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OPERATIONS (Continued)</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Six Months Ended June 30,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rPr>
              <w:t>WM</w:t>
            </w:r>
          </w:p>
        </w:tc>
        <w:tc>
          <w:tcPr>
            <w:tcW w:w="200" w:type="dxa"/>
            <w:vAlign w:val="bottom"/>
          </w:tcPr>
          <w:p>
            <w:pPr>
              <w:spacing w:after="0"/>
              <w:rPr>
                <w:sz w:val="12"/>
                <w:szCs w:val="12"/>
                <w:color w:val="auto"/>
              </w:rPr>
            </w:pPr>
          </w:p>
        </w:tc>
        <w:tc>
          <w:tcPr>
            <w:tcW w:w="1340" w:type="dxa"/>
            <w:vAlign w:val="bottom"/>
            <w:gridSpan w:val="5"/>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9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6"/>
              </w:rPr>
              <w:t>Holdings</w:t>
            </w:r>
          </w:p>
        </w:tc>
        <w:tc>
          <w:tcPr>
            <w:tcW w:w="200" w:type="dxa"/>
            <w:vAlign w:val="bottom"/>
          </w:tcPr>
          <w:p>
            <w:pPr>
              <w:spacing w:after="0"/>
              <w:rPr>
                <w:sz w:val="14"/>
                <w:szCs w:val="1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380" w:type="dxa"/>
            <w:vAlign w:val="bottom"/>
            <w:gridSpan w:val="5"/>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3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6,754</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7"/>
              </w:rPr>
              <w:t>—</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Costs and expenses</w:t>
            </w:r>
          </w:p>
        </w:tc>
        <w:tc>
          <w:tcPr>
            <w:tcW w:w="1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5,887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2"/>
        </w:trPr>
        <w:tc>
          <w:tcPr>
            <w:tcW w:w="42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204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7"/>
              </w:rPr>
              <w:t>(16)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486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5"/>
          </w:tcPr>
          <w:p>
            <w:pPr>
              <w:jc w:val="right"/>
              <w:ind w:right="112"/>
              <w:spacing w:after="0"/>
              <w:rPr>
                <w:sz w:val="20"/>
                <w:szCs w:val="20"/>
                <w:color w:val="auto"/>
              </w:rPr>
            </w:pPr>
            <w:r>
              <w:rPr>
                <w:rFonts w:ascii="Arial" w:cs="Arial" w:eastAsia="Arial" w:hAnsi="Arial"/>
                <w:sz w:val="18"/>
                <w:szCs w:val="18"/>
                <w:color w:val="auto"/>
              </w:rPr>
              <w:t>496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(982)</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(982)</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360" w:type="dxa"/>
            <w:vAlign w:val="bottom"/>
          </w:tcPr>
          <w:p>
            <w:pPr>
              <w:spacing w:after="0"/>
              <w:rPr>
                <w:sz w:val="18"/>
                <w:szCs w:val="18"/>
                <w:color w:val="auto"/>
              </w:rPr>
            </w:pPr>
          </w:p>
        </w:tc>
        <w:tc>
          <w:tcPr>
            <w:tcW w:w="680" w:type="dxa"/>
            <w:vAlign w:val="bottom"/>
            <w:gridSpan w:val="3"/>
          </w:tcPr>
          <w:p>
            <w:pPr>
              <w:jc w:val="right"/>
              <w:ind w:right="112"/>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52"/>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4"/>
              </w:rPr>
              <w:t>Less: Net income attributable to noncontrolling interests</w:t>
            </w:r>
          </w:p>
        </w:tc>
        <w:tc>
          <w:tcPr>
            <w:tcW w:w="1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$ 379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12"/>
              <w:spacing w:after="0"/>
              <w:rPr>
                <w:sz w:val="20"/>
                <w:szCs w:val="20"/>
                <w:color w:val="auto"/>
              </w:rPr>
            </w:pPr>
            <w:r>
              <w:rPr>
                <w:rFonts w:ascii="Arial" w:cs="Arial" w:eastAsia="Arial" w:hAnsi="Arial"/>
                <w:sz w:val="18"/>
                <w:szCs w:val="18"/>
                <w:color w:val="auto"/>
              </w:rPr>
              <w:t>$  486</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700" w:type="dxa"/>
            <w:vAlign w:val="bottom"/>
            <w:gridSpan w:val="8"/>
          </w:tcPr>
          <w:p>
            <w:pPr>
              <w:jc w:val="center"/>
              <w:ind w:left="172"/>
              <w:spacing w:after="0"/>
              <w:rPr>
                <w:sz w:val="20"/>
                <w:szCs w:val="20"/>
                <w:color w:val="auto"/>
              </w:rPr>
            </w:pPr>
            <w:r>
              <w:rPr>
                <w:rFonts w:ascii="Arial" w:cs="Arial" w:eastAsia="Arial" w:hAnsi="Arial"/>
                <w:sz w:val="18"/>
                <w:szCs w:val="18"/>
                <w:b w:val="1"/>
                <w:bCs w:val="1"/>
                <w:color w:val="auto"/>
                <w:w w:val="87"/>
              </w:rPr>
              <w:t>Six Months Ended June 30, 2011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60" w:type="dxa"/>
            <w:vAlign w:val="bottom"/>
            <w:gridSpan w:val="5"/>
          </w:tcPr>
          <w:p>
            <w:pPr>
              <w:jc w:val="center"/>
              <w:ind w:left="592"/>
              <w:spacing w:after="0"/>
              <w:rPr>
                <w:sz w:val="20"/>
                <w:szCs w:val="20"/>
                <w:color w:val="auto"/>
              </w:rPr>
            </w:pPr>
            <w:r>
              <w:rPr>
                <w:rFonts w:ascii="Arial" w:cs="Arial" w:eastAsia="Arial" w:hAnsi="Arial"/>
                <w:sz w:val="18"/>
                <w:szCs w:val="18"/>
                <w:b w:val="1"/>
                <w:bCs w:val="1"/>
                <w:color w:val="auto"/>
                <w:w w:val="89"/>
              </w:rPr>
              <w:t>(Unaudited)</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WM</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4"/>
          </w:tcPr>
          <w:p>
            <w:pPr>
              <w:jc w:val="right"/>
              <w:ind w:right="540"/>
              <w:spacing w:after="0" w:line="149" w:lineRule="exact"/>
              <w:rPr>
                <w:sz w:val="20"/>
                <w:szCs w:val="20"/>
                <w:color w:val="auto"/>
              </w:rPr>
            </w:pPr>
            <w:r>
              <w:rPr>
                <w:rFonts w:ascii="Arial" w:cs="Arial" w:eastAsia="Arial" w:hAnsi="Arial"/>
                <w:sz w:val="14"/>
                <w:szCs w:val="14"/>
                <w:b w:val="1"/>
                <w:bCs w:val="1"/>
                <w:color w:val="auto"/>
                <w:w w:val="97"/>
              </w:rPr>
              <w:t>Guarantor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3"/>
              </w:rPr>
              <w:t>Holdings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3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6"/>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Costs and expenses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5,517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22"/>
        </w:trPr>
        <w:tc>
          <w:tcPr>
            <w:tcW w:w="42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22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2260" w:type="dxa"/>
            <w:vAlign w:val="bottom"/>
            <w:gridSpan w:val="5"/>
          </w:tcPr>
          <w:p>
            <w:pPr>
              <w:jc w:val="right"/>
              <w:ind w:right="220"/>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(1,064)</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620" w:type="dxa"/>
            <w:vAlign w:val="bottom"/>
            <w:gridSpan w:val="2"/>
          </w:tcPr>
          <w:p>
            <w:pPr>
              <w:spacing w:after="0"/>
              <w:rPr>
                <w:sz w:val="19"/>
                <w:szCs w:val="19"/>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(1,064)</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20" w:type="dxa"/>
            <w:vAlign w:val="bottom"/>
            <w:gridSpan w:val="2"/>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(1,064)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620" w:type="dxa"/>
            <w:vAlign w:val="bottom"/>
            <w:gridSpan w:val="2"/>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20" w:type="dxa"/>
            <w:vAlign w:val="bottom"/>
            <w:gridSpan w:val="2"/>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(1,064)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4"/>
              </w:rPr>
              <w:t>Less: Net income attributable to noncontrolling interests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620" w:type="dxa"/>
            <w:vAlign w:val="bottom"/>
            <w:gridSpan w:val="2"/>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$ 423</w:t>
            </w:r>
          </w:p>
        </w:tc>
        <w:tc>
          <w:tcPr>
            <w:tcW w:w="440" w:type="dxa"/>
            <w:vAlign w:val="bottom"/>
            <w:gridSpan w:val="3"/>
            <w:shd w:val="clear" w:color="auto" w:fill="CCEEFF"/>
          </w:tcPr>
          <w:p>
            <w:pPr>
              <w:jc w:val="center"/>
              <w:ind w:left="27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5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(1,064)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20" w:type="dxa"/>
            <w:vAlign w:val="bottom"/>
            <w:gridSpan w:val="2"/>
            <w:vMerge w:val="restart"/>
          </w:tcPr>
          <w:p>
            <w:pPr>
              <w:jc w:val="center"/>
              <w:ind w:left="1232"/>
              <w:spacing w:after="0"/>
              <w:rPr>
                <w:sz w:val="20"/>
                <w:szCs w:val="20"/>
                <w:color w:val="auto"/>
              </w:rPr>
            </w:pPr>
            <w:r>
              <w:rPr>
                <w:rFonts w:ascii="Arial" w:cs="Arial" w:eastAsia="Arial" w:hAnsi="Arial"/>
                <w:sz w:val="18"/>
                <w:szCs w:val="18"/>
                <w:color w:val="auto"/>
                <w:w w:val="89"/>
              </w:rPr>
              <w:t>32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Non-</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Guarantor</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WM</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64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8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Three Months Ended June 30, 2012</w:t>
            </w:r>
          </w:p>
        </w:tc>
        <w:tc>
          <w:tcPr>
            <w:tcW w:w="4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Comprehensive income</w:t>
            </w:r>
          </w:p>
        </w:tc>
        <w:tc>
          <w:tcPr>
            <w:tcW w:w="25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gridSpan w:val="4"/>
          </w:tcPr>
          <w:p>
            <w:pPr>
              <w:jc w:val="right"/>
              <w:spacing w:after="0"/>
              <w:rPr>
                <w:sz w:val="20"/>
                <w:szCs w:val="20"/>
                <w:color w:val="auto"/>
              </w:rPr>
            </w:pPr>
            <w:r>
              <w:rPr>
                <w:rFonts w:ascii="Arial" w:cs="Arial" w:eastAsia="Arial" w:hAnsi="Arial"/>
                <w:sz w:val="18"/>
                <w:szCs w:val="18"/>
                <w:color w:val="auto"/>
              </w:rPr>
              <w:t>$190</w:t>
            </w:r>
          </w:p>
        </w:tc>
        <w:tc>
          <w:tcPr>
            <w:tcW w:w="720" w:type="dxa"/>
            <w:vAlign w:val="bottom"/>
            <w:tcBorders>
              <w:top w:val="single" w:sz="8" w:color="CCEEFF"/>
            </w:tcBorders>
            <w:gridSpan w:val="3"/>
          </w:tcPr>
          <w:p>
            <w:pPr>
              <w:ind w:left="64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CCEEFF"/>
            </w:tcBorders>
            <w:gridSpan w:val="3"/>
          </w:tcPr>
          <w:p>
            <w:pPr>
              <w:jc w:val="right"/>
              <w:ind w:right="300"/>
              <w:spacing w:after="0"/>
              <w:rPr>
                <w:sz w:val="20"/>
                <w:szCs w:val="20"/>
                <w:color w:val="auto"/>
              </w:rPr>
            </w:pPr>
            <w:r>
              <w:rPr>
                <w:rFonts w:ascii="Arial" w:cs="Arial" w:eastAsia="Arial" w:hAnsi="Arial"/>
                <w:sz w:val="18"/>
                <w:szCs w:val="18"/>
                <w:color w:val="auto"/>
              </w:rPr>
              <w:t>262</w:t>
            </w:r>
          </w:p>
        </w:tc>
        <w:tc>
          <w:tcPr>
            <w:tcW w:w="480" w:type="dxa"/>
            <w:vAlign w:val="bottom"/>
            <w:tcBorders>
              <w:top w:val="single" w:sz="8" w:color="CCEEFF"/>
            </w:tcBorders>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253</w:t>
            </w:r>
          </w:p>
        </w:tc>
        <w:tc>
          <w:tcPr>
            <w:tcW w:w="82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3"/>
          </w:tcPr>
          <w:p>
            <w:pPr>
              <w:jc w:val="right"/>
              <w:ind w:right="300"/>
              <w:spacing w:after="0"/>
              <w:rPr>
                <w:sz w:val="20"/>
                <w:szCs w:val="20"/>
                <w:color w:val="auto"/>
              </w:rPr>
            </w:pPr>
            <w:r>
              <w:rPr>
                <w:rFonts w:ascii="Arial" w:cs="Arial" w:eastAsia="Arial" w:hAnsi="Arial"/>
                <w:sz w:val="18"/>
                <w:szCs w:val="18"/>
                <w:color w:val="auto"/>
              </w:rPr>
              <w:t>(529)</w:t>
            </w:r>
          </w:p>
        </w:tc>
        <w:tc>
          <w:tcPr>
            <w:tcW w:w="60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gridSpan w:val="5"/>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8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190</w:t>
            </w:r>
          </w:p>
        </w:tc>
        <w:tc>
          <w:tcPr>
            <w:tcW w:w="720" w:type="dxa"/>
            <w:vAlign w:val="bottom"/>
            <w:gridSpan w:val="3"/>
          </w:tcPr>
          <w:p>
            <w:pPr>
              <w:ind w:left="64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262</w:t>
            </w: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(529)</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64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Three Months Ended June 30, 2011</w:t>
            </w:r>
          </w:p>
        </w:tc>
        <w:tc>
          <w:tcPr>
            <w:tcW w:w="25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$231</w:t>
            </w:r>
          </w:p>
        </w:tc>
        <w:tc>
          <w:tcPr>
            <w:tcW w:w="720" w:type="dxa"/>
            <w:vAlign w:val="bottom"/>
            <w:gridSpan w:val="3"/>
          </w:tcPr>
          <w:p>
            <w:pPr>
              <w:ind w:left="64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290</w:t>
            </w: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(585)</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gridSpan w:val="5"/>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8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231</w:t>
            </w:r>
          </w:p>
        </w:tc>
        <w:tc>
          <w:tcPr>
            <w:tcW w:w="720" w:type="dxa"/>
            <w:vAlign w:val="bottom"/>
            <w:gridSpan w:val="3"/>
          </w:tcPr>
          <w:p>
            <w:pPr>
              <w:ind w:left="64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290</w:t>
            </w: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(585)</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Non-</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1"/>
              </w:rPr>
              <w:t>Guarantor</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WM</w:t>
            </w:r>
          </w:p>
        </w:tc>
        <w:tc>
          <w:tcPr>
            <w:tcW w:w="600" w:type="dxa"/>
            <w:vAlign w:val="bottom"/>
          </w:tcPr>
          <w:p>
            <w:pPr>
              <w:spacing w:after="0"/>
              <w:rPr>
                <w:sz w:val="14"/>
                <w:szCs w:val="14"/>
                <w:color w:val="auto"/>
              </w:rPr>
            </w:pPr>
          </w:p>
        </w:tc>
        <w:tc>
          <w:tcPr>
            <w:tcW w:w="860" w:type="dxa"/>
            <w:vAlign w:val="bottom"/>
            <w:gridSpan w:val="5"/>
          </w:tcPr>
          <w:p>
            <w:pPr>
              <w:spacing w:after="0"/>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4"/>
                <w:szCs w:val="14"/>
                <w:color w:val="auto"/>
              </w:rPr>
            </w:pPr>
          </w:p>
        </w:tc>
        <w:tc>
          <w:tcPr>
            <w:tcW w:w="740" w:type="dxa"/>
            <w:vAlign w:val="bottom"/>
            <w:gridSpan w:val="4"/>
          </w:tcPr>
          <w:p>
            <w:pPr>
              <w:ind w:left="20"/>
              <w:spacing w:after="0"/>
              <w:rPr>
                <w:sz w:val="20"/>
                <w:szCs w:val="20"/>
                <w:color w:val="auto"/>
              </w:rPr>
            </w:pPr>
            <w:r>
              <w:rPr>
                <w:rFonts w:ascii="Arial" w:cs="Arial" w:eastAsia="Arial" w:hAnsi="Arial"/>
                <w:sz w:val="14"/>
                <w:szCs w:val="14"/>
                <w:b w:val="1"/>
                <w:bCs w:val="1"/>
                <w:color w:val="auto"/>
                <w:w w:val="84"/>
              </w:rPr>
              <w:t>Subsidiaries</w:t>
            </w:r>
          </w:p>
        </w:tc>
        <w:tc>
          <w:tcPr>
            <w:tcW w:w="64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Six Months Ended June 30, 2012</w:t>
            </w:r>
          </w:p>
        </w:tc>
        <w:tc>
          <w:tcPr>
            <w:tcW w:w="27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Comprehensive income</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18"/>
                <w:szCs w:val="18"/>
                <w:color w:val="auto"/>
              </w:rPr>
            </w:pP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8"/>
                <w:szCs w:val="18"/>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(982)</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5"/>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4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5"/>
            <w:vMerge w:val="continue"/>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366</w:t>
            </w:r>
          </w:p>
        </w:tc>
        <w:tc>
          <w:tcPr>
            <w:tcW w:w="60" w:type="dxa"/>
            <w:vAlign w:val="bottom"/>
          </w:tcPr>
          <w:p>
            <w:pPr>
              <w:spacing w:after="0"/>
              <w:rPr>
                <w:sz w:val="19"/>
                <w:szCs w:val="19"/>
                <w:color w:val="auto"/>
              </w:rPr>
            </w:pP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486</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9"/>
                <w:szCs w:val="19"/>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(982)</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Six Months Ended June 30, 2011</w:t>
            </w: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Comprehensive income</w:t>
            </w:r>
          </w:p>
        </w:tc>
        <w:tc>
          <w:tcPr>
            <w:tcW w:w="2760" w:type="dxa"/>
            <w:vAlign w:val="bottom"/>
            <w:tcBorders>
              <w:top w:val="single" w:sz="8" w:color="CCEEFF"/>
            </w:tcBorders>
            <w:gridSpan w:val="3"/>
          </w:tcPr>
          <w:p>
            <w:pPr>
              <w:spacing w:after="0"/>
              <w:rPr>
                <w:sz w:val="18"/>
                <w:szCs w:val="18"/>
                <w:color w:val="auto"/>
              </w:rPr>
            </w:pPr>
          </w:p>
        </w:tc>
        <w:tc>
          <w:tcPr>
            <w:tcW w:w="76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$421</w:t>
            </w: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gridSpan w:val="3"/>
          </w:tcPr>
          <w:p>
            <w:pPr>
              <w:ind w:left="60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527</w:t>
            </w: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3"/>
          </w:tcPr>
          <w:p>
            <w:pPr>
              <w:ind w:left="3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591</w:t>
            </w: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3"/>
          </w:tcPr>
          <w:p>
            <w:pPr>
              <w:jc w:val="right"/>
              <w:ind w:right="300"/>
              <w:spacing w:after="0"/>
              <w:rPr>
                <w:sz w:val="20"/>
                <w:szCs w:val="20"/>
                <w:color w:val="auto"/>
              </w:rPr>
            </w:pPr>
            <w:r>
              <w:rPr>
                <w:rFonts w:ascii="Arial" w:cs="Arial" w:eastAsia="Arial" w:hAnsi="Arial"/>
                <w:sz w:val="18"/>
                <w:szCs w:val="18"/>
                <w:color w:val="auto"/>
              </w:rPr>
              <w:t>(1,064)</w:t>
            </w:r>
          </w:p>
        </w:tc>
        <w:tc>
          <w:tcPr>
            <w:tcW w:w="60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5"/>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4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5"/>
            <w:vMerge w:val="continue"/>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421</w:t>
            </w:r>
          </w:p>
        </w:tc>
        <w:tc>
          <w:tcPr>
            <w:tcW w:w="60" w:type="dxa"/>
            <w:vAlign w:val="bottom"/>
          </w:tcPr>
          <w:p>
            <w:pPr>
              <w:spacing w:after="0"/>
              <w:rPr>
                <w:sz w:val="19"/>
                <w:szCs w:val="19"/>
                <w:color w:val="auto"/>
              </w:rPr>
            </w:pP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527</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9"/>
                <w:szCs w:val="19"/>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(1,064)</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0" w:type="dxa"/>
            <w:vAlign w:val="bottom"/>
            <w:gridSpan w:val="3"/>
          </w:tcPr>
          <w:p>
            <w:pPr>
              <w:jc w:val="right"/>
              <w:ind w:right="76"/>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Six Months Ended June 30,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2"/>
                <w:szCs w:val="12"/>
                <w:color w:val="auto"/>
              </w:rPr>
            </w:pPr>
          </w:p>
        </w:tc>
        <w:tc>
          <w:tcPr>
            <w:tcW w:w="142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w w:val="97"/>
              </w:rPr>
              <w:t>Guarantor</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WM</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$ 379</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486</w:t>
            </w:r>
          </w:p>
        </w:tc>
        <w:tc>
          <w:tcPr>
            <w:tcW w:w="38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519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(982)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982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651</w:t>
            </w:r>
          </w:p>
        </w:tc>
        <w:tc>
          <w:tcPr>
            <w:tcW w:w="24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1,170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(730)</w:t>
            </w:r>
          </w:p>
        </w:tc>
        <w:tc>
          <w:tcPr>
            <w:tcW w:w="24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other sales of assets</w:t>
            </w: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w w:val="99"/>
              </w:rPr>
              <w:t>Net receipts from restricted trust and escrow accounts and other,</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(903)</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80" w:type="dxa"/>
            <w:vAlign w:val="bottom"/>
            <w:gridSpan w:val="2"/>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80" w:type="dxa"/>
            <w:vAlign w:val="bottom"/>
            <w:gridSpan w:val="2"/>
            <w:vMerge w:val="continue"/>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80" w:type="dxa"/>
            <w:vAlign w:val="bottom"/>
            <w:gridSpan w:val="2"/>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$ 112</w:t>
            </w:r>
          </w:p>
        </w:tc>
        <w:tc>
          <w:tcPr>
            <w:tcW w:w="7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9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Six Months Ended June 30, 2011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12"/>
                <w:szCs w:val="12"/>
                <w:color w:val="auto"/>
              </w:rPr>
            </w:pPr>
          </w:p>
        </w:tc>
        <w:tc>
          <w:tcPr>
            <w:tcW w:w="11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4"/>
              </w:rPr>
              <w:t>Guarantor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WM</w:t>
            </w:r>
          </w:p>
        </w:tc>
        <w:tc>
          <w:tcPr>
            <w:tcW w:w="3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3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$ 423</w:t>
            </w:r>
          </w:p>
        </w:tc>
        <w:tc>
          <w:tcPr>
            <w:tcW w:w="38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527</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560</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(1,064)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633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(596)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other sales of assets</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(168)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(405)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 equivalents</w:t>
            </w: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20" w:type="dxa"/>
            <w:vAlign w:val="bottom"/>
            <w:gridSpan w:val="2"/>
            <w:vMerge w:val="continue"/>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$ 325</w:t>
            </w:r>
          </w:p>
        </w:tc>
        <w:tc>
          <w:tcPr>
            <w:tcW w:w="380" w:type="dxa"/>
            <w:vAlign w:val="bottom"/>
          </w:tcPr>
          <w:p>
            <w:pPr>
              <w:spacing w:after="0"/>
              <w:rPr>
                <w:sz w:val="19"/>
                <w:szCs w:val="19"/>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Subsequent Event</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July 2012, we announced a reorganization of operations, designed to flatten the management structure and reduce our cost structure. Principal organizational changes anticipated include removal of the management layer consisting of our four geographic Groups; consolidation and reduction of the number of Areas managing the core collection, disposal and recycling business from 22 to 17; and reduction of corporate support staff in 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effort to better align their support with the needs of the operating units. This restructuring has been designed around the primary goals of streamlining delivery of corporate support, while not disrupting our front line operations.</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currently estimate that approximately 700 employee positions throughout the Company, including positions at both the management and support level, will be eliminated. Voluntary separation arrangements were offered to many in management.</w:t>
      </w:r>
    </w:p>
    <w:p>
      <w:pPr>
        <w:spacing w:after="0" w:line="13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expect that this restructuring plan will be implemented through the end of 2012. We currently anticipate a pre-tax charge to earnings in the range of $50 million to $60 million, primarily related to employee severance and benefit expenses. This charge, which will be recorded primarily in the third quarter of 2012, is an estimate, and actual charges may vary materially based on various factors, including the level of employee terminations and changes in management’s assumptions. This charge estimate does not include facility, lease or other charges that are not yet estimable but that the Company may incur in connection with this restructuring.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36" w:name="page37"/>
    <w:bookmarkEnd w:id="36"/>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2011.</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similar nature and generally include statements containing:</w:t>
      </w:r>
    </w:p>
    <w:p>
      <w:pPr>
        <w:spacing w:after="0" w:line="62" w:lineRule="exact"/>
        <w:rPr>
          <w:sz w:val="20"/>
          <w:szCs w:val="20"/>
          <w:color w:val="auto"/>
        </w:rPr>
      </w:pPr>
    </w:p>
    <w:p>
      <w:pPr>
        <w:ind w:left="700" w:hanging="24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projections of the amount, timing or impact of cost savings, restructuring actions, workforce reductions or related charges;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You should view these statements with caution. These statements are not guarantees of future performance, circumstances or events. They are based on the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w:t>
      </w:r>
    </w:p>
    <w:p>
      <w:pPr>
        <w:spacing w:after="0" w:line="6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Some of the risks that we believe could affect our financial statements for 2012 and beyond and that could cause actual results to be materially different from those that may be set forth in forward-looking statements made by the Company include the following:</w:t>
      </w:r>
    </w:p>
    <w:p>
      <w:pPr>
        <w:spacing w:after="0" w:line="51" w:lineRule="exact"/>
        <w:rPr>
          <w:sz w:val="20"/>
          <w:szCs w:val="20"/>
          <w:color w:val="auto"/>
        </w:rPr>
      </w:pPr>
    </w:p>
    <w:p>
      <w:pPr>
        <w:ind w:left="700" w:hanging="246"/>
        <w:spacing w:after="0" w:line="332"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4"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fail in implementing our optimization and growth initiatives and overall business strategy, which could adversely impact our financial performance and growth;</w:t>
      </w:r>
    </w:p>
    <w:p>
      <w:pPr>
        <w:spacing w:after="0" w:line="50" w:lineRule="exact"/>
        <w:rPr>
          <w:rFonts w:ascii="Arial" w:cs="Arial" w:eastAsia="Arial" w:hAnsi="Arial"/>
          <w:sz w:val="18"/>
          <w:szCs w:val="18"/>
          <w:color w:val="auto"/>
        </w:rPr>
      </w:pPr>
    </w:p>
    <w:p>
      <w:pPr>
        <w:ind w:left="700" w:hanging="246"/>
        <w:spacing w:after="0" w:line="332"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restructuring may not achieve the goals and cost savings intended, implementing the restructuring may result in business disruption and employee distraction, and changes in our organizational structure and workforce could result in significant restructuring charges;</w:t>
      </w:r>
    </w:p>
    <w:p>
      <w:pPr>
        <w:spacing w:after="0" w:line="4"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restricting our operations, increasing costs of operations or requiring additional capital expenditures;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50"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waste-to-energy and independent power production plant operations; fluctuations in commodity prices may have negative effects on our operating results;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37" w:name="page38"/>
    <w:bookmarkEnd w:id="37"/>
    <w:p>
      <w:pPr>
        <w:jc w:val="both"/>
        <w:ind w:left="246" w:hanging="246"/>
        <w:spacing w:after="0" w:line="259"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increasing customer preference for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59"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waste-to-energy facilities and our profitability;</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9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50" w:lineRule="exact"/>
        <w:rPr>
          <w:rFonts w:ascii="Arial" w:cs="Arial" w:eastAsia="Arial" w:hAnsi="Arial"/>
          <w:sz w:val="18"/>
          <w:szCs w:val="18"/>
          <w:color w:val="auto"/>
        </w:rPr>
      </w:pPr>
    </w:p>
    <w:p>
      <w:pPr>
        <w:ind w:left="246" w:right="20"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and restrict our ability to operate;</w:t>
      </w:r>
    </w:p>
    <w:p>
      <w:pPr>
        <w:spacing w:after="0" w:line="9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90" w:lineRule="exact"/>
        <w:rPr>
          <w:rFonts w:ascii="Arial" w:cs="Arial" w:eastAsia="Arial" w:hAnsi="Arial"/>
          <w:sz w:val="18"/>
          <w:szCs w:val="18"/>
          <w:color w:val="auto"/>
        </w:rPr>
      </w:pPr>
    </w:p>
    <w:p>
      <w:pPr>
        <w:jc w:val="both"/>
        <w:ind w:left="246" w:hanging="246"/>
        <w:spacing w:after="0" w:line="259"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9"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90"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90"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increased costs for financial assurance or the inadequacy of our insurance coverage could negatively impact our liquidity and increase our liabilities;</w:t>
      </w:r>
    </w:p>
    <w:p>
      <w:pPr>
        <w:spacing w:after="0" w:line="113" w:lineRule="exact"/>
        <w:rPr>
          <w:rFonts w:ascii="Arial" w:cs="Arial" w:eastAsia="Arial" w:hAnsi="Arial"/>
          <w:sz w:val="16"/>
          <w:szCs w:val="16"/>
          <w:color w:val="auto"/>
        </w:rPr>
      </w:pPr>
    </w:p>
    <w:p>
      <w:pPr>
        <w:ind w:left="246" w:hanging="246"/>
        <w:spacing w:after="0"/>
        <w:tabs>
          <w:tab w:leader="none" w:pos="246" w:val="left"/>
        </w:tabs>
        <w:numPr>
          <w:ilvl w:val="0"/>
          <w:numId w:val="7"/>
        </w:numPr>
        <w:rPr>
          <w:rFonts w:ascii="Arial" w:cs="Arial" w:eastAsia="Arial" w:hAnsi="Arial"/>
          <w:sz w:val="16"/>
          <w:szCs w:val="16"/>
          <w:color w:val="auto"/>
        </w:rPr>
      </w:pPr>
      <w:r>
        <w:rPr>
          <w:rFonts w:ascii="Arial" w:cs="Arial" w:eastAsia="Arial" w:hAnsi="Arial"/>
          <w:sz w:val="16"/>
          <w:szCs w:val="16"/>
          <w:color w:val="auto"/>
        </w:rPr>
        <w:t>possible charges as a result of shut-down operations, uncompleted development or expansion projects or other events may negatively affect earnings;</w:t>
      </w:r>
    </w:p>
    <w:p>
      <w:pPr>
        <w:spacing w:after="0" w:line="113" w:lineRule="exact"/>
        <w:rPr>
          <w:rFonts w:ascii="Arial" w:cs="Arial" w:eastAsia="Arial" w:hAnsi="Arial"/>
          <w:sz w:val="16"/>
          <w:szCs w:val="16"/>
          <w:color w:val="auto"/>
        </w:rPr>
      </w:pPr>
    </w:p>
    <w:p>
      <w:pPr>
        <w:ind w:left="246"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incur future indebtedness on terms we deem acceptable or to refinance our debt obligations, including near-term maturities, on acceptable terms and higher interest rates and market conditions may increase our expense;</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6"/>
          <w:szCs w:val="16"/>
          <w:color w:val="auto"/>
        </w:rPr>
      </w:pPr>
      <w:r>
        <w:rPr>
          <w:rFonts w:ascii="Arial" w:cs="Arial" w:eastAsia="Arial" w:hAnsi="Arial"/>
          <w:sz w:val="16"/>
          <w:szCs w:val="16"/>
          <w:color w:val="auto"/>
        </w:rPr>
        <w:t>climate change legislation, including possible limits on carbon emissions, may negatively impact our results of operations by increasing expenses;</w:t>
      </w:r>
    </w:p>
    <w:p>
      <w:pPr>
        <w:spacing w:after="0" w:line="18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6"/>
          </w:cols>
          <w:pgMar w:left="694" w:top="280" w:right="239" w:bottom="1440" w:gutter="0" w:footer="0" w:header="0"/>
        </w:sectPr>
      </w:pPr>
    </w:p>
    <w:bookmarkStart w:id="38" w:name="page39"/>
    <w:bookmarkEnd w:id="38"/>
    <w:p>
      <w:pPr>
        <w:ind w:left="700" w:right="20" w:hanging="246"/>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50"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the leading provider of comprehensive waste management services in North America. Our subsidiaries provide collection, transfer, recycling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Company is dedicated to three transformational goals that we believe will drive continued growth and leadership in a dynamic industry: know more about our customers and how to service them than anyone else; use conversion and processing technology to extract more value from the materials we manage; and continuously improve our operational efficiency. Our strategy supports diversion from landfills and converting waste into valuable products as customers seek more economically and environmentally sound alternatives. We intend to pursue achievement of our long-term goals in the short-term through efforts to:</w:t>
      </w:r>
    </w:p>
    <w:p>
      <w:pPr>
        <w:spacing w:after="0" w:line="32" w:lineRule="exact"/>
        <w:rPr>
          <w:sz w:val="20"/>
          <w:szCs w:val="20"/>
          <w:color w:val="auto"/>
        </w:rPr>
      </w:pPr>
    </w:p>
    <w:p>
      <w:pPr>
        <w:ind w:left="700" w:hanging="246"/>
        <w:spacing w:after="0" w:line="26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 our markets by implementing customer-focused growth, through customer segmentation and through strategic acquisitions, while maintaining our pricing discipline and increasing the amount of recyclable materials we manage each year;</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 our customer loyalty;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 into new markets by investing in greener technologies;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pursue initiatives that improve our operations and cost structure.</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These efforts will be supported by ongoing improvements in information technologies. We believe that execution of our strategy will provide long-term value to our stockholders.</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second quarter of 2012 results of operations reflect the impact of our continued investment in our strategic initiatives, including our July 28, 2011 acquisition of the primary operations of Oakleaf Global Holdings (“Oakleaf”); improvement in our core solid waste business; and the impact of decreases in commodity prices. Highlights of our financial results for the current quarter include:</w:t>
      </w:r>
    </w:p>
    <w:p>
      <w:pPr>
        <w:spacing w:after="0" w:line="59" w:lineRule="exact"/>
        <w:rPr>
          <w:sz w:val="20"/>
          <w:szCs w:val="20"/>
          <w:color w:val="auto"/>
        </w:rPr>
      </w:pPr>
    </w:p>
    <w:p>
      <w:pPr>
        <w:ind w:left="700" w:hanging="246"/>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Revenues of $3,459 million compared with $3,347 million in the second quarter of 2011, an increase of $112 million, or 3.3%. This increase in revenues is primarily attributable to:</w:t>
      </w:r>
    </w:p>
    <w:p>
      <w:pPr>
        <w:spacing w:after="0" w:line="50" w:lineRule="exact"/>
        <w:rPr>
          <w:rFonts w:ascii="Arial" w:cs="Arial" w:eastAsia="Arial" w:hAnsi="Arial"/>
          <w:sz w:val="18"/>
          <w:szCs w:val="18"/>
          <w:color w:val="auto"/>
        </w:rPr>
      </w:pPr>
    </w:p>
    <w:p>
      <w:pPr>
        <w:ind w:left="920" w:hanging="237"/>
        <w:spacing w:after="0"/>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Increases associated with acquired businesses of $199 million;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39" w:name="page40"/>
    <w:bookmarkEnd w:id="39"/>
    <w:p>
      <w:pPr>
        <w:ind w:left="920" w:hanging="237"/>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Internal revenue growth from volume of 0.6%, compared with negative 1.7% in 2011, which increased revenue by $19 million; and</w:t>
      </w:r>
    </w:p>
    <w:p>
      <w:pPr>
        <w:spacing w:after="0" w:line="90" w:lineRule="exact"/>
        <w:rPr>
          <w:rFonts w:ascii="Arial" w:cs="Arial" w:eastAsia="Arial" w:hAnsi="Arial"/>
          <w:sz w:val="18"/>
          <w:szCs w:val="18"/>
          <w:color w:val="auto"/>
        </w:rPr>
      </w:pPr>
    </w:p>
    <w:p>
      <w:pPr>
        <w:jc w:val="both"/>
        <w:ind w:left="920" w:hanging="237"/>
        <w:spacing w:after="0" w:line="259"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Internal revenue growth from yield on our collection and disposal business of 0.6% in the current period, including a negative impact of 0.4% from our waste-to-energy business, primarily as a result of lower disposal rates associated with the expiration and renegotiation of a long-term disposal contract.</w:t>
      </w:r>
    </w:p>
    <w:p>
      <w:pPr>
        <w:spacing w:after="0" w:line="59" w:lineRule="exact"/>
        <w:rPr>
          <w:rFonts w:ascii="Arial" w:cs="Arial" w:eastAsia="Arial" w:hAnsi="Arial"/>
          <w:sz w:val="18"/>
          <w:szCs w:val="18"/>
          <w:color w:val="auto"/>
        </w:rPr>
      </w:pPr>
    </w:p>
    <w:p>
      <w:pPr>
        <w:ind w:left="920" w:right="20" w:hanging="237"/>
        <w:spacing w:after="0" w:line="268"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impact of decreases in commodity prices decreased our revenue as follows: $95 million related to recyclable commodity prices; $9 million related to our fuel surcharge program; and $8 million related to electricity prices.</w:t>
      </w:r>
    </w:p>
    <w:p>
      <w:pPr>
        <w:spacing w:after="0" w:line="50"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expenses of $2,260 million, or 65.3% of revenues, compared with $2,140 million, or 63.9% of revenues, in the second quarter of 2011. This increase of $120 million, or 5.6%, is due primarily to our acquisitions and growth initiatives, offset partially by a decrease in customer rebates because of lower recyclable commodity prices;</w:t>
      </w:r>
    </w:p>
    <w:p>
      <w:pPr>
        <w:spacing w:after="0" w:line="59" w:lineRule="exact"/>
        <w:rPr>
          <w:rFonts w:ascii="Arial" w:cs="Arial" w:eastAsia="Arial" w:hAnsi="Arial"/>
          <w:sz w:val="18"/>
          <w:szCs w:val="18"/>
          <w:color w:val="auto"/>
        </w:rPr>
      </w:pPr>
    </w:p>
    <w:p>
      <w:pPr>
        <w:ind w:left="700" w:hanging="246"/>
        <w:spacing w:after="0" w:line="332"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Selling, general and administrative expenses decreased by $8 million, or 2.1%, from $382 million in the second quarter of 2011 to $374 million in the second quarter of 2012. Reductions in our bonus and long-term incentive plan expenses more than offset increases resulting from our acquisitions;</w:t>
      </w:r>
    </w:p>
    <w:p>
      <w:pPr>
        <w:spacing w:after="0" w:line="4" w:lineRule="exact"/>
        <w:rPr>
          <w:rFonts w:ascii="Arial" w:cs="Arial" w:eastAsia="Arial" w:hAnsi="Arial"/>
          <w:sz w:val="16"/>
          <w:szCs w:val="16"/>
          <w:color w:val="auto"/>
        </w:rPr>
      </w:pPr>
    </w:p>
    <w:p>
      <w:pPr>
        <w:ind w:left="700" w:hanging="246"/>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Income from operations of $466 million, or 13.5% of revenues, compared with $506 million, or 15.1% of revenues, in the second quarter of 2011; and</w:t>
      </w:r>
    </w:p>
    <w:p>
      <w:pPr>
        <w:spacing w:after="0" w:line="113" w:lineRule="exact"/>
        <w:rPr>
          <w:rFonts w:ascii="Arial" w:cs="Arial" w:eastAsia="Arial" w:hAnsi="Arial"/>
          <w:sz w:val="16"/>
          <w:szCs w:val="16"/>
          <w:color w:val="auto"/>
        </w:rPr>
      </w:pPr>
    </w:p>
    <w:p>
      <w:pPr>
        <w:jc w:val="both"/>
        <w:ind w:left="700" w:hanging="246"/>
        <w:spacing w:after="0" w:line="259"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income attributable to Waste Management, Inc. of $208 million, or $0.45 per diluted share, as compared with $237 million, or $0.50 per diluted share in the second quarter of 2011. The comparability of our diluted earnings per share has been affected by the following items that occurred in the second quarter of 2012:</w:t>
      </w:r>
    </w:p>
    <w:p>
      <w:pPr>
        <w:spacing w:after="0" w:line="59" w:lineRule="exact"/>
        <w:rPr>
          <w:rFonts w:ascii="Arial" w:cs="Arial" w:eastAsia="Arial" w:hAnsi="Arial"/>
          <w:sz w:val="18"/>
          <w:szCs w:val="18"/>
          <w:color w:val="auto"/>
        </w:rPr>
      </w:pPr>
    </w:p>
    <w:p>
      <w:pPr>
        <w:ind w:left="920" w:hanging="237"/>
        <w:spacing w:after="0" w:line="268"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recognition of impairment charges of $34 million, related primarily to two facilities in our medical waste services business, which had an unfavorable impact of $0.04 on our diluted earnings per share;</w:t>
      </w:r>
    </w:p>
    <w:p>
      <w:pPr>
        <w:spacing w:after="0" w:line="50" w:lineRule="exact"/>
        <w:rPr>
          <w:rFonts w:ascii="Arial" w:cs="Arial" w:eastAsia="Arial" w:hAnsi="Arial"/>
          <w:sz w:val="18"/>
          <w:szCs w:val="18"/>
          <w:color w:val="auto"/>
        </w:rPr>
      </w:pPr>
    </w:p>
    <w:p>
      <w:pPr>
        <w:ind w:left="920" w:hanging="237"/>
        <w:spacing w:after="0" w:line="268"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recognition of a pre-tax noncash charge of $10 million associated with the partial withdrawal from an underfunded multiemployer pension plan, which had a negative impact of $0.01 on our diluted earnings per share; and</w:t>
      </w:r>
    </w:p>
    <w:p>
      <w:pPr>
        <w:spacing w:after="0" w:line="50" w:lineRule="exact"/>
        <w:rPr>
          <w:rFonts w:ascii="Arial" w:cs="Arial" w:eastAsia="Arial" w:hAnsi="Arial"/>
          <w:sz w:val="18"/>
          <w:szCs w:val="18"/>
          <w:color w:val="auto"/>
        </w:rPr>
      </w:pPr>
    </w:p>
    <w:p>
      <w:pPr>
        <w:ind w:left="920" w:right="20" w:hanging="237"/>
        <w:spacing w:after="0" w:line="268"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Pre-tax costs aggregating $5 million from a combination of restructuring charges and integration costs associated with our acquisition of Oakleaf, which had a negative impact of $0.01 on our diluted earnings per share.</w:t>
      </w:r>
    </w:p>
    <w:p>
      <w:pPr>
        <w:spacing w:after="0" w:line="5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We are pleased with the growth we are experiencing in our core solid waste business, which has helped to offset the negative effect of decreases in commodity prices on both our revenues and earnings. We anticipate continued improvement in our pricing and cost savings initiatives, including the restructuring activities announced in July 2012, which are outlined below in the </w:t>
      </w:r>
      <w:r>
        <w:rPr>
          <w:rFonts w:ascii="Arial" w:cs="Arial" w:eastAsia="Arial" w:hAnsi="Arial"/>
          <w:sz w:val="16"/>
          <w:szCs w:val="16"/>
          <w:i w:val="1"/>
          <w:iCs w:val="1"/>
          <w:color w:val="auto"/>
        </w:rPr>
        <w:t>Subsequent Event</w:t>
      </w:r>
      <w:r>
        <w:rPr>
          <w:rFonts w:ascii="Arial" w:cs="Arial" w:eastAsia="Arial" w:hAnsi="Arial"/>
          <w:sz w:val="16"/>
          <w:szCs w:val="16"/>
          <w:color w:val="auto"/>
        </w:rPr>
        <w:t xml:space="preserve"> discussion. However, in the second half of 2012, we expect to see a continued decline in recyclable commodity prices and a negative year-over-year impact from our waste-to-energy business. Because commodity markets are inherently volatile, this prediction could materially change if markets either improve or deteriorate beyond our current predictions.</w:t>
      </w:r>
    </w:p>
    <w:p>
      <w:pPr>
        <w:spacing w:after="0" w:line="3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Free Cash Flow — </w:t>
      </w:r>
      <w:r>
        <w:rPr>
          <w:rFonts w:ascii="Arial" w:cs="Arial" w:eastAsia="Arial" w:hAnsi="Arial"/>
          <w:sz w:val="16"/>
          <w:szCs w:val="16"/>
          <w:color w:val="auto"/>
        </w:rPr>
        <w:t>As is our practice, we are presenting free cash flow, which is a non-GAAP measure of liquidity, in our disclosures because we use this</w:t>
      </w:r>
      <w:r>
        <w:rPr>
          <w:rFonts w:ascii="Arial" w:cs="Arial" w:eastAsia="Arial" w:hAnsi="Arial"/>
          <w:sz w:val="16"/>
          <w:szCs w:val="16"/>
          <w:i w:val="1"/>
          <w:iCs w:val="1"/>
          <w:color w:val="auto"/>
        </w:rPr>
        <w:t xml:space="preserve"> </w:t>
      </w:r>
      <w:r>
        <w:rPr>
          <w:rFonts w:ascii="Arial" w:cs="Arial" w:eastAsia="Arial" w:hAnsi="Arial"/>
          <w:sz w:val="16"/>
          <w:szCs w:val="16"/>
          <w:color w:val="auto"/>
        </w:rPr>
        <w:t>measure in the evaluation and management of our business. We define free cash flow as net cash provided by operating activities, less capital expenditures, plus proceeds from divestitures of businesses (net of cash divested) and other sales of assets.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we believe free cash flow gives investors greater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0" w:name="page41"/>
    <w:bookmarkEnd w:id="40"/>
    <w:p>
      <w:pPr>
        <w:jc w:val="both"/>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calculation of free cash flow and reconciliation to “Net cash provided by operating activities,” is shown in the table below (in millions), and may not be the same as similarly-titled measures presented by other companies: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9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060" w:type="dxa"/>
            <w:vAlign w:val="bottom"/>
            <w:gridSpan w:val="4"/>
          </w:tcPr>
          <w:p>
            <w:pPr>
              <w:jc w:val="center"/>
              <w:ind w:left="239"/>
              <w:spacing w:after="0"/>
              <w:rPr>
                <w:sz w:val="20"/>
                <w:szCs w:val="20"/>
                <w:color w:val="auto"/>
              </w:rPr>
            </w:pPr>
            <w:r>
              <w:rPr>
                <w:rFonts w:ascii="Arial" w:cs="Arial" w:eastAsia="Arial" w:hAnsi="Arial"/>
                <w:sz w:val="14"/>
                <w:szCs w:val="14"/>
                <w:b w:val="1"/>
                <w:bCs w:val="1"/>
                <w:color w:val="auto"/>
                <w:w w:val="88"/>
              </w:rPr>
              <w:t>Six Months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8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2012</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r>
      <w:tr>
        <w:trPr>
          <w:trHeight w:val="210"/>
        </w:trPr>
        <w:tc>
          <w:tcPr>
            <w:tcW w:w="6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$ 669</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$ 478</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1,144</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Capital expenditures</w:t>
            </w:r>
          </w:p>
        </w:tc>
        <w:tc>
          <w:tcPr>
            <w:tcW w:w="960" w:type="dxa"/>
            <w:vAlign w:val="bottom"/>
            <w:gridSpan w:val="2"/>
          </w:tcPr>
          <w:p>
            <w:pPr>
              <w:jc w:val="right"/>
              <w:ind w:right="412"/>
              <w:spacing w:after="0"/>
              <w:rPr>
                <w:sz w:val="20"/>
                <w:szCs w:val="20"/>
                <w:color w:val="auto"/>
              </w:rPr>
            </w:pPr>
            <w:r>
              <w:rPr>
                <w:rFonts w:ascii="Arial" w:cs="Arial" w:eastAsia="Arial" w:hAnsi="Arial"/>
                <w:sz w:val="18"/>
                <w:szCs w:val="18"/>
                <w:color w:val="auto"/>
              </w:rPr>
              <w:t>(351)</w:t>
            </w:r>
          </w:p>
        </w:tc>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(596)</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6"/>
              </w:rPr>
              <w:t>Proceeds from divestitures of businesses (net of cash divested) and other sales of assets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Free cash flow</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$ 332</w:t>
            </w:r>
          </w:p>
        </w:tc>
        <w:tc>
          <w:tcPr>
            <w:tcW w:w="540" w:type="dxa"/>
            <w:vAlign w:val="bottom"/>
          </w:tcPr>
          <w:p>
            <w:pPr>
              <w:spacing w:after="0"/>
              <w:rPr>
                <w:sz w:val="19"/>
                <w:szCs w:val="19"/>
                <w:color w:val="auto"/>
              </w:rPr>
            </w:pPr>
          </w:p>
        </w:tc>
        <w:tc>
          <w:tcPr>
            <w:tcW w:w="1000" w:type="dxa"/>
            <w:vAlign w:val="bottom"/>
            <w:gridSpan w:val="3"/>
          </w:tcPr>
          <w:p>
            <w:pPr>
              <w:jc w:val="right"/>
              <w:ind w:right="560"/>
              <w:spacing w:after="0"/>
              <w:rPr>
                <w:sz w:val="20"/>
                <w:szCs w:val="20"/>
                <w:color w:val="auto"/>
              </w:rPr>
            </w:pPr>
            <w:r>
              <w:rPr>
                <w:rFonts w:ascii="Arial" w:cs="Arial" w:eastAsia="Arial" w:hAnsi="Arial"/>
                <w:sz w:val="18"/>
                <w:szCs w:val="18"/>
                <w:color w:val="auto"/>
                <w:w w:val="93"/>
              </w:rPr>
              <w:t>$ 206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434</w:t>
            </w:r>
          </w:p>
        </w:tc>
        <w:tc>
          <w:tcPr>
            <w:tcW w:w="5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r>
      <w:tr>
        <w:trPr>
          <w:trHeight w:val="20"/>
        </w:trPr>
        <w:tc>
          <w:tcPr>
            <w:tcW w:w="6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When comparing our cash flow from operating activities for the three months and six months ended June 30, 2012 to the comparable periods in 2011, decreases in our income tax payments have positively affected our cash flow from operations this year, as well as a favorable cash receipt of $72 million resulting from the termination of interest rate swaps in April 2012. These year-over-year benefits were impacted by lower cash earnings and unfavorable impacts of working capital changes, particularly the change in accounts payable, which is affected by both cost changes and timing of payments.</w:t>
      </w:r>
    </w:p>
    <w:p>
      <w:pPr>
        <w:spacing w:after="0" w:line="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increase in capital expenditures when comparing the first six months of 2012 with the prior year period can generally be attributed to increased spending on fueling infrastructure and growth initiatives, and the impact of timing differences associated with cash payments for the previous years’ fourth quarter capital spending. We generally use a significant portion of our free cash flow on capital spending in the fourth quarter of each year. A more significant portion of our fourth quarter 2011 spending was paid in cash in 2012 than in the preceding year.</w:t>
      </w:r>
    </w:p>
    <w:p>
      <w:pPr>
        <w:spacing w:after="0" w:line="6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Acquisition of Oakleaf — </w:t>
      </w:r>
      <w:r>
        <w:rPr>
          <w:rFonts w:ascii="Arial" w:cs="Arial" w:eastAsia="Arial" w:hAnsi="Arial"/>
          <w:sz w:val="16"/>
          <w:szCs w:val="16"/>
          <w:color w:val="auto"/>
        </w:rPr>
        <w:t>On July 28, 2011, we paid $432 million, net of cash received of $4 million and inclusive of certain adjustments, to acquire</w:t>
      </w:r>
      <w:r>
        <w:rPr>
          <w:rFonts w:ascii="Arial" w:cs="Arial" w:eastAsia="Arial" w:hAnsi="Arial"/>
          <w:sz w:val="16"/>
          <w:szCs w:val="16"/>
          <w:i w:val="1"/>
          <w:iCs w:val="1"/>
          <w:color w:val="auto"/>
        </w:rPr>
        <w:t xml:space="preserve"> </w:t>
      </w:r>
      <w:r>
        <w:rPr>
          <w:rFonts w:ascii="Arial" w:cs="Arial" w:eastAsia="Arial" w:hAnsi="Arial"/>
          <w:sz w:val="16"/>
          <w:szCs w:val="16"/>
          <w:color w:val="auto"/>
        </w:rPr>
        <w:t>Oakleaf. Oakleaf provides outsourced waste and recycling services principally through a nationwide network of third-party haulers. We acquired Oakleaf to advance our growth and transformation strategies and increase our national accounts customer base while enhancing our ability to provide comprehensive environmental solutions. For the three- and six-month periods ended June 30, 2012, Oakleaf recognized revenues of $147 million and $295 million, respectively, and net losses of $4 million for each period. These amounts are included in our Condensed Consolidated Statement of Operations.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pro forma consolidated results of operations for the three and six months ended June 30, 2011 have been prepared as if the acquisition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Oakleaf occurred at January 1, 2011 (in millions, except per share amounts):</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50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9"/>
              </w:rPr>
              <w:t>Three Months Ended</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5"/>
              </w:rPr>
              <w:t>Six Months Ended</w:t>
            </w:r>
          </w:p>
        </w:tc>
      </w:tr>
      <w:tr>
        <w:trPr>
          <w:trHeight w:val="161"/>
        </w:trPr>
        <w:tc>
          <w:tcPr>
            <w:tcW w:w="6940" w:type="dxa"/>
            <w:vAlign w:val="bottom"/>
          </w:tcPr>
          <w:p>
            <w:pPr>
              <w:spacing w:after="0"/>
              <w:rPr>
                <w:sz w:val="14"/>
                <w:szCs w:val="14"/>
                <w:color w:val="auto"/>
              </w:rPr>
            </w:pPr>
          </w:p>
        </w:tc>
        <w:tc>
          <w:tcPr>
            <w:tcW w:w="250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5"/>
              </w:rPr>
              <w:t>June 30, 2011</w:t>
            </w: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w w:val="98"/>
              </w:rPr>
              <w:t>June 30, 2011</w:t>
            </w:r>
          </w:p>
        </w:tc>
      </w:tr>
      <w:tr>
        <w:trPr>
          <w:trHeight w:val="210"/>
        </w:trPr>
        <w:tc>
          <w:tcPr>
            <w:tcW w:w="6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2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$3,488</w:t>
            </w:r>
          </w:p>
        </w:tc>
        <w:tc>
          <w:tcPr>
            <w:tcW w:w="1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$6,721</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240" w:type="dxa"/>
            <w:vAlign w:val="bottom"/>
          </w:tcPr>
          <w:p>
            <w:pPr>
              <w:jc w:val="right"/>
              <w:ind w:right="159"/>
              <w:spacing w:after="0"/>
              <w:rPr>
                <w:sz w:val="20"/>
                <w:szCs w:val="20"/>
                <w:color w:val="auto"/>
              </w:rPr>
            </w:pPr>
            <w:r>
              <w:rPr>
                <w:rFonts w:ascii="Arial" w:cs="Arial" w:eastAsia="Arial" w:hAnsi="Arial"/>
                <w:sz w:val="18"/>
                <w:szCs w:val="18"/>
                <w:color w:val="auto"/>
              </w:rPr>
              <w:t>235</w:t>
            </w:r>
          </w:p>
        </w:tc>
        <w:tc>
          <w:tcPr>
            <w:tcW w:w="12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417</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0.49</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0.88</w:t>
            </w: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240" w:type="dxa"/>
            <w:vAlign w:val="bottom"/>
          </w:tcPr>
          <w:p>
            <w:pPr>
              <w:jc w:val="right"/>
              <w:ind w:right="159"/>
              <w:spacing w:after="0"/>
              <w:rPr>
                <w:sz w:val="20"/>
                <w:szCs w:val="20"/>
                <w:color w:val="auto"/>
              </w:rPr>
            </w:pPr>
            <w:r>
              <w:rPr>
                <w:rFonts w:ascii="Arial" w:cs="Arial" w:eastAsia="Arial" w:hAnsi="Arial"/>
                <w:sz w:val="18"/>
                <w:szCs w:val="18"/>
                <w:color w:val="auto"/>
              </w:rPr>
              <w:t>0.49</w:t>
            </w:r>
          </w:p>
        </w:tc>
        <w:tc>
          <w:tcPr>
            <w:tcW w:w="1260" w:type="dxa"/>
            <w:vAlign w:val="bottom"/>
          </w:tcPr>
          <w:p>
            <w:pPr>
              <w:spacing w:after="0"/>
              <w:rPr>
                <w:sz w:val="19"/>
                <w:szCs w:val="19"/>
                <w:color w:val="auto"/>
              </w:rPr>
            </w:pP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0.87</w:t>
            </w: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Fair Value Measurement </w:t>
      </w:r>
      <w:r>
        <w:rPr>
          <w:rFonts w:ascii="Arial" w:cs="Arial" w:eastAsia="Arial" w:hAnsi="Arial"/>
          <w:sz w:val="18"/>
          <w:szCs w:val="18"/>
          <w:color w:val="auto"/>
        </w:rPr>
        <w:t>— In May 2011, the Financial Accounting Standards Board (“FASB”) amended authoritative guidance associated with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This amended guidance defines certain requirements for measuring fair value and for disclosing information about fair value measurements in accordance with U.S. generally accepted accounting principles. The amendments to authoritative guidance associated with fair value measurements were effective for the Company on January 1, 2012 and have been applied prospectively. The adoption of this guidance did not have a material impact on our consolidated financial statements.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1" w:name="page42"/>
    <w:bookmarkEnd w:id="41"/>
    <w:p>
      <w:pPr>
        <w:jc w:val="both"/>
        <w:ind w:firstLine="456"/>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Comprehensive Income </w:t>
      </w:r>
      <w:r>
        <w:rPr>
          <w:rFonts w:ascii="Arial" w:cs="Arial" w:eastAsia="Arial" w:hAnsi="Arial"/>
          <w:sz w:val="16"/>
          <w:szCs w:val="16"/>
          <w:color w:val="auto"/>
        </w:rPr>
        <w:t>— In June 2011, the FASB issued amended authoritative guidance associated with comprehensive income, which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to present the total of comprehensive income, the components of net income, and the components of other comprehensive income either in a single continuous statement of comprehensive income or in two separate but consecutive statements. This update eliminates the option to present the components of other comprehensive income as part of the statement of changes in equity. In December 2011, the FASB deferred the effective date of the specific requirement to present items that are reclassified out of accumulated other comprehensive income to net income alongside their respective components of net income and other comprehensive income. The amendments to authoritative guidance associated with comprehensive income were effective for the Company on January 1, 2012 and have been applied retrospectively. The adoption of this guidance did not have a material impact on our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as described in Item 7 of our Annual Report on Form 10-K for the year ended December 31, 2011. Actual results could differ materially from the estimates and assumptions that we use in the preparation of our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Subsequent Event</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July 2012, we announced a reorganization of operations, designed to flatten the management structure and reduce our cost structure. Principal organizational changes anticipated include removal of the management layer consisting of our four geographic Groups; consolidation and reduction of the number of Areas managing the core collection, disposal and recycling business from 22 to 17; and reduction of corporate support staff in an effort to better align their support with the needs of the operating units. This restructuring has been designed around the primary goals of streamlining delivery of corporate support, while not disrupting our front line operations.</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currently estimate that approximately 700 employee positions throughout the Company, including positions at both the management and support level, will be eliminated. Voluntary separation arrangements were offered to many in management.</w:t>
      </w:r>
    </w:p>
    <w:p>
      <w:pPr>
        <w:spacing w:after="0" w:line="5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expect that this restructuring plan will be implemented through the end of 2012. We currently anticipate a pre-tax charge to earnings in the range of $50 million to $60 million, primarily related to employee severance and benefit expenses. This charge, which will be recorded primarily in the third quarter of 2012, is an estimate, and actual charges may vary materially based on various factors, including the level of employee terminations and changes in management’s assumptions. This charge estimate does not include facility, lease or other charges that are not yet estimable but that the Company may incur in connection with this restructuring.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currently manage and evaluate our principal operations through five Groups. Our four geographic Groups, which are comprised of our Eastern, Midwest, Southern and Western Groups, provide collection,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2" w:name="page43"/>
    <w:bookmarkEnd w:id="42"/>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 disposal (in both solid waste and hazardous waste landfills) and recycling services. Our fifth Group is the Wheelabrator Group, which provides waste-to-energy services and manages waste-to-energy facilities and independent power production plants. These five Groups are our reportable segments. In addition, the Oakleaf operations we acquired on July 28, 2011 represent a separate operating segment; however, they do not meet the criteria to be presented as a separate reportable segment.</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also provide additional services that are not managed through our five Groups, including the Oakleaf operations referenced above, recycling brokerage services, electronic recycling services, in-plant services, landfill gas-to-energy services, integrated medical waste services and expanded service offerings and solutions. Part of our expansion of services includes offering portable self-storage services and fluorescent bulb and universal waste mail-back through our LampTracker</w:t>
      </w:r>
      <w:r>
        <w:rPr>
          <w:rFonts w:ascii="Arial" w:cs="Arial" w:eastAsia="Arial" w:hAnsi="Arial"/>
          <w:sz w:val="11"/>
          <w:szCs w:val="11"/>
          <w:color w:val="auto"/>
        </w:rPr>
        <w:t>®</w:t>
      </w:r>
      <w:r>
        <w:rPr>
          <w:rFonts w:ascii="Arial" w:cs="Arial" w:eastAsia="Arial" w:hAnsi="Arial"/>
          <w:sz w:val="18"/>
          <w:szCs w:val="18"/>
          <w:color w:val="auto"/>
        </w:rPr>
        <w:t xml:space="preserve"> program. In addition, we have made investments that involve the acquisition and development of interests in oil and gas producing properties. These operations are presented as “Other” in the table below. Shown below (in millions) is the contribution to revenues during each period provided by our five Groups and our Other services:</w:t>
      </w:r>
    </w:p>
    <w:p>
      <w:pPr>
        <w:spacing w:after="0" w:line="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gridSpan w:val="7"/>
          </w:tcPr>
          <w:p>
            <w:pPr>
              <w:jc w:val="center"/>
              <w:ind w:right="660"/>
              <w:spacing w:after="0"/>
              <w:rPr>
                <w:sz w:val="20"/>
                <w:szCs w:val="20"/>
                <w:color w:val="auto"/>
              </w:rPr>
            </w:pPr>
            <w:r>
              <w:rPr>
                <w:rFonts w:ascii="Arial" w:cs="Arial" w:eastAsia="Arial" w:hAnsi="Arial"/>
                <w:sz w:val="14"/>
                <w:szCs w:val="14"/>
                <w:b w:val="1"/>
                <w:bCs w:val="1"/>
                <w:color w:val="auto"/>
                <w:w w:val="89"/>
              </w:rPr>
              <w:t>Three Months</w:t>
            </w:r>
          </w:p>
        </w:tc>
        <w:tc>
          <w:tcPr>
            <w:tcW w:w="17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2011</w:t>
            </w:r>
          </w:p>
        </w:tc>
        <w:tc>
          <w:tcPr>
            <w:tcW w:w="58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54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Eastern</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$ 1,516</w:t>
            </w: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Midwest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822</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828</w:t>
            </w: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1,579</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865</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862</w:t>
            </w:r>
          </w:p>
        </w:tc>
        <w:tc>
          <w:tcPr>
            <w:tcW w:w="10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1,713</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836</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825</w:t>
            </w: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1,632</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226</w:t>
            </w:r>
          </w:p>
        </w:tc>
        <w:tc>
          <w:tcPr>
            <w:tcW w:w="10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413</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543</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330</w:t>
            </w: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1,012</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(593)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(524)</w:t>
            </w: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(1,111)</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3,459</w:t>
            </w:r>
          </w:p>
        </w:tc>
        <w:tc>
          <w:tcPr>
            <w:tcW w:w="5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3,347</w:t>
            </w: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w w:val="86"/>
              </w:rPr>
              <w:t>$ 6,754</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6,450</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mix of operating revenues from our major lines of business is reflected in the table below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89"/>
              </w:rPr>
              <w:t>Three Months</w:t>
            </w:r>
          </w:p>
        </w:tc>
        <w:tc>
          <w:tcPr>
            <w:tcW w:w="17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2012</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2011</w:t>
            </w:r>
          </w:p>
        </w:tc>
        <w:tc>
          <w:tcPr>
            <w:tcW w:w="580" w:type="dxa"/>
            <w:vAlign w:val="bottom"/>
          </w:tcPr>
          <w:p>
            <w:pPr>
              <w:spacing w:after="0"/>
              <w:rPr>
                <w:sz w:val="12"/>
                <w:szCs w:val="12"/>
                <w:color w:val="auto"/>
              </w:rPr>
            </w:pPr>
          </w:p>
        </w:tc>
        <w:tc>
          <w:tcPr>
            <w:tcW w:w="54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54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Collection:</w:t>
            </w:r>
          </w:p>
        </w:tc>
        <w:tc>
          <w:tcPr>
            <w:tcW w:w="3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440"/>
              <w:spacing w:after="0"/>
              <w:rPr>
                <w:sz w:val="20"/>
                <w:szCs w:val="20"/>
                <w:color w:val="auto"/>
              </w:rPr>
            </w:pPr>
            <w:r>
              <w:rPr>
                <w:rFonts w:ascii="Arial" w:cs="Arial" w:eastAsia="Arial" w:hAnsi="Arial"/>
                <w:sz w:val="18"/>
                <w:szCs w:val="18"/>
                <w:color w:val="auto"/>
              </w:rPr>
              <w:t>Commercial</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72"/>
              <w:spacing w:after="0"/>
              <w:rPr>
                <w:sz w:val="20"/>
                <w:szCs w:val="20"/>
                <w:color w:val="auto"/>
              </w:rPr>
            </w:pPr>
            <w:r>
              <w:rPr>
                <w:rFonts w:ascii="Arial" w:cs="Arial" w:eastAsia="Arial" w:hAnsi="Arial"/>
                <w:sz w:val="18"/>
                <w:szCs w:val="18"/>
                <w:color w:val="auto"/>
              </w:rPr>
              <w:t>855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881</w:t>
            </w: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w w:val="86"/>
              </w:rPr>
              <w:t>$ 1,720</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$1,735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650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655</w:t>
            </w:r>
          </w:p>
        </w:tc>
        <w:tc>
          <w:tcPr>
            <w:tcW w:w="10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1,288</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3460" w:type="dxa"/>
            <w:vAlign w:val="bottom"/>
          </w:tcPr>
          <w:p>
            <w:pPr>
              <w:ind w:left="440"/>
              <w:spacing w:after="0"/>
              <w:rPr>
                <w:sz w:val="20"/>
                <w:szCs w:val="20"/>
                <w:color w:val="auto"/>
              </w:rPr>
            </w:pPr>
            <w:r>
              <w:rPr>
                <w:rFonts w:ascii="Arial" w:cs="Arial" w:eastAsia="Arial" w:hAnsi="Arial"/>
                <w:sz w:val="18"/>
                <w:szCs w:val="18"/>
                <w:color w:val="auto"/>
              </w:rPr>
              <w:t>Industrial</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72"/>
              <w:spacing w:after="0"/>
              <w:rPr>
                <w:sz w:val="20"/>
                <w:szCs w:val="20"/>
                <w:color w:val="auto"/>
              </w:rPr>
            </w:pPr>
            <w:r>
              <w:rPr>
                <w:rFonts w:ascii="Arial" w:cs="Arial" w:eastAsia="Arial" w:hAnsi="Arial"/>
                <w:sz w:val="18"/>
                <w:szCs w:val="18"/>
                <w:color w:val="auto"/>
              </w:rPr>
              <w:t>536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520</w:t>
            </w: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1,038</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3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60" w:type="dxa"/>
            <w:vAlign w:val="bottom"/>
          </w:tcPr>
          <w:p>
            <w:pPr>
              <w:ind w:left="660"/>
              <w:spacing w:after="0"/>
              <w:rPr>
                <w:sz w:val="20"/>
                <w:szCs w:val="20"/>
                <w:color w:val="auto"/>
              </w:rPr>
            </w:pPr>
            <w:r>
              <w:rPr>
                <w:rFonts w:ascii="Arial" w:cs="Arial" w:eastAsia="Arial" w:hAnsi="Arial"/>
                <w:sz w:val="18"/>
                <w:szCs w:val="18"/>
                <w:color w:val="auto"/>
              </w:rPr>
              <w:t>Total collection</w:t>
            </w:r>
          </w:p>
        </w:tc>
        <w:tc>
          <w:tcPr>
            <w:tcW w:w="3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72"/>
              <w:spacing w:after="0"/>
              <w:rPr>
                <w:sz w:val="20"/>
                <w:szCs w:val="20"/>
                <w:color w:val="auto"/>
              </w:rPr>
            </w:pPr>
            <w:r>
              <w:rPr>
                <w:rFonts w:ascii="Arial" w:cs="Arial" w:eastAsia="Arial" w:hAnsi="Arial"/>
                <w:sz w:val="18"/>
                <w:szCs w:val="18"/>
                <w:color w:val="auto"/>
                <w:w w:val="88"/>
              </w:rPr>
              <w:t>2,107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2,116</w:t>
            </w: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4,180</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18"/>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676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671</w:t>
            </w:r>
          </w:p>
        </w:tc>
        <w:tc>
          <w:tcPr>
            <w:tcW w:w="10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1,291</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Transfer</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72"/>
              <w:spacing w:after="0"/>
              <w:rPr>
                <w:sz w:val="20"/>
                <w:szCs w:val="20"/>
                <w:color w:val="auto"/>
              </w:rPr>
            </w:pPr>
            <w:r>
              <w:rPr>
                <w:rFonts w:ascii="Arial" w:cs="Arial" w:eastAsia="Arial" w:hAnsi="Arial"/>
                <w:sz w:val="18"/>
                <w:szCs w:val="18"/>
                <w:color w:val="auto"/>
              </w:rPr>
              <w:t>331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334</w:t>
            </w: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629</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206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226</w:t>
            </w:r>
          </w:p>
        </w:tc>
        <w:tc>
          <w:tcPr>
            <w:tcW w:w="10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413</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Recycling</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72"/>
              <w:spacing w:after="0"/>
              <w:rPr>
                <w:sz w:val="20"/>
                <w:szCs w:val="20"/>
                <w:color w:val="auto"/>
              </w:rPr>
            </w:pPr>
            <w:r>
              <w:rPr>
                <w:rFonts w:ascii="Arial" w:cs="Arial" w:eastAsia="Arial" w:hAnsi="Arial"/>
                <w:sz w:val="18"/>
                <w:szCs w:val="18"/>
                <w:color w:val="auto"/>
              </w:rPr>
              <w:t>369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419</w:t>
            </w: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714</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363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w:t>
            </w:r>
          </w:p>
        </w:tc>
        <w:tc>
          <w:tcPr>
            <w:tcW w:w="10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638</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Intercompany</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(524)</w:t>
            </w:r>
          </w:p>
        </w:tc>
        <w:tc>
          <w:tcPr>
            <w:tcW w:w="1080" w:type="dxa"/>
            <w:vAlign w:val="bottom"/>
            <w:gridSpan w:val="2"/>
          </w:tcPr>
          <w:p>
            <w:pPr>
              <w:jc w:val="right"/>
              <w:ind w:right="412"/>
              <w:spacing w:after="0"/>
              <w:rPr>
                <w:sz w:val="20"/>
                <w:szCs w:val="20"/>
                <w:color w:val="auto"/>
              </w:rPr>
            </w:pPr>
            <w:r>
              <w:rPr>
                <w:rFonts w:ascii="Arial" w:cs="Arial" w:eastAsia="Arial" w:hAnsi="Arial"/>
                <w:sz w:val="18"/>
                <w:szCs w:val="18"/>
                <w:color w:val="auto"/>
              </w:rPr>
              <w:t>(1,111)</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8"/>
              </w:rPr>
              <w:t>3,459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3,347</w:t>
            </w:r>
          </w:p>
        </w:tc>
        <w:tc>
          <w:tcPr>
            <w:tcW w:w="10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6"/>
              </w:rPr>
              <w:t>$ 6,754</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6,450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160" w:type="dxa"/>
            <w:vAlign w:val="bottom"/>
            <w:vMerge w:val="restart"/>
          </w:tcPr>
          <w:p>
            <w:pPr>
              <w:jc w:val="right"/>
              <w:ind w:right="1192"/>
              <w:spacing w:after="0"/>
              <w:rPr>
                <w:sz w:val="20"/>
                <w:szCs w:val="20"/>
                <w:color w:val="auto"/>
              </w:rPr>
            </w:pPr>
            <w:r>
              <w:rPr>
                <w:rFonts w:ascii="Arial" w:cs="Arial" w:eastAsia="Arial" w:hAnsi="Arial"/>
                <w:sz w:val="18"/>
                <w:szCs w:val="18"/>
                <w:color w:val="auto"/>
              </w:rPr>
              <w:t>43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6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3" w:name="page44"/>
    <w:bookmarkEnd w:id="4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details associated with the period-to-period change in revenues (dollars in millions) along with an explanation of the significant components of the current period changes: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w w:val="87"/>
              </w:rPr>
              <w:t>Period-to-Period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gridSpan w:val="3"/>
          </w:tcPr>
          <w:p>
            <w:pPr>
              <w:jc w:val="center"/>
              <w:ind w:right="154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20" w:type="dxa"/>
            <w:vAlign w:val="bottom"/>
            <w:gridSpan w:val="5"/>
          </w:tcPr>
          <w:p>
            <w:pPr>
              <w:jc w:val="center"/>
              <w:ind w:right="110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120" w:type="dxa"/>
            <w:vAlign w:val="bottom"/>
          </w:tcPr>
          <w:p>
            <w:pPr>
              <w:spacing w:after="0"/>
              <w:rPr>
                <w:sz w:val="12"/>
                <w:szCs w:val="12"/>
                <w:color w:val="auto"/>
              </w:rPr>
            </w:pPr>
          </w:p>
        </w:tc>
        <w:tc>
          <w:tcPr>
            <w:tcW w:w="214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gridSpan w:val="3"/>
          </w:tcPr>
          <w:p>
            <w:pPr>
              <w:jc w:val="center"/>
              <w:ind w:right="1520"/>
              <w:spacing w:after="0" w:line="149"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84"/>
              </w:rPr>
              <w:t>2012 vs. 2011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4"/>
              </w:rPr>
              <w:t>2012 vs. 2011</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9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3"/>
              </w:rPr>
              <w:t>Total</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Company(a)</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Company(a)</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Average yield(b)</w:t>
            </w:r>
          </w:p>
        </w:tc>
        <w:tc>
          <w:tcPr>
            <w:tcW w:w="16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640" w:type="dxa"/>
            <w:vAlign w:val="bottom"/>
            <w:gridSpan w:val="2"/>
            <w:vMerge w:val="continue"/>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(96)</w:t>
            </w:r>
          </w:p>
        </w:tc>
        <w:tc>
          <w:tcPr>
            <w:tcW w:w="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(136)</w:t>
            </w:r>
          </w:p>
        </w:tc>
        <w:tc>
          <w:tcPr>
            <w:tcW w:w="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Volume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80" w:type="dxa"/>
            <w:vAlign w:val="bottom"/>
            <w:gridSpan w:val="2"/>
          </w:tcPr>
          <w:p>
            <w:pPr>
              <w:jc w:val="right"/>
              <w:ind w:right="96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2400" w:type="dxa"/>
            <w:vAlign w:val="bottom"/>
            <w:gridSpan w:val="3"/>
          </w:tcPr>
          <w:p>
            <w:pPr>
              <w:jc w:val="right"/>
              <w:ind w:right="96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400" w:type="dxa"/>
            <w:vAlign w:val="bottom"/>
            <w:gridSpan w:val="3"/>
          </w:tcPr>
          <w:p>
            <w:pPr>
              <w:jc w:val="right"/>
              <w:ind w:right="9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Calculated by dividing the amount of current period increase or decrease by the prior period’s total Company revenue adjusted to exclude the impacts of divestitures for the current period ($3,346 million and $6,449 million for the three- and six-month periods, respectively).</w:t>
      </w:r>
    </w:p>
    <w:p>
      <w:pPr>
        <w:spacing w:after="0" w:line="23"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We analyze the changes in average yield in terms of related business revenues in order to differentiate the changes in yield attributable to our pricing strategies from the changes that are caused by market-driven price changes in commodities. The following table summarizes changes in revenues from average yield on a related-business basis:</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w w:val="89"/>
              </w:rPr>
              <w:t>Period-to-Period</w:t>
            </w:r>
          </w:p>
        </w:tc>
        <w:tc>
          <w:tcPr>
            <w:tcW w:w="120" w:type="dxa"/>
            <w:vAlign w:val="bottom"/>
          </w:tcPr>
          <w:p>
            <w:pPr>
              <w:spacing w:after="0"/>
              <w:rPr>
                <w:sz w:val="14"/>
                <w:szCs w:val="14"/>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Period-to-Period</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5"/>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20" w:type="dxa"/>
            <w:vAlign w:val="bottom"/>
          </w:tcPr>
          <w:p>
            <w:pPr>
              <w:spacing w:after="0"/>
              <w:rPr>
                <w:sz w:val="12"/>
                <w:szCs w:val="12"/>
                <w:color w:val="auto"/>
              </w:rPr>
            </w:pPr>
          </w:p>
        </w:tc>
        <w:tc>
          <w:tcPr>
            <w:tcW w:w="190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5"/>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2"/>
                <w:szCs w:val="12"/>
                <w:color w:val="auto"/>
              </w:rPr>
            </w:pPr>
          </w:p>
        </w:tc>
        <w:tc>
          <w:tcPr>
            <w:tcW w:w="190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84"/>
              </w:rPr>
              <w:t>2012 vs. 2011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4"/>
              </w:rPr>
              <w:t>2012 vs. 2011</w:t>
            </w: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Related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Related</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4"/>
                <w:szCs w:val="14"/>
                <w:color w:val="auto"/>
              </w:rPr>
            </w:pPr>
          </w:p>
        </w:tc>
        <w:tc>
          <w:tcPr>
            <w:tcW w:w="14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4"/>
              </w:rPr>
              <w:t>Business(i)</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Business(i)</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2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20"/>
              <w:spacing w:after="0"/>
              <w:rPr>
                <w:sz w:val="20"/>
                <w:szCs w:val="20"/>
                <w:color w:val="auto"/>
              </w:rPr>
            </w:pPr>
            <w:r>
              <w:rPr>
                <w:rFonts w:ascii="Arial" w:cs="Arial" w:eastAsia="Arial" w:hAnsi="Arial"/>
                <w:sz w:val="18"/>
                <w:szCs w:val="18"/>
                <w:color w:val="auto"/>
              </w:rPr>
              <w:t>Collection, landfill and transfer</w:t>
            </w:r>
          </w:p>
        </w:tc>
        <w:tc>
          <w:tcPr>
            <w:tcW w:w="222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2000" w:type="dxa"/>
            <w:vAlign w:val="bottom"/>
            <w:gridSpan w:val="3"/>
          </w:tcPr>
          <w:p>
            <w:pPr>
              <w:jc w:val="right"/>
              <w:ind w:right="6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52"/>
              <w:spacing w:after="0"/>
              <w:rPr>
                <w:sz w:val="20"/>
                <w:szCs w:val="20"/>
                <w:color w:val="auto"/>
              </w:rPr>
            </w:pPr>
            <w:r>
              <w:rPr>
                <w:rFonts w:ascii="Arial" w:cs="Arial" w:eastAsia="Arial" w:hAnsi="Arial"/>
                <w:sz w:val="18"/>
                <w:szCs w:val="18"/>
                <w:color w:val="auto"/>
              </w:rPr>
              <w:t>51</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Waste-to-energy disposal(ii)</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Collection and disposal(ii)</w:t>
            </w:r>
          </w:p>
        </w:tc>
        <w:tc>
          <w:tcPr>
            <w:tcW w:w="2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3"/>
            <w:vMerge w:val="restart"/>
          </w:tcPr>
          <w:p>
            <w:pPr>
              <w:jc w:val="right"/>
              <w:ind w:right="80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2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52"/>
              <w:spacing w:after="0"/>
              <w:rPr>
                <w:sz w:val="20"/>
                <w:szCs w:val="20"/>
                <w:color w:val="auto"/>
              </w:rPr>
            </w:pPr>
            <w:r>
              <w:rPr>
                <w:rFonts w:ascii="Arial" w:cs="Arial" w:eastAsia="Arial" w:hAnsi="Arial"/>
                <w:sz w:val="18"/>
                <w:szCs w:val="18"/>
                <w:color w:val="auto"/>
              </w:rPr>
              <w:t>38</w:t>
            </w: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(169)</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Electricity(ii)</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0" w:type="dxa"/>
            <w:vAlign w:val="bottom"/>
            <w:gridSpan w:val="3"/>
          </w:tcPr>
          <w:p>
            <w:pPr>
              <w:jc w:val="right"/>
              <w:ind w:right="74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3"/>
            <w:vMerge w:val="restart"/>
          </w:tcPr>
          <w:p>
            <w:pPr>
              <w:jc w:val="right"/>
              <w:ind w:right="74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line="20" w:lineRule="exact"/>
              <w:rPr>
                <w:sz w:val="1"/>
                <w:szCs w:val="1"/>
                <w:color w:val="auto"/>
              </w:rPr>
            </w:pPr>
          </w:p>
        </w:tc>
      </w:tr>
      <w:tr>
        <w:trPr>
          <w:trHeight w:val="221"/>
        </w:trPr>
        <w:tc>
          <w:tcPr>
            <w:tcW w:w="382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2000" w:type="dxa"/>
            <w:vAlign w:val="bottom"/>
            <w:gridSpan w:val="3"/>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5"/>
              </w:rPr>
              <w:t>(136)</w:t>
            </w:r>
          </w:p>
        </w:tc>
        <w:tc>
          <w:tcPr>
            <w:tcW w:w="14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40" w:type="dxa"/>
            <w:vAlign w:val="bottom"/>
            <w:vMerge w:val="restart"/>
          </w:tcPr>
          <w:p>
            <w:pPr>
              <w:jc w:val="right"/>
              <w:ind w:right="432"/>
              <w:spacing w:after="0"/>
              <w:rPr>
                <w:sz w:val="20"/>
                <w:szCs w:val="20"/>
                <w:color w:val="auto"/>
              </w:rPr>
            </w:pPr>
            <w:r>
              <w:rPr>
                <w:rFonts w:ascii="Arial" w:cs="Arial" w:eastAsia="Arial" w:hAnsi="Arial"/>
                <w:sz w:val="18"/>
                <w:szCs w:val="18"/>
                <w:color w:val="auto"/>
              </w:rPr>
              <w:t>44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4" w:name="page45"/>
    <w:bookmarkEnd w:id="44"/>
    <w:p>
      <w:pPr>
        <w:jc w:val="both"/>
        <w:ind w:left="9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517525</wp:posOffset>
            </wp:positionH>
            <wp:positionV relativeFrom="page">
              <wp:posOffset>252095</wp:posOffset>
            </wp:positionV>
            <wp:extent cx="9436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3610" cy="8890"/>
                    </a:xfrm>
                    <a:prstGeom prst="rect">
                      <a:avLst/>
                    </a:prstGeom>
                    <a:noFill/>
                  </pic:spPr>
                </pic:pic>
              </a:graphicData>
            </a:graphic>
          </wp:anchor>
        </w:drawing>
        <w:t>Calculated by dividing the increase or decrease for the current period by the prior period’s related business revenue, adjusted to exclude the impacts of divestitures for the current period. The table below summarizes the related business revenues for the three and six months ended June 30, 2011 adjusted to exclude the impacts of divestitures:</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w w:val="94"/>
              </w:rPr>
              <w:t>Denominator</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16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Three Months</w:t>
            </w: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Six Months</w:t>
            </w:r>
          </w:p>
        </w:tc>
        <w:tc>
          <w:tcPr>
            <w:tcW w:w="100" w:type="dxa"/>
            <w:vAlign w:val="bottom"/>
          </w:tcPr>
          <w:p>
            <w:pPr>
              <w:spacing w:after="0"/>
              <w:rPr>
                <w:sz w:val="11"/>
                <w:szCs w:val="11"/>
                <w:color w:val="auto"/>
              </w:rPr>
            </w:pPr>
          </w:p>
        </w:tc>
      </w:tr>
      <w:tr>
        <w:trPr>
          <w:trHeight w:val="149"/>
        </w:trPr>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4"/>
              </w:rPr>
              <w:t>June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June 30</w:t>
            </w:r>
          </w:p>
        </w:tc>
      </w:tr>
      <w:tr>
        <w:trPr>
          <w:trHeight w:val="196"/>
        </w:trPr>
        <w:tc>
          <w:tcPr>
            <w:tcW w:w="804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Related business revenues:</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Collection, landfill and transfer</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2,569</w:t>
            </w:r>
          </w:p>
        </w:tc>
        <w:tc>
          <w:tcPr>
            <w:tcW w:w="8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Waste-to-energy disposal</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r>
      <w:tr>
        <w:trPr>
          <w:trHeight w:val="221"/>
        </w:trPr>
        <w:tc>
          <w:tcPr>
            <w:tcW w:w="8040" w:type="dxa"/>
            <w:vAlign w:val="bottom"/>
            <w:gridSpan w:val="3"/>
          </w:tcPr>
          <w:p>
            <w:pPr>
              <w:spacing w:after="0"/>
              <w:rPr>
                <w:sz w:val="20"/>
                <w:szCs w:val="20"/>
                <w:color w:val="auto"/>
              </w:rPr>
            </w:pPr>
            <w:r>
              <w:rPr>
                <w:rFonts w:ascii="Arial" w:cs="Arial" w:eastAsia="Arial" w:hAnsi="Arial"/>
                <w:sz w:val="18"/>
                <w:szCs w:val="18"/>
                <w:color w:val="auto"/>
              </w:rPr>
              <w:t>Collection and disposal</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2,690</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5,214</w:t>
            </w:r>
          </w:p>
        </w:tc>
        <w:tc>
          <w:tcPr>
            <w:tcW w:w="100" w:type="dxa"/>
            <w:vAlign w:val="bottom"/>
          </w:tcPr>
          <w:p>
            <w:pPr>
              <w:spacing w:after="0"/>
              <w:rPr>
                <w:sz w:val="19"/>
                <w:szCs w:val="19"/>
                <w:color w:val="auto"/>
              </w:rPr>
            </w:pPr>
          </w:p>
        </w:tc>
      </w:tr>
      <w:tr>
        <w:trPr>
          <w:trHeight w:val="218"/>
        </w:trPr>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Recycling commodity</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gridSpan w:val="3"/>
          </w:tcPr>
          <w:p>
            <w:pPr>
              <w:spacing w:after="0"/>
              <w:rPr>
                <w:sz w:val="20"/>
                <w:szCs w:val="20"/>
                <w:color w:val="auto"/>
              </w:rPr>
            </w:pPr>
            <w:r>
              <w:rPr>
                <w:rFonts w:ascii="Arial" w:cs="Arial" w:eastAsia="Arial" w:hAnsi="Arial"/>
                <w:sz w:val="18"/>
                <w:szCs w:val="18"/>
                <w:color w:val="auto"/>
              </w:rPr>
              <w:t>Electricity</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r>
      <w:tr>
        <w:trPr>
          <w:trHeight w:val="216"/>
        </w:trPr>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7920" w:type="dxa"/>
            <w:vAlign w:val="bottom"/>
            <w:gridSpan w:val="2"/>
          </w:tcPr>
          <w:p>
            <w:pPr>
              <w:ind w:left="320"/>
              <w:spacing w:after="0"/>
              <w:rPr>
                <w:sz w:val="20"/>
                <w:szCs w:val="20"/>
                <w:color w:val="auto"/>
              </w:rPr>
            </w:pPr>
            <w:r>
              <w:rPr>
                <w:rFonts w:ascii="Arial" w:cs="Arial" w:eastAsia="Arial" w:hAnsi="Arial"/>
                <w:sz w:val="18"/>
                <w:szCs w:val="18"/>
                <w:color w:val="auto"/>
              </w:rPr>
              <w:t>Total Company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3,346</w:t>
            </w:r>
          </w:p>
        </w:tc>
        <w:tc>
          <w:tcPr>
            <w:tcW w:w="8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6,449</w:t>
            </w: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0"/>
        </w:trPr>
        <w:tc>
          <w:tcPr>
            <w:tcW w:w="120" w:type="dxa"/>
            <w:vAlign w:val="bottom"/>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6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73" w:lineRule="exact"/>
        <w:rPr>
          <w:sz w:val="20"/>
          <w:szCs w:val="20"/>
          <w:color w:val="auto"/>
        </w:rPr>
      </w:pPr>
    </w:p>
    <w:p>
      <w:pPr>
        <w:ind w:left="900" w:right="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revenue growth from yield for “Collection and disposal” excludes all electricity-related revenues generated by our Wheelabrator Group, which are reported as “Electricity” revenues.</w:t>
      </w:r>
    </w:p>
    <w:p>
      <w:pPr>
        <w:spacing w:after="0" w:line="5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revenues increased $112 million, or 3.3%, for the three months ended June 30, 2012 as compared with the prior year period and $304 million, or 4.7%, for the six months ended June 30, 2012 as compared with the prior year period. During the three- and six-month periods, our current period revenue growth has been driven by (i) acquisitions, particularly the acquisition of Oakleaf, which increased consolidated revenues $139 million and $270 million for the three and six months ended June 30, 2012, respectively, (ii) increased volume and (iii) increased revenue growth from our collection and disposal average yield. Offsetting these revenue increases were market factors, including lower recyclable commodity prices; lower electricity prices, which correlate with natural gas prices and cause fluctuations in the rates we receive for electricity under our power purchase contracts and merchant transactions; and foreign currency translation, which affects revenues from our Canadian operations.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Average yield</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Collection and disposal average yield </w:t>
      </w:r>
      <w:r>
        <w:rPr>
          <w:rFonts w:ascii="Arial" w:cs="Arial" w:eastAsia="Arial" w:hAnsi="Arial"/>
          <w:sz w:val="18"/>
          <w:szCs w:val="18"/>
          <w:color w:val="auto"/>
        </w:rPr>
        <w:t>— This measure reflects the effect on our revenue from the pricing activities of our collection, transfer, landfill and</w:t>
      </w:r>
      <w:r>
        <w:rPr>
          <w:rFonts w:ascii="Arial" w:cs="Arial" w:eastAsia="Arial" w:hAnsi="Arial"/>
          <w:sz w:val="18"/>
          <w:szCs w:val="18"/>
          <w:i w:val="1"/>
          <w:iCs w:val="1"/>
          <w:color w:val="auto"/>
        </w:rPr>
        <w:t xml:space="preserve"> </w:t>
      </w:r>
      <w:r>
        <w:rPr>
          <w:rFonts w:ascii="Arial" w:cs="Arial" w:eastAsia="Arial" w:hAnsi="Arial"/>
          <w:sz w:val="18"/>
          <w:szCs w:val="18"/>
          <w:color w:val="auto"/>
        </w:rPr>
        <w:t>waste-to-energy disposal 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62"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Our revenue growth from yield on our collection and disposal lines of business was $16 million, or 0.6% and $38 million, or 0.7% for the three and six months ended June 30, 2012, respectively. This increase in revenue from yield was primarily driven by our collection operations, particularly in our commercial and industrial lines of business. Revenue growth from yield in our residential line of business increased slightly for the quarter ended June 30, 2012 and was flat for the first half of 2012. Our Eastern and Southern Groups continued to experience downward pressure on our revenue growth from yield in our residential line of business, where we saw negative revenue growth from yield. Due to competition, it has become increasingly difficult to retain customers and to win new contracts at current average rates; as a result, in many instances, the Company has offered increased services without a commensurate increase in pricing when bidding on or renewing residential contracts and pursuing residential subscription business. These increased services are principally recycling services, which are typically priced lower than our average rates. This combination of increased competition and bundling of complementary services, such as recycling, in the residential line of business has put added pressure on our revenue growth from yield.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82" w:right="239" w:bottom="1440" w:gutter="0" w:footer="0" w:header="0"/>
        </w:sectPr>
      </w:pPr>
    </w:p>
    <w:bookmarkStart w:id="45" w:name="page46"/>
    <w:bookmarkEnd w:id="45"/>
    <w:p>
      <w:pPr>
        <w:jc w:val="both"/>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three and six months ended June 30, 2012, our total collection and disposal revenue growth from yield were negatively affected by the expiration and renegotiation of a long-term disposal contract in August 2011 at one of our waste-to-energy facilities in South Florida. The expiration and renegotiation of this contract decreased revenues both in our waste-to-energy disposal line of business, by approximately $6 million and $12 million for the three and six months ended June 30, 2012, respectively, and in our collection line of business, by approximately $2 million and $5 million for the three and six months ended June 30, 2012, respectively. Certain of the franchise agreements serviced by our collection companies in South Florida contain specific language that ties a portion of their total rate to the disposal rate charged by this waste-to-energy facility to our collection companies. The expiration of this long-term contract in South Florida negatively impacted our total collection and disposal yield by approximately $17 million in the first six months of 2012 as compared with the same prior year period. Additionally, for the three months ended June 30, 2012, we experienced further downward pressure on our revenue growth from yield as a result of the expiration and renegotiation of a second similar long-term waste-to-energy disposal contract in South Florida at the end of March 2012.</w:t>
      </w:r>
    </w:p>
    <w:p>
      <w:pPr>
        <w:spacing w:after="0" w:line="39"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Revenues from our environmental fee, which are included in average revenue growth from yield on collection and disposal, increased $16 million and $32 million for the three and six months ended June 30, 2012, respectively. These revenues were $86 million and $167 million for the three and six months ended June 30, 2012 as compared with $70 million and $135 million for the three and six months ended June 30, 2011, respectively.</w:t>
      </w:r>
    </w:p>
    <w:p>
      <w:pPr>
        <w:spacing w:after="0" w:line="2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Recycling commodities </w:t>
      </w:r>
      <w:r>
        <w:rPr>
          <w:rFonts w:ascii="Arial" w:cs="Arial" w:eastAsia="Arial" w:hAnsi="Arial"/>
          <w:sz w:val="18"/>
          <w:szCs w:val="18"/>
          <w:color w:val="auto"/>
        </w:rPr>
        <w:t>— Decreases in the prices of the recycling commodities we sold resulted in a decline in revenues of $95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2012 and $169 million for the six months ended June 30, 2012. During the fourth quarter of 2011, we saw commodity prices decline 8% as compared with prior year. During the first six months of 2012, we saw the downward trend continue as year-over-year commodity prices declined about 20%, driven by the continued increase in supply and lower demand.</w:t>
      </w:r>
    </w:p>
    <w:p>
      <w:pPr>
        <w:spacing w:after="0" w:line="6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Fuel surcharges and mandated fees — </w:t>
      </w:r>
      <w:r>
        <w:rPr>
          <w:rFonts w:ascii="Arial" w:cs="Arial" w:eastAsia="Arial" w:hAnsi="Arial"/>
          <w:sz w:val="16"/>
          <w:szCs w:val="16"/>
          <w:color w:val="auto"/>
        </w:rPr>
        <w:t>These revenues, which are predominantly generated by our fuel surcharge program, decreased $9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June 30, 2012 due to lower diesel fuel prices. However, these revenues increased $9 million for the six-month year-over-year comparison due to higher diesel fuel prices and increased mandated fees. The fluctuation in our fuel surcharge revenues is directly attributable to changes in the national average prices for diesel fuel that we use for our fuel surcharge program. The mandated fees included in this line item are primarily related to the pass-through of fees and taxes assessed by various state, county and municipal governmental agencies at our landfills and transfer stations.</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Volume </w:t>
      </w:r>
      <w:r>
        <w:rPr>
          <w:rFonts w:ascii="Arial" w:cs="Arial" w:eastAsia="Arial" w:hAnsi="Arial"/>
          <w:sz w:val="18"/>
          <w:szCs w:val="18"/>
          <w:color w:val="auto"/>
        </w:rPr>
        <w:t>— Revenues increased $19 million and $58 million for the three and six months ended June 30, 2012, respectively, due to higher volumes. This is a</w:t>
      </w:r>
      <w:r>
        <w:rPr>
          <w:rFonts w:ascii="Arial" w:cs="Arial" w:eastAsia="Arial" w:hAnsi="Arial"/>
          <w:sz w:val="18"/>
          <w:szCs w:val="18"/>
          <w:i w:val="1"/>
          <w:iCs w:val="1"/>
          <w:color w:val="auto"/>
        </w:rPr>
        <w:t xml:space="preserve"> </w:t>
      </w:r>
      <w:r>
        <w:rPr>
          <w:rFonts w:ascii="Arial" w:cs="Arial" w:eastAsia="Arial" w:hAnsi="Arial"/>
          <w:sz w:val="18"/>
          <w:szCs w:val="18"/>
          <w:color w:val="auto"/>
        </w:rPr>
        <w:t>notable improvement from 2011 when lower volumes caused our revenue to decrease $52 million and $103 million as compared with the three and six months ended June 30, 2010, respectively.</w:t>
      </w:r>
    </w:p>
    <w:p>
      <w:pPr>
        <w:spacing w:after="0" w:line="59"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total landfill revenues increased $5 million and $30 million for the three and six months ended June 30, 2012, respectively, due to higher third-party volumes as compared with the prior year, primarily driven by higher special waste volumes in our Eastern and Midwest geographic Groups. We also saw revenues increase from year-over-year volume improvements in our recycling brokerage business and in our material recovery facilities. The addition of new single stream recycling facilities during 2011 as well as our continued pursuit of municipal volumes contributed to these increases in revenues due to volume.</w:t>
      </w:r>
    </w:p>
    <w:p>
      <w:pPr>
        <w:spacing w:after="0" w:line="3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Volume declines from our collection business accounted for $8 million of volume-related revenue decline for the six months ended June 30, 2012, which we experienced entirely in the second quarter of 2012. The decline was primarily driven by our commercial and to a lesser extent our residential collection revenue, which we attribute to the effects of pricing, competition and diversion of waste by consumers, as well as the overall continued weakness in the economy. Revenue declines due to lower volumes in these two collection lines of business were offset, in part, by revenue increases in our industrial collection line of business, driven in large part by the growth of our oilfield services in our Eastern Group.</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Additionally, for the three and six months ended June 30, 2012, we saw revenue increases due to volume growth in our non-traditional collection businesses, primarily driven by our healthcare solutions, our in-plant services and growth of our Oakleaf business principally as a result of a new contract signed in May 2012 with one of the largest national big-box retailers.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6" w:name="page47"/>
    <w:bookmarkEnd w:id="46"/>
    <w:p>
      <w:pPr>
        <w:jc w:val="both"/>
        <w:ind w:firstLine="456"/>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Acquisitions and divestitures </w:t>
      </w:r>
      <w:r>
        <w:rPr>
          <w:rFonts w:ascii="Arial" w:cs="Arial" w:eastAsia="Arial" w:hAnsi="Arial"/>
          <w:sz w:val="16"/>
          <w:szCs w:val="16"/>
          <w:color w:val="auto"/>
        </w:rPr>
        <w:t>— Revenues increased $199 million and $395 million for the three and six months ended June 30, 2012 due to acquisitions.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was principally associated with our acquisition of Oakleaf, which is reported in our “Other” line of business. Additionally, acquisitions increased our revenues in the current period in our collection line of business, due in part to our oilfield services in our Eastern Group, and in our recycling line of business. These acquisitions demonstrate our focus on identifying strategic growth opportunities in new, complementary lines of business.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operating expenses increased by $120 million, or 5.6%, and $291 million, or 7.0% for the three and six months ended June 30, 2012 as compared with the three and six months ended June 30, 2011. Our operating expenses as a percentage of revenues increased from 63.9% in the second quarter of 2011 to 65.3% in the current quarter, and increased from 64.1% for the six months ended June 30, 2011 to 65.5% for the six months ended June 30, 2012. The increase in our operating expenses during the three and six months ended June 30, 2012 can largely be attributed to the following:</w:t>
      </w:r>
    </w:p>
    <w:p>
      <w:pPr>
        <w:spacing w:after="0" w:line="32" w:lineRule="exact"/>
        <w:rPr>
          <w:sz w:val="20"/>
          <w:szCs w:val="20"/>
          <w:color w:val="auto"/>
        </w:rPr>
      </w:pPr>
    </w:p>
    <w:p>
      <w:pPr>
        <w:jc w:val="both"/>
        <w:ind w:left="700" w:hanging="246"/>
        <w:spacing w:after="0" w:line="290" w:lineRule="auto"/>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Acquisitions and growth initiatives </w:t>
      </w:r>
      <w:r>
        <w:rPr>
          <w:rFonts w:ascii="Arial" w:cs="Arial" w:eastAsia="Arial" w:hAnsi="Arial"/>
          <w:sz w:val="16"/>
          <w:szCs w:val="16"/>
          <w:color w:val="auto"/>
        </w:rPr>
        <w:t>— We have experienced cost increases attributable to recently acquired businesses and, to a lesser extent, our</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growth and business development initiatives. The increase in operating expenses resulting from acquired businesses was more than offset by increased revenues from acquired businesses. Recent acquisitions include the purchase of Oakleaf and a number of collection and recycling operations. These cost increases affected each of the operating cost categories identified in the table below and accounted for approximately 90% and 75% of our total increase in operating expenses for the three and six months ended June 30, 2012, respectively. In particular, the acquisition of Oakleaf increased operating costs by $121 million in the current quarter and $228 million in the first half of 2012, primarily increasing subcontractor costs and, to a lesser extent, the cost of goods sold and other categories; and</w:t>
      </w:r>
    </w:p>
    <w:p>
      <w:pPr>
        <w:spacing w:after="0" w:line="37" w:lineRule="exact"/>
        <w:rPr>
          <w:rFonts w:ascii="Arial" w:cs="Arial" w:eastAsia="Arial" w:hAnsi="Arial"/>
          <w:sz w:val="16"/>
          <w:szCs w:val="16"/>
          <w:color w:val="auto"/>
        </w:rPr>
      </w:pPr>
    </w:p>
    <w:p>
      <w:pPr>
        <w:jc w:val="both"/>
        <w:ind w:left="700" w:hanging="246"/>
        <w:spacing w:after="0" w:line="255"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Volume increases </w:t>
      </w:r>
      <w:r>
        <w:rPr>
          <w:rFonts w:ascii="Arial" w:cs="Arial" w:eastAsia="Arial" w:hAnsi="Arial"/>
          <w:sz w:val="18"/>
          <w:szCs w:val="18"/>
          <w:color w:val="auto"/>
        </w:rPr>
        <w:t>— During the first half of 2012, we experienced an increase in variable costs attributable to higher volumes in certain lines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particularly our recycling, industrial collection and non-traditional collection businesses. In our non-traditional collection businesses, we experienced volume increases primarily in our in-plant services and largely during the first quarter. We continue to manage our fixed costs and control growth in our variable costs as we experience volume increases. These cost increases due to volume have impacted each of the operating cost categories identified in the table below and were offset, in part, by</w:t>
      </w:r>
    </w:p>
    <w:p>
      <w:pPr>
        <w:spacing w:after="0" w:line="61" w:lineRule="exact"/>
        <w:rPr>
          <w:rFonts w:ascii="Arial" w:cs="Arial" w:eastAsia="Arial" w:hAnsi="Arial"/>
          <w:sz w:val="18"/>
          <w:szCs w:val="18"/>
          <w:color w:val="auto"/>
        </w:rPr>
      </w:pPr>
    </w:p>
    <w:p>
      <w:pPr>
        <w:jc w:val="both"/>
        <w:ind w:left="700" w:hanging="246"/>
        <w:spacing w:after="0" w:line="255"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Lower market prices for recyclable commodities — </w:t>
      </w:r>
      <w:r>
        <w:rPr>
          <w:rFonts w:ascii="Arial" w:cs="Arial" w:eastAsia="Arial" w:hAnsi="Arial"/>
          <w:sz w:val="18"/>
          <w:szCs w:val="18"/>
          <w:color w:val="auto"/>
        </w:rPr>
        <w:t>Overall, market prices for recyclable commodities decreased approximately 20% as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levels on a year-to-date basis. The year-over-year decrease is the result of the continued decrease in recyclable commodity market prices that began during late 2011 from the near-historic highs reached during the second and third quarters of 2011. This decrease in market prices was the primary driver of the current quarter decrease in cost of goods sold, primarily customer rebates, and has also resulted in decreased revenues and earnings during the current period.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47" w:name="page48"/>
    <w:bookmarkEnd w:id="47"/>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major components of our operating expenses, which include the impact of foreign currency translation, for the three-and six-month periods ended June 30 (dollars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Six Months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4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Period-to-</w:t>
            </w:r>
          </w:p>
        </w:tc>
        <w:tc>
          <w:tcPr>
            <w:tcW w:w="120" w:type="dxa"/>
            <w:vAlign w:val="bottom"/>
          </w:tcPr>
          <w:p>
            <w:pPr>
              <w:spacing w:after="0"/>
              <w:rPr>
                <w:sz w:val="12"/>
                <w:szCs w:val="12"/>
                <w:color w:val="auto"/>
              </w:rPr>
            </w:pPr>
          </w:p>
        </w:tc>
        <w:tc>
          <w:tcPr>
            <w:tcW w:w="146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4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4"/>
                <w:szCs w:val="14"/>
                <w:color w:val="auto"/>
              </w:rPr>
            </w:pPr>
          </w:p>
        </w:tc>
        <w:tc>
          <w:tcPr>
            <w:tcW w:w="14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402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Change</w:t>
            </w:r>
          </w:p>
        </w:tc>
        <w:tc>
          <w:tcPr>
            <w:tcW w:w="200" w:type="dxa"/>
            <w:vAlign w:val="bottom"/>
            <w:tcBorders>
              <w:bottom w:val="single" w:sz="8" w:color="CCEEFF"/>
            </w:tcBorders>
          </w:tcPr>
          <w:p>
            <w:pPr>
              <w:spacing w:after="0"/>
              <w:rPr>
                <w:sz w:val="12"/>
                <w:szCs w:val="12"/>
                <w:color w:val="auto"/>
              </w:rPr>
            </w:pPr>
          </w:p>
        </w:tc>
      </w:tr>
      <w:tr>
        <w:trPr>
          <w:trHeight w:val="210"/>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468</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592</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Subcontractor costs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48.8</w:t>
            </w:r>
          </w:p>
        </w:tc>
        <w:tc>
          <w:tcPr>
            <w:tcW w:w="2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575</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194</w:t>
            </w: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50.9</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(26)</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482</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Fuel</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324</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304</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110</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(14)</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255</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r>
      <w:tr>
        <w:trPr>
          <w:trHeight w:val="27"/>
        </w:trPr>
        <w:tc>
          <w:tcPr>
            <w:tcW w:w="4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0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2,260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2,140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4,426</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291</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0"/>
        </w:trPr>
        <w:tc>
          <w:tcPr>
            <w:tcW w:w="4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significant changes in our operating expenses are discussed below.</w:t>
      </w:r>
    </w:p>
    <w:p>
      <w:pPr>
        <w:spacing w:after="0" w:line="90" w:lineRule="exact"/>
        <w:rPr>
          <w:sz w:val="20"/>
          <w:szCs w:val="20"/>
          <w:color w:val="auto"/>
        </w:rPr>
      </w:pPr>
    </w:p>
    <w:p>
      <w:pPr>
        <w:jc w:val="both"/>
        <w:ind w:left="700" w:hanging="246"/>
        <w:spacing w:after="0" w:line="286" w:lineRule="auto"/>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The increase was largely due to (i) additional employee expenses incurred as a result of acquisitions and growth</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(ii) higher hourly and salaried wages due to merit increases effective April 2011 and increases stipulated in union labor agreements; and</w:t>
      </w:r>
    </w:p>
    <w:p>
      <w:pPr>
        <w:ind w:left="700" w:hanging="3"/>
        <w:spacing w:after="0" w:line="261" w:lineRule="auto"/>
        <w:tabs>
          <w:tab w:leader="none" w:pos="103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non-cash charge incurred during the three months ended June 30, 2012 by our Eastern Group as a result of our partial withdrawal from an underfunded multi-employer pension plan in New England.</w:t>
      </w:r>
    </w:p>
    <w:p>
      <w:pPr>
        <w:spacing w:after="0" w:line="56"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Transfer and disposal costs </w:t>
      </w:r>
      <w:r>
        <w:rPr>
          <w:rFonts w:ascii="Arial" w:cs="Arial" w:eastAsia="Arial" w:hAnsi="Arial"/>
          <w:sz w:val="18"/>
          <w:szCs w:val="18"/>
          <w:color w:val="auto"/>
        </w:rPr>
        <w:t>— Tipping fees paid to third party disposal facilities and transfer stations increased during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2012 as compared with the three months ended June 30, 2011, due in large part to the acquisitions, growth initiatives and volume increases previously noted.</w:t>
      </w:r>
    </w:p>
    <w:p>
      <w:pPr>
        <w:spacing w:after="0" w:line="59" w:lineRule="exact"/>
        <w:rPr>
          <w:rFonts w:ascii="Arial" w:cs="Arial" w:eastAsia="Arial" w:hAnsi="Arial"/>
          <w:sz w:val="18"/>
          <w:szCs w:val="18"/>
          <w:color w:val="auto"/>
        </w:rPr>
      </w:pPr>
    </w:p>
    <w:p>
      <w:pPr>
        <w:jc w:val="both"/>
        <w:ind w:left="700" w:hanging="246"/>
        <w:spacing w:after="0" w:line="290" w:lineRule="auto"/>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Maintenance and repairs </w:t>
      </w:r>
      <w:r>
        <w:rPr>
          <w:rFonts w:ascii="Arial" w:cs="Arial" w:eastAsia="Arial" w:hAnsi="Arial"/>
          <w:sz w:val="16"/>
          <w:szCs w:val="16"/>
          <w:color w:val="auto"/>
        </w:rPr>
        <w:t>— The increase was primarily due to (i) higher costs in our geographic Groups, largely attributable to increased fleet</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costs, (ii) differences in the timing and scope of planned maintenance projects at our waste-to-energy facilities, principally during the first quarter, a portion of which was offset by an increase in revenues related to the reimbursement of certain of these costs by a municipality, and (iii) an increase in container maintenance costs as a result of our third quarter 2011 acquisition of Oakleaf. Our fleet maintenance costs include services provided by third parties, tires, parts and internal shop labor costs. The increase in expense for tires and parts reflects the worldwide increase in related commodity prices. Through our Oakleaf acquisition, we operate a nationwide compactor leasing business (Greenleaf Compaction) which has increased our container maintenance costs in the current year when compared with the six months ended June 30, 2011.</w:t>
      </w:r>
    </w:p>
    <w:p>
      <w:pPr>
        <w:spacing w:after="0" w:line="37" w:lineRule="exact"/>
        <w:rPr>
          <w:rFonts w:ascii="Arial" w:cs="Arial" w:eastAsia="Arial" w:hAnsi="Arial"/>
          <w:sz w:val="16"/>
          <w:szCs w:val="16"/>
          <w:color w:val="auto"/>
        </w:rPr>
      </w:pPr>
    </w:p>
    <w:p>
      <w:pPr>
        <w:ind w:left="700" w:hanging="246"/>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Subcontractor costs </w:t>
      </w:r>
      <w:r>
        <w:rPr>
          <w:rFonts w:ascii="Arial" w:cs="Arial" w:eastAsia="Arial" w:hAnsi="Arial"/>
          <w:sz w:val="16"/>
          <w:szCs w:val="16"/>
          <w:color w:val="auto"/>
        </w:rPr>
        <w:t>— The current year increase in subcontractor costs was primarily a result of the Oakleaf acquisition and, to a much lesser extent,</w:t>
      </w:r>
    </w:p>
    <w:p>
      <w:pPr>
        <w:spacing w:after="0" w:line="38" w:lineRule="exact"/>
        <w:rPr>
          <w:rFonts w:ascii="Arial" w:cs="Arial" w:eastAsia="Arial" w:hAnsi="Arial"/>
          <w:sz w:val="16"/>
          <w:szCs w:val="16"/>
          <w:color w:val="auto"/>
        </w:rPr>
      </w:pPr>
    </w:p>
    <w:p>
      <w:pPr>
        <w:jc w:val="both"/>
        <w:ind w:left="700" w:hanging="3"/>
        <w:spacing w:after="0" w:line="253" w:lineRule="auto"/>
        <w:tabs>
          <w:tab w:leader="none" w:pos="926" w:val="left"/>
        </w:tabs>
        <w:numPr>
          <w:ilvl w:val="1"/>
          <w:numId w:val="17"/>
        </w:numPr>
        <w:rPr>
          <w:rFonts w:ascii="Arial" w:cs="Arial" w:eastAsia="Arial" w:hAnsi="Arial"/>
          <w:sz w:val="18"/>
          <w:szCs w:val="18"/>
          <w:color w:val="auto"/>
        </w:rPr>
      </w:pPr>
      <w:r>
        <w:rPr>
          <w:rFonts w:ascii="Arial" w:cs="Arial" w:eastAsia="Arial" w:hAnsi="Arial"/>
          <w:sz w:val="18"/>
          <w:szCs w:val="18"/>
          <w:color w:val="auto"/>
        </w:rPr>
        <w:t>other recent acquisitions, (ii) our various growth and business development initiatives, (iii) additional costs associated with servicing our in-plant services and healthcare solutions customers, and (iv) as discussed further below, higher fuel prices experienced in the first quarter, which resulted in an increase in the fuel component of our subcontractor costs for the first half of 2012 as compared with the prior year. Oakleaf principally utilizes a nationwide network of third-party haulers to service its customers, which increased our subcontractor costs by $98 million and $181 million during the second quarter and first half of 2012, respectively.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48" w:name="page49"/>
    <w:bookmarkEnd w:id="48"/>
    <w:p>
      <w:pPr>
        <w:jc w:val="both"/>
        <w:ind w:left="700" w:hanging="246"/>
        <w:spacing w:after="0" w:line="254"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Fuel — </w:t>
      </w:r>
      <w:r>
        <w:rPr>
          <w:rFonts w:ascii="Arial" w:cs="Arial" w:eastAsia="Arial" w:hAnsi="Arial"/>
          <w:sz w:val="18"/>
          <w:szCs w:val="18"/>
          <w:color w:val="auto"/>
        </w:rPr>
        <w:t>On average, diesel fuel prices increased 3.7% from $3.82 per gallon for the first half of 2011 to $3.96 per gallon for the first half of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1.5% from $4.01 per gallon in the second quarter of 2011 to $3.95 per gallon in the second quarter of 2012. Higher fuel costs experienced in the first quarter of 2012 over the first quarter of last year caused increases in both our direct fuel costs and in the fuel component of our subcontractor costs for the current year, which were partly offset by the impact of the slightly lower prices during the second quarter of 2012 compared with the second quarter of last year. Increased revenues attributable to our fuel surcharge largely offset the higher fuel costs incurred during the six months ended June 30, 2012.</w:t>
      </w:r>
    </w:p>
    <w:p>
      <w:pPr>
        <w:spacing w:after="0" w:line="63"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Landfill operating costs </w:t>
      </w:r>
      <w:r>
        <w:rPr>
          <w:rFonts w:ascii="Arial" w:cs="Arial" w:eastAsia="Arial" w:hAnsi="Arial"/>
          <w:sz w:val="18"/>
          <w:szCs w:val="18"/>
          <w:color w:val="auto"/>
        </w:rPr>
        <w:t>— The current quarter and year-to-date decreases were attributable to additional prior year landfill site costs for leachate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and disposal for our Eastern and Midwest Groups. These additional prior year costs were largely associated with widespread record flooding in the Ohio Valley during the spring of 2011.</w:t>
      </w:r>
    </w:p>
    <w:p>
      <w:pPr>
        <w:spacing w:after="0" w:line="59" w:lineRule="exact"/>
        <w:rPr>
          <w:rFonts w:ascii="Arial" w:cs="Arial" w:eastAsia="Arial" w:hAnsi="Arial"/>
          <w:sz w:val="18"/>
          <w:szCs w:val="18"/>
          <w:color w:val="auto"/>
        </w:rPr>
      </w:pPr>
    </w:p>
    <w:p>
      <w:pPr>
        <w:ind w:left="700" w:hanging="246"/>
        <w:spacing w:after="0" w:line="332"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The current year increase was due to our Oakleaf acquisition, other recent acquisitions and our various growth and business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initiatives. The increase from our various initiatives is associated with the rental of facilities and equipment for these operations.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selling, general and administrative expenses decreased by $8 million, or 2.1%, and increased $17 million, or 2.2%, when comparing the three and six months ended June 30, 2012 with the comparable prior year periods. As a percentage of revenue, our selling, general and administrative expenses decreased from 11.4% for the second quarter of 2011 to 10.8% for the second quarter of 2012, and decreased from 11.8% for the six months ended June 30, 2011 to 11.6% for the six months ended June 30, 2012.</w:t>
      </w:r>
    </w:p>
    <w:p>
      <w:pPr>
        <w:spacing w:after="0" w:line="62"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most significant items affecting the year-over-year comparison of selling, general and administrative costs for the three and six months ended June 30, 2012 include (i) our acquisition of Oakleaf, which increased costs by $16 million and $31 million, respectively; (ii) increased costs incurred to support our sales and marketing initiatives, which include expenses associated with our customer-focused growth initiative through segmentation, of $2 million and $10 million, respectively; (iii) a decrease in bonus expense and non-cash compensation expenses attributable to our long-term incentive plan, or LTIP; and (iv) additional costs, principally labor-related, associated with our efforts to implement our cost savings programs focusing on procurement, operational and back-office efficiency of $5 million and $9 million, respectively. However, the additional costs incurred in 2012 related to our cost savings programs were more than offset by a decrease in consulting costs of $11 million and $21 million for the three- and six-month periods ended June 30, 2012, respectively. We incurred higher consulting costs in 2011 during the start-up phase of these programs. We have received associated benefits of these cost savings programs throughout the first half of 2012 and expect the benefits to continue throughout the remainder of the year.</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major components of our selling, general and administrative expenses for the three- and six-month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3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3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Period-to-</w:t>
            </w: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3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3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Period</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396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4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00" w:type="dxa"/>
            <w:vAlign w:val="bottom"/>
            <w:tcBorders>
              <w:bottom w:val="single" w:sz="8" w:color="CCEEFF"/>
            </w:tcBorders>
          </w:tcPr>
          <w:p>
            <w:pPr>
              <w:spacing w:after="0"/>
              <w:rPr>
                <w:sz w:val="12"/>
                <w:szCs w:val="12"/>
                <w:color w:val="auto"/>
              </w:rPr>
            </w:pPr>
          </w:p>
        </w:tc>
      </w:tr>
      <w:tr>
        <w:trPr>
          <w:trHeight w:val="210"/>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2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$ 211</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7"/>
              </w:rPr>
              <w:t>$(6)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$456</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$443</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$ 13</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Professional fees</w:t>
            </w:r>
          </w:p>
        </w:tc>
        <w:tc>
          <w:tcPr>
            <w:tcW w:w="2780" w:type="dxa"/>
            <w:vAlign w:val="bottom"/>
            <w:gridSpan w:val="3"/>
          </w:tcPr>
          <w:p>
            <w:pPr>
              <w:jc w:val="right"/>
              <w:ind w:right="300"/>
              <w:spacing w:after="0"/>
              <w:rPr>
                <w:sz w:val="20"/>
                <w:szCs w:val="20"/>
                <w:color w:val="auto"/>
              </w:rPr>
            </w:pPr>
            <w:r>
              <w:rPr>
                <w:rFonts w:ascii="Arial" w:cs="Arial" w:eastAsia="Arial" w:hAnsi="Arial"/>
                <w:sz w:val="18"/>
                <w:szCs w:val="18"/>
                <w:color w:val="auto"/>
              </w:rPr>
              <w:t>47</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580" w:type="dxa"/>
            <w:vAlign w:val="bottom"/>
            <w:gridSpan w:val="3"/>
          </w:tcPr>
          <w:p>
            <w:pPr>
              <w:jc w:val="right"/>
              <w:ind w:right="52"/>
              <w:spacing w:after="0"/>
              <w:rPr>
                <w:sz w:val="20"/>
                <w:szCs w:val="20"/>
                <w:color w:val="auto"/>
              </w:rPr>
            </w:pPr>
            <w:r>
              <w:rPr>
                <w:rFonts w:ascii="Arial" w:cs="Arial" w:eastAsia="Arial" w:hAnsi="Arial"/>
                <w:sz w:val="18"/>
                <w:szCs w:val="18"/>
                <w:color w:val="auto"/>
              </w:rPr>
              <w:t>(6)</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(11.3)</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87</w:t>
            </w:r>
          </w:p>
        </w:tc>
        <w:tc>
          <w:tcPr>
            <w:tcW w:w="380" w:type="dxa"/>
            <w:vAlign w:val="bottom"/>
          </w:tcPr>
          <w:p>
            <w:pPr>
              <w:jc w:val="right"/>
              <w:spacing w:after="0"/>
              <w:rPr>
                <w:sz w:val="20"/>
                <w:szCs w:val="20"/>
                <w:color w:val="auto"/>
              </w:rPr>
            </w:pPr>
            <w:r>
              <w:rPr>
                <w:rFonts w:ascii="Arial" w:cs="Arial" w:eastAsia="Arial" w:hAnsi="Arial"/>
                <w:sz w:val="18"/>
                <w:szCs w:val="18"/>
                <w:color w:val="auto"/>
              </w:rPr>
              <w:t>107</w:t>
            </w:r>
          </w:p>
        </w:tc>
        <w:tc>
          <w:tcPr>
            <w:tcW w:w="860" w:type="dxa"/>
            <w:vAlign w:val="bottom"/>
            <w:gridSpan w:val="3"/>
          </w:tcPr>
          <w:p>
            <w:pPr>
              <w:jc w:val="right"/>
              <w:ind w:right="92"/>
              <w:spacing w:after="0"/>
              <w:rPr>
                <w:sz w:val="20"/>
                <w:szCs w:val="20"/>
                <w:color w:val="auto"/>
              </w:rPr>
            </w:pPr>
            <w:r>
              <w:rPr>
                <w:rFonts w:ascii="Arial" w:cs="Arial" w:eastAsia="Arial" w:hAnsi="Arial"/>
                <w:sz w:val="18"/>
                <w:szCs w:val="18"/>
                <w:color w:val="auto"/>
              </w:rPr>
              <w:t>(20)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5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70.6</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Other</w:t>
            </w:r>
          </w:p>
        </w:tc>
        <w:tc>
          <w:tcPr>
            <w:tcW w:w="2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(1.9)</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209</w:t>
            </w:r>
          </w:p>
        </w:tc>
        <w:tc>
          <w:tcPr>
            <w:tcW w:w="380" w:type="dxa"/>
            <w:vAlign w:val="bottom"/>
          </w:tcPr>
          <w:p>
            <w:pPr>
              <w:jc w:val="right"/>
              <w:spacing w:after="0"/>
              <w:rPr>
                <w:sz w:val="20"/>
                <w:szCs w:val="20"/>
                <w:color w:val="auto"/>
              </w:rPr>
            </w:pPr>
            <w:r>
              <w:rPr>
                <w:rFonts w:ascii="Arial" w:cs="Arial" w:eastAsia="Arial" w:hAnsi="Arial"/>
                <w:sz w:val="18"/>
                <w:szCs w:val="18"/>
                <w:color w:val="auto"/>
              </w:rPr>
              <w:t>197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r>
      <w:tr>
        <w:trPr>
          <w:trHeight w:val="27"/>
        </w:trPr>
        <w:tc>
          <w:tcPr>
            <w:tcW w:w="3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374</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382</w:t>
            </w:r>
          </w:p>
        </w:tc>
        <w:tc>
          <w:tcPr>
            <w:tcW w:w="5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781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764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0"/>
        </w:trPr>
        <w:tc>
          <w:tcPr>
            <w:tcW w:w="3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Throughout the first half of 2012, our labor and related benefits costs increased primarily due to higher compensation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an increase in headcount and higher salaries and hourly wages due to merit increases that were effective in April 2011. The increased headcount was driven by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49" w:name="page50"/>
    <w:bookmarkEnd w:id="49"/>
    <w:p>
      <w:pPr>
        <w:jc w:val="both"/>
        <w:ind w:firstLine="8"/>
        <w:spacing w:after="0" w:line="286" w:lineRule="auto"/>
        <w:tabs>
          <w:tab w:leader="none" w:pos="214"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acquisition of Oakleaf, (ii) our sales and marketing initiatives, although to a much lesser extent during the three months ended June 30, 2012, and (iii) our cost savings programs. Offsetting these increases completely during the three-month comparison, and to a lesser extent during the six-month comparison, were</w:t>
      </w:r>
    </w:p>
    <w:p>
      <w:pPr>
        <w:jc w:val="both"/>
        <w:ind w:firstLine="8"/>
        <w:spacing w:after="0" w:line="292" w:lineRule="auto"/>
        <w:tabs>
          <w:tab w:leader="none" w:pos="223" w:val="left"/>
        </w:tabs>
        <w:numPr>
          <w:ilvl w:val="0"/>
          <w:numId w:val="20"/>
        </w:numPr>
        <w:rPr>
          <w:rFonts w:ascii="Arial" w:cs="Arial" w:eastAsia="Arial" w:hAnsi="Arial"/>
          <w:sz w:val="16"/>
          <w:szCs w:val="16"/>
          <w:color w:val="auto"/>
        </w:rPr>
      </w:pPr>
      <w:r>
        <w:rPr>
          <w:rFonts w:ascii="Arial" w:cs="Arial" w:eastAsia="Arial" w:hAnsi="Arial"/>
          <w:sz w:val="16"/>
          <w:szCs w:val="16"/>
          <w:color w:val="auto"/>
        </w:rPr>
        <w:t>lower bonus expense in 2012 because our anticipated full year performance against targets established in our 2012 annual incentive plan is not as strong in 2012 as compared with anticipated full year performance against 2011 performance targets as of the same time last year and (ii) lower non-cash compensation expenses attributable to our LTIP. During the second quarter of 2012, we reversed all compensation costs previously recognized for our 2010 performance share units based on our determination that it was no longer probable that the targets established for that award would be met. This reversal was the primary driver of a year-over-year decrease in LTIP expenses of $9 million and $12 million for the three- and six-month periods ended June 30, 2012, respectively.</w:t>
      </w:r>
    </w:p>
    <w:p>
      <w:pPr>
        <w:spacing w:after="0" w:line="3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Professional fees </w:t>
      </w:r>
      <w:r>
        <w:rPr>
          <w:rFonts w:ascii="Arial" w:cs="Arial" w:eastAsia="Arial" w:hAnsi="Arial"/>
          <w:sz w:val="16"/>
          <w:szCs w:val="16"/>
          <w:color w:val="auto"/>
        </w:rPr>
        <w:t>— In 2012, our professional fees decreased primarily due to the discontinuation of consulting services and related fees incurred during</w:t>
      </w:r>
      <w:r>
        <w:rPr>
          <w:rFonts w:ascii="Arial" w:cs="Arial" w:eastAsia="Arial" w:hAnsi="Arial"/>
          <w:sz w:val="16"/>
          <w:szCs w:val="16"/>
          <w:i w:val="1"/>
          <w:iCs w:val="1"/>
          <w:color w:val="auto"/>
        </w:rPr>
        <w:t xml:space="preserve"> </w:t>
      </w:r>
      <w:r>
        <w:rPr>
          <w:rFonts w:ascii="Arial" w:cs="Arial" w:eastAsia="Arial" w:hAnsi="Arial"/>
          <w:sz w:val="16"/>
          <w:szCs w:val="16"/>
          <w:color w:val="auto"/>
        </w:rPr>
        <w:t>2011 associated with the start-up phase of our cost savings programs. These decreases were partially offset by higher costs related to international developments of our waste-to-energy business and higher legal costs, particularly during the three months ended June 30, 2012.</w:t>
      </w:r>
    </w:p>
    <w:p>
      <w:pPr>
        <w:spacing w:after="0" w:line="2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The increase in our provision for bad debts was driven in part by (i) increased collection risks resulting from work we are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performing in certain new businesses in our Eastern Group; (ii) collection issues we are experiencing in our Puerto Rico operations in our Southern Group; and (iii) increases due to our recent Oakleaf acquisition.</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In 2012, we experienced increases in our (i) travel and entertainment costs to support our strategic efforts; (ii) building and equipment costs,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 rental and utilities; and (iii) computer and telecommunications costs, due in part to improvements we are making to our information technology systems. Offsetting these increases completely during the three-month comparison, and to a lesser extent during the six-month comparison, were lower litigation settlement costs and decreased spending on advertising.</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components of our depreciation and amortization expense for the three- and six-month periods ended June 30 (dollars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Six Months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22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rPr>
              <w:t>Period-to-</w:t>
            </w:r>
          </w:p>
        </w:tc>
        <w:tc>
          <w:tcPr>
            <w:tcW w:w="120" w:type="dxa"/>
            <w:vAlign w:val="bottom"/>
          </w:tcPr>
          <w:p>
            <w:pPr>
              <w:spacing w:after="0"/>
              <w:rPr>
                <w:sz w:val="12"/>
                <w:szCs w:val="12"/>
                <w:color w:val="auto"/>
              </w:rPr>
            </w:pPr>
          </w:p>
        </w:tc>
        <w:tc>
          <w:tcPr>
            <w:tcW w:w="13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11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Period-to-</w:t>
            </w:r>
          </w:p>
        </w:tc>
        <w:tc>
          <w:tcPr>
            <w:tcW w:w="0" w:type="dxa"/>
            <w:vAlign w:val="bottom"/>
          </w:tcPr>
          <w:p>
            <w:pPr>
              <w:spacing w:after="0"/>
              <w:rPr>
                <w:sz w:val="1"/>
                <w:szCs w:val="1"/>
                <w:color w:val="auto"/>
              </w:rPr>
            </w:pPr>
          </w:p>
        </w:tc>
      </w:tr>
      <w:tr>
        <w:trPr>
          <w:trHeight w:val="16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4"/>
                <w:szCs w:val="14"/>
                <w:color w:val="auto"/>
              </w:rPr>
            </w:pPr>
          </w:p>
        </w:tc>
        <w:tc>
          <w:tcPr>
            <w:tcW w:w="13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14"/>
                <w:szCs w:val="14"/>
                <w:color w:val="auto"/>
              </w:rPr>
            </w:pPr>
          </w:p>
        </w:tc>
        <w:tc>
          <w:tcPr>
            <w:tcW w:w="8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2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1"/>
              </w:rPr>
              <w:t>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(11)</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197</w:t>
            </w:r>
          </w:p>
        </w:tc>
        <w:tc>
          <w:tcPr>
            <w:tcW w:w="480" w:type="dxa"/>
            <w:vAlign w:val="bottom"/>
            <w:gridSpan w:val="2"/>
          </w:tcPr>
          <w:p>
            <w:pPr>
              <w:jc w:val="right"/>
              <w:ind w:right="72"/>
              <w:spacing w:after="0"/>
              <w:rPr>
                <w:sz w:val="20"/>
                <w:szCs w:val="20"/>
                <w:color w:val="auto"/>
              </w:rPr>
            </w:pPr>
            <w:r>
              <w:rPr>
                <w:rFonts w:ascii="Arial" w:cs="Arial" w:eastAsia="Arial" w:hAnsi="Arial"/>
                <w:sz w:val="18"/>
                <w:szCs w:val="18"/>
                <w:color w:val="auto"/>
              </w:rPr>
              <w:t>(7)</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1"/>
              </w:rPr>
              <w:t>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222"/>
        </w:trPr>
        <w:tc>
          <w:tcPr>
            <w:tcW w:w="62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323</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4</w:t>
            </w:r>
          </w:p>
        </w:tc>
        <w:tc>
          <w:tcPr>
            <w:tcW w:w="2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640</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618</w:t>
            </w:r>
          </w:p>
        </w:tc>
        <w:tc>
          <w:tcPr>
            <w:tcW w:w="2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w:t>
            </w:r>
          </w:p>
        </w:tc>
        <w:tc>
          <w:tcPr>
            <w:tcW w:w="2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decrease in amortization expense of landfill airspace in 2012 is primarily due to unfavorable landfill final capping adjustments through the second quarter of 2011 associated with changes in landfill final capping estimates at three landfills combined with favorable final capping adjustments in the second quarter of 2012 at two landfills. For the six months ended June 30, 2012, these decreases were partially offset by landfill volume increases.</w:t>
      </w:r>
    </w:p>
    <w:p>
      <w:pPr>
        <w:spacing w:after="0" w:line="2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increase in amortization expense of intangible assets in 2012 is due to our focus on the growth and development of our business through acquisitions and other investments. The increase is primarily related to the amortization of customer lists, which were acquired through our acquisition of Oakleaf and through our acquisition of collection and recycling operations.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Restructuring</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Beginning in July 2011, we took steps to streamline our organization as part of our cost savings programs. This reorganization eliminated over 700 employee positions throughout the Company, including approximately 300 open positions. Additionally, subsequent to our acquisition of Oakleaf, we incurred charges in connection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0" w:name="page51"/>
    <w:bookmarkEnd w:id="50"/>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restructuring that organization. During the year ended December 31, 2011, we recognized a total of $19 million of pre-tax restructuring charges, of which $18 million were related to employee severance and benefit costs associated with these restructuring efforts. The remaining charges were primarily related to operating lease obligations for property that will no longer be utilized.</w:t>
      </w:r>
    </w:p>
    <w:p>
      <w:pPr>
        <w:spacing w:after="0" w:line="59"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During the first half of 2012, we recognized additional employee severance and benefit restructuring charges of $7 million, including $3 million associated with the reorganization of Oakleaf and additional amounts associated with certain other actions taken by the Company primarily in our Southern Group.</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During the second quarter of 2012, we recognized impairment charges of $34 million, relating primarily to two facilities in our medical waste services business as a result of projected operating losses at each of these facilities. We wrote down the carrying values of the facilities’ operating permits and property, plant and equipment to their estimated fair values. Our medical waste services business is included in our “Other” operations in the </w:t>
      </w:r>
      <w:r>
        <w:rPr>
          <w:rFonts w:ascii="Arial" w:cs="Arial" w:eastAsia="Arial" w:hAnsi="Arial"/>
          <w:sz w:val="18"/>
          <w:szCs w:val="18"/>
          <w:i w:val="1"/>
          <w:iCs w:val="1"/>
          <w:color w:val="auto"/>
        </w:rPr>
        <w:t>Income from Operations by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Reportable Segment </w:t>
      </w:r>
      <w:r>
        <w:rPr>
          <w:rFonts w:ascii="Arial" w:cs="Arial" w:eastAsia="Arial" w:hAnsi="Arial"/>
          <w:sz w:val="18"/>
          <w:szCs w:val="18"/>
          <w:color w:val="auto"/>
        </w:rPr>
        <w:t>discussion below.</w:t>
      </w:r>
    </w:p>
    <w:p>
      <w:pPr>
        <w:spacing w:after="0" w:line="6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addition, the negative effect on our revenues of the continued deterioration of electricity commodity prices, coupled with our continued increased exposure to market prices as a result of the expiration of several long-term, fixed-rate electricity commodity contracts at our waste-to-energy and independent power facilities, and the expiration of several long-term disposal contracts at above-market rates indicated that the fair value of our Wheelabrator Group could potentially be less than its carrying amount. As a result, in the second quarter of 2012, we performed an interim impairment analysis of our Wheelabrator Group’s goodwill balance, which was $788 million as of June 30, 2012.</w:t>
      </w:r>
    </w:p>
    <w:p>
      <w:pPr>
        <w:spacing w:after="0" w:line="6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performed an interim quantitative assessment using both an income and a market approach, which indicated that the estimated fair value of our Wheelabrator Group exceeded its carrying value; however, the amount by which the fair value exceeded the carrying value declined significantly from the most recent annual impairment test performed at October 1, 2011. At that time, our Wheelabrator Group’s estimated fair value exceeded its carrying value by approximately 30%, as compared with slightly greater than 10% as of the interim impairment test performed this quarter. If market prices for electricity worsen or do not recover as we have projected, if our disposal rates continue to decline, or if our costs and capital expenditures exceed our forecasts, the estimated fair value of our Wheelabrator Group could decrease further and potentially result in an impairment charge in a future period.</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from Operations by Reportable Segment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income from operations by reportable segment for the three- and six-month periods ended June 30 (dollars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Six Months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Period-to-</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Period-to-</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7"/>
              </w:rPr>
              <w:t>Period</w:t>
            </w:r>
          </w:p>
        </w:tc>
        <w:tc>
          <w:tcPr>
            <w:tcW w:w="80" w:type="dxa"/>
            <w:vAlign w:val="bottom"/>
          </w:tcPr>
          <w:p>
            <w:pPr>
              <w:spacing w:after="0"/>
              <w:rPr>
                <w:sz w:val="14"/>
                <w:szCs w:val="14"/>
                <w:color w:val="auto"/>
              </w:rPr>
            </w:pPr>
          </w:p>
        </w:tc>
        <w:tc>
          <w:tcPr>
            <w:tcW w:w="880" w:type="dxa"/>
            <w:vAlign w:val="bottom"/>
            <w:gridSpan w:val="3"/>
          </w:tcPr>
          <w:p>
            <w:pPr>
              <w:jc w:val="center"/>
              <w:ind w:left="237"/>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2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ind w:right="640"/>
              <w:spacing w:after="0" w:line="142" w:lineRule="exact"/>
              <w:rPr>
                <w:sz w:val="20"/>
                <w:szCs w:val="20"/>
                <w:color w:val="auto"/>
              </w:rPr>
            </w:pPr>
            <w:r>
              <w:rPr>
                <w:rFonts w:ascii="Arial" w:cs="Arial" w:eastAsia="Arial" w:hAnsi="Arial"/>
                <w:sz w:val="14"/>
                <w:szCs w:val="14"/>
                <w:b w:val="1"/>
                <w:bCs w:val="1"/>
                <w:color w:val="auto"/>
                <w:w w:val="85"/>
              </w:rPr>
              <w:t>Change</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2012</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3"/>
          </w:tcPr>
          <w:p>
            <w:pPr>
              <w:jc w:val="center"/>
              <w:ind w:right="58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Reportable segments:</w:t>
            </w:r>
          </w:p>
        </w:tc>
        <w:tc>
          <w:tcPr>
            <w:tcW w:w="18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Eastern</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$ 143</w:t>
            </w: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$ 141</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274</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$ 13</w:t>
            </w: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Midwest</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Southern</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Western</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Wheelabrator</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(54)</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(5.2)</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221"/>
        </w:trPr>
        <w:tc>
          <w:tcPr>
            <w:tcW w:w="3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619</w:t>
            </w:r>
          </w:p>
        </w:tc>
        <w:tc>
          <w:tcPr>
            <w:tcW w:w="3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(34)</w:t>
            </w: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1,213</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1,233</w:t>
            </w:r>
          </w:p>
        </w:tc>
        <w:tc>
          <w:tcPr>
            <w:tcW w:w="20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(153)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(7.9)%</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222"/>
        </w:trPr>
        <w:tc>
          <w:tcPr>
            <w:tcW w:w="3320" w:type="dxa"/>
            <w:vAlign w:val="bottom"/>
            <w:vMerge w:val="continue"/>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$ 466</w:t>
            </w:r>
          </w:p>
        </w:tc>
        <w:tc>
          <w:tcPr>
            <w:tcW w:w="3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$ 506</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(40)</w:t>
            </w:r>
          </w:p>
        </w:tc>
        <w:tc>
          <w:tcPr>
            <w:tcW w:w="10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867</w:t>
            </w:r>
          </w:p>
        </w:tc>
        <w:tc>
          <w:tcPr>
            <w:tcW w:w="3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933</w:t>
            </w:r>
          </w:p>
        </w:tc>
        <w:tc>
          <w:tcPr>
            <w:tcW w:w="20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w:t>
            </w: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20" w:type="dxa"/>
            <w:vAlign w:val="bottom"/>
          </w:tcPr>
          <w:p>
            <w:pPr>
              <w:spacing w:after="0"/>
              <w:rPr>
                <w:sz w:val="24"/>
                <w:szCs w:val="24"/>
                <w:color w:val="auto"/>
              </w:rPr>
            </w:pPr>
          </w:p>
        </w:tc>
        <w:tc>
          <w:tcPr>
            <w:tcW w:w="2580" w:type="dxa"/>
            <w:vAlign w:val="bottom"/>
            <w:gridSpan w:val="3"/>
          </w:tcPr>
          <w:p>
            <w:pPr>
              <w:jc w:val="center"/>
              <w:ind w:left="2112"/>
              <w:spacing w:after="0"/>
              <w:rPr>
                <w:sz w:val="20"/>
                <w:szCs w:val="20"/>
                <w:color w:val="auto"/>
              </w:rPr>
            </w:pPr>
            <w:r>
              <w:rPr>
                <w:rFonts w:ascii="Arial" w:cs="Arial" w:eastAsia="Arial" w:hAnsi="Arial"/>
                <w:sz w:val="18"/>
                <w:szCs w:val="18"/>
                <w:color w:val="auto"/>
                <w:w w:val="89"/>
              </w:rPr>
              <w:t>51</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1" w:name="page52"/>
    <w:bookmarkEnd w:id="51"/>
    <w:p>
      <w:pPr>
        <w:ind w:left="460"/>
        <w:spacing w:after="0"/>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Reportable Segments — </w:t>
      </w:r>
      <w:r>
        <w:rPr>
          <w:rFonts w:ascii="Arial" w:cs="Arial" w:eastAsia="Arial" w:hAnsi="Arial"/>
          <w:sz w:val="15"/>
          <w:szCs w:val="15"/>
          <w:color w:val="auto"/>
        </w:rPr>
        <w:t>The most significant items affecting the results of operations of our four geographic Groups during the three and six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2012 as compared with the prior year periods are summarized below:</w:t>
      </w:r>
    </w:p>
    <w:p>
      <w:pPr>
        <w:spacing w:after="0" w:line="84" w:lineRule="exact"/>
        <w:rPr>
          <w:sz w:val="20"/>
          <w:szCs w:val="20"/>
          <w:color w:val="auto"/>
        </w:rPr>
      </w:pPr>
    </w:p>
    <w:p>
      <w:pPr>
        <w:ind w:left="700" w:hanging="246"/>
        <w:spacing w:after="0"/>
        <w:tabs>
          <w:tab w:leader="none" w:pos="7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revenue growth from yield on our base business particularly in our Midwest Group and, to a lesser extent, in our Eastern, Southern and Western Groups;</w:t>
      </w:r>
    </w:p>
    <w:p>
      <w:pPr>
        <w:spacing w:after="0" w:line="124" w:lineRule="exact"/>
        <w:rPr>
          <w:rFonts w:ascii="Arial" w:cs="Arial" w:eastAsia="Arial" w:hAnsi="Arial"/>
          <w:sz w:val="15"/>
          <w:szCs w:val="15"/>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improvement in volumes, particularly in our Midwest Group and principally during the first quarter of 2012;</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accretive benefits of recent acquisitions, particularly in our Eastern Group;</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recycling commodity prices;</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maintenance and repair costs during the six months ended June 30, 2012; however, our Eastern Group experienced a decrease in costs during the second quarter of 2012;</w:t>
      </w:r>
    </w:p>
    <w:p>
      <w:pPr>
        <w:spacing w:after="0" w:line="50"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net increase in fuel costs during the six months ended June 30, 2012, consisting of an increase of $18 million in the first three months of 2012, offset to a small extent by a decrease of $4 million in the second quarter of 2012. This net increase in fuel during the first half of 2012 outpaced the related revenue growth from our fuel surcharge program; and</w:t>
      </w:r>
    </w:p>
    <w:p>
      <w:pPr>
        <w:spacing w:after="0" w:line="59"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salaries and wages during the six months ended June 30, 2012 due to annual merit increases effective April 2011 for salaried and hourly employees. The increases during the six months ended June 30, 2012 were offset, in large part, by the transfer of certain field customer service employees from our reportable segments to Corporate and Other.</w:t>
      </w:r>
    </w:p>
    <w:p>
      <w:pPr>
        <w:spacing w:after="0" w:line="59"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significant decrease in income from operations of our Wheelabrator Group for the three and six months ended June 30, 2012 as compared with the respective prior year periods was driven largely by (i) lower revenues due to the expiration of long-term contracts at our waste-to-energy facilities; (ii) lower energy pricing at our merchant facilities; (iii) increased international development costs; and (iv) increased maintenance and repairs costs primarily due to differences in the timing and scope of planned maintenance activities at our waste-to-energy facilities. These unfavorable items for the six months ended June 30, 2012 were offset in part by (i) the recognition in the first quarter of 2012 of revenues relating to a power purchase agreement that went into effect in 2011, but did not receive regulatory approval until 2012, at which time we recognized revenue; and (ii) additional expenses recognized in 2011 for litigation reserves and associated compliance costs. Approximately $4 million of the expenses for litigation reserves and associated costs were initially recorded and reported in “Other” during the fourth quarter of 2010 because events giving rise to the reserve occurred after the general ledgers of our operating segments were closed. In the first quarter of 2011, these expenses were reversed out of “Other” and recorded in the appropriate reportable segment.</w:t>
      </w:r>
    </w:p>
    <w:p>
      <w:pPr>
        <w:spacing w:after="0" w:line="3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Other significant items affecting the comparability of our Groups’ results of operations for the three and six months ended June 30, 2012 and 2011 are summarized below:</w:t>
      </w:r>
    </w:p>
    <w:p>
      <w:pPr>
        <w:spacing w:after="0" w:line="51" w:lineRule="exact"/>
        <w:rPr>
          <w:sz w:val="20"/>
          <w:szCs w:val="20"/>
          <w:color w:val="auto"/>
        </w:rPr>
      </w:pPr>
    </w:p>
    <w:p>
      <w:pPr>
        <w:jc w:val="both"/>
        <w:ind w:left="460" w:firstLine="438"/>
        <w:spacing w:after="0" w:line="289" w:lineRule="auto"/>
        <w:rPr>
          <w:sz w:val="20"/>
          <w:szCs w:val="20"/>
          <w:color w:val="auto"/>
        </w:rPr>
      </w:pPr>
      <w:r>
        <w:rPr>
          <w:rFonts w:ascii="Arial" w:cs="Arial" w:eastAsia="Arial" w:hAnsi="Arial"/>
          <w:sz w:val="16"/>
          <w:szCs w:val="16"/>
          <w:i w:val="1"/>
          <w:iCs w:val="1"/>
          <w:color w:val="auto"/>
        </w:rPr>
        <w:t xml:space="preserve">Eastern — </w:t>
      </w:r>
      <w:r>
        <w:rPr>
          <w:rFonts w:ascii="Arial" w:cs="Arial" w:eastAsia="Arial" w:hAnsi="Arial"/>
          <w:sz w:val="16"/>
          <w:szCs w:val="16"/>
          <w:color w:val="auto"/>
        </w:rPr>
        <w:t>The Eastern Group’s revenues and income from operations for the three and six months ended June 30, 2012 as compared with the prior</w:t>
      </w:r>
      <w:r>
        <w:rPr>
          <w:rFonts w:ascii="Arial" w:cs="Arial" w:eastAsia="Arial" w:hAnsi="Arial"/>
          <w:sz w:val="16"/>
          <w:szCs w:val="16"/>
          <w:i w:val="1"/>
          <w:iCs w:val="1"/>
          <w:color w:val="auto"/>
        </w:rPr>
        <w:t xml:space="preserve"> </w:t>
      </w:r>
      <w:r>
        <w:rPr>
          <w:rFonts w:ascii="Arial" w:cs="Arial" w:eastAsia="Arial" w:hAnsi="Arial"/>
          <w:sz w:val="16"/>
          <w:szCs w:val="16"/>
          <w:color w:val="auto"/>
        </w:rPr>
        <w:t>year periods were favorably affected by the growth of our oilfield services. These services, which focus principally on the hauling and disposal of drill cuttings and fluids and various well pad services, favorably affected both our landfill and collection lines of business. Further favorably affecting the Group’s income from operations was (i) a decrease in landfill amortization expense, which was principally due to both a decline in rates relating to the addition of expansion airspace at one of our landfills in the third quarter of 2011 and a nonrecurring amortization expense adjustment recognized in the second quarter of 2011 at a separate landfill; and (ii) higher landfill site costs in the prior year for the collection and disposal of leachate, which was largely the result of widespread record flooding in the Ohio Valley during the spring of 2011. These favorable impacts were offset in part by the recognition of a non-cash charge in June 2012 resulting from the partial withdrawal from an underfunded multiemployer pension plan in New England.</w:t>
      </w:r>
    </w:p>
    <w:p>
      <w:pPr>
        <w:spacing w:after="0" w:line="37" w:lineRule="exact"/>
        <w:rPr>
          <w:sz w:val="20"/>
          <w:szCs w:val="20"/>
          <w:color w:val="auto"/>
        </w:rPr>
      </w:pPr>
    </w:p>
    <w:p>
      <w:pPr>
        <w:jc w:val="both"/>
        <w:ind w:left="460" w:firstLine="438"/>
        <w:spacing w:after="0" w:line="268" w:lineRule="auto"/>
        <w:rPr>
          <w:sz w:val="20"/>
          <w:szCs w:val="20"/>
          <w:color w:val="auto"/>
        </w:rPr>
      </w:pPr>
      <w:r>
        <w:rPr>
          <w:rFonts w:ascii="Arial" w:cs="Arial" w:eastAsia="Arial" w:hAnsi="Arial"/>
          <w:sz w:val="18"/>
          <w:szCs w:val="18"/>
          <w:i w:val="1"/>
          <w:iCs w:val="1"/>
          <w:color w:val="auto"/>
        </w:rPr>
        <w:t xml:space="preserve">Southern — </w:t>
      </w:r>
      <w:r>
        <w:rPr>
          <w:rFonts w:ascii="Arial" w:cs="Arial" w:eastAsia="Arial" w:hAnsi="Arial"/>
          <w:sz w:val="18"/>
          <w:szCs w:val="18"/>
          <w:color w:val="auto"/>
        </w:rPr>
        <w:t>During the six months ended June 30, 2011, the Group’s results reflected a charge of $11 million related to a litigation reserve. The</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reserve was the result of a court judgment issued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52" w:name="page53"/>
    <w:bookmarkEnd w:id="52"/>
    <w:p>
      <w:pPr>
        <w:jc w:val="both"/>
        <w:ind w:left="4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litigation matter related to our Southern Group; however, due to the timing of the judgment, the reserve was recorded after the general ledgers of our operating segments for the year 2010 were closed. As a result, the charge was initially recorded and reported in “Other” and reflected in our consolidated operating measures in the fourth quarter of 2010. In the six months ended June 30, 2011, the charge was reversed out of “Other” and recorded in the appropriate reportable segment. The Southern Group’s income from operations was also impacted by an increase of $3 million in provision for bad debts during the quarter ended June 30, 2012 as a result of collection delays in Puerto Rico.</w:t>
      </w:r>
    </w:p>
    <w:p>
      <w:pPr>
        <w:spacing w:after="0" w:line="3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Significant items affecting the comparability of the remaining components of our results of operations for the three and six months ended June 30, 2012 and 2011 are summarized below:</w:t>
      </w:r>
    </w:p>
    <w:p>
      <w:pPr>
        <w:spacing w:after="0" w:line="51" w:lineRule="exact"/>
        <w:rPr>
          <w:sz w:val="20"/>
          <w:szCs w:val="20"/>
          <w:color w:val="auto"/>
        </w:rPr>
      </w:pPr>
    </w:p>
    <w:p>
      <w:pPr>
        <w:jc w:val="both"/>
        <w:ind w:left="460" w:firstLine="438"/>
        <w:spacing w:after="0" w:line="287"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It is our policy to report adjustments that are recorded after the closing date of our reportable segment ledgers in “Other” when they are</w:t>
      </w:r>
      <w:r>
        <w:rPr>
          <w:rFonts w:ascii="Arial" w:cs="Arial" w:eastAsia="Arial" w:hAnsi="Arial"/>
          <w:sz w:val="16"/>
          <w:szCs w:val="16"/>
          <w:i w:val="1"/>
          <w:iCs w:val="1"/>
          <w:color w:val="auto"/>
        </w:rPr>
        <w:t xml:space="preserve"> </w:t>
      </w:r>
      <w:r>
        <w:rPr>
          <w:rFonts w:ascii="Arial" w:cs="Arial" w:eastAsia="Arial" w:hAnsi="Arial"/>
          <w:sz w:val="16"/>
          <w:szCs w:val="16"/>
          <w:color w:val="auto"/>
        </w:rPr>
        <w:t>initially recorded. We then report these late adjustments in the appropriate reportable segment in the next reporting period, with a corresponding reversal out of “Other.” The unfavorable change in operating results during the six months ended June 30, 2012 is largely due to (i) impairment charges recognized during the second quarter of 2012 relating primarily to two facilities in our medical waste services business as a result of projected operating losses at each of these facilities; and (ii) by the reversal in 2011 of expense adjustments related to our reportable segments that were initially reported in “Other” in the fourth quarter of 2010. These expense adjustments were reported in the applicable reportable segment in the first quarter of 2011. The most significant adjustments reversed out of “Other” in the first quarter of 2011 were related to $15 million of additional expense for litigation reserves and associated costs in our Southern and Wheelabrator Groups. The unfavorable change during the six months ended June 30, 2012 was offset in part by the net favorable effect of adjustments recorded in both years to reduce bonus expense based on our projected performance against targets established by our annual incentive plan. The second quarter year-over-year decline was principally driven by the asset impairment charges.</w:t>
      </w:r>
    </w:p>
    <w:p>
      <w:pPr>
        <w:spacing w:after="0" w:line="42" w:lineRule="exact"/>
        <w:rPr>
          <w:sz w:val="20"/>
          <w:szCs w:val="20"/>
          <w:color w:val="auto"/>
        </w:rPr>
      </w:pPr>
    </w:p>
    <w:p>
      <w:pPr>
        <w:jc w:val="both"/>
        <w:ind w:left="460" w:firstLine="438"/>
        <w:spacing w:after="0" w:line="290" w:lineRule="auto"/>
        <w:rPr>
          <w:sz w:val="20"/>
          <w:szCs w:val="20"/>
          <w:color w:val="auto"/>
        </w:rPr>
      </w:pPr>
      <w:r>
        <w:rPr>
          <w:rFonts w:ascii="Arial" w:cs="Arial" w:eastAsia="Arial" w:hAnsi="Arial"/>
          <w:sz w:val="16"/>
          <w:szCs w:val="16"/>
          <w:i w:val="1"/>
          <w:iCs w:val="1"/>
          <w:color w:val="auto"/>
        </w:rPr>
        <w:t xml:space="preserve">Corporate and Other — </w:t>
      </w:r>
      <w:r>
        <w:rPr>
          <w:rFonts w:ascii="Arial" w:cs="Arial" w:eastAsia="Arial" w:hAnsi="Arial"/>
          <w:sz w:val="16"/>
          <w:szCs w:val="16"/>
          <w:color w:val="auto"/>
        </w:rPr>
        <w:t>The increase in “Selling, general and administrative” expenses during the three and six months ended June 30, 2012 is the</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cost increases attributable to (i) additional compensation expense due to transfers of certain field customer service employees to our Corporate sales organization; and (ii) headcount increases due to our sales and marketing initiatives and implementation of our cost saving programs. These increases were partially offset by (i) a decrease in professional fees primarily due to discontinuation of consulting services and related fees incurred during 2011 associated with the start-up phase of our cost savings programs; and (ii) lower non-cash compensation expenses attributable to our LTIP. During the second quarter of 2012, we reversed all compensation costs previously recognized for our 2010 performance share units based on our determination that it was no longer probable that the targets established for that award would be met.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Renewable Energy Operations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current operations produce renewable energy through the waste-to-energy facilities that are managed by our Wheelabrator Group and our landfill gas-to-energy operations. We are actively seeking opportunities to enhance our existing renewable energy service offerings to ensure that we can respond to the shifting demands of consumers and to ensure that we are acting as a leader in environmental stewardship.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53" w:name="page54"/>
    <w:bookmarkEnd w:id="53"/>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are disclosing the following supplemental information related to the operating results of our renewable energy operations for the three and six months ended June 30, 2012 and 2011 (in millions) because we believe that it provides information related to the significance of our current renewable energy operations, the profitability of these operations, and the costs we are incurring to develop these operations.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w w:val="89"/>
              </w:rPr>
              <w:t>Three Months Ended June 30, 2012</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94"/>
              </w:rPr>
              <w:t>Six Months Ended June 30, 2012</w:t>
            </w: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Landfill Gas-</w:t>
            </w:r>
          </w:p>
        </w:tc>
        <w:tc>
          <w:tcPr>
            <w:tcW w:w="220" w:type="dxa"/>
            <w:vAlign w:val="bottom"/>
          </w:tcPr>
          <w:p>
            <w:pPr>
              <w:spacing w:after="0"/>
              <w:rPr>
                <w:sz w:val="11"/>
                <w:szCs w:val="11"/>
                <w:color w:val="auto"/>
              </w:rPr>
            </w:pPr>
          </w:p>
        </w:tc>
        <w:tc>
          <w:tcPr>
            <w:tcW w:w="780" w:type="dxa"/>
            <w:vAlign w:val="bottom"/>
          </w:tcPr>
          <w:p>
            <w:pPr>
              <w:ind w:left="260"/>
              <w:spacing w:after="0" w:line="129" w:lineRule="exact"/>
              <w:rPr>
                <w:sz w:val="20"/>
                <w:szCs w:val="20"/>
                <w:color w:val="auto"/>
              </w:rPr>
            </w:pPr>
            <w:r>
              <w:rPr>
                <w:rFonts w:ascii="Arial" w:cs="Arial" w:eastAsia="Arial" w:hAnsi="Arial"/>
                <w:sz w:val="14"/>
                <w:szCs w:val="14"/>
                <w:b w:val="1"/>
                <w:bCs w:val="1"/>
                <w:color w:val="auto"/>
              </w:rPr>
              <w:t>Growth</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Landfill Gas-</w:t>
            </w:r>
          </w:p>
        </w:tc>
        <w:tc>
          <w:tcPr>
            <w:tcW w:w="420" w:type="dxa"/>
            <w:vAlign w:val="bottom"/>
          </w:tcPr>
          <w:p>
            <w:pPr>
              <w:spacing w:after="0"/>
              <w:rPr>
                <w:sz w:val="11"/>
                <w:szCs w:val="11"/>
                <w:color w:val="auto"/>
              </w:rPr>
            </w:pPr>
          </w:p>
        </w:tc>
        <w:tc>
          <w:tcPr>
            <w:tcW w:w="780" w:type="dxa"/>
            <w:vAlign w:val="bottom"/>
          </w:tcPr>
          <w:p>
            <w:pPr>
              <w:ind w:left="260"/>
              <w:spacing w:after="0" w:line="129" w:lineRule="exact"/>
              <w:rPr>
                <w:sz w:val="20"/>
                <w:szCs w:val="20"/>
                <w:color w:val="auto"/>
              </w:rPr>
            </w:pPr>
            <w:r>
              <w:rPr>
                <w:rFonts w:ascii="Arial" w:cs="Arial" w:eastAsia="Arial" w:hAnsi="Arial"/>
                <w:sz w:val="14"/>
                <w:szCs w:val="14"/>
                <w:b w:val="1"/>
                <w:bCs w:val="1"/>
                <w:color w:val="auto"/>
              </w:rPr>
              <w:t>Growth</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5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9"/>
              </w:rPr>
              <w:t>Wheelabrator</w:t>
            </w:r>
          </w:p>
        </w:tc>
        <w:tc>
          <w:tcPr>
            <w:tcW w:w="4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to-Energy(a)</w:t>
            </w:r>
          </w:p>
        </w:tc>
        <w:tc>
          <w:tcPr>
            <w:tcW w:w="2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Opportunities(b)</w:t>
            </w:r>
          </w:p>
        </w:tc>
        <w:tc>
          <w:tcPr>
            <w:tcW w:w="2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Total</w:t>
            </w:r>
          </w:p>
        </w:tc>
        <w:tc>
          <w:tcPr>
            <w:tcW w:w="4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7"/>
              </w:rPr>
              <w:t>Wheelabrator</w:t>
            </w:r>
          </w:p>
        </w:tc>
        <w:tc>
          <w:tcPr>
            <w:tcW w:w="4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to-Energy(a)</w:t>
            </w:r>
          </w:p>
        </w:tc>
        <w:tc>
          <w:tcPr>
            <w:tcW w:w="4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Opportunities(b)</w:t>
            </w:r>
          </w:p>
        </w:tc>
        <w:tc>
          <w:tcPr>
            <w:tcW w:w="4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8"/>
        </w:trPr>
        <w:tc>
          <w:tcPr>
            <w:tcW w:w="252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Operating revenues (including</w:t>
            </w:r>
          </w:p>
        </w:tc>
        <w:tc>
          <w:tcPr>
            <w:tcW w:w="3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5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intercompany)</w:t>
            </w:r>
          </w:p>
        </w:tc>
        <w:tc>
          <w:tcPr>
            <w:tcW w:w="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206</w:t>
            </w:r>
          </w:p>
        </w:tc>
        <w:tc>
          <w:tcPr>
            <w:tcW w:w="76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37</w:t>
            </w:r>
          </w:p>
        </w:tc>
        <w:tc>
          <w:tcPr>
            <w:tcW w:w="10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243</w:t>
            </w:r>
          </w:p>
        </w:tc>
        <w:tc>
          <w:tcPr>
            <w:tcW w:w="76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413</w:t>
            </w:r>
          </w:p>
        </w:tc>
        <w:tc>
          <w:tcPr>
            <w:tcW w:w="78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w:t>
            </w:r>
          </w:p>
        </w:tc>
        <w:tc>
          <w:tcPr>
            <w:tcW w:w="12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485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20" w:type="dxa"/>
            <w:vAlign w:val="bottom"/>
          </w:tcPr>
          <w:p>
            <w:pPr>
              <w:spacing w:after="0" w:line="155" w:lineRule="exact"/>
              <w:rPr>
                <w:sz w:val="20"/>
                <w:szCs w:val="20"/>
                <w:color w:val="auto"/>
              </w:rPr>
            </w:pPr>
            <w:r>
              <w:rPr>
                <w:rFonts w:ascii="Arial" w:cs="Arial" w:eastAsia="Arial" w:hAnsi="Arial"/>
                <w:sz w:val="14"/>
                <w:szCs w:val="14"/>
                <w:color w:val="auto"/>
              </w:rPr>
              <w:t>Costs and expenses:</w:t>
            </w: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Operating</w:t>
            </w: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ind w:left="220"/>
              <w:spacing w:after="0" w:line="149" w:lineRule="exact"/>
              <w:rPr>
                <w:sz w:val="20"/>
                <w:szCs w:val="20"/>
                <w:color w:val="auto"/>
              </w:rPr>
            </w:pPr>
            <w:r>
              <w:rPr>
                <w:rFonts w:ascii="Arial" w:cs="Arial" w:eastAsia="Arial" w:hAnsi="Arial"/>
                <w:sz w:val="14"/>
                <w:szCs w:val="14"/>
                <w:color w:val="auto"/>
              </w:rPr>
              <w:t>Selling, general &amp; administrative</w:t>
            </w: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ind w:left="220"/>
              <w:spacing w:after="0" w:line="149" w:lineRule="exact"/>
              <w:rPr>
                <w:sz w:val="20"/>
                <w:szCs w:val="20"/>
                <w:color w:val="auto"/>
              </w:rPr>
            </w:pPr>
            <w:r>
              <w:rPr>
                <w:rFonts w:ascii="Arial" w:cs="Arial" w:eastAsia="Arial" w:hAnsi="Arial"/>
                <w:sz w:val="14"/>
                <w:szCs w:val="14"/>
                <w:color w:val="auto"/>
              </w:rPr>
              <w:t>Restructuring and unusual items</w:t>
            </w: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4"/>
                <w:szCs w:val="14"/>
                <w:color w:val="auto"/>
              </w:rPr>
              <w:t>Income (loss) from operations</w:t>
            </w: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20" w:type="dxa"/>
            <w:vAlign w:val="bottom"/>
            <w:vMerge w:val="continue"/>
          </w:tcPr>
          <w:p>
            <w:pPr>
              <w:spacing w:after="0"/>
              <w:rPr>
                <w:sz w:val="13"/>
                <w:szCs w:val="13"/>
                <w:color w:val="auto"/>
              </w:rPr>
            </w:pPr>
          </w:p>
        </w:tc>
        <w:tc>
          <w:tcPr>
            <w:tcW w:w="3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15</w:t>
            </w:r>
          </w:p>
        </w:tc>
        <w:tc>
          <w:tcPr>
            <w:tcW w:w="400" w:type="dxa"/>
            <w:vAlign w:val="bottom"/>
          </w:tcPr>
          <w:p>
            <w:pPr>
              <w:spacing w:after="0"/>
              <w:rPr>
                <w:sz w:val="13"/>
                <w:szCs w:val="13"/>
                <w:color w:val="auto"/>
              </w:rPr>
            </w:pPr>
          </w:p>
        </w:tc>
        <w:tc>
          <w:tcPr>
            <w:tcW w:w="3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3"/>
                <w:szCs w:val="13"/>
                <w:color w:val="auto"/>
              </w:rPr>
            </w:pPr>
          </w:p>
        </w:tc>
        <w:tc>
          <w:tcPr>
            <w:tcW w:w="100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(2)</w:t>
            </w:r>
          </w:p>
        </w:tc>
        <w:tc>
          <w:tcPr>
            <w:tcW w:w="340" w:type="dxa"/>
            <w:vAlign w:val="bottom"/>
            <w:gridSpan w:val="2"/>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27</w:t>
            </w:r>
          </w:p>
        </w:tc>
        <w:tc>
          <w:tcPr>
            <w:tcW w:w="76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19</w:t>
            </w:r>
          </w:p>
        </w:tc>
        <w:tc>
          <w:tcPr>
            <w:tcW w:w="78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27</w:t>
            </w:r>
          </w:p>
        </w:tc>
        <w:tc>
          <w:tcPr>
            <w:tcW w:w="12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(4)</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42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Three Months Ended June 30, 2011</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94"/>
              </w:rPr>
              <w:t>Six Months Ended June 30, 2011</w:t>
            </w: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Landfill Gas-</w:t>
            </w:r>
          </w:p>
        </w:tc>
        <w:tc>
          <w:tcPr>
            <w:tcW w:w="2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Growth</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Landfill Gas-</w:t>
            </w:r>
          </w:p>
        </w:tc>
        <w:tc>
          <w:tcPr>
            <w:tcW w:w="420" w:type="dxa"/>
            <w:vAlign w:val="bottom"/>
          </w:tcPr>
          <w:p>
            <w:pPr>
              <w:spacing w:after="0"/>
              <w:rPr>
                <w:sz w:val="11"/>
                <w:szCs w:val="11"/>
                <w:color w:val="auto"/>
              </w:rPr>
            </w:pPr>
          </w:p>
        </w:tc>
        <w:tc>
          <w:tcPr>
            <w:tcW w:w="780" w:type="dxa"/>
            <w:vAlign w:val="bottom"/>
          </w:tcPr>
          <w:p>
            <w:pPr>
              <w:ind w:left="260"/>
              <w:spacing w:after="0" w:line="129" w:lineRule="exact"/>
              <w:rPr>
                <w:sz w:val="20"/>
                <w:szCs w:val="20"/>
                <w:color w:val="auto"/>
              </w:rPr>
            </w:pPr>
            <w:r>
              <w:rPr>
                <w:rFonts w:ascii="Arial" w:cs="Arial" w:eastAsia="Arial" w:hAnsi="Arial"/>
                <w:sz w:val="14"/>
                <w:szCs w:val="14"/>
                <w:b w:val="1"/>
                <w:bCs w:val="1"/>
                <w:color w:val="auto"/>
              </w:rPr>
              <w:t>Growth</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4"/>
          </w:tcPr>
          <w:p>
            <w:pPr>
              <w:ind w:left="260"/>
              <w:spacing w:after="0"/>
              <w:rPr>
                <w:sz w:val="20"/>
                <w:szCs w:val="20"/>
                <w:color w:val="auto"/>
              </w:rPr>
            </w:pPr>
            <w:r>
              <w:rPr>
                <w:rFonts w:ascii="Arial" w:cs="Arial" w:eastAsia="Arial" w:hAnsi="Arial"/>
                <w:sz w:val="14"/>
                <w:szCs w:val="14"/>
                <w:b w:val="1"/>
                <w:bCs w:val="1"/>
                <w:color w:val="auto"/>
              </w:rPr>
              <w:t>Wheelabrator</w:t>
            </w:r>
          </w:p>
        </w:tc>
        <w:tc>
          <w:tcPr>
            <w:tcW w:w="2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to-Energy(a)</w:t>
            </w:r>
          </w:p>
        </w:tc>
        <w:tc>
          <w:tcPr>
            <w:tcW w:w="2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Opportunities(b)</w:t>
            </w:r>
          </w:p>
        </w:tc>
        <w:tc>
          <w:tcPr>
            <w:tcW w:w="2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Total</w:t>
            </w:r>
          </w:p>
        </w:tc>
        <w:tc>
          <w:tcPr>
            <w:tcW w:w="4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7"/>
              </w:rPr>
              <w:t>Wheelabrator</w:t>
            </w:r>
          </w:p>
        </w:tc>
        <w:tc>
          <w:tcPr>
            <w:tcW w:w="4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to-Energy(a)</w:t>
            </w:r>
          </w:p>
        </w:tc>
        <w:tc>
          <w:tcPr>
            <w:tcW w:w="4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Opportunities(b)</w:t>
            </w:r>
          </w:p>
        </w:tc>
        <w:tc>
          <w:tcPr>
            <w:tcW w:w="4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40" w:type="dxa"/>
            <w:vAlign w:val="bottom"/>
            <w:tcBorders>
              <w:top w:val="single" w:sz="8" w:color="CCEEFF"/>
            </w:tcBorders>
            <w:gridSpan w:val="2"/>
            <w:shd w:val="clear" w:color="auto" w:fill="CCEEFF"/>
          </w:tcPr>
          <w:p>
            <w:pPr>
              <w:spacing w:after="0" w:line="118" w:lineRule="exact"/>
              <w:rPr>
                <w:sz w:val="20"/>
                <w:szCs w:val="20"/>
                <w:color w:val="auto"/>
              </w:rPr>
            </w:pPr>
            <w:r>
              <w:rPr>
                <w:rFonts w:ascii="Arial" w:cs="Arial" w:eastAsia="Arial" w:hAnsi="Arial"/>
                <w:sz w:val="12"/>
                <w:szCs w:val="12"/>
                <w:color w:val="auto"/>
              </w:rPr>
              <w:t>Operating revenues (including</w:t>
            </w:r>
          </w:p>
        </w:tc>
        <w:tc>
          <w:tcPr>
            <w:tcW w:w="2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intercompany)</w:t>
            </w:r>
          </w:p>
        </w:tc>
        <w:tc>
          <w:tcPr>
            <w:tcW w:w="60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226</w:t>
            </w:r>
          </w:p>
        </w:tc>
        <w:tc>
          <w:tcPr>
            <w:tcW w:w="6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34</w:t>
            </w:r>
          </w:p>
        </w:tc>
        <w:tc>
          <w:tcPr>
            <w:tcW w:w="10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260</w:t>
            </w:r>
          </w:p>
        </w:tc>
        <w:tc>
          <w:tcPr>
            <w:tcW w:w="76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436</w:t>
            </w:r>
          </w:p>
        </w:tc>
        <w:tc>
          <w:tcPr>
            <w:tcW w:w="78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69</w:t>
            </w:r>
          </w:p>
        </w:tc>
        <w:tc>
          <w:tcPr>
            <w:tcW w:w="12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505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60" w:type="dxa"/>
            <w:vAlign w:val="bottom"/>
            <w:gridSpan w:val="3"/>
          </w:tcPr>
          <w:p>
            <w:pPr>
              <w:spacing w:after="0" w:line="155" w:lineRule="exact"/>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142</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w:t>
            </w: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Selling, general &amp; administrative</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184</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21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207</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381</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44</w:t>
            </w: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w w:val="94"/>
              </w:rPr>
              <w:t>428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(loss) from operations</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3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2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460" w:hanging="452"/>
        <w:spacing w:after="0" w:line="256"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landfill gas-to-energy business focuses on generating a renewable energy source from the methane that is produced as waste decomposes. The operating results include the revenues and expenses of landfill gas-to-energy plants that we own and operate, as well as revenues generated from the sale of landfill gas to third-party owner/operators. The operating results of our landfill gas-to-energy business are included within our geographic reportable segments and “Other.”</w:t>
      </w:r>
    </w:p>
    <w:p>
      <w:pPr>
        <w:spacing w:after="0" w:line="35"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businesses and entities we have acquired or invested in through our Organic Growth Group’s business development efforts. These businesses include a landfill gas-to-LNG facility; landfill gas-to-diesel fuels technologies; organic waste streams-to-fuels technologies; and other engineered fuels technologies. The operating results of our Growth Opportunities are included within “Other” in our assessment of our income from operations by segment.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interest expense was $121 million and $243 million during the three and six months ended June 30, 2012, respectively, compared with $119 million and $240 million during the three and six months ended June 30, 2011, respectively. Our interest expense has increased only slightly year-over-year in spite of the significant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increase in our average debt balances. This is primarily attributable to interest expense reductions resulting from (i) a decrease in our weighted average borrowing rate that has been achieved by issuing new debt at much lower fixed interest rates than debt repaid upon scheduled maturities; and (ii) a decrease in the costs attributable to our revolving credit facility, which was refinanced in May 2011.</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Our “Equity in net losses of unconsolidated entities” is primarily related to our noncontrolling interests in two limited liability companies established to invest in and manage low-income housing properties and a refined coal facility, as well as (i) noncontrolling investments made to support our strategic initiatives and (ii) unconsolidated trusts for final capping, closure, post-closure or environmental obligations. The tax impacts realized as a result of our investments in low-income housing properties and the refined coal facility are discussed below in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Refer to Notes 5 and 13 to the Condensed Consolidated Financial Statements for more information related to these investments.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recorded a provision for income taxes of $115 million during the second quarter of 2012, representing an effective income tax rate of 34.3%, compared with a provision for income taxes of $131 million during the second quarter of 2011, representing an effective income tax rate of 34.5%. Our effective income tax rate for the first half of 2012 was 33.6% compared with 35.1% for the first half of 2011.</w:t>
      </w:r>
    </w:p>
    <w:p>
      <w:pPr>
        <w:spacing w:after="0" w:line="5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investments in low-income housing properties and the refined coal facility reduced our provision for income taxes by $9 million and $5 million, respectively, for the three months ended June 30, 2012 and by $16 million and $8 million, respectively, for the six months ended June 30, 2012. These investments reduced our provision for income taxes by $11 million and $4 million, respectively, for the three months ended June 30, 2011 and by $18 million and $7 million, respectively, for the six months ended June 30, 2011. Refer to Note 5 to the Condensed Consolidated Financial Statements for more information related to these investments.</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acquisition of Oakleaf did not materially impact our provision for income taxes or the effective income tax rate for the three or six months ended June 30, 2012. We did receive, as a part of the acquisition, income tax attributes comprised primarily of federal and state net operating losses. These tax attributes, when realized, will not affect our overall provision for income taxes, however, they will have a favorable impact on our cash taxes, although we do not anticipate the impact to be material to our overall cash flow from operations.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Net income attributable to noncontrolling interests was $11 million and $23 million for the three and six months ended June 30, 2012 and $13 million and $23 million for the three and six months ended June 30, 2011. These amounts are principally related to third parties’ equity interests in two limited liability companies that own three waste-to-energy facilities operated by our Wheelabrator Group. Refer to Note 13 to the Condensed Consolidated Financial Statements for information related to the consolidation of these variable interest entities.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is a summary of our cash and cash equivalents, restricted trust and escrow accounts and debt balances as of June 30, 2012 and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2011 (dollars in millions):</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8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2012</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Tax-exempt bond funds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service funds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20" w:type="dxa"/>
            <w:vAlign w:val="bottom"/>
          </w:tcPr>
          <w:p>
            <w:pPr>
              <w:ind w:left="2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restricted trust and escrow accounts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Debt: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220"/>
              <w:spacing w:after="0"/>
              <w:rPr>
                <w:sz w:val="20"/>
                <w:szCs w:val="20"/>
                <w:color w:val="auto"/>
              </w:rPr>
            </w:pPr>
            <w:r>
              <w:rPr>
                <w:rFonts w:ascii="Arial" w:cs="Arial" w:eastAsia="Arial" w:hAnsi="Arial"/>
                <w:sz w:val="18"/>
                <w:szCs w:val="18"/>
                <w:color w:val="auto"/>
              </w:rPr>
              <w:t>Long-term portion</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8,973</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debt</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9,826</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Increase in carrying value of debt due to hedge accounting for interest rate swaps</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As of June 30, 2012, we had $1,004 million of debt maturing within the next twelve months, including $300 million of borrowings outstanding under the revolving credit facility, U.S. $112 million of advances outstanding under our Canadian credit facility, $400 million of 6.375% senior notes that mature in November 2012 and $143 million of tax-exempt bonds. We have classified $151 million of these borrowings as long-term as of June 30, 2012 based on our intent and ability to refinance these borrowings on a long-term basis. We also had $550 million of tax-exempt borrowings subject to repricing within the next twelve months, which were classified as long-term based on our intent and ability to fund any failed remarketings with available capacity under our revolving credit facility.</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six-month period ended June 30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left="240"/>
              <w:spacing w:after="0"/>
              <w:rPr>
                <w:sz w:val="20"/>
                <w:szCs w:val="20"/>
                <w:color w:val="auto"/>
              </w:rPr>
            </w:pPr>
            <w:r>
              <w:rPr>
                <w:rFonts w:ascii="Arial" w:cs="Arial" w:eastAsia="Arial" w:hAnsi="Arial"/>
                <w:sz w:val="14"/>
                <w:szCs w:val="14"/>
                <w:b w:val="1"/>
                <w:bCs w:val="1"/>
                <w:color w:val="auto"/>
                <w:w w:val="88"/>
              </w:rPr>
              <w:t>Six Months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63"/>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83"/>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2012</w:t>
            </w: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1,144</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 We generated $1,144 million of cash flows from operating activities during the six-month period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2012, compared with $1,078 million during the six-month period ended June 30, 2011. The $66 million increase year-over-year was primarily driven by the items described below:</w:t>
      </w:r>
    </w:p>
    <w:p>
      <w:pPr>
        <w:spacing w:after="0" w:line="59" w:lineRule="exact"/>
        <w:rPr>
          <w:sz w:val="20"/>
          <w:szCs w:val="20"/>
          <w:color w:val="auto"/>
        </w:rPr>
      </w:pPr>
    </w:p>
    <w:p>
      <w:pPr>
        <w:jc w:val="both"/>
        <w:ind w:left="700" w:hanging="246"/>
        <w:spacing w:after="0" w:line="298"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interest rate swaps </w:t>
      </w:r>
      <w:r>
        <w:rPr>
          <w:rFonts w:ascii="Arial" w:cs="Arial" w:eastAsia="Arial" w:hAnsi="Arial"/>
          <w:sz w:val="16"/>
          <w:szCs w:val="16"/>
          <w:color w:val="auto"/>
        </w:rPr>
        <w:t>— In April 2012, we elected to terminate our $1 billion interest rate swap portfolio associated with senior notes that</w:t>
      </w:r>
      <w:r>
        <w:rPr>
          <w:rFonts w:ascii="Arial" w:cs="Arial" w:eastAsia="Arial" w:hAnsi="Arial"/>
          <w:sz w:val="16"/>
          <w:szCs w:val="16"/>
          <w:i w:val="1"/>
          <w:iCs w:val="1"/>
          <w:color w:val="auto"/>
        </w:rPr>
        <w:t xml:space="preserve"> </w:t>
      </w:r>
      <w:r>
        <w:rPr>
          <w:rFonts w:ascii="Arial" w:cs="Arial" w:eastAsia="Arial" w:hAnsi="Arial"/>
          <w:sz w:val="16"/>
          <w:szCs w:val="16"/>
          <w:color w:val="auto"/>
        </w:rPr>
        <w:t>were scheduled to mature from November 2012 through March 2018. Upon termination of the swaps, we received $72 million in cash for their fair value. The cash proceeds received from the termination of interest rate swap agreements have been classified as a change in “Other assets” within “Net cash provided by operating activities” in the Consolidated Statement of Cash Flows.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56" w:name="page57"/>
    <w:bookmarkEnd w:id="56"/>
    <w:p>
      <w:pPr>
        <w:jc w:val="both"/>
        <w:ind w:left="700" w:hanging="246"/>
        <w:spacing w:after="0" w:line="256"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Decrease in earnings </w:t>
      </w:r>
      <w:r>
        <w:rPr>
          <w:rFonts w:ascii="Arial" w:cs="Arial" w:eastAsia="Arial" w:hAnsi="Arial"/>
          <w:sz w:val="18"/>
          <w:szCs w:val="18"/>
          <w:color w:val="auto"/>
        </w:rPr>
        <w:t>— Our income from operations, excluding depreciation and amortization, decreased by $44 million, on a year-over-year basis.</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the earnings decline was driven in part by non-cash charges in 2012 for impairments of $34 million, for restructuring costs of $7 million and for a partial withdrawal from an underfunded multiemployer pension fund of $10 million, offset partially by a reduction of $14 million in non-cash charges attributable to equity-based compensation expense.</w:t>
      </w:r>
    </w:p>
    <w:p>
      <w:pPr>
        <w:spacing w:after="0" w:line="62" w:lineRule="exact"/>
        <w:rPr>
          <w:rFonts w:ascii="Arial" w:cs="Arial" w:eastAsia="Arial" w:hAnsi="Arial"/>
          <w:sz w:val="18"/>
          <w:szCs w:val="18"/>
          <w:color w:val="auto"/>
        </w:rPr>
      </w:pPr>
    </w:p>
    <w:p>
      <w:pPr>
        <w:jc w:val="both"/>
        <w:ind w:left="700" w:hanging="246"/>
        <w:spacing w:after="0" w:line="255"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Decreased income tax payments </w:t>
      </w:r>
      <w:r>
        <w:rPr>
          <w:rFonts w:ascii="Arial" w:cs="Arial" w:eastAsia="Arial" w:hAnsi="Arial"/>
          <w:sz w:val="18"/>
          <w:szCs w:val="18"/>
          <w:color w:val="auto"/>
        </w:rPr>
        <w:t>— Cash paid for income taxes, net of excess tax benefits associated with equity-based transactions, was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$33 million lower on a year-over-year basis; however, we currently expect our full year cash tax payments to increase on a year-over-year basis as a result of the decrease in the bonus depreciation allowance from a deduction of 100% of qualifying capital expenditures for property placed in service in 2011 to a deduction of 50% of qualifying capital expenditures for property placed in service in 2012. See </w:t>
      </w:r>
      <w:r>
        <w:rPr>
          <w:rFonts w:ascii="Arial" w:cs="Arial" w:eastAsia="Arial" w:hAnsi="Arial"/>
          <w:sz w:val="18"/>
          <w:szCs w:val="18"/>
          <w:i w:val="1"/>
          <w:iCs w:val="1"/>
          <w:color w:val="auto"/>
        </w:rPr>
        <w:t>Liquidity Impacts of Income Tax Items</w:t>
      </w:r>
      <w:r>
        <w:rPr>
          <w:rFonts w:ascii="Arial" w:cs="Arial" w:eastAsia="Arial" w:hAnsi="Arial"/>
          <w:sz w:val="18"/>
          <w:szCs w:val="18"/>
          <w:color w:val="auto"/>
        </w:rPr>
        <w:t xml:space="preserve"> below for additional information.</w:t>
      </w:r>
    </w:p>
    <w:p>
      <w:pPr>
        <w:spacing w:after="0" w:line="61" w:lineRule="exact"/>
        <w:rPr>
          <w:rFonts w:ascii="Arial" w:cs="Arial" w:eastAsia="Arial" w:hAnsi="Arial"/>
          <w:sz w:val="18"/>
          <w:szCs w:val="18"/>
          <w:color w:val="auto"/>
        </w:rPr>
      </w:pPr>
    </w:p>
    <w:p>
      <w:pPr>
        <w:jc w:val="both"/>
        <w:ind w:left="700" w:hanging="246"/>
        <w:spacing w:after="0" w:line="256"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Changes in assets and liabilities, net of effects from business acquisitions and divestitures — </w:t>
      </w:r>
      <w:r>
        <w:rPr>
          <w:rFonts w:ascii="Arial" w:cs="Arial" w:eastAsia="Arial" w:hAnsi="Arial"/>
          <w:sz w:val="18"/>
          <w:szCs w:val="18"/>
          <w:color w:val="auto"/>
        </w:rPr>
        <w:t>Our cash flow from operations was unfavorably impacted</w:t>
      </w:r>
      <w:r>
        <w:rPr>
          <w:rFonts w:ascii="Arial" w:cs="Arial" w:eastAsia="Arial" w:hAnsi="Arial"/>
          <w:sz w:val="18"/>
          <w:szCs w:val="18"/>
          <w:i w:val="1"/>
          <w:iCs w:val="1"/>
          <w:color w:val="auto"/>
        </w:rPr>
        <w:t xml:space="preserve"> </w:t>
      </w:r>
      <w:r>
        <w:rPr>
          <w:rFonts w:ascii="Arial" w:cs="Arial" w:eastAsia="Arial" w:hAnsi="Arial"/>
          <w:sz w:val="18"/>
          <w:szCs w:val="18"/>
          <w:color w:val="auto"/>
        </w:rPr>
        <w:t>in 2012 by changes in our working capital accounts. Although our working capital changes may vary from year to year, they are typically driven by changes in accounts receivable, which are affected by both revenue changes and timing of payments received, and accounts payable changes, which are affected by both cost changes and timing of payments.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The most significant items included in our investing cash flows for the six-month period ended June 30,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2011 are summarized below:</w:t>
      </w:r>
    </w:p>
    <w:p>
      <w:pPr>
        <w:spacing w:after="0" w:line="51" w:lineRule="exact"/>
        <w:rPr>
          <w:sz w:val="20"/>
          <w:szCs w:val="20"/>
          <w:color w:val="auto"/>
        </w:rPr>
      </w:pPr>
    </w:p>
    <w:p>
      <w:pPr>
        <w:jc w:val="both"/>
        <w:ind w:left="700" w:hanging="246"/>
        <w:spacing w:after="0" w:line="294"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 We used $730 million during the first half of 2012 for capital expenditures compared with $596 million in the first half of 2011,</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$134 million. The increase in capital expenditures in 2012 is a result of our increased spending on fueling infrastructure and growth initiatives. The comparison was also affected by timing differences associated with cash payments for the previous years’ fourth quarter capital spending. Approximately $244 million of our fourth quarter 2011 spending was paid in cash in the first quarter of 2012 compared with approximately $206 million of our fourth quarter 2010 spending that was paid in the first quarter of 2011.</w:t>
      </w:r>
    </w:p>
    <w:p>
      <w:pPr>
        <w:spacing w:after="0" w:line="34" w:lineRule="exact"/>
        <w:rPr>
          <w:rFonts w:ascii="Arial" w:cs="Arial" w:eastAsia="Arial" w:hAnsi="Arial"/>
          <w:sz w:val="16"/>
          <w:szCs w:val="16"/>
          <w:color w:val="auto"/>
        </w:rPr>
      </w:pPr>
    </w:p>
    <w:p>
      <w:pPr>
        <w:jc w:val="both"/>
        <w:ind w:left="700" w:hanging="246"/>
        <w:spacing w:after="0" w:line="256"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Our spending on acquisitions was $154 million in the first half of 2012 compared with $157 million in the first half of 2011. In 2012,</w:t>
      </w:r>
      <w:r>
        <w:rPr>
          <w:rFonts w:ascii="Arial" w:cs="Arial" w:eastAsia="Arial" w:hAnsi="Arial"/>
          <w:sz w:val="18"/>
          <w:szCs w:val="18"/>
          <w:i w:val="1"/>
          <w:iCs w:val="1"/>
          <w:color w:val="auto"/>
        </w:rPr>
        <w:t xml:space="preserve"> </w:t>
      </w:r>
      <w:r>
        <w:rPr>
          <w:rFonts w:ascii="Arial" w:cs="Arial" w:eastAsia="Arial" w:hAnsi="Arial"/>
          <w:sz w:val="18"/>
          <w:szCs w:val="18"/>
          <w:color w:val="auto"/>
        </w:rPr>
        <w:t>our acquisitions consisted primarily of interests in oil and gas producing properties through two transactions, for which we paid $94 million. The remainder of our 2012 acquisitions related to collection and recycling operations. In 2011, our acquisitions consisted primarily of collection and recycling operations as well as interests in oil and gas producing properties.</w:t>
      </w:r>
    </w:p>
    <w:p>
      <w:pPr>
        <w:spacing w:after="0" w:line="62" w:lineRule="exact"/>
        <w:rPr>
          <w:rFonts w:ascii="Arial" w:cs="Arial" w:eastAsia="Arial" w:hAnsi="Arial"/>
          <w:sz w:val="18"/>
          <w:szCs w:val="18"/>
          <w:color w:val="auto"/>
        </w:rPr>
      </w:pPr>
    </w:p>
    <w:p>
      <w:pPr>
        <w:jc w:val="both"/>
        <w:ind w:left="700" w:hanging="246"/>
        <w:spacing w:after="0" w:line="298"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Investments in unconsolidated entities </w:t>
      </w:r>
      <w:r>
        <w:rPr>
          <w:rFonts w:ascii="Arial" w:cs="Arial" w:eastAsia="Arial" w:hAnsi="Arial"/>
          <w:sz w:val="16"/>
          <w:szCs w:val="16"/>
          <w:color w:val="auto"/>
        </w:rPr>
        <w:t>— We made $40 million and $91 million of cash investments in unconsolidated entities during the first half of</w:t>
      </w:r>
      <w:r>
        <w:rPr>
          <w:rFonts w:ascii="Arial" w:cs="Arial" w:eastAsia="Arial" w:hAnsi="Arial"/>
          <w:sz w:val="16"/>
          <w:szCs w:val="16"/>
          <w:i w:val="1"/>
          <w:iCs w:val="1"/>
          <w:color w:val="auto"/>
        </w:rPr>
        <w:t xml:space="preserve"> </w:t>
      </w:r>
      <w:r>
        <w:rPr>
          <w:rFonts w:ascii="Arial" w:cs="Arial" w:eastAsia="Arial" w:hAnsi="Arial"/>
          <w:sz w:val="16"/>
          <w:szCs w:val="16"/>
          <w:color w:val="auto"/>
        </w:rPr>
        <w:t>2012 and 2011, respectively. The investments in 2012 were related to furthering our goal of growing into new markets, while the investments made in 2011 were primarily related to a $48 million payment made to acquire a noncontrolling interest in a limited liability company that provides us with tax credits and $43 million of investments in green technologies related to our growth initiatives.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57" w:name="page58"/>
    <w:bookmarkEnd w:id="57"/>
    <w:p>
      <w:pPr>
        <w:jc w:val="both"/>
        <w:ind w:right="2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Net Cash Used in Financing Activities </w:t>
      </w:r>
      <w:r>
        <w:rPr>
          <w:rFonts w:ascii="Arial" w:cs="Arial" w:eastAsia="Arial" w:hAnsi="Arial"/>
          <w:sz w:val="18"/>
          <w:szCs w:val="18"/>
          <w:color w:val="auto"/>
        </w:rPr>
        <w:t>— During the six months ended June 30, 2012, net cash used in financing was $262 million compared with $425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the comparable prior year period. The most significant items affecting the comparison of our financing cash flows for the six-month periods ended June 30, 2012 and 2011 are summarized below:</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Ÿ  </w:t>
      </w:r>
      <w:r>
        <w:rPr>
          <w:rFonts w:ascii="Arial" w:cs="Arial" w:eastAsia="Arial" w:hAnsi="Arial"/>
          <w:sz w:val="16"/>
          <w:szCs w:val="16"/>
          <w:i w:val="1"/>
          <w:iCs w:val="1"/>
          <w:color w:val="auto"/>
        </w:rPr>
        <w:t>Debt borrowings and repayments</w:t>
      </w:r>
      <w:r>
        <w:rPr>
          <w:rFonts w:ascii="Arial" w:cs="Arial" w:eastAsia="Arial" w:hAnsi="Arial"/>
          <w:sz w:val="16"/>
          <w:szCs w:val="16"/>
          <w:color w:val="auto"/>
        </w:rPr>
        <w:t xml:space="preserve"> — The following summarizes our cash borrowings and debt repayments during each period (in millions):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jc w:val="center"/>
              <w:ind w:left="154"/>
              <w:spacing w:after="0"/>
              <w:rPr>
                <w:sz w:val="20"/>
                <w:szCs w:val="20"/>
                <w:color w:val="auto"/>
              </w:rPr>
            </w:pPr>
            <w:r>
              <w:rPr>
                <w:rFonts w:ascii="Arial" w:cs="Arial" w:eastAsia="Arial" w:hAnsi="Arial"/>
                <w:sz w:val="14"/>
                <w:szCs w:val="14"/>
                <w:b w:val="1"/>
                <w:bCs w:val="1"/>
                <w:color w:val="auto"/>
                <w:w w:val="88"/>
              </w:rPr>
              <w:t>Six Months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9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Revolving credit facility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150</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Canadian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leases and other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312</w:t>
            </w: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Canadian credit facility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5"/>
              </w:rPr>
              <w:t>(142)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Tax exempt bonds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exempt project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Capital leases and other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(271)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(314)</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Net borrowings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 to Note 3 to the Condensed Consolidated Financial Statements for additional information related to our debt borrowings and repayments.</w:t>
      </w:r>
    </w:p>
    <w:p>
      <w:pPr>
        <w:spacing w:after="0" w:line="113" w:lineRule="exact"/>
        <w:rPr>
          <w:sz w:val="20"/>
          <w:szCs w:val="20"/>
          <w:color w:val="auto"/>
        </w:rPr>
      </w:pPr>
    </w:p>
    <w:p>
      <w:pPr>
        <w:jc w:val="both"/>
        <w:ind w:left="700" w:hanging="246"/>
        <w:spacing w:after="0" w:line="306"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Dividend payments and share repurchases — </w:t>
      </w:r>
      <w:r>
        <w:rPr>
          <w:rFonts w:ascii="Arial" w:cs="Arial" w:eastAsia="Arial" w:hAnsi="Arial"/>
          <w:sz w:val="16"/>
          <w:szCs w:val="16"/>
          <w:color w:val="auto"/>
        </w:rPr>
        <w:t>We paid $329 million in cash dividends in the first half of 2012 compared with $323 million in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half of 2011. The increase in dividend payments is due to our quarterly per share dividends declared increasing from $0.34 in 2011 to $0.355 in 2012, partially offset by a reduction in the number of outstanding shares as a result of our share repurchase program in 2011.</w:t>
      </w:r>
    </w:p>
    <w:p>
      <w:pPr>
        <w:spacing w:after="0" w:line="25"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repurchased 4.7 million shares of our common stock for $176 million during the first half of 2011, of which approximately $8 million was paid in July 2011. There were no share repurchases during the first half of 2012.</w:t>
      </w:r>
    </w:p>
    <w:p>
      <w:pPr>
        <w:spacing w:after="0" w:line="50" w:lineRule="exact"/>
        <w:rPr>
          <w:rFonts w:ascii="Arial" w:cs="Arial" w:eastAsia="Arial" w:hAnsi="Arial"/>
          <w:sz w:val="18"/>
          <w:szCs w:val="18"/>
          <w:color w:val="auto"/>
        </w:rPr>
      </w:pPr>
    </w:p>
    <w:p>
      <w:pPr>
        <w:jc w:val="both"/>
        <w:ind w:left="700" w:hanging="246"/>
        <w:spacing w:after="0" w:line="256"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Net cash provided by our other financing activities was $9 million during the first six months of 2012 compared with net cash used of</w:t>
      </w:r>
      <w:r>
        <w:rPr>
          <w:rFonts w:ascii="Arial" w:cs="Arial" w:eastAsia="Arial" w:hAnsi="Arial"/>
          <w:sz w:val="18"/>
          <w:szCs w:val="18"/>
          <w:i w:val="1"/>
          <w:iCs w:val="1"/>
          <w:color w:val="auto"/>
        </w:rPr>
        <w:t xml:space="preserve"> </w:t>
      </w:r>
      <w:r>
        <w:rPr>
          <w:rFonts w:ascii="Arial" w:cs="Arial" w:eastAsia="Arial" w:hAnsi="Arial"/>
          <w:sz w:val="18"/>
          <w:szCs w:val="18"/>
          <w:color w:val="auto"/>
        </w:rPr>
        <w:t>$44 million during the first six months of 2011 (including $7 million of financing costs paid to amend and restate our $2.0 billion revolving credit facility). The remaining use of cash in 2011 and the source of cash in 2012 were driven by changes in our accrued liabilities for checks written in excess of related cash balances due to the timing of cash deposits or payments.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Impacts of Income Tax Items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 xml:space="preserve">Recent Legislation </w:t>
      </w:r>
      <w:r>
        <w:rPr>
          <w:rFonts w:ascii="Arial" w:cs="Arial" w:eastAsia="Arial" w:hAnsi="Arial"/>
          <w:sz w:val="16"/>
          <w:szCs w:val="16"/>
          <w:color w:val="auto"/>
        </w:rPr>
        <w:t>— The Tax Relief, Unemployment Insurance Reauthorization, and Job Creation Act, signed into law on December 17, 2010,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an extension of the bonus depreciation allowance through the end of 2012 and increased the amount of qualifying capital expenditures that can be depreciated immediately from 50% to 100%. The 100% depreciation deduction applied to qualifying property placed in service from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8, 2010 through December 31, 2011. The depreciation deduction for qualifying property placed in service in 2012 has been reduced to 50%. The acceleration of deductions on capital expenditures resulting from the bonus depreciation provisions has no impact on our effective tax rates, but reduces our cash taxes in the periods in which the deductions are taken.</w:t>
      </w:r>
    </w:p>
    <w:p>
      <w:pPr>
        <w:spacing w:after="0" w:line="5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Subject to the finalization of our 2011 income tax return, we estimate that the acceleration of depreciation deductions related to qualifying property additions in 2011 decreased our full year 2011 cash taxes by approximately $190 million and, based on our current forecast of 2012 capital expenditures, we estimate a reduction in our full year 2012 cash taxes of approximately $90 million related to qualifying property additions in 2012. However, taking accelerated deductions results in increased cash taxes in subsequent periods when the accelerated deductions for these capital expenditures would have otherwise been taken. On a net basis, after taking into account the effect of all applicable years’ bonus depreciation programs, we estimate that our full year 2011 cash taxes benefitted by approximately $139 million and that the deductions taken in previous years from acceleration programs will more than offset the $90 million benefit expected to be received from accelerated depreciation deductions in 2012.</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as a result of the application of the depreciation safe harbor provisions of the Income Tax Regulations, our estimated income tax payments in 2012 are expected to be lower in the first nine months of the year as compared with 2011. However, we currently expect our full year tax payments to be approximately $180 million higher than the tax payments made in 2011.</w:t>
      </w:r>
    </w:p>
    <w:p>
      <w:pPr>
        <w:spacing w:after="0" w:line="5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Uncertain Tax Positions </w:t>
      </w:r>
      <w:r>
        <w:rPr>
          <w:rFonts w:ascii="Arial" w:cs="Arial" w:eastAsia="Arial" w:hAnsi="Arial"/>
          <w:sz w:val="16"/>
          <w:szCs w:val="16"/>
          <w:color w:val="auto"/>
        </w:rPr>
        <w:t>— We have liabilities associated with unrecognized tax benefits and related interest. These liabilities are primarily included as a</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long-term “Other liabilities” in our Condensed Consolidated Balance Sheet because the Company generally does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 We anticipate that approximately $7 million of liabilities for uncertain tax positions, including accrued interest, and $3 million of related deferred tax assets may be reversed within the next twelve months. The anticipated reversals are related to state tax items, none of which are material, and are expected to result from audit settlements or the expiration of the applicable statute of limitations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13 to the Condensed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7 to the Condensed Consolidated Financial Statements. These arrangements have not materially affected our financial position, results of operations or liquidity during the six months ended June 30, 2012, nor are they expected to have a material impact on our future financial position, results of operations or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operating revenues normally tend to be somewhat higher in the summer months, primarily due to the traditional seasonal increase in the volume of construction and demolition waste. Historically, the volumes of industrial and residential waste in certain regions where we operate have tended to increase during the summer months. Our second and third quarter revenues and results of operations typically reflect these seasonal trends.</w:t>
      </w:r>
    </w:p>
    <w:p>
      <w:pPr>
        <w:spacing w:after="0" w:line="2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Additionally, certain destructive weather conditions that tend to occur during the second half of the year, such as the hurricanes that most often impact our Southern Group, can actually increase our revenues in the areas affected. While weather-related and other “one-time” occurrences can boost revenues through additional work,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Inflation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While inflationary increases in costs, including the cost of diesel fuel, have affected our operating margins in recent years,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4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Information about market risks as of June 30, 2012, does not differ materially from that discussed under Item 7A in our Annual Report on Form 10-K for the year ended December 31, 2011.</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June 30, 2012 (the end of the period covered by this Quarterly Report on Form 10-Q).</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Management, together with our principal executive and financial officers, evaluated the changes in our internal control over financial reporting during the quarter ended June 30, 2012. We determined that there were no changes in our internal control over financial reporting during the quarter ended June 30, 2012 that have materially affected, or are reasonably likely to materially affect, our internal control over financial reporting.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“Environmental Matters” and “Litigation” sections of Note 7,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Condensed Consolidated Financial Statements.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There have been no material changes from risk factors previously disclosed in our Annual Report on Form 10-K for the year ended December 31, 2011 in response to Item 1A to Part I of Form 10-K.</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28"/>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700" w:type="dxa"/>
            <w:vAlign w:val="bottom"/>
            <w:gridSpan w:val="4"/>
          </w:tcPr>
          <w:p>
            <w:pPr>
              <w:ind w:left="200"/>
              <w:spacing w:after="0"/>
              <w:rPr>
                <w:sz w:val="20"/>
                <w:szCs w:val="20"/>
                <w:color w:val="auto"/>
              </w:rPr>
            </w:pPr>
            <w:r>
              <w:rPr>
                <w:rFonts w:ascii="Arial" w:cs="Arial" w:eastAsia="Arial" w:hAnsi="Arial"/>
                <w:sz w:val="18"/>
                <w:szCs w:val="18"/>
                <w:b w:val="1"/>
                <w:bCs w:val="1"/>
                <w:i w:val="1"/>
                <w:iCs w:val="1"/>
                <w:color w:val="auto"/>
              </w:rPr>
              <w:t>Exhibits.</w:t>
            </w:r>
          </w:p>
        </w:tc>
      </w:tr>
      <w:tr>
        <w:trPr>
          <w:trHeight w:val="219"/>
        </w:trPr>
        <w:tc>
          <w:tcPr>
            <w:tcW w:w="2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6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168"/>
        </w:trPr>
        <w:tc>
          <w:tcPr>
            <w:tcW w:w="26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6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660" w:type="dxa"/>
            <w:vAlign w:val="bottom"/>
          </w:tcPr>
          <w:p>
            <w:pPr>
              <w:spacing w:after="0"/>
              <w:rPr>
                <w:sz w:val="14"/>
                <w:szCs w:val="14"/>
                <w:color w:val="auto"/>
              </w:rPr>
            </w:pPr>
          </w:p>
        </w:tc>
      </w:tr>
      <w:tr>
        <w:trPr>
          <w:trHeight w:val="208"/>
        </w:trPr>
        <w:tc>
          <w:tcPr>
            <w:tcW w:w="260" w:type="dxa"/>
            <w:vAlign w:val="bottom"/>
          </w:tcPr>
          <w:p>
            <w:pPr>
              <w:spacing w:after="0"/>
              <w:rPr>
                <w:sz w:val="20"/>
                <w:szCs w:val="20"/>
                <w:color w:val="auto"/>
              </w:rPr>
            </w:pPr>
            <w:r>
              <w:rPr>
                <w:rFonts w:ascii="Arial" w:cs="Arial" w:eastAsia="Arial" w:hAnsi="Arial"/>
                <w:sz w:val="18"/>
                <w:szCs w:val="18"/>
                <w:color w:val="auto"/>
                <w:w w:val="95"/>
              </w:rPr>
              <w:t>3.2</w:t>
            </w:r>
          </w:p>
        </w:tc>
        <w:tc>
          <w:tcPr>
            <w:tcW w:w="460" w:type="dxa"/>
            <w:vAlign w:val="bottom"/>
          </w:tcPr>
          <w:p>
            <w:pPr>
              <w:spacing w:after="0"/>
              <w:rPr>
                <w:sz w:val="18"/>
                <w:szCs w:val="18"/>
                <w:color w:val="auto"/>
              </w:rPr>
            </w:pPr>
          </w:p>
        </w:tc>
        <w:tc>
          <w:tcPr>
            <w:tcW w:w="6040" w:type="dxa"/>
            <w:vAlign w:val="bottom"/>
            <w:gridSpan w:val="3"/>
          </w:tcPr>
          <w:p>
            <w:pPr>
              <w:ind w:left="360"/>
              <w:spacing w:after="0"/>
              <w:rPr>
                <w:sz w:val="20"/>
                <w:szCs w:val="20"/>
                <w:color w:val="auto"/>
              </w:rPr>
            </w:pPr>
            <w:r>
              <w:rPr>
                <w:rFonts w:ascii="Arial" w:cs="Arial" w:eastAsia="Arial" w:hAnsi="Arial"/>
                <w:sz w:val="18"/>
                <w:szCs w:val="18"/>
                <w:color w:val="auto"/>
                <w:w w:val="91"/>
              </w:rPr>
              <w:t>—  Amended and Restated By-laws of Waste Management, Inc. [incorporated</w:t>
            </w:r>
          </w:p>
        </w:tc>
        <w:tc>
          <w:tcPr>
            <w:tcW w:w="4660" w:type="dxa"/>
            <w:vAlign w:val="bottom"/>
          </w:tcPr>
          <w:p>
            <w:pPr>
              <w:ind w:left="20"/>
              <w:spacing w:after="0"/>
              <w:rPr>
                <w:sz w:val="20"/>
                <w:szCs w:val="20"/>
                <w:color w:val="auto"/>
              </w:rPr>
            </w:pPr>
            <w:r>
              <w:rPr>
                <w:rFonts w:ascii="Arial" w:cs="Arial" w:eastAsia="Arial" w:hAnsi="Arial"/>
                <w:sz w:val="18"/>
                <w:szCs w:val="18"/>
                <w:color w:val="auto"/>
                <w:w w:val="93"/>
              </w:rPr>
              <w:t>by reference to Exhibit 3.2 to Current Report on Form 8-K filed</w:t>
            </w:r>
          </w:p>
        </w:tc>
      </w:tr>
      <w:tr>
        <w:trPr>
          <w:trHeight w:val="222"/>
        </w:trPr>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July 26, 2012].</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w w:val="92"/>
              </w:rPr>
              <w:t>Resignation Agreement between the Company and Steven C. Preston dated July 5, 2012 and effective August 1, 2012 [incorporated by</w:t>
            </w:r>
          </w:p>
        </w:tc>
      </w:tr>
      <w:tr>
        <w:trPr>
          <w:trHeight w:val="222"/>
        </w:trPr>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reference to Exhibit 10.1 to Current Report on Form 8-K filed July 5, 2012].</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10.2</w:t>
            </w:r>
          </w:p>
        </w:tc>
        <w:tc>
          <w:tcPr>
            <w:tcW w:w="10700" w:type="dxa"/>
            <w:vAlign w:val="bottom"/>
            <w:gridSpan w:val="4"/>
          </w:tcPr>
          <w:p>
            <w:pPr>
              <w:ind w:left="360"/>
              <w:spacing w:after="0"/>
              <w:rPr>
                <w:sz w:val="20"/>
                <w:szCs w:val="20"/>
                <w:color w:val="auto"/>
              </w:rPr>
            </w:pPr>
            <w:r>
              <w:rPr>
                <w:rFonts w:ascii="Arial" w:cs="Arial" w:eastAsia="Arial" w:hAnsi="Arial"/>
                <w:sz w:val="18"/>
                <w:szCs w:val="18"/>
                <w:color w:val="auto"/>
                <w:w w:val="97"/>
              </w:rPr>
              <w:t>—  Form of 2012 RSU Award Agreement [incorporated by reference to Exhibit 10.2 to Current Report on Form 8-K filed July 5, 2012].</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10.3</w:t>
            </w:r>
          </w:p>
        </w:tc>
        <w:tc>
          <w:tcPr>
            <w:tcW w:w="10700" w:type="dxa"/>
            <w:vAlign w:val="bottom"/>
            <w:gridSpan w:val="4"/>
          </w:tcPr>
          <w:p>
            <w:pPr>
              <w:ind w:left="360"/>
              <w:spacing w:after="0"/>
              <w:rPr>
                <w:sz w:val="20"/>
                <w:szCs w:val="20"/>
                <w:color w:val="auto"/>
              </w:rPr>
            </w:pPr>
            <w:r>
              <w:rPr>
                <w:rFonts w:ascii="Arial" w:cs="Arial" w:eastAsia="Arial" w:hAnsi="Arial"/>
                <w:sz w:val="18"/>
                <w:szCs w:val="18"/>
                <w:color w:val="auto"/>
              </w:rPr>
              <w:t>—  First Amendment to Employment Agreement between the Company and James C. Fish, Jr. dated July 20, 2012.</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10.4</w:t>
            </w:r>
          </w:p>
        </w:tc>
        <w:tc>
          <w:tcPr>
            <w:tcW w:w="10700" w:type="dxa"/>
            <w:vAlign w:val="bottom"/>
            <w:gridSpan w:val="4"/>
          </w:tcPr>
          <w:p>
            <w:pPr>
              <w:ind w:left="360"/>
              <w:spacing w:after="0"/>
              <w:rPr>
                <w:sz w:val="20"/>
                <w:szCs w:val="20"/>
                <w:color w:val="auto"/>
              </w:rPr>
            </w:pPr>
            <w:r>
              <w:rPr>
                <w:rFonts w:ascii="Arial" w:cs="Arial" w:eastAsia="Arial" w:hAnsi="Arial"/>
                <w:sz w:val="18"/>
                <w:szCs w:val="18"/>
                <w:color w:val="auto"/>
              </w:rPr>
              <w:t>—  Employment Agreement between the Company and John Morris dated June 18, 2012.</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10.5</w:t>
            </w:r>
          </w:p>
        </w:tc>
        <w:tc>
          <w:tcPr>
            <w:tcW w:w="10700" w:type="dxa"/>
            <w:vAlign w:val="bottom"/>
            <w:gridSpan w:val="4"/>
          </w:tcPr>
          <w:p>
            <w:pPr>
              <w:ind w:left="360"/>
              <w:spacing w:after="0"/>
              <w:rPr>
                <w:sz w:val="20"/>
                <w:szCs w:val="20"/>
                <w:color w:val="auto"/>
              </w:rPr>
            </w:pPr>
            <w:r>
              <w:rPr>
                <w:rFonts w:ascii="Arial" w:cs="Arial" w:eastAsia="Arial" w:hAnsi="Arial"/>
                <w:sz w:val="18"/>
                <w:szCs w:val="18"/>
                <w:color w:val="auto"/>
              </w:rPr>
              <w:t>—  Employment Agreement between the Company and Mark Schwartz dated July 5, 2012.</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31.1</w:t>
            </w: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w w:val="92"/>
              </w:rPr>
              <w:t>Certification Pursuant to Rules 13a - 14(a) and 15d - 14(a) under the Securities Exchange Act of 1934, as amended, of David P. Steiner,</w:t>
            </w:r>
          </w:p>
        </w:tc>
      </w:tr>
      <w:tr>
        <w:trPr>
          <w:trHeight w:val="222"/>
        </w:trPr>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President and Chief Executive Officer.</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31.2</w:t>
            </w:r>
          </w:p>
        </w:tc>
        <w:tc>
          <w:tcPr>
            <w:tcW w:w="10700" w:type="dxa"/>
            <w:vAlign w:val="bottom"/>
            <w:gridSpan w:val="4"/>
          </w:tcPr>
          <w:p>
            <w:pPr>
              <w:ind w:left="360"/>
              <w:spacing w:after="0"/>
              <w:rPr>
                <w:sz w:val="20"/>
                <w:szCs w:val="20"/>
                <w:color w:val="auto"/>
              </w:rPr>
            </w:pPr>
            <w:r>
              <w:rPr>
                <w:rFonts w:ascii="Arial" w:cs="Arial" w:eastAsia="Arial" w:hAnsi="Arial"/>
                <w:sz w:val="18"/>
                <w:szCs w:val="18"/>
                <w:color w:val="auto"/>
                <w:w w:val="91"/>
              </w:rPr>
              <w:t>—  Certification Pursuant to Rules 13a - 14(a) and 15d - 14(a) under the Securities Exchange Act of 1934, as amended, of Steven C. Preston,</w:t>
            </w:r>
          </w:p>
        </w:tc>
      </w:tr>
      <w:tr>
        <w:trPr>
          <w:trHeight w:val="222"/>
        </w:trPr>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Executive Vice President — Finance, Recycling and Energy Services.</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32.1</w:t>
            </w:r>
          </w:p>
        </w:tc>
        <w:tc>
          <w:tcPr>
            <w:tcW w:w="10700" w:type="dxa"/>
            <w:vAlign w:val="bottom"/>
            <w:gridSpan w:val="4"/>
          </w:tcPr>
          <w:p>
            <w:pPr>
              <w:ind w:left="360"/>
              <w:spacing w:after="0"/>
              <w:rPr>
                <w:sz w:val="20"/>
                <w:szCs w:val="20"/>
                <w:color w:val="auto"/>
              </w:rPr>
            </w:pPr>
            <w:r>
              <w:rPr>
                <w:rFonts w:ascii="Arial" w:cs="Arial" w:eastAsia="Arial" w:hAnsi="Arial"/>
                <w:sz w:val="18"/>
                <w:szCs w:val="18"/>
                <w:color w:val="auto"/>
              </w:rPr>
              <w:t>—  Certification Pursuant to 18 U.S.C. §1350 of David P. Steiner, President and Chief Executive Officer.</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32.2</w:t>
            </w:r>
          </w:p>
        </w:tc>
        <w:tc>
          <w:tcPr>
            <w:tcW w:w="10700" w:type="dxa"/>
            <w:vAlign w:val="bottom"/>
            <w:gridSpan w:val="4"/>
          </w:tcPr>
          <w:p>
            <w:pPr>
              <w:ind w:left="360"/>
              <w:spacing w:after="0"/>
              <w:rPr>
                <w:sz w:val="20"/>
                <w:szCs w:val="20"/>
                <w:color w:val="auto"/>
              </w:rPr>
            </w:pPr>
            <w:r>
              <w:rPr>
                <w:rFonts w:ascii="Arial" w:cs="Arial" w:eastAsia="Arial" w:hAnsi="Arial"/>
                <w:sz w:val="18"/>
                <w:szCs w:val="18"/>
                <w:color w:val="auto"/>
                <w:w w:val="94"/>
              </w:rPr>
              <w:t>—  Certification Pursuant to 18 U.S.C. §1350 of Steven C. Preston, Executive Vice President — Finance, Recycling and Energy Services.</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95</w:t>
            </w:r>
          </w:p>
        </w:tc>
        <w:tc>
          <w:tcPr>
            <w:tcW w:w="460" w:type="dxa"/>
            <w:vAlign w:val="bottom"/>
          </w:tcPr>
          <w:p>
            <w:pPr>
              <w:spacing w:after="0"/>
              <w:rPr>
                <w:sz w:val="24"/>
                <w:szCs w:val="24"/>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Mine Safety Disclosures.</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XBRL Instance Document.</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w w:val="95"/>
              </w:rPr>
              <w:t>101.SCH</w:t>
            </w:r>
          </w:p>
        </w:tc>
        <w:tc>
          <w:tcPr>
            <w:tcW w:w="10700" w:type="dxa"/>
            <w:vAlign w:val="bottom"/>
            <w:gridSpan w:val="4"/>
          </w:tcPr>
          <w:p>
            <w:pPr>
              <w:ind w:left="360"/>
              <w:spacing w:after="0"/>
              <w:rPr>
                <w:sz w:val="20"/>
                <w:szCs w:val="20"/>
                <w:color w:val="auto"/>
              </w:rPr>
            </w:pPr>
            <w:r>
              <w:rPr>
                <w:rFonts w:ascii="Arial" w:cs="Arial" w:eastAsia="Arial" w:hAnsi="Arial"/>
                <w:sz w:val="18"/>
                <w:szCs w:val="18"/>
                <w:color w:val="auto"/>
              </w:rPr>
              <w:t>—  XBRL Taxonomy Extension Schema Document.</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w w:val="99"/>
              </w:rPr>
              <w:t>101.CAL</w:t>
            </w:r>
          </w:p>
        </w:tc>
        <w:tc>
          <w:tcPr>
            <w:tcW w:w="10700" w:type="dxa"/>
            <w:vAlign w:val="bottom"/>
            <w:gridSpan w:val="4"/>
          </w:tcPr>
          <w:p>
            <w:pPr>
              <w:ind w:left="36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w w:val="98"/>
              </w:rPr>
              <w:t>101.DEF</w:t>
            </w:r>
          </w:p>
        </w:tc>
        <w:tc>
          <w:tcPr>
            <w:tcW w:w="10700" w:type="dxa"/>
            <w:vAlign w:val="bottom"/>
            <w:gridSpan w:val="4"/>
          </w:tcPr>
          <w:p>
            <w:pPr>
              <w:ind w:left="360"/>
              <w:spacing w:after="0"/>
              <w:rPr>
                <w:sz w:val="20"/>
                <w:szCs w:val="20"/>
                <w:color w:val="auto"/>
              </w:rPr>
            </w:pPr>
            <w:r>
              <w:rPr>
                <w:rFonts w:ascii="Arial" w:cs="Arial" w:eastAsia="Arial" w:hAnsi="Arial"/>
                <w:sz w:val="18"/>
                <w:szCs w:val="18"/>
                <w:color w:val="auto"/>
              </w:rPr>
              <w:t>—  XBRL Taxonomy Extension Definition Linkbase Document.</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700" w:type="dxa"/>
            <w:vAlign w:val="bottom"/>
            <w:gridSpan w:val="4"/>
          </w:tcPr>
          <w:p>
            <w:pPr>
              <w:ind w:left="360"/>
              <w:spacing w:after="0"/>
              <w:rPr>
                <w:sz w:val="20"/>
                <w:szCs w:val="20"/>
                <w:color w:val="auto"/>
              </w:rPr>
            </w:pPr>
            <w:r>
              <w:rPr>
                <w:rFonts w:ascii="Arial" w:cs="Arial" w:eastAsia="Arial" w:hAnsi="Arial"/>
                <w:sz w:val="18"/>
                <w:szCs w:val="18"/>
                <w:color w:val="auto"/>
              </w:rPr>
              <w:t>—  XBRL Taxonomy Extension Label Linkbase Document.</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w w:val="97"/>
              </w:rPr>
              <w:t>101.PRE</w:t>
            </w:r>
          </w:p>
        </w:tc>
        <w:tc>
          <w:tcPr>
            <w:tcW w:w="10700" w:type="dxa"/>
            <w:vAlign w:val="bottom"/>
            <w:gridSpan w:val="4"/>
          </w:tcPr>
          <w:p>
            <w:pPr>
              <w:ind w:left="36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365"/>
        </w:trPr>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40" w:type="dxa"/>
            <w:vAlign w:val="bottom"/>
          </w:tcPr>
          <w:p>
            <w:pPr>
              <w:ind w:left="4300"/>
              <w:spacing w:after="0"/>
              <w:rPr>
                <w:sz w:val="20"/>
                <w:szCs w:val="20"/>
                <w:color w:val="auto"/>
              </w:rPr>
            </w:pPr>
            <w:r>
              <w:rPr>
                <w:rFonts w:ascii="Arial" w:cs="Arial" w:eastAsia="Arial" w:hAnsi="Arial"/>
                <w:sz w:val="18"/>
                <w:szCs w:val="18"/>
                <w:color w:val="auto"/>
              </w:rPr>
              <w:t>61</w:t>
            </w:r>
          </w:p>
        </w:tc>
        <w:tc>
          <w:tcPr>
            <w:tcW w:w="70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120" w:val="left"/>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STEVEN C.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Steven C. Preston</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Executive Vice President —</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Finance, Recycling &amp; Energy Services</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080" w:val="left"/>
          <w:tab w:leader="none" w:pos="8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GREG 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Greg A. Robertson</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THE EMPLOYMENT AGREEMENT</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Waste Management, Inc. (“Company”), and James C. Fish, Jr. (the “Executive”) hereby enter into this First Amendment to the Employment Agreement (the “Amendment”) as of the July 20, 2012 to hereby amend the Employment Agreement dated August 15, 2011, between the Company and the Executive (the “Employment Agreement”). The Effective Date of this Amendment shall be August 1, 2012 (or, if later, the date on which the Company files its quarterly report on Form 10-Q for the financial quarter ended on June 30, 2012). The Employment Agreement is amended, as follows:</w:t>
      </w:r>
    </w:p>
    <w:p>
      <w:pPr>
        <w:spacing w:after="0" w:line="32" w:lineRule="exact"/>
        <w:rPr>
          <w:sz w:val="20"/>
          <w:szCs w:val="20"/>
          <w:color w:val="auto"/>
        </w:rPr>
      </w:pPr>
    </w:p>
    <w:p>
      <w:pPr>
        <w:ind w:left="1340" w:right="820" w:hanging="876"/>
        <w:spacing w:after="0" w:line="344" w:lineRule="auto"/>
        <w:tabs>
          <w:tab w:leader="none" w:pos="6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the Effective Date, the first sentence of Section 3(a) of the Employment Agreement is hereby amended in its entirety to read as follows: “Executive shall serve as Executive Vice President and Chief Financial Officer.”</w:t>
      </w:r>
    </w:p>
    <w:p>
      <w:pPr>
        <w:ind w:left="640" w:hanging="176"/>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 of the Effective Date, the first sentence of Section 4(a) of the Employment Agreement is hereby amended in its entirety to read as follows:</w:t>
      </w:r>
    </w:p>
    <w:p>
      <w:pPr>
        <w:spacing w:after="0" w:line="113" w:lineRule="exact"/>
        <w:rPr>
          <w:sz w:val="20"/>
          <w:szCs w:val="20"/>
          <w:color w:val="auto"/>
        </w:rPr>
      </w:pPr>
    </w:p>
    <w:p>
      <w:pPr>
        <w:jc w:val="both"/>
        <w:ind w:left="920" w:firstLine="420"/>
        <w:spacing w:after="0" w:line="332" w:lineRule="auto"/>
        <w:rPr>
          <w:sz w:val="20"/>
          <w:szCs w:val="20"/>
          <w:color w:val="auto"/>
        </w:rPr>
      </w:pPr>
      <w:r>
        <w:rPr>
          <w:rFonts w:ascii="Arial" w:cs="Arial" w:eastAsia="Arial" w:hAnsi="Arial"/>
          <w:sz w:val="16"/>
          <w:szCs w:val="16"/>
          <w:color w:val="auto"/>
        </w:rPr>
        <w:t>“During the Employment Period, the Company shall pay Executive a base salary at the annual rate of Five Hundred Thousand and 00/100ths Dollars ($500,000.00) per year, or such higher rate as may be determined from time to time by the Company (“Base Salary”).”</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As of the Effective Date, Section 4(b) of the Employment Agreement is hereby amended in its entirety to read as follows:</w:t>
      </w:r>
    </w:p>
    <w:p>
      <w:pPr>
        <w:spacing w:after="0" w:line="90" w:lineRule="exact"/>
        <w:rPr>
          <w:sz w:val="20"/>
          <w:szCs w:val="20"/>
          <w:color w:val="auto"/>
        </w:rPr>
      </w:pPr>
    </w:p>
    <w:p>
      <w:pPr>
        <w:jc w:val="both"/>
        <w:ind w:left="920" w:firstLine="420"/>
        <w:spacing w:after="0" w:line="287" w:lineRule="auto"/>
        <w:rPr>
          <w:sz w:val="20"/>
          <w:szCs w:val="20"/>
          <w:color w:val="auto"/>
        </w:rPr>
      </w:pPr>
      <w:r>
        <w:rPr>
          <w:rFonts w:ascii="Arial" w:cs="Arial" w:eastAsia="Arial" w:hAnsi="Arial"/>
          <w:sz w:val="16"/>
          <w:szCs w:val="16"/>
          <w:color w:val="auto"/>
        </w:rPr>
        <w:t>“During the Employment Period, Executive will be entitled to participate in an annual incentive compensation plan of the Company, as established by the Management Development and Compensation Committee (“Compensation Committee”) of the Board from time to time. Executive’s target annual bonus under this Agreement will be eighty-five percent (85%) of his Base Salary in effect for such year (the “Target Bonus”), and his actual annual bonus may range from 0% to 170% of Base Salary (</w:t>
      </w:r>
      <w:r>
        <w:rPr>
          <w:rFonts w:ascii="Arial" w:cs="Arial" w:eastAsia="Arial" w:hAnsi="Arial"/>
          <w:sz w:val="16"/>
          <w:szCs w:val="16"/>
          <w:i w:val="1"/>
          <w:iCs w:val="1"/>
          <w:color w:val="auto"/>
        </w:rPr>
        <w:t>i.e</w:t>
      </w:r>
      <w:r>
        <w:rPr>
          <w:rFonts w:ascii="Arial" w:cs="Arial" w:eastAsia="Arial" w:hAnsi="Arial"/>
          <w:sz w:val="16"/>
          <w:szCs w:val="16"/>
          <w:color w:val="auto"/>
        </w:rPr>
        <w:t>., a maximum possible bonus of two times the Target Bonus), and will be determined based upon (i) the achievement of certain corporate financial and/or performance goals, as may be established and approved from time to time by the Compensation Committee of the Board, and (ii) the achievement of personal performance goals as may be established by Executive’s immediate supervisor. Executive’s annual bonus for calendar year 2012 will be prorated between the time spent as Senior Vice President, Eastern Group and the time spent as Executive Vice President and Chief Financial Officer, in each case calculated using the applicable financial and operational performance objectives, salary, and target bonus for each such position. The annual bonus will be paid at such time and in such manner as set forth in the annual incentive compensation plan document.”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duly executed this First Amendment to the Employment Agreement.</w:t>
      </w:r>
    </w:p>
    <w:p>
      <w:pPr>
        <w:spacing w:after="0" w:line="8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JAMES C. FISH, JR.</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w:t>
      </w:r>
    </w:p>
    <w:p>
      <w:pPr>
        <w:spacing w:after="0" w:line="23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James C. Fish, Jr.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(The “Company”)</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President and Chief Executive Officer</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759"/>
          </w:cols>
          <w:pgMar w:left="700" w:top="280" w:right="1440" w:bottom="1440" w:gutter="0" w:footer="0" w:header="0"/>
        </w:sectPr>
      </w:pPr>
    </w:p>
    <w:bookmarkStart w:id="64" w:name="page65"/>
    <w:bookmarkEnd w:id="64"/>
    <w:p>
      <w:pPr>
        <w:ind w:left="10320"/>
        <w:spacing w:after="0"/>
        <w:rPr>
          <w:sz w:val="20"/>
          <w:szCs w:val="20"/>
          <w:color w:val="auto"/>
        </w:rPr>
      </w:pPr>
      <w:r>
        <w:rPr>
          <w:rFonts w:ascii="Arial" w:cs="Arial" w:eastAsia="Arial" w:hAnsi="Arial"/>
          <w:sz w:val="16"/>
          <w:szCs w:val="16"/>
          <w:b w:val="1"/>
          <w:bCs w:val="1"/>
          <w:color w:val="auto"/>
        </w:rPr>
        <w:t>EXHIBIT 10.4</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This EMPLOYMENT AGREEMENT (the “Agreement”) is made and entered into on this 18th day of June, 2012, but effective as of the date set forth below, by and between Waste Management, Inc. (the “Company”) and John Morris (the “Executive”).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Employment.</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shall employ Executive, and Executive shall be employed by the Company upon the terms and subject to the conditions set forth in this Agreement.</w:t>
      </w:r>
    </w:p>
    <w:p>
      <w:pPr>
        <w:spacing w:after="0" w:line="5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Subject to Section 18 below, Executive acknowledges and represents that, any and all prior employment agreements, including without limitation that certain Employment Agreement between he and Waste Management of New Jersey, Inc. dated or about April 9, 2007, is terminated, and that any and all obligations of the Company created thereunder, whether express or implied, are null and void and of no further force or effect, and that the only rights, obligations and duties between the Company and Executive are those expressly set forth in this Agreement.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Term of Employment.</w:t>
      </w:r>
    </w:p>
    <w:p>
      <w:pPr>
        <w:spacing w:after="0" w:line="9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period of Executive’s employment under this Agreement began on March 18, 2012 (“Employment Date”), and may be terminated by either party pursuant to Section 5 below. The period during which Executive is employed hereunder shall be referred to as the “Employment Period.”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Duties and Responsibilities.</w:t>
      </w:r>
    </w:p>
    <w:p>
      <w:pPr>
        <w:spacing w:after="0" w:line="96" w:lineRule="exact"/>
        <w:rPr>
          <w:sz w:val="20"/>
          <w:szCs w:val="20"/>
          <w:color w:val="auto"/>
        </w:rPr>
      </w:pPr>
    </w:p>
    <w:p>
      <w:pPr>
        <w:jc w:val="both"/>
        <w:ind w:firstLine="464"/>
        <w:spacing w:after="0" w:line="259" w:lineRule="auto"/>
        <w:tabs>
          <w:tab w:leader="none" w:pos="707"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Executive shall serve as the Company’s Chief Strategy Officer. In such capacity, Executive shall perform such duties and have the power, authority, and functions consistent with such position, as may be deemed appropriate for the position and assigned to Executive from time to time by the Chief Executive Officer or the Board of Directors (the “Board”) of the Company.</w:t>
      </w:r>
    </w:p>
    <w:p>
      <w:pPr>
        <w:spacing w:after="0" w:line="59" w:lineRule="exact"/>
        <w:rPr>
          <w:rFonts w:ascii="Arial" w:cs="Arial" w:eastAsia="Arial" w:hAnsi="Arial"/>
          <w:sz w:val="18"/>
          <w:szCs w:val="18"/>
          <w:b w:val="1"/>
          <w:bCs w:val="1"/>
          <w:color w:val="auto"/>
        </w:rPr>
      </w:pPr>
    </w:p>
    <w:p>
      <w:pPr>
        <w:jc w:val="both"/>
        <w:ind w:firstLine="464"/>
        <w:spacing w:after="0" w:line="294" w:lineRule="auto"/>
        <w:tabs>
          <w:tab w:leader="none" w:pos="719"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10 of this Agreement), be involved in charitable and professional activities, and, with the prior written consent of the Board, serve on boards of other for profit entities, provided such activities do not materially interfere with the performance of his duties hereunder or create a conflict of interest (however, the Board does not typically allow officers to serve on more than one public company board at a time).</w:t>
      </w:r>
    </w:p>
    <w:p>
      <w:pPr>
        <w:sectPr>
          <w:pgSz w:w="11900" w:h="16838" w:orient="portrait"/>
          <w:cols w:equalWidth="0" w:num="1">
            <w:col w:w="11420"/>
          </w:cols>
          <w:pgMar w:left="240" w:top="125" w:right="239"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Compensation and Benefits.</w:t>
      </w:r>
    </w:p>
    <w:p>
      <w:pPr>
        <w:spacing w:after="0" w:line="90" w:lineRule="exact"/>
        <w:rPr>
          <w:sz w:val="20"/>
          <w:szCs w:val="20"/>
          <w:color w:val="auto"/>
        </w:rPr>
      </w:pPr>
    </w:p>
    <w:p>
      <w:pPr>
        <w:jc w:val="both"/>
        <w:ind w:firstLine="464"/>
        <w:spacing w:after="0" w:line="258" w:lineRule="auto"/>
        <w:tabs>
          <w:tab w:leader="none" w:pos="705"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During the Employment Period, the Company shall pay Executive a base salary at the annual rate of Three Hundred Twenty Thousand and</w:t>
      </w:r>
      <w:r>
        <w:rPr>
          <w:rFonts w:ascii="Arial" w:cs="Arial" w:eastAsia="Arial" w:hAnsi="Arial"/>
          <w:sz w:val="18"/>
          <w:szCs w:val="18"/>
          <w:b w:val="1"/>
          <w:bCs w:val="1"/>
          <w:color w:val="auto"/>
        </w:rPr>
        <w:t xml:space="preserve"> </w:t>
      </w:r>
      <w:r>
        <w:rPr>
          <w:rFonts w:ascii="Arial" w:cs="Arial" w:eastAsia="Arial" w:hAnsi="Arial"/>
          <w:sz w:val="18"/>
          <w:szCs w:val="18"/>
          <w:color w:val="auto"/>
        </w:rPr>
        <w:t>00/100ths Dollars ($320,000.00) per year, or such higher rate as may be determined from time to time by the Company (“Base Salary”). Such Base Salary shall be paid in accordance with the Company’s standard payroll practice for its executive officers. Once increased, Base Salary shall not be reduced except by mutual agreement.</w:t>
      </w:r>
    </w:p>
    <w:p>
      <w:pPr>
        <w:spacing w:after="0" w:line="55" w:lineRule="exact"/>
        <w:rPr>
          <w:rFonts w:ascii="Arial" w:cs="Arial" w:eastAsia="Arial" w:hAnsi="Arial"/>
          <w:sz w:val="18"/>
          <w:szCs w:val="18"/>
          <w:b w:val="1"/>
          <w:bCs w:val="1"/>
          <w:color w:val="auto"/>
        </w:rPr>
      </w:pPr>
    </w:p>
    <w:p>
      <w:pPr>
        <w:jc w:val="both"/>
        <w:ind w:firstLine="464"/>
        <w:spacing w:after="0" w:line="304" w:lineRule="auto"/>
        <w:tabs>
          <w:tab w:leader="none" w:pos="715" w:val="left"/>
        </w:tabs>
        <w:numPr>
          <w:ilvl w:val="1"/>
          <w:numId w:val="2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Annual Bonus. </w:t>
      </w:r>
      <w:r>
        <w:rPr>
          <w:rFonts w:ascii="Arial" w:cs="Arial" w:eastAsia="Arial" w:hAnsi="Arial"/>
          <w:sz w:val="15"/>
          <w:szCs w:val="15"/>
          <w:color w:val="auto"/>
        </w:rPr>
        <w:t>During the Employment Period, Executive will be entitled to participate in an annual incentive compensation plan of the Company, as</w:t>
      </w:r>
      <w:r>
        <w:rPr>
          <w:rFonts w:ascii="Arial" w:cs="Arial" w:eastAsia="Arial" w:hAnsi="Arial"/>
          <w:sz w:val="15"/>
          <w:szCs w:val="15"/>
          <w:b w:val="1"/>
          <w:bCs w:val="1"/>
          <w:color w:val="auto"/>
        </w:rPr>
        <w:t xml:space="preserve"> </w:t>
      </w:r>
      <w:r>
        <w:rPr>
          <w:rFonts w:ascii="Arial" w:cs="Arial" w:eastAsia="Arial" w:hAnsi="Arial"/>
          <w:sz w:val="15"/>
          <w:szCs w:val="15"/>
          <w:color w:val="auto"/>
        </w:rPr>
        <w:t>established by the Management Development and Compensation Committee (“Compensation Committee”) of the Board from time to time. Executive’s target annual bonus under this Agreement will be sixty percent (60%) of his Base Salary in effect for such year (the “Target Bonus”), and his actual annual bonus may range from 0% to 120% of Base Salary (</w:t>
      </w:r>
      <w:r>
        <w:rPr>
          <w:rFonts w:ascii="Arial" w:cs="Arial" w:eastAsia="Arial" w:hAnsi="Arial"/>
          <w:sz w:val="15"/>
          <w:szCs w:val="15"/>
          <w:i w:val="1"/>
          <w:iCs w:val="1"/>
          <w:color w:val="auto"/>
        </w:rPr>
        <w:t>i.e</w:t>
      </w:r>
      <w:r>
        <w:rPr>
          <w:rFonts w:ascii="Arial" w:cs="Arial" w:eastAsia="Arial" w:hAnsi="Arial"/>
          <w:sz w:val="15"/>
          <w:szCs w:val="15"/>
          <w:color w:val="auto"/>
        </w:rPr>
        <w:t>., a maximum possible bonus of two times the Target Bonus), and will be determined based upon (i) the achievement of certain corporate financial and/or performance goals, as may be established and approved from time to time by the Compensation Committee of the Board, and</w:t>
      </w:r>
    </w:p>
    <w:p>
      <w:pPr>
        <w:jc w:val="both"/>
        <w:ind w:firstLine="8"/>
        <w:spacing w:after="0" w:line="254" w:lineRule="auto"/>
        <w:tabs>
          <w:tab w:leader="none" w:pos="2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achievement of personal performance goals as may be established by Executive’s immediate supervisor. Executive’s annual bonus for calendar year 2012 will be prorated between the time he spent as Vice-President for the Greater Mid-Atlantic Market Area (using the applicable financial and operational performance objectives, salary, and target bonus) and the time he spent as Chief Strategy Officer. The annual bonus will be paid at such time and in such manner as set forth in the annual incentive compensation plan document.</w:t>
      </w:r>
    </w:p>
    <w:p>
      <w:pPr>
        <w:spacing w:after="0" w:line="56" w:lineRule="exact"/>
        <w:rPr>
          <w:rFonts w:ascii="Arial" w:cs="Arial" w:eastAsia="Arial" w:hAnsi="Arial"/>
          <w:sz w:val="18"/>
          <w:szCs w:val="18"/>
          <w:color w:val="auto"/>
        </w:rPr>
      </w:pPr>
    </w:p>
    <w:p>
      <w:pPr>
        <w:jc w:val="both"/>
        <w:ind w:firstLine="464"/>
        <w:spacing w:after="0" w:line="301" w:lineRule="auto"/>
        <w:tabs>
          <w:tab w:leader="none" w:pos="695" w:val="left"/>
        </w:tabs>
        <w:numPr>
          <w:ilvl w:val="1"/>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Benefit Plans and Vacation. </w:t>
      </w:r>
      <w:r>
        <w:rPr>
          <w:rFonts w:ascii="Arial" w:cs="Arial" w:eastAsia="Arial" w:hAnsi="Arial"/>
          <w:sz w:val="16"/>
          <w:szCs w:val="16"/>
          <w:color w:val="auto"/>
        </w:rPr>
        <w:t>Subject to the terms of such plans, Executive shall be eligible to participate in or receive benefits under any profit sharing</w:t>
      </w:r>
      <w:r>
        <w:rPr>
          <w:rFonts w:ascii="Arial" w:cs="Arial" w:eastAsia="Arial" w:hAnsi="Arial"/>
          <w:sz w:val="16"/>
          <w:szCs w:val="16"/>
          <w:b w:val="1"/>
          <w:bCs w:val="1"/>
          <w:color w:val="auto"/>
        </w:rPr>
        <w:t xml:space="preserve"> </w:t>
      </w:r>
      <w:r>
        <w:rPr>
          <w:rFonts w:ascii="Arial" w:cs="Arial" w:eastAsia="Arial" w:hAnsi="Arial"/>
          <w:sz w:val="16"/>
          <w:szCs w:val="16"/>
          <w:color w:val="auto"/>
        </w:rPr>
        <w:t>plan, salary deferral plan, medical and dental benefits plan, 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so long as such changes are similarly applicable to similarly-situated employees generally.</w:t>
      </w:r>
    </w:p>
    <w:p>
      <w:pPr>
        <w:spacing w:after="0" w:line="2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During the Employment Period, Executive shall be entitled to vacation each year in accordance with the Company’s policies in effect from time to time, but in no event less than four (4) weeks paid vacation per calendar year. Vacation not taken in the calendar year in which it is granted cannot be carried forward to any subsequent year.</w:t>
      </w:r>
    </w:p>
    <w:p>
      <w:pPr>
        <w:spacing w:after="0" w:line="53" w:lineRule="exact"/>
        <w:rPr>
          <w:sz w:val="20"/>
          <w:szCs w:val="20"/>
          <w:color w:val="auto"/>
        </w:rPr>
      </w:pPr>
    </w:p>
    <w:p>
      <w:pPr>
        <w:jc w:val="both"/>
        <w:ind w:firstLine="464"/>
        <w:spacing w:after="0" w:line="258" w:lineRule="auto"/>
        <w:tabs>
          <w:tab w:leader="none" w:pos="71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 </w:t>
      </w:r>
      <w:r>
        <w:rPr>
          <w:rFonts w:ascii="Arial" w:cs="Arial" w:eastAsia="Arial" w:hAnsi="Arial"/>
          <w:sz w:val="18"/>
          <w:szCs w:val="18"/>
          <w:color w:val="auto"/>
        </w:rPr>
        <w:t>The Company shall promptly reimburse Executive for the ordinary and necessary business expenses incurred by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performance of his duties hereunder in accordance with the Company’s customary practices applicable to executive officers. The reimbursement of expenses during a year will not affect the expenses eligible for reimbursement in any other year. In no event shall any expense be reimbursed after the last day of the year following the year in which the expense was incurred.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6" w:name="page67"/>
    <w:bookmarkEnd w:id="66"/>
    <w:p>
      <w:pPr>
        <w:ind w:firstLine="464"/>
        <w:spacing w:after="0" w:line="275" w:lineRule="auto"/>
        <w:tabs>
          <w:tab w:leader="none" w:pos="70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Perquisites. </w:t>
      </w:r>
      <w:r>
        <w:rPr>
          <w:rFonts w:ascii="Arial" w:cs="Arial" w:eastAsia="Arial" w:hAnsi="Arial"/>
          <w:sz w:val="18"/>
          <w:szCs w:val="18"/>
          <w:color w:val="auto"/>
        </w:rPr>
        <w:t>Executive shall be entitled to all perquisites provided to Senior Vice Presidents of the Company as approved by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Board, and as they may exist from time to time.</w:t>
      </w:r>
    </w:p>
    <w:p>
      <w:pPr>
        <w:spacing w:after="0" w:line="38" w:lineRule="exact"/>
        <w:rPr>
          <w:rFonts w:ascii="Arial" w:cs="Arial" w:eastAsia="Arial" w:hAnsi="Arial"/>
          <w:sz w:val="18"/>
          <w:szCs w:val="18"/>
          <w:b w:val="1"/>
          <w:bCs w:val="1"/>
          <w:color w:val="auto"/>
        </w:rPr>
      </w:pPr>
    </w:p>
    <w:p>
      <w:pPr>
        <w:jc w:val="both"/>
        <w:ind w:firstLine="464"/>
        <w:spacing w:after="0" w:line="258" w:lineRule="auto"/>
        <w:tabs>
          <w:tab w:leader="none" w:pos="689"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Relocation to Houston. </w:t>
      </w:r>
      <w:r>
        <w:rPr>
          <w:rFonts w:ascii="Arial" w:cs="Arial" w:eastAsia="Arial" w:hAnsi="Arial"/>
          <w:sz w:val="18"/>
          <w:szCs w:val="18"/>
          <w:color w:val="auto"/>
        </w:rPr>
        <w:t>Upon the Employment Date, Executive will relocate his residence to the Houston, Texas area. Executive’s relocation of his</w:t>
      </w:r>
      <w:r>
        <w:rPr>
          <w:rFonts w:ascii="Arial" w:cs="Arial" w:eastAsia="Arial" w:hAnsi="Arial"/>
          <w:sz w:val="18"/>
          <w:szCs w:val="18"/>
          <w:b w:val="1"/>
          <w:bCs w:val="1"/>
          <w:color w:val="auto"/>
        </w:rPr>
        <w:t xml:space="preserve"> </w:t>
      </w:r>
      <w:r>
        <w:rPr>
          <w:rFonts w:ascii="Arial" w:cs="Arial" w:eastAsia="Arial" w:hAnsi="Arial"/>
          <w:sz w:val="18"/>
          <w:szCs w:val="18"/>
          <w:color w:val="auto"/>
        </w:rPr>
        <w:t>residence to Houston will be eligible for coverage under the “Plan 2 – GBO Guaranteed Offer Program” of the Company’s relocation policy. Executive must execute that certain Employee Repayment Agreement with the Company’s relocation provider in order to be eligible to receive reimbursement for any relocation expenses.</w:t>
      </w:r>
    </w:p>
    <w:p>
      <w:pPr>
        <w:spacing w:after="0" w:line="6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It is expressly agreed that should Executive resign without “Good Reason” (as that term is defined in Section 5(d) below) or is terminated “For Cause” (as that term is defined in Section 5(c) below) during the twelve-month period following the Employment Date, then Executive shall be required to reimburse the Company for one hundred percent (100%) of the relocation expenses paid by the Company to or on behalf of Executive.</w:t>
      </w:r>
    </w:p>
    <w:p>
      <w:pPr>
        <w:spacing w:after="0" w:line="2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parties further agree that during such time as Executive serves as Chief Strategy Officer, he will not be required to relocate his residence from the Houston, Texas area prior to June 30, 2016. In the event that the Company requests Executive to relocate his residence from the Houston, Texas area prior to June 30, 2016, and should Executive decline to do so, then the Company may at its sole discretion elect to terminate Executive’s employment “Without Cause” under Section 5(e) below and Executive shall be provided (i) the compensation and benefits set forth in Section 6(e) or Section 7(a) below (as the case may be) and (ii) relocation back to New Jersey under the Company’s then existing “Plan 2 – GBO Guaranteed Offer Program” of the Company’s relocation policy. The parties understand and further agree that should Executive be offered and accept another position within the Company, relocation from the Houston, Texas area may be required.</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Termination of Employment.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Executive’s employment hereunder may be terminated during the Employment Period under the following circumstances:</w:t>
      </w:r>
    </w:p>
    <w:p>
      <w:pPr>
        <w:spacing w:after="0" w:line="84" w:lineRule="exact"/>
        <w:rPr>
          <w:sz w:val="20"/>
          <w:szCs w:val="20"/>
          <w:color w:val="auto"/>
        </w:rPr>
      </w:pPr>
    </w:p>
    <w:p>
      <w:pPr>
        <w:ind w:left="720" w:hanging="256"/>
        <w:spacing w:after="0"/>
        <w:tabs>
          <w:tab w:leader="none" w:pos="7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Executive’s employment hereunder shall terminate upon Executive’s death.</w:t>
      </w:r>
    </w:p>
    <w:p>
      <w:pPr>
        <w:spacing w:after="0" w:line="90" w:lineRule="exact"/>
        <w:rPr>
          <w:rFonts w:ascii="Arial" w:cs="Arial" w:eastAsia="Arial" w:hAnsi="Arial"/>
          <w:sz w:val="18"/>
          <w:szCs w:val="18"/>
          <w:b w:val="1"/>
          <w:bCs w:val="1"/>
          <w:color w:val="auto"/>
        </w:rPr>
      </w:pPr>
    </w:p>
    <w:p>
      <w:pPr>
        <w:jc w:val="both"/>
        <w:ind w:firstLine="464"/>
        <w:spacing w:after="0" w:line="293" w:lineRule="auto"/>
        <w:tabs>
          <w:tab w:leader="none" w:pos="715"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Total Disability. </w:t>
      </w:r>
      <w:r>
        <w:rPr>
          <w:rFonts w:ascii="Arial" w:cs="Arial" w:eastAsia="Arial" w:hAnsi="Arial"/>
          <w:sz w:val="16"/>
          <w:szCs w:val="16"/>
          <w:color w:val="auto"/>
        </w:rPr>
        <w:t>The Company may terminate Executive’s employment hereunder upon Executive’s becoming “Totally Disabled.” For purposes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Executive shall be considered “Totally Disabled” if Executive has become physically or mentally disabled so as to render Executive incapable of performing the essential functions of his position (with or without reasonable accommodations) and such disability is expected to result in death or to last for a continuous period of at least 12 months, provided that such condition constitutes a “disability” within the meaning of Section 409A of the Internal Revenue Code. Executive’s receipt of disability benefits under the Company’s long-term disability plan or receipt of Social Security disability benefits shall be deemed conclusive evidence of Total Disability for purpose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7" w:name="page68"/>
    <w:bookmarkEnd w:id="67"/>
    <w:p>
      <w:pPr>
        <w:ind w:right="20" w:firstLine="464"/>
        <w:spacing w:after="0" w:line="275" w:lineRule="auto"/>
        <w:tabs>
          <w:tab w:leader="none" w:pos="695" w:val="left"/>
        </w:tabs>
        <w:numPr>
          <w:ilvl w:val="1"/>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Termination by the Company for Cause. </w:t>
      </w:r>
      <w:r>
        <w:rPr>
          <w:rFonts w:ascii="Arial" w:cs="Arial" w:eastAsia="Arial" w:hAnsi="Arial"/>
          <w:sz w:val="18"/>
          <w:szCs w:val="18"/>
          <w:color w:val="auto"/>
        </w:rPr>
        <w:t>The Company may terminate Executive’s employment hereunder for “Cause” at any time after providing a</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Termination for Cause to Executive.</w:t>
      </w:r>
    </w:p>
    <w:p>
      <w:pPr>
        <w:spacing w:after="0" w:line="44" w:lineRule="exact"/>
        <w:rPr>
          <w:rFonts w:ascii="Arial" w:cs="Arial" w:eastAsia="Arial" w:hAnsi="Arial"/>
          <w:sz w:val="18"/>
          <w:szCs w:val="18"/>
          <w:b w:val="1"/>
          <w:bCs w:val="1"/>
          <w:color w:val="auto"/>
        </w:rPr>
      </w:pPr>
    </w:p>
    <w:p>
      <w:pPr>
        <w:jc w:val="both"/>
        <w:ind w:left="900" w:hanging="446"/>
        <w:spacing w:after="0" w:line="289"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For purposes of this Agreement, the term “Cause” means any of the following: Executive’s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Executive’s failure to cure such nonperformance within ten (10) days of receipt of said written notice; (B) breach of any statutory or common law duty of loyalty to the Company; (C) conviction of, or plea of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(D) willful or intentional cause of material injury to the Company, its property, or its assets; (E) disclosure or attempted disclosure to any unauthorized person(s) of the Company’s proprietary or confidential information; (F) material violation or a repeated and willful violation of the Company’s policies or procedures, including but not limited to, the Company’s Code of Business Conduct and Ethics (or any successor policy) then in effect; or (G) breach of any of the covenants set forth in Section 10 hereof.</w:t>
      </w:r>
    </w:p>
    <w:p>
      <w:pPr>
        <w:spacing w:after="0" w:line="37"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purposes of this Agreement, the phrase “Notice of Termination for Cause” shall mean a written notice that shall indicate the specific termination provision or provisions in Section 5(c)(i) relied upon, and shall set forth in reasonable detail the facts and circumstances which provide the basis for termination for Cause.</w:t>
      </w:r>
    </w:p>
    <w:p>
      <w:pPr>
        <w:spacing w:after="0" w:line="53" w:lineRule="exact"/>
        <w:rPr>
          <w:rFonts w:ascii="Arial" w:cs="Arial" w:eastAsia="Arial" w:hAnsi="Arial"/>
          <w:sz w:val="18"/>
          <w:szCs w:val="18"/>
          <w:color w:val="auto"/>
        </w:rPr>
      </w:pPr>
    </w:p>
    <w:p>
      <w:pPr>
        <w:ind w:firstLine="464"/>
        <w:spacing w:after="0" w:line="275" w:lineRule="auto"/>
        <w:tabs>
          <w:tab w:leader="none" w:pos="728"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Executive may terminate his employment hereunder with or without Good Reason at any time upon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w:t>
      </w:r>
    </w:p>
    <w:p>
      <w:pPr>
        <w:spacing w:after="0" w:line="45" w:lineRule="exact"/>
        <w:rPr>
          <w:sz w:val="20"/>
          <w:szCs w:val="20"/>
          <w:color w:val="auto"/>
        </w:rPr>
      </w:pPr>
    </w:p>
    <w:p>
      <w:pPr>
        <w:jc w:val="both"/>
        <w:ind w:left="900" w:hanging="446"/>
        <w:spacing w:after="0" w:line="289"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termination for “Good Reason” means a resignation of employment by Executive by written notice (“Notice of Termination for Good Reason”) given to the Company’s Chief Executive Officer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materially diminishes Executive’s core duties or responsibility for those core duties, so as to effectively cause Executive to no longer be performing the duties of his position (except in each case in connection with the termination of Executive’s employment for Death, Total Disability, or Cause, or temporarily as a result of Executive’s illness or other absence); (B) in the event of the Company’s becoming a fifty percent or more subsidiary of any other entity,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8" w:name="page69"/>
    <w:bookmarkEnd w:id="68"/>
    <w:p>
      <w:pPr>
        <w:jc w:val="both"/>
        <w:ind w:left="9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materially diminishes the duties, authority or responsibilities of the person to whom Executive is required to report; (C) removal or the non-reelection of the Executive from the officer position with the Company specified herein, or removal of the Executive from any of his then officer positions; (D) any material breach by the Company of any provision of this Agreement; or (E) failure of any successor to the Company (whether direct or indirect and whether by merger, acquisition, consolidation or otherwise) to assume in a writing delivered to Executive upon the assignee becoming such, the obligations of the Company hereunder, resulting in a material negative change in the employment relationship.</w:t>
      </w:r>
    </w:p>
    <w:p>
      <w:pPr>
        <w:spacing w:after="0" w:line="35" w:lineRule="exact"/>
        <w:rPr>
          <w:sz w:val="20"/>
          <w:szCs w:val="20"/>
          <w:color w:val="auto"/>
        </w:rPr>
      </w:pPr>
    </w:p>
    <w:p>
      <w:pPr>
        <w:jc w:val="both"/>
        <w:ind w:left="900" w:hanging="446"/>
        <w:spacing w:after="0" w:line="255"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“Notice of Termination for Good Reason” shall mean a notice that shall indicate the specific termination provision or provisions relied upon and shall set forth in reasonable detail the facts and circumstances claimed to provide a basis for Termination for Good Reason. The Notice of Termination for Good Reason shall provide for a date of termination not less than thirty (30) nor more than sixty (60) days after the date such Notice of Termination for Good Reason is given, provided that in the case of the events set forth in Sections 5(d)(i)(A) or (B), the date may be twenty (20) days after the giving of such notice.</w:t>
      </w:r>
    </w:p>
    <w:p>
      <w:pPr>
        <w:spacing w:after="0" w:line="56" w:lineRule="exact"/>
        <w:rPr>
          <w:sz w:val="20"/>
          <w:szCs w:val="20"/>
          <w:color w:val="auto"/>
        </w:rPr>
      </w:pPr>
    </w:p>
    <w:p>
      <w:pPr>
        <w:ind w:firstLine="464"/>
        <w:spacing w:after="0" w:line="275" w:lineRule="auto"/>
        <w:tabs>
          <w:tab w:leader="none" w:pos="718"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The Company may terminate Executive’s employment hereunder without Cause at any time upon</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Executive.</w:t>
      </w:r>
    </w:p>
    <w:p>
      <w:pPr>
        <w:spacing w:after="0" w:line="38" w:lineRule="exact"/>
        <w:rPr>
          <w:rFonts w:ascii="Arial" w:cs="Arial" w:eastAsia="Arial" w:hAnsi="Arial"/>
          <w:sz w:val="18"/>
          <w:szCs w:val="18"/>
          <w:b w:val="1"/>
          <w:bCs w:val="1"/>
          <w:color w:val="auto"/>
        </w:rPr>
      </w:pPr>
    </w:p>
    <w:p>
      <w:pPr>
        <w:ind w:firstLine="464"/>
        <w:spacing w:after="0" w:line="275" w:lineRule="auto"/>
        <w:tabs>
          <w:tab w:leader="none" w:pos="67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Termination. </w:t>
      </w:r>
      <w:r>
        <w:rPr>
          <w:rFonts w:ascii="Arial" w:cs="Arial" w:eastAsia="Arial" w:hAnsi="Arial"/>
          <w:sz w:val="18"/>
          <w:szCs w:val="18"/>
          <w:color w:val="auto"/>
        </w:rPr>
        <w:t>Upon any termination of employment for any reason, Executive shall immediately resign from all Board memberships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with the Company or any of its subsidiaries held by him at such time.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Compensation Following Termination of Employment.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event that Executive’s employment hereunder is terminated in a manner as set forth in Section 5 above, Executive shall be entitled to the compensation and benefits provided under this Section 6, in each case subject to potential reduction as may be required by Section 22, as applicable to the form of termination:</w:t>
      </w:r>
    </w:p>
    <w:p>
      <w:pPr>
        <w:spacing w:after="0" w:line="53" w:lineRule="exact"/>
        <w:rPr>
          <w:sz w:val="20"/>
          <w:szCs w:val="20"/>
          <w:color w:val="auto"/>
        </w:rPr>
      </w:pPr>
    </w:p>
    <w:p>
      <w:pPr>
        <w:ind w:firstLine="464"/>
        <w:spacing w:after="0" w:line="275" w:lineRule="auto"/>
        <w:tabs>
          <w:tab w:leader="none" w:pos="710"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Death. </w:t>
      </w:r>
      <w:r>
        <w:rPr>
          <w:rFonts w:ascii="Arial" w:cs="Arial" w:eastAsia="Arial" w:hAnsi="Arial"/>
          <w:sz w:val="18"/>
          <w:szCs w:val="18"/>
          <w:color w:val="auto"/>
        </w:rPr>
        <w:t>In the event that Executive’s employment is terminated by reason of Executive’s death, the Company shall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amounts to Executive’s beneficiary or estate:</w:t>
      </w:r>
    </w:p>
    <w:p>
      <w:pPr>
        <w:spacing w:after="0" w:line="44" w:lineRule="exact"/>
        <w:rPr>
          <w:rFonts w:ascii="Arial" w:cs="Arial" w:eastAsia="Arial" w:hAnsi="Arial"/>
          <w:sz w:val="18"/>
          <w:szCs w:val="18"/>
          <w:b w:val="1"/>
          <w:bCs w:val="1"/>
          <w:color w:val="auto"/>
        </w:rPr>
      </w:pPr>
    </w:p>
    <w:p>
      <w:pPr>
        <w:jc w:val="both"/>
        <w:ind w:left="900" w:hanging="446"/>
        <w:spacing w:after="0" w:line="298"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death, any accrued but unpaid expenses required to be reimbursed under this Agreement, any accrued but unused vacation to the date of employment termination, and any earned but unpaid bonuses for any prior calendar year. Executive shall also be eligible for a pro-rata bonus or incentive compensation payment for the calendar year of his employment termination to the extent such awards are made to other senior executives of the Company and paid at the same time as other senior executives are paid.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69" w:name="page70"/>
    <w:bookmarkEnd w:id="69"/>
    <w:p>
      <w:pPr>
        <w:ind w:left="880" w:hanging="446"/>
        <w:spacing w:after="0" w:line="330" w:lineRule="auto"/>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benefits accrued through the date of termination to which Executive may be entitled pursuant to the plans, policies and arrangements (including those referred to in Section 4(c) hereof), as determined and paid in accordance with the terms of such plans, policies and arrangements.</w:t>
      </w:r>
    </w:p>
    <w:p>
      <w:pPr>
        <w:spacing w:after="0" w:line="1" w:lineRule="exact"/>
        <w:rPr>
          <w:rFonts w:ascii="Arial" w:cs="Arial" w:eastAsia="Arial" w:hAnsi="Arial"/>
          <w:sz w:val="16"/>
          <w:szCs w:val="16"/>
          <w:color w:val="auto"/>
        </w:rPr>
      </w:pPr>
    </w:p>
    <w:p>
      <w:pPr>
        <w:ind w:left="-20" w:right="20" w:firstLine="464"/>
        <w:spacing w:after="0" w:line="275" w:lineRule="auto"/>
        <w:tabs>
          <w:tab w:leader="none" w:pos="704"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Total Disability. </w:t>
      </w:r>
      <w:r>
        <w:rPr>
          <w:rFonts w:ascii="Arial" w:cs="Arial" w:eastAsia="Arial" w:hAnsi="Arial"/>
          <w:sz w:val="18"/>
          <w:szCs w:val="18"/>
          <w:color w:val="auto"/>
        </w:rPr>
        <w:t>In the event that Executive’s employment is terminated by the Company by reason of Executive’s Total</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(as determined in accordance with Section 5(b)), the Company shall pay the following amounts to Executive:</w:t>
      </w:r>
    </w:p>
    <w:p>
      <w:pPr>
        <w:spacing w:after="0" w:line="45" w:lineRule="exact"/>
        <w:rPr>
          <w:sz w:val="20"/>
          <w:szCs w:val="20"/>
          <w:color w:val="auto"/>
        </w:rPr>
      </w:pPr>
    </w:p>
    <w:p>
      <w:pPr>
        <w:jc w:val="both"/>
        <w:ind w:left="880" w:hanging="446"/>
        <w:spacing w:after="0" w:line="298" w:lineRule="auto"/>
        <w:tabs>
          <w:tab w:leader="none" w:pos="8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 Executive shall also be eligible for a pro-rata bonus or incentive compensation payment for the calendar year of his employment termination to the extent such awards are made to other senior executives of the Company and paid at the same time as other senior executives are paid.</w:t>
      </w:r>
    </w:p>
    <w:p>
      <w:pPr>
        <w:spacing w:after="0" w:line="31" w:lineRule="exact"/>
        <w:rPr>
          <w:rFonts w:ascii="Arial" w:cs="Arial" w:eastAsia="Arial" w:hAnsi="Arial"/>
          <w:sz w:val="16"/>
          <w:szCs w:val="16"/>
          <w:color w:val="auto"/>
        </w:rPr>
      </w:pPr>
    </w:p>
    <w:p>
      <w:pPr>
        <w:ind w:left="880" w:hanging="446"/>
        <w:spacing w:after="0" w:line="330" w:lineRule="auto"/>
        <w:tabs>
          <w:tab w:leader="none" w:pos="8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benefits accrued through the date of termination to which Executive may be entitled pursuant to the plans, policies and arrangements (including those referred to in Section 4(c) hereof) shall be determined and paid in accordance with the terms of such plans, policies and arrangements.</w:t>
      </w:r>
    </w:p>
    <w:p>
      <w:pPr>
        <w:spacing w:after="0" w:line="1" w:lineRule="exact"/>
        <w:rPr>
          <w:sz w:val="20"/>
          <w:szCs w:val="20"/>
          <w:color w:val="auto"/>
        </w:rPr>
      </w:pPr>
    </w:p>
    <w:p>
      <w:pPr>
        <w:ind w:left="-20" w:firstLine="464"/>
        <w:spacing w:after="0" w:line="275" w:lineRule="auto"/>
        <w:tabs>
          <w:tab w:leader="none" w:pos="693"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In the event that Executive’s employment is terminated by the Company for Cause, the Company shall pay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to Executive:</w:t>
      </w:r>
    </w:p>
    <w:p>
      <w:pPr>
        <w:spacing w:after="0" w:line="44" w:lineRule="exact"/>
        <w:rPr>
          <w:rFonts w:ascii="Arial" w:cs="Arial" w:eastAsia="Arial" w:hAnsi="Arial"/>
          <w:sz w:val="18"/>
          <w:szCs w:val="18"/>
          <w:b w:val="1"/>
          <w:bCs w:val="1"/>
          <w:color w:val="auto"/>
        </w:rPr>
      </w:pPr>
    </w:p>
    <w:p>
      <w:pPr>
        <w:ind w:left="880" w:right="20" w:hanging="446"/>
        <w:spacing w:after="0" w:line="332" w:lineRule="auto"/>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4" w:lineRule="exact"/>
        <w:rPr>
          <w:rFonts w:ascii="Arial" w:cs="Arial" w:eastAsia="Arial" w:hAnsi="Arial"/>
          <w:sz w:val="16"/>
          <w:szCs w:val="16"/>
          <w:color w:val="auto"/>
        </w:rPr>
      </w:pPr>
    </w:p>
    <w:p>
      <w:pPr>
        <w:jc w:val="both"/>
        <w:ind w:left="880" w:hanging="446"/>
        <w:spacing w:after="0" w:line="259"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benefits accrued through the date of termination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53" w:lineRule="exact"/>
        <w:rPr>
          <w:rFonts w:ascii="Arial" w:cs="Arial" w:eastAsia="Arial" w:hAnsi="Arial"/>
          <w:sz w:val="18"/>
          <w:szCs w:val="18"/>
          <w:color w:val="auto"/>
        </w:rPr>
      </w:pPr>
    </w:p>
    <w:p>
      <w:pPr>
        <w:ind w:left="-20" w:firstLine="464"/>
        <w:spacing w:after="0" w:line="275" w:lineRule="auto"/>
        <w:tabs>
          <w:tab w:leader="none" w:pos="698"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In the event that Executive voluntarily terminates employment other than for Good Reason,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pay the following amounts to Executive:</w:t>
      </w:r>
    </w:p>
    <w:p>
      <w:pPr>
        <w:spacing w:after="0" w:line="45" w:lineRule="exact"/>
        <w:rPr>
          <w:sz w:val="20"/>
          <w:szCs w:val="20"/>
          <w:color w:val="auto"/>
        </w:rPr>
      </w:pPr>
    </w:p>
    <w:p>
      <w:pPr>
        <w:ind w:left="880" w:right="20" w:hanging="446"/>
        <w:spacing w:after="0" w:line="332" w:lineRule="auto"/>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4" w:lineRule="exact"/>
        <w:rPr>
          <w:rFonts w:ascii="Arial" w:cs="Arial" w:eastAsia="Arial" w:hAnsi="Arial"/>
          <w:sz w:val="16"/>
          <w:szCs w:val="16"/>
          <w:color w:val="auto"/>
        </w:rPr>
      </w:pPr>
    </w:p>
    <w:p>
      <w:pPr>
        <w:ind w:left="880" w:hanging="446"/>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benefits accrued through the date of termination to which Executive may be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70" w:name="page71"/>
    <w:bookmarkEnd w:id="70"/>
    <w:p>
      <w:pPr>
        <w:ind w:left="9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entitled pursuant to the plans, policies and arrangements (including those referred to in Section 4(c) hereof up to the date of termination) shall be determined and paid in accordance with the terms of such plans, policies and arrangements.</w:t>
      </w:r>
    </w:p>
    <w:p>
      <w:pPr>
        <w:spacing w:after="0" w:line="45" w:lineRule="exact"/>
        <w:rPr>
          <w:sz w:val="20"/>
          <w:szCs w:val="20"/>
          <w:color w:val="auto"/>
        </w:rPr>
      </w:pPr>
    </w:p>
    <w:p>
      <w:pPr>
        <w:jc w:val="both"/>
        <w:ind w:firstLine="464"/>
        <w:spacing w:after="0" w:line="258" w:lineRule="auto"/>
        <w:tabs>
          <w:tab w:leader="none" w:pos="720"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Outside a Change in Control Period; Termination by Executive for Good Reason Outside a Change in Control Period. </w:t>
      </w:r>
      <w:r>
        <w:rPr>
          <w:rFonts w:ascii="Arial" w:cs="Arial" w:eastAsia="Arial" w:hAnsi="Arial"/>
          <w:sz w:val="18"/>
          <w:szCs w:val="18"/>
          <w:color w:val="auto"/>
        </w:rPr>
        <w:t>In the event that Executive’s employment is terminated by the Company outside a Change in Control Period (as defined in Section 7</w:t>
      </w:r>
      <w:r>
        <w:rPr>
          <w:rFonts w:ascii="Arial" w:cs="Arial" w:eastAsia="Arial" w:hAnsi="Arial"/>
          <w:sz w:val="18"/>
          <w:szCs w:val="18"/>
          <w:b w:val="1"/>
          <w:bCs w:val="1"/>
          <w:color w:val="auto"/>
        </w:rPr>
        <w:t xml:space="preserve"> </w:t>
      </w:r>
      <w:r>
        <w:rPr>
          <w:rFonts w:ascii="Arial" w:cs="Arial" w:eastAsia="Arial" w:hAnsi="Arial"/>
          <w:sz w:val="18"/>
          <w:szCs w:val="18"/>
          <w:color w:val="auto"/>
        </w:rPr>
        <w:t>below) for reasons other than death, Total Disability or Cause, or Executive terminates his employment for Good Reason outside of a Change in Control Period, the Company shall pay the following amounts to Executive:</w:t>
      </w:r>
    </w:p>
    <w:p>
      <w:pPr>
        <w:spacing w:after="0" w:line="61" w:lineRule="exact"/>
        <w:rPr>
          <w:rFonts w:ascii="Arial" w:cs="Arial" w:eastAsia="Arial" w:hAnsi="Arial"/>
          <w:sz w:val="18"/>
          <w:szCs w:val="18"/>
          <w:b w:val="1"/>
          <w:bCs w:val="1"/>
          <w:color w:val="auto"/>
        </w:rPr>
      </w:pPr>
    </w:p>
    <w:p>
      <w:pPr>
        <w:ind w:left="900" w:right="20" w:hanging="446"/>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4" w:lineRule="exact"/>
        <w:rPr>
          <w:rFonts w:ascii="Arial" w:cs="Arial" w:eastAsia="Arial" w:hAnsi="Arial"/>
          <w:sz w:val="16"/>
          <w:szCs w:val="16"/>
          <w:color w:val="auto"/>
        </w:rPr>
      </w:pPr>
    </w:p>
    <w:p>
      <w:pPr>
        <w:ind w:left="900" w:hanging="446"/>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benefits accrued through the date of termination to which Executive may be entitled pursuant to the plans, policies and arrangements referred to in Section 4(c) hereof shall be determined and paid in accordance with the terms of such plans, policies and arrangements.</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to Executive’s execution of the Release (as defined in Section 7), Executive shall be eligible for a bonus or incentive compensation payment, at the same time, on the same basis, and to the same extent payments are made to senior executives of the Company, pro-rated for the fiscal year in which the Executive’s employment is terminated.</w:t>
      </w:r>
    </w:p>
    <w:p>
      <w:pPr>
        <w:spacing w:after="0" w:line="59" w:lineRule="exact"/>
        <w:rPr>
          <w:rFonts w:ascii="Arial" w:cs="Arial" w:eastAsia="Arial" w:hAnsi="Arial"/>
          <w:sz w:val="18"/>
          <w:szCs w:val="18"/>
          <w:color w:val="auto"/>
        </w:rPr>
      </w:pPr>
    </w:p>
    <w:p>
      <w:pPr>
        <w:jc w:val="both"/>
        <w:ind w:left="900" w:hanging="446"/>
        <w:spacing w:after="0" w:line="318" w:lineRule="auto"/>
        <w:tabs>
          <w:tab w:leader="none" w:pos="9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Subject to Executive’s execution of the Release (as defined in Section 7), an amount equal to two (2) times the sum of Executive’s Base Salary plus his Target Annual Bonus (in each case, as then in effect), of which one-half of such amount shall be paid in a lump sum within the calendar quarter in which the 60</w:t>
      </w:r>
      <w:r>
        <w:rPr>
          <w:rFonts w:ascii="Arial" w:cs="Arial" w:eastAsia="Arial" w:hAnsi="Arial"/>
          <w:sz w:val="10"/>
          <w:szCs w:val="10"/>
          <w:color w:val="auto"/>
        </w:rPr>
        <w:t>th</w:t>
      </w:r>
      <w:r>
        <w:rPr>
          <w:rFonts w:ascii="Arial" w:cs="Arial" w:eastAsia="Arial" w:hAnsi="Arial"/>
          <w:sz w:val="15"/>
          <w:szCs w:val="15"/>
          <w:color w:val="auto"/>
        </w:rPr>
        <w:t xml:space="preserve"> day following Executive’s employment termination date falls and one-half of such amount shall be paid during the two (2) year period beginning in the calendar quarter within which the 60</w:t>
      </w:r>
      <w:r>
        <w:rPr>
          <w:rFonts w:ascii="Arial" w:cs="Arial" w:eastAsia="Arial" w:hAnsi="Arial"/>
          <w:sz w:val="10"/>
          <w:szCs w:val="10"/>
          <w:color w:val="auto"/>
        </w:rPr>
        <w:t>th</w:t>
      </w:r>
      <w:r>
        <w:rPr>
          <w:rFonts w:ascii="Arial" w:cs="Arial" w:eastAsia="Arial" w:hAnsi="Arial"/>
          <w:sz w:val="15"/>
          <w:szCs w:val="15"/>
          <w:color w:val="auto"/>
        </w:rPr>
        <w:t xml:space="preserve"> day following Executive’s employment termination date falls and continuing at the same time and in the same manner as Base Salary would have been paid if Executive had remained in active employment until the end of such period.</w:t>
      </w:r>
    </w:p>
    <w:p>
      <w:pPr>
        <w:spacing w:after="0" w:line="18" w:lineRule="exact"/>
        <w:rPr>
          <w:rFonts w:ascii="Arial" w:cs="Arial" w:eastAsia="Arial" w:hAnsi="Arial"/>
          <w:sz w:val="15"/>
          <w:szCs w:val="15"/>
          <w:color w:val="auto"/>
        </w:rPr>
      </w:pPr>
    </w:p>
    <w:p>
      <w:pPr>
        <w:jc w:val="both"/>
        <w:ind w:left="900" w:hanging="446"/>
        <w:spacing w:after="0" w:line="284"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Subject to Executive’s execution of the Release (as defined in Section 7) and Executive’s completion of required enrollment elections, the Company will continue for Executive and Executive’s spouse and eligible dependents coverage under the Company’s health benefit plan and disability benefit plans, in which Executive was a participant at any time during the twelve-month period prior to the date of termination, until the earliest to occur of</w:t>
      </w:r>
    </w:p>
    <w:p>
      <w:pPr>
        <w:spacing w:after="0" w:line="1" w:lineRule="exact"/>
        <w:rPr>
          <w:rFonts w:ascii="Arial" w:cs="Arial" w:eastAsia="Arial" w:hAnsi="Arial"/>
          <w:sz w:val="16"/>
          <w:szCs w:val="16"/>
          <w:color w:val="auto"/>
        </w:rPr>
      </w:pPr>
    </w:p>
    <w:p>
      <w:pPr>
        <w:ind w:left="900" w:hanging="1"/>
        <w:spacing w:after="0" w:line="261" w:lineRule="auto"/>
        <w:tabs>
          <w:tab w:leader="none" w:pos="1203" w:val="left"/>
        </w:tabs>
        <w:numPr>
          <w:ilvl w:val="2"/>
          <w:numId w:val="47"/>
        </w:numPr>
        <w:rPr>
          <w:rFonts w:ascii="Arial" w:cs="Arial" w:eastAsia="Arial" w:hAnsi="Arial"/>
          <w:sz w:val="18"/>
          <w:szCs w:val="18"/>
          <w:color w:val="auto"/>
        </w:rPr>
      </w:pPr>
      <w:r>
        <w:rPr>
          <w:rFonts w:ascii="Arial" w:cs="Arial" w:eastAsia="Arial" w:hAnsi="Arial"/>
          <w:sz w:val="18"/>
          <w:szCs w:val="18"/>
          <w:color w:val="auto"/>
        </w:rPr>
        <w:t>twenty-four (24) months after the employment termination date; (B) Executive’s death (provided that benefits provided to Executive’s spouse and dependents shall not terminate until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1" w:name="page72"/>
    <w:bookmarkEnd w:id="71"/>
    <w:p>
      <w:pPr>
        <w:jc w:val="both"/>
        <w:ind w:left="9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twenty-four (24) months after the employment termination date); or (C) with respect to any particular plan, the date Executive becomes eligible to participate in a comparable benefit provided by a subsequent employer. In the event that Executive’s continued participation in any such Company plan is prohibited, the Company will arrange to provide Executive with benefits substantially similar to those which Executive would have been entitled to receive under this paragraph on a basis which provides Executive with no additional after-tax cost.</w:t>
      </w:r>
    </w:p>
    <w:p>
      <w:pPr>
        <w:spacing w:after="0" w:line="26" w:lineRule="exact"/>
        <w:rPr>
          <w:sz w:val="20"/>
          <w:szCs w:val="20"/>
          <w:color w:val="auto"/>
        </w:rPr>
      </w:pPr>
    </w:p>
    <w:p>
      <w:pPr>
        <w:jc w:val="both"/>
        <w:ind w:firstLine="464"/>
        <w:spacing w:after="0" w:line="262" w:lineRule="auto"/>
        <w:tabs>
          <w:tab w:leader="none" w:pos="700" w:val="left"/>
        </w:tabs>
        <w:numPr>
          <w:ilvl w:val="1"/>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Suspension and Refund of Termination Benefits for Subsequently Discovered Cause. </w:t>
      </w:r>
      <w:r>
        <w:rPr>
          <w:rFonts w:ascii="Arial" w:cs="Arial" w:eastAsia="Arial" w:hAnsi="Arial"/>
          <w:sz w:val="18"/>
          <w:szCs w:val="18"/>
          <w:color w:val="auto"/>
        </w:rPr>
        <w:t>Notwithstanding any provision of this Agreement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 if within one (1) year of Executive’s employment termination date for any reason other than for Cause, it is determined by the Company that Executive could have been terminated for Cause, then to the extent permitted by law:</w:t>
      </w:r>
    </w:p>
    <w:p>
      <w:pPr>
        <w:spacing w:after="0" w:line="57" w:lineRule="exact"/>
        <w:rPr>
          <w:rFonts w:ascii="Arial" w:cs="Arial" w:eastAsia="Arial" w:hAnsi="Arial"/>
          <w:sz w:val="18"/>
          <w:szCs w:val="18"/>
          <w:b w:val="1"/>
          <w:bCs w:val="1"/>
          <w:color w:val="auto"/>
        </w:rPr>
      </w:pPr>
    </w:p>
    <w:p>
      <w:pPr>
        <w:ind w:left="900" w:right="2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may elect to cancel any and all payments of any benefits otherwise due Executive, but not yet paid, under this Agreement or otherwise; and</w:t>
      </w:r>
    </w:p>
    <w:p>
      <w:pPr>
        <w:spacing w:after="0" w:line="50" w:lineRule="exact"/>
        <w:rPr>
          <w:rFonts w:ascii="Arial" w:cs="Arial" w:eastAsia="Arial" w:hAnsi="Arial"/>
          <w:sz w:val="18"/>
          <w:szCs w:val="18"/>
          <w:color w:val="auto"/>
        </w:rPr>
      </w:pPr>
    </w:p>
    <w:p>
      <w:pPr>
        <w:jc w:val="both"/>
        <w:ind w:left="900" w:hanging="446"/>
        <w:spacing w:after="0" w:line="25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written demand by the Company, Executive shall refund to the Company any amounts, plus interest, previously paid by Company to Executive pursuant to Subsections 6(e)(iii), 6(e)(iv) or 6(e)(v), less one thousand dollars ($1,000) which Executive shall be entitled to retain as fully sufficient consideration to support and maintain in effect any contractual obligations that Executive has to the Company prior to the refund, including the Release as defined herein.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Resignation by Executive for Good Reason or Termination by Company Without Cause During a Change in Control Period.</w:t>
      </w:r>
    </w:p>
    <w:p>
      <w:pPr>
        <w:spacing w:after="0" w:line="90" w:lineRule="exact"/>
        <w:rPr>
          <w:sz w:val="20"/>
          <w:szCs w:val="20"/>
          <w:color w:val="auto"/>
        </w:rPr>
      </w:pPr>
    </w:p>
    <w:p>
      <w:pPr>
        <w:ind w:left="720" w:hanging="256"/>
        <w:spacing w:after="0"/>
        <w:tabs>
          <w:tab w:leader="none" w:pos="720" w:val="left"/>
        </w:tabs>
        <w:numPr>
          <w:ilvl w:val="2"/>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Certain Terminations During a Change in Control Period. </w:t>
      </w:r>
      <w:r>
        <w:rPr>
          <w:rFonts w:ascii="Arial" w:cs="Arial" w:eastAsia="Arial" w:hAnsi="Arial"/>
          <w:sz w:val="16"/>
          <w:szCs w:val="16"/>
          <w:color w:val="auto"/>
        </w:rPr>
        <w:t>Subject to reduction required by Section 22, in the event a Change in Control occurs and</w:t>
      </w:r>
    </w:p>
    <w:p>
      <w:pPr>
        <w:spacing w:after="0" w:line="44" w:lineRule="exact"/>
        <w:rPr>
          <w:rFonts w:ascii="Arial" w:cs="Arial" w:eastAsia="Arial" w:hAnsi="Arial"/>
          <w:sz w:val="16"/>
          <w:szCs w:val="16"/>
          <w:b w:val="1"/>
          <w:bCs w:val="1"/>
          <w:color w:val="auto"/>
        </w:rPr>
      </w:pPr>
    </w:p>
    <w:p>
      <w:pPr>
        <w:jc w:val="both"/>
        <w:ind w:firstLine="8"/>
        <w:spacing w:after="0" w:line="255" w:lineRule="auto"/>
        <w:tabs>
          <w:tab w:leader="none" w:pos="2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Executive terminates his employment for Good Reason during a Change in Control Period, or (y) the Company terminates Executive’s employment without Cause (and for reason other than Death of Total Disability) during a Change in Control Period, the Company shall, subject to Executive’s execution of the Release (as defined in this Section 7), pay the following amounts to Executive:</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payments and benefits provided for in Section 6(e)(iv) and (v) in the same form as provided for therein.</w:t>
      </w:r>
    </w:p>
    <w:p>
      <w:pPr>
        <w:spacing w:after="0" w:line="9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Executive shall also receive a bonus or incentive compensation payment for the calendar year of the employment termination, payable at 100% of the maximum bonus available to Executive, pro-rated as of the employment termination date. Such bonus payment shall be payable within five (5) days after the later of the effective date of Executive’s termination or the Change in Control.</w:t>
      </w:r>
    </w:p>
    <w:p>
      <w:pPr>
        <w:spacing w:after="0" w:line="53" w:lineRule="exact"/>
        <w:rPr>
          <w:rFonts w:ascii="Arial" w:cs="Arial" w:eastAsia="Arial" w:hAnsi="Arial"/>
          <w:sz w:val="18"/>
          <w:szCs w:val="18"/>
          <w:color w:val="auto"/>
        </w:rPr>
      </w:pPr>
    </w:p>
    <w:p>
      <w:pPr>
        <w:ind w:left="720" w:hanging="256"/>
        <w:spacing w:after="0"/>
        <w:tabs>
          <w:tab w:leader="none" w:pos="720" w:val="left"/>
        </w:tabs>
        <w:numPr>
          <w:ilvl w:val="2"/>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90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purposes of this Agreement, “Change in Control” means the first to occur on or after the date on which this Agreement is first signed, the occurrence of any of the following events: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72" w:name="page73"/>
    <w:bookmarkEnd w:id="72"/>
    <w:p>
      <w:pPr>
        <w:jc w:val="both"/>
        <w:ind w:left="1026" w:hanging="567"/>
        <w:spacing w:after="0" w:line="256" w:lineRule="auto"/>
        <w:tabs>
          <w:tab w:leader="none" w:pos="1026" w:val="left"/>
        </w:tabs>
        <w:numPr>
          <w:ilvl w:val="1"/>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Person, or Persons acting as a group (within the meaning of Section 409A of the Internal Revenue Code), directly or indirectly, including by purchases, mergers, consolidation or otherwise, acquires ownership of securities of the Company that, together with stock held by such Person or Persons, represents fifty percent (50%) or more of the total voting power or total fair market value of the Company’s then outstanding securities;</w:t>
      </w:r>
    </w:p>
    <w:p>
      <w:pPr>
        <w:spacing w:after="0" w:line="62" w:lineRule="exact"/>
        <w:rPr>
          <w:rFonts w:ascii="Arial" w:cs="Arial" w:eastAsia="Arial" w:hAnsi="Arial"/>
          <w:sz w:val="18"/>
          <w:szCs w:val="18"/>
          <w:color w:val="auto"/>
        </w:rPr>
      </w:pPr>
    </w:p>
    <w:p>
      <w:pPr>
        <w:jc w:val="both"/>
        <w:ind w:left="1026" w:hanging="567"/>
        <w:spacing w:after="0" w:line="256" w:lineRule="auto"/>
        <w:tabs>
          <w:tab w:leader="none" w:pos="1026"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of the Internal Revenue Code), acquires, (or has acquired during the 12-month period ending on the date of the most recent acquisition by such Person or Persons) directly or indirectly, including by purchases, merger, consolidation or otherwise, ownership of the securities of the Company that represent thirty percent (30%) or more of the total voting power of the Company’s then outstanding voting securities;</w:t>
      </w:r>
    </w:p>
    <w:p>
      <w:pPr>
        <w:spacing w:after="0" w:line="62" w:lineRule="exact"/>
        <w:rPr>
          <w:rFonts w:ascii="Arial" w:cs="Arial" w:eastAsia="Arial" w:hAnsi="Arial"/>
          <w:sz w:val="18"/>
          <w:szCs w:val="18"/>
          <w:color w:val="auto"/>
        </w:rPr>
      </w:pPr>
    </w:p>
    <w:p>
      <w:pPr>
        <w:jc w:val="both"/>
        <w:ind w:left="1026" w:hanging="567"/>
        <w:spacing w:after="0" w:line="291" w:lineRule="auto"/>
        <w:tabs>
          <w:tab w:leader="none" w:pos="1026"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then serving during any 12-month period: individuals who, at the beginning of the 12-month period,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w:t>
      </w:r>
    </w:p>
    <w:p>
      <w:pPr>
        <w:spacing w:after="0" w:line="39" w:lineRule="exact"/>
        <w:rPr>
          <w:rFonts w:ascii="Arial" w:cs="Arial" w:eastAsia="Arial" w:hAnsi="Arial"/>
          <w:sz w:val="16"/>
          <w:szCs w:val="16"/>
          <w:color w:val="auto"/>
        </w:rPr>
      </w:pPr>
    </w:p>
    <w:p>
      <w:pPr>
        <w:jc w:val="both"/>
        <w:ind w:left="1026" w:hanging="567"/>
        <w:spacing w:after="0" w:line="291" w:lineRule="auto"/>
        <w:tabs>
          <w:tab w:leader="none" w:pos="1026" w:val="left"/>
        </w:tabs>
        <w:numPr>
          <w:ilvl w:val="1"/>
          <w:numId w:val="53"/>
        </w:numPr>
        <w:rPr>
          <w:rFonts w:ascii="Arial" w:cs="Arial" w:eastAsia="Arial" w:hAnsi="Arial"/>
          <w:sz w:val="16"/>
          <w:szCs w:val="16"/>
          <w:color w:val="auto"/>
        </w:rPr>
      </w:pPr>
      <w:r>
        <w:rPr>
          <w:rFonts w:ascii="Arial" w:cs="Arial" w:eastAsia="Arial" w:hAnsi="Arial"/>
          <w:sz w:val="16"/>
          <w:szCs w:val="16"/>
          <w:color w:val="auto"/>
        </w:rPr>
        <w:t>a Person or Persons acting as a group acquires (or has acquired during the 12-month period ending on the date of the most recent acquisition by such Person or Persons) assets from the Company that have a total gross fair market value equal to or more than forty percent (40%) of the total gross fair market value of all of the assets of the Company immediately before such acquisition or acquisitions, other than a sale or disposition by the Company of such assets to an entity, at least fifty percent (50%) of the combined voting power of the voting securities of which are owned by the Company or by the stockholders of the Company in substantially the same proportions as their ownership of the Company immediately prior to such sale.</w:t>
      </w:r>
    </w:p>
    <w:p>
      <w:pPr>
        <w:spacing w:after="0" w:line="39" w:lineRule="exact"/>
        <w:rPr>
          <w:rFonts w:ascii="Arial" w:cs="Arial" w:eastAsia="Arial" w:hAnsi="Arial"/>
          <w:sz w:val="16"/>
          <w:szCs w:val="16"/>
          <w:color w:val="auto"/>
        </w:rPr>
      </w:pPr>
    </w:p>
    <w:p>
      <w:pPr>
        <w:ind w:left="446" w:hanging="446"/>
        <w:spacing w:after="0" w:line="332" w:lineRule="auto"/>
        <w:tabs>
          <w:tab w:leader="none" w:pos="446"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 purposes of this Agreement, “Change in Control Period” means the period commencing on the date occurring six months immediately prior to the date on which a Change in Control occurs and ending on the second anniversary of the date on which a Change in Control occurs.</w:t>
      </w:r>
    </w:p>
    <w:p>
      <w:pPr>
        <w:spacing w:after="0" w:line="4" w:lineRule="exact"/>
        <w:rPr>
          <w:rFonts w:ascii="Arial" w:cs="Arial" w:eastAsia="Arial" w:hAnsi="Arial"/>
          <w:sz w:val="16"/>
          <w:szCs w:val="16"/>
          <w:color w:val="auto"/>
        </w:rPr>
      </w:pPr>
    </w:p>
    <w:p>
      <w:pPr>
        <w:ind w:left="446" w:hanging="446"/>
        <w:spacing w:after="0"/>
        <w:tabs>
          <w:tab w:leader="none" w:pos="4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purposes of this Agreement, “Exchange Act” means the Securities and Exchange Act of 1934, as amended from time to time.</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6"/>
          </w:cols>
          <w:pgMar w:left="694" w:top="280" w:right="239" w:bottom="1440" w:gutter="0" w:footer="0" w:header="0"/>
        </w:sectPr>
      </w:pPr>
    </w:p>
    <w:bookmarkStart w:id="73" w:name="page74"/>
    <w:bookmarkEnd w:id="73"/>
    <w:p>
      <w:pPr>
        <w:jc w:val="both"/>
        <w:ind w:left="900" w:hanging="446"/>
        <w:spacing w:after="0" w:line="255"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Section 7, “Person”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 of the Company.</w:t>
      </w:r>
    </w:p>
    <w:p>
      <w:pPr>
        <w:spacing w:after="0" w:line="61" w:lineRule="exact"/>
        <w:rPr>
          <w:rFonts w:ascii="Arial" w:cs="Arial" w:eastAsia="Arial" w:hAnsi="Arial"/>
          <w:sz w:val="18"/>
          <w:szCs w:val="18"/>
          <w:color w:val="auto"/>
        </w:rPr>
      </w:pPr>
    </w:p>
    <w:p>
      <w:pPr>
        <w:jc w:val="both"/>
        <w:ind w:left="900" w:hanging="446"/>
        <w:spacing w:after="0" w:line="294"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For purposes of this Agreement, “Release” means that specific document which the Company shall present to Executive for consideration and execution after any applicable termination of employment, wherein if he agrees to such, he will irrevocably and unconditionally release and forever discharge the Company, it subsidiaries, affiliates and related parties from any and all causes of action which Executive at that time had or may have had against the Company (excluding any claim for indemnity under this Agreement, any claim under state workers’ compensation or unemployment laws, or any claim under the Consolidated Omnibus Budget Reconciliation Act of 1985 (“COBRA”)).</w:t>
      </w:r>
    </w:p>
    <w:p>
      <w:pPr>
        <w:spacing w:after="0" w:line="28" w:lineRule="exact"/>
        <w:rPr>
          <w:rFonts w:ascii="Arial" w:cs="Arial" w:eastAsia="Arial" w:hAnsi="Arial"/>
          <w:sz w:val="16"/>
          <w:szCs w:val="16"/>
          <w:color w:val="auto"/>
        </w:rPr>
      </w:pPr>
    </w:p>
    <w:p>
      <w:pPr>
        <w:jc w:val="both"/>
        <w:ind w:firstLine="464"/>
        <w:spacing w:after="0" w:line="258" w:lineRule="auto"/>
        <w:tabs>
          <w:tab w:leader="none" w:pos="640"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Other Benefits or Compensation. </w:t>
      </w:r>
      <w:r>
        <w:rPr>
          <w:rFonts w:ascii="Arial" w:cs="Arial" w:eastAsia="Arial" w:hAnsi="Arial"/>
          <w:sz w:val="18"/>
          <w:szCs w:val="18"/>
          <w:color w:val="auto"/>
        </w:rPr>
        <w:t>Except as may be provided under this Agreement, or under the terms of any incentive compensation,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or fringe benefit plan applicable to Executive at the time of Executive’s employment termination or resignation, Executive shall have no right to receive any other compensation, or to participate in any other plan, arrangement or benefit, with respect to future periods after such employment termination or resignation.</w:t>
      </w:r>
    </w:p>
    <w:p>
      <w:pPr>
        <w:spacing w:after="0" w:line="55" w:lineRule="exact"/>
        <w:rPr>
          <w:rFonts w:ascii="Arial" w:cs="Arial" w:eastAsia="Arial" w:hAnsi="Arial"/>
          <w:sz w:val="18"/>
          <w:szCs w:val="18"/>
          <w:b w:val="1"/>
          <w:bCs w:val="1"/>
          <w:color w:val="auto"/>
        </w:rPr>
      </w:pPr>
    </w:p>
    <w:p>
      <w:pPr>
        <w:jc w:val="both"/>
        <w:ind w:firstLine="464"/>
        <w:spacing w:after="0" w:line="262" w:lineRule="auto"/>
        <w:tabs>
          <w:tab w:leader="none" w:pos="639"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Mitigation. </w:t>
      </w:r>
      <w:r>
        <w:rPr>
          <w:rFonts w:ascii="Arial" w:cs="Arial" w:eastAsia="Arial" w:hAnsi="Arial"/>
          <w:sz w:val="18"/>
          <w:szCs w:val="18"/>
          <w:color w:val="auto"/>
        </w:rPr>
        <w:t>In the event of any termination of employment hereunder, Executive shall be under no obligation to seek other employment, and there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no offset against any amounts due Executive under this Agreement on account of any remuneration attributable to any subsequent employment that Executive may obtain.</w:t>
      </w:r>
    </w:p>
    <w:p>
      <w:pPr>
        <w:spacing w:after="0" w:line="51" w:lineRule="exact"/>
        <w:rPr>
          <w:rFonts w:ascii="Arial" w:cs="Arial" w:eastAsia="Arial" w:hAnsi="Arial"/>
          <w:sz w:val="18"/>
          <w:szCs w:val="18"/>
          <w:b w:val="1"/>
          <w:bCs w:val="1"/>
          <w:color w:val="auto"/>
        </w:rPr>
      </w:pPr>
    </w:p>
    <w:p>
      <w:pPr>
        <w:jc w:val="both"/>
        <w:ind w:firstLine="464"/>
        <w:spacing w:after="0" w:line="254" w:lineRule="auto"/>
        <w:tabs>
          <w:tab w:leader="none" w:pos="742"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Protective Covenants. </w:t>
      </w:r>
      <w:r>
        <w:rPr>
          <w:rFonts w:ascii="Arial" w:cs="Arial" w:eastAsia="Arial" w:hAnsi="Arial"/>
          <w:sz w:val="18"/>
          <w:szCs w:val="18"/>
          <w:color w:val="auto"/>
        </w:rPr>
        <w:t>In reliance upon Executive’s promise to abide by the various protective covenants and restrictions provided for below,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continue to provide Executive with one or more of the following: (i) portions of the Company’s Confidential Information (through a computer password or other means) and updates thereto; (ii) authorization to communicate with customers and prospective customers, and other business relationship providers, to help Executive develop goodwill for Company; and/or (iii) authorization to participate in specialized training related to Company’s business. Executive agrees that each of Executive’s covenants in Section 10 of this Agreement (the “Protective Covenants”) is reasonable and necessary to protect a legitimate business interest of the Company, and that no one restriction or obligation (such as the confidentiality obligations) would be sufficient to protect the Company’s interests standing alone due to the variety of different interests involved, the difficulty of identifying and addressing a breach before irreparable harm has occurred, and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74" w:name="page75"/>
    <w:bookmarkEnd w:id="74"/>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need to prevent irreparable harm. Employee understands and agrees that one purpose of this Agreement is to enhance, maintain, and not diminish, all common law and contract protections that have been in effect for the parties concerning Confidential Information that Employee has received in the past. In addition, Executive agrees that any and all rights Executive may have to incentive compensation, stock or stock-related compensation, and/or severance compensation, whether provided for in this Agreement or elsewhere, are provided in reliance upon Executive’s agreement to abide by and not challenge the validity of the Protective Covenants described below.</w:t>
      </w:r>
    </w:p>
    <w:p>
      <w:pPr>
        <w:spacing w:after="0" w:line="56" w:lineRule="exact"/>
        <w:rPr>
          <w:sz w:val="20"/>
          <w:szCs w:val="20"/>
          <w:color w:val="auto"/>
        </w:rPr>
      </w:pPr>
    </w:p>
    <w:p>
      <w:pPr>
        <w:jc w:val="both"/>
        <w:ind w:firstLine="464"/>
        <w:spacing w:after="0" w:line="284" w:lineRule="auto"/>
        <w:tabs>
          <w:tab w:leader="none" w:pos="741"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Company Property, Computer Systems, and Inventions</w:t>
      </w:r>
      <w:r>
        <w:rPr>
          <w:rFonts w:ascii="Arial" w:cs="Arial" w:eastAsia="Arial" w:hAnsi="Arial"/>
          <w:sz w:val="16"/>
          <w:szCs w:val="16"/>
          <w:color w:val="auto"/>
        </w:rPr>
        <w:t>. All written materials, records, data, and other documents prepared or possessed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Executive during Executive’s employment with the Company are the Company’s property. Executive understands that access to the Company’s computer systems is authorized for activities that are consistent with the business purposes of the Company, that benefit the Company (consistent with Company policies and/or guidelines as they may be modified from time to time), and that do not knowingly cause harm to the Company. The use of the Company computer systems to pursue a competing enterprise, or prepare to compete with the Company, is unauthorized and strictly prohibited. All information, ideas, concepts, improvements, discoveries, and inventions that are conceived, made, developed, or acquired by Executive individually or in conjunction with others during Executive’s employment (whether during business hours or not and whether on the Company’s premises or not) which relate to or are derived from the Company’s business, products, property, resources or services are the Company’s sole and exclusive property. Executive does hereby grant and assign to the Company (or its nominee) Executive’s entire right, title and interest in and to all inventions, original works of authorship, developments, concepts, improvements, designs, discoveries, and ideas of commercial use or value that either: (i) relate to the Company’s business, or actual or demonstrably anticipated research or development activity of the Company; or (ii) are derived from, suggested by, or result of work performed for the Company, or were created, discovered, or conceived with the aid of Company property (“Company IP”). While employed, and as necessary thereafter, Executive will assist Company to obtain patents or copyrights on Company IP, and will upon request execute all documents and otherwise cooperate in the Company’s efforts to obtain the copyrights, patents, licenses, and other rights and interests that would be necessary to secure for the Company the complete benefit of Company IP. To the extent state law where Executive resides requires it (such as under Cal. Lab. Code, § 2870, or comparable laws), Executive is notified that </w:t>
      </w:r>
      <w:r>
        <w:rPr>
          <w:rFonts w:ascii="Arial" w:cs="Arial" w:eastAsia="Arial" w:hAnsi="Arial"/>
          <w:sz w:val="16"/>
          <w:szCs w:val="16"/>
          <w:b w:val="1"/>
          <w:bCs w:val="1"/>
          <w:color w:val="auto"/>
        </w:rPr>
        <w:t>no provision in this Agreement requires Executive to assign any of rights 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an invention for which no equipment, supplies, facility, or trade secret information of the Company was used and which was developed entirely on Executive’s own time, unless (i) the invention relates at the time of conception or reduction to practice of the invention, (A) to the business of the Company, or (B) to the Company’s actual or demonstrably anticipated research or development, or (ii) the invention results from any work performed by Executive for the Company. </w:t>
      </w:r>
      <w:r>
        <w:rPr>
          <w:rFonts w:ascii="Arial" w:cs="Arial" w:eastAsia="Arial" w:hAnsi="Arial"/>
          <w:sz w:val="16"/>
          <w:szCs w:val="16"/>
          <w:color w:val="auto"/>
        </w:rPr>
        <w:t>This paragraph is intended to compliment and supplement, not replace, any additional written agreement(s) the parties may have</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Company IP.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 and shall not retain any copies of such property, in any form (tangible or intangible), without the express written consent of the Company.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75" w:name="page76"/>
    <w:bookmarkEnd w:id="75"/>
    <w:p>
      <w:pPr>
        <w:jc w:val="both"/>
        <w:ind w:firstLine="464"/>
        <w:spacing w:after="0" w:line="291" w:lineRule="auto"/>
        <w:tabs>
          <w:tab w:leader="none" w:pos="733"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Information; Non-Disclosure</w:t>
      </w:r>
      <w:r>
        <w:rPr>
          <w:rFonts w:ascii="Arial" w:cs="Arial" w:eastAsia="Arial" w:hAnsi="Arial"/>
          <w:sz w:val="16"/>
          <w:szCs w:val="16"/>
          <w:color w:val="auto"/>
        </w:rPr>
        <w:t>. Executive acknowledges that the business of the Company is highly competitive and that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is one where the Company will provide Executive with access to “Confidential Information” relating to the business of the Company and its affiliates. Executive further acknowledges that protection of such Confidential Information against unauthorized disclosure and use is of critical importance to the Company and its affiliates in maintaining their competitive advantage. Executive understands that it shall be his responsibility to handle and use “Confidential Information” in a manner that does not violate Company policies or knowingly cause harm to the Company. Accordingly, during employment and for so long thereafter as the information remains qualified as “Confidential Information,” Executive agrees to maintain the confidentiality of “Confidential Information” and not to engage in any unauthorized use or disclosure of such information.</w:t>
      </w:r>
    </w:p>
    <w:p>
      <w:pPr>
        <w:spacing w:after="0" w:line="38"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For purposes of this Agreement, “Confidential Information” refers to an item of information, or a compilation of information, in any form (tangible or intangible), related to the Company’s business that (i) the Company has not intentionally made public or authorized public disclosure of, and (ii) is not generally known to the public or to other persons who might obtain value or competitive advantage from its disclosure or use, through proper means. Confidential Information will not lose its protected status under this Agreement if it becomes known to the public or to other persons through improper means such as the unauthorized use or disclosure of the information by Executive or another person. Confidential Information includes, but is not limited to: (i) Market Business Strategy (MBS) data, the Company Transformation Change processes, MBS Plans, Business Improvement Process (BIP), Fleet Planning, Public Sector Pro-formas, Letters of Intent, Route Manager and District Manager Training Programs, internal information regarding acquisition targets, divestiture targets, and mergers, Real Estate Market Area Analysis Mapping and Real Estate Owned and Leased Property Data and Reporting; (ii) Company’s business plans and analysis, customer and prospect lists; compilations of names and other individualized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marketing plans and strategies, research and development data, buying practices, human resource information and personnel files (including salaries of management level personnel), financial data, operational data, methods, techniques, technical data, know-how, innovations, computer programs, un-patented inventions, and trade secrets; and (iii) information about the business affairs of third parties (including, but not limited to, clients and acquisition targets) that such third parties provide to Company in confidence.</w:t>
      </w:r>
    </w:p>
    <w:p>
      <w:pPr>
        <w:spacing w:after="0" w:line="4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Confidential Information will include trade secrets, but an item of Confidential Information need not qualify as a trade secret to be protected by this Agreement. Company’s confidential exchange of information with a third party for business purposes will not remove it from protection under this Agreement. Executive acknowledges that items of Confidential Information are Company’s valuable assets and have economic value, actual or potential, because they are not generally known by the public or others who could use them to their own economic benefit and/or to the competitive disadvantage of the Company, and thus, should be treated as Company’s trade secrets.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76" w:name="page77"/>
    <w:bookmarkEnd w:id="76"/>
    <w:p>
      <w:pPr>
        <w:jc w:val="both"/>
        <w:ind w:firstLine="464"/>
        <w:spacing w:after="0" w:line="291" w:lineRule="auto"/>
        <w:tabs>
          <w:tab w:leader="none" w:pos="722"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Unfair Competition Restrictions</w:t>
      </w:r>
      <w:r>
        <w:rPr>
          <w:rFonts w:ascii="Arial" w:cs="Arial" w:eastAsia="Arial" w:hAnsi="Arial"/>
          <w:sz w:val="16"/>
          <w:szCs w:val="16"/>
          <w:color w:val="auto"/>
        </w:rPr>
        <w:t>. Ancillary to the rights provided to Executive following employment termination, the Company’s provision of</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Information, specialized training, and/or goodwill support to Executive, and Executive’s agreements regarding the use of same, and in order to protect the value of any restricted stock, stock options, or other stock-related compensation,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Canada, the United Kingdom, or the People’s Republic of China (the “Restricted Area”) do the following, unless expressly authorized to do so in writing by the Chief Executive Officer of the Company:</w:t>
      </w:r>
    </w:p>
    <w:p>
      <w:pPr>
        <w:spacing w:after="0" w:line="38" w:lineRule="exact"/>
        <w:rPr>
          <w:sz w:val="20"/>
          <w:szCs w:val="20"/>
          <w:color w:val="auto"/>
        </w:rPr>
      </w:pPr>
    </w:p>
    <w:p>
      <w:pPr>
        <w:jc w:val="both"/>
        <w:ind w:left="1380" w:right="1380"/>
        <w:spacing w:after="0" w:line="284" w:lineRule="auto"/>
        <w:rPr>
          <w:sz w:val="20"/>
          <w:szCs w:val="20"/>
          <w:color w:val="auto"/>
        </w:rPr>
      </w:pPr>
      <w:r>
        <w:rPr>
          <w:rFonts w:ascii="Arial" w:cs="Arial" w:eastAsia="Arial" w:hAnsi="Arial"/>
          <w:sz w:val="16"/>
          <w:szCs w:val="16"/>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w:t>
      </w:r>
    </w:p>
    <w:p>
      <w:pPr>
        <w:spacing w:after="0" w:line="1" w:lineRule="exact"/>
        <w:rPr>
          <w:sz w:val="20"/>
          <w:szCs w:val="20"/>
          <w:color w:val="auto"/>
        </w:rPr>
      </w:pPr>
    </w:p>
    <w:p>
      <w:pPr>
        <w:jc w:val="both"/>
        <w:ind w:left="1380" w:right="1380" w:hanging="1"/>
        <w:spacing w:after="0" w:line="254" w:lineRule="auto"/>
        <w:tabs>
          <w:tab w:leader="none" w:pos="167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6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in writing to be of no material threat to the legitimate business interests of the Company.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77" w:name="page78"/>
    <w:bookmarkEnd w:id="77"/>
    <w:p>
      <w:pPr>
        <w:jc w:val="both"/>
        <w:ind w:firstLine="464"/>
        <w:spacing w:after="0" w:line="301" w:lineRule="auto"/>
        <w:tabs>
          <w:tab w:leader="none" w:pos="715"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Non-Solicitation of Customers</w:t>
      </w:r>
      <w:r>
        <w:rPr>
          <w:rFonts w:ascii="Arial" w:cs="Arial" w:eastAsia="Arial" w:hAnsi="Arial"/>
          <w:sz w:val="16"/>
          <w:szCs w:val="16"/>
          <w:color w:val="auto"/>
        </w:rPr>
        <w:t>. For the Restricted Term, Executive will not, in person or through the direction or control of others, call on, service, or</w:t>
      </w:r>
      <w:r>
        <w:rPr>
          <w:rFonts w:ascii="Arial" w:cs="Arial" w:eastAsia="Arial" w:hAnsi="Arial"/>
          <w:sz w:val="16"/>
          <w:szCs w:val="16"/>
          <w:b w:val="1"/>
          <w:bCs w:val="1"/>
          <w:color w:val="auto"/>
        </w:rPr>
        <w:t xml:space="preserve"> </w:t>
      </w:r>
      <w:r>
        <w:rPr>
          <w:rFonts w:ascii="Arial" w:cs="Arial" w:eastAsia="Arial" w:hAnsi="Arial"/>
          <w:sz w:val="16"/>
          <w:szCs w:val="16"/>
          <w:color w:val="auto"/>
        </w:rPr>
        <w:t>solicit competing business from a Covered Customer, or induce or encourage any such Covered Customer or other source of ongoing business to stop doing business with Company. A “Covered Customer” is any Company customer (person or entity) for which Executive had business-related contact or dealings with, or received Confidential Information about, in the two (2) year period preceding the termination of Executive’s employment with the Company for any reason.</w:t>
      </w:r>
    </w:p>
    <w:p>
      <w:pPr>
        <w:spacing w:after="0" w:line="22" w:lineRule="exact"/>
        <w:rPr>
          <w:rFonts w:ascii="Arial" w:cs="Arial" w:eastAsia="Arial" w:hAnsi="Arial"/>
          <w:sz w:val="16"/>
          <w:szCs w:val="16"/>
          <w:b w:val="1"/>
          <w:bCs w:val="1"/>
          <w:color w:val="auto"/>
        </w:rPr>
      </w:pPr>
    </w:p>
    <w:p>
      <w:pPr>
        <w:jc w:val="both"/>
        <w:ind w:firstLine="464"/>
        <w:spacing w:after="0" w:line="258" w:lineRule="auto"/>
        <w:tabs>
          <w:tab w:leader="none" w:pos="695"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Employees</w:t>
      </w:r>
      <w:r>
        <w:rPr>
          <w:rFonts w:ascii="Arial" w:cs="Arial" w:eastAsia="Arial" w:hAnsi="Arial"/>
          <w:sz w:val="18"/>
          <w:szCs w:val="18"/>
          <w:color w:val="auto"/>
        </w:rPr>
        <w:t>. During Executive’s employment, and for the Restricted Term, Executive will not, in person or through the direction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of others, call on, solicit, encourage, or induce any other employee or officer of the Company or its affiliates whom Executive had contact with, knowledge of, or association within the course of employment with the Company to terminate his or her employment, and will not assist any other person or entity in such a solicitation.</w:t>
      </w:r>
    </w:p>
    <w:p>
      <w:pPr>
        <w:spacing w:after="0" w:line="55" w:lineRule="exact"/>
        <w:rPr>
          <w:rFonts w:ascii="Arial" w:cs="Arial" w:eastAsia="Arial" w:hAnsi="Arial"/>
          <w:sz w:val="18"/>
          <w:szCs w:val="18"/>
          <w:b w:val="1"/>
          <w:bCs w:val="1"/>
          <w:color w:val="auto"/>
        </w:rPr>
      </w:pPr>
    </w:p>
    <w:p>
      <w:pPr>
        <w:jc w:val="both"/>
        <w:ind w:firstLine="464"/>
        <w:spacing w:after="0" w:line="301" w:lineRule="auto"/>
        <w:tabs>
          <w:tab w:leader="none" w:pos="676"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Non-Disparagement. </w:t>
      </w:r>
      <w:r>
        <w:rPr>
          <w:rFonts w:ascii="Arial" w:cs="Arial" w:eastAsia="Arial" w:hAnsi="Arial"/>
          <w:sz w:val="16"/>
          <w:szCs w:val="16"/>
          <w:color w:val="auto"/>
        </w:rPr>
        <w:t>During Executive’s employment, and for the Restricted Term, Executive covenants and agrees that Executive shall not engage in</w:t>
      </w:r>
      <w:r>
        <w:rPr>
          <w:rFonts w:ascii="Arial" w:cs="Arial" w:eastAsia="Arial" w:hAnsi="Arial"/>
          <w:sz w:val="16"/>
          <w:szCs w:val="16"/>
          <w:b w:val="1"/>
          <w:bCs w:val="1"/>
          <w:color w:val="auto"/>
        </w:rPr>
        <w:t xml:space="preserve"> </w:t>
      </w:r>
      <w:r>
        <w:rPr>
          <w:rFonts w:ascii="Arial" w:cs="Arial" w:eastAsia="Arial" w:hAnsi="Arial"/>
          <w:sz w:val="16"/>
          <w:szCs w:val="16"/>
          <w:color w:val="auto"/>
        </w:rPr>
        <w:t>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22" w:lineRule="exact"/>
        <w:rPr>
          <w:rFonts w:ascii="Arial" w:cs="Arial" w:eastAsia="Arial" w:hAnsi="Arial"/>
          <w:sz w:val="16"/>
          <w:szCs w:val="16"/>
          <w:b w:val="1"/>
          <w:bCs w:val="1"/>
          <w:color w:val="auto"/>
        </w:rPr>
      </w:pPr>
    </w:p>
    <w:p>
      <w:pPr>
        <w:jc w:val="both"/>
        <w:ind w:firstLine="464"/>
        <w:spacing w:after="0" w:line="291" w:lineRule="auto"/>
        <w:tabs>
          <w:tab w:leader="none" w:pos="75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Protected Communications. </w:t>
      </w:r>
      <w:r>
        <w:rPr>
          <w:rFonts w:ascii="Arial" w:cs="Arial" w:eastAsia="Arial" w:hAnsi="Arial"/>
          <w:sz w:val="16"/>
          <w:szCs w:val="16"/>
          <w:color w:val="auto"/>
        </w:rPr>
        <w:t>Nothing in this Agreement (particularly nothing in Paragraphs 10(b) and (f) regarding non-disclosure and non-disparagement) is intended or to be construed to prohibit or interfere with any and all rights Executive may have to report a violation of state or federal law to appropriate federal or state law enforcement officials, or to cooperate with a duly authorized government investigation. In addition, nothing herein prohibits Executive from engaging in a disclosure of information that is required by law (such as by court order or subpoena). Provided, however, that if Executive believes that the disclosure of Confidential Information is required by a subpoena, court order, or similar legal mandate, then Executive will provide the Company reasonable notice and opportunity to protect any legitimate business interests it may have in maintaining Confidential Information as confidential (through protective order or other means) before engaging in such a disclosure.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Enforcement of Protective Covenants.</w:t>
      </w:r>
    </w:p>
    <w:p>
      <w:pPr>
        <w:spacing w:after="0" w:line="90" w:lineRule="exact"/>
        <w:rPr>
          <w:sz w:val="20"/>
          <w:szCs w:val="20"/>
          <w:color w:val="auto"/>
        </w:rPr>
      </w:pPr>
    </w:p>
    <w:p>
      <w:pPr>
        <w:jc w:val="both"/>
        <w:ind w:firstLine="464"/>
        <w:spacing w:after="0" w:line="310" w:lineRule="auto"/>
        <w:tabs>
          <w:tab w:leader="none" w:pos="704"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Employment and Forfeiture of Compensation. </w:t>
      </w:r>
      <w:r>
        <w:rPr>
          <w:rFonts w:ascii="Arial" w:cs="Arial" w:eastAsia="Arial" w:hAnsi="Arial"/>
          <w:sz w:val="16"/>
          <w:szCs w:val="16"/>
          <w:color w:val="auto"/>
        </w:rPr>
        <w:t>Executive agrees that any breach by Executive of any of the Protective Covenants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in Section 10 during Executive’s employment with the Company shall be grounds for immediate employment termination of Executive for Cause pursuant to Section 5(c)(i), which shall be in addition to and not exclusive of any and all other rights and remedies the Company may have against Executive.</w:t>
      </w:r>
    </w:p>
    <w:p>
      <w:pPr>
        <w:spacing w:after="0" w:line="2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event that Executive violates one of the Protective Covenants, (i) the Company shall have the right to immediately cease making any payments that it may otherwise owe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78" w:name="page79"/>
    <w:bookmarkEnd w:id="78"/>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if any, (ii) Executive will forfeit any remaining rights to payments or continuing benefits provided by this Agreement, if there are any, and (iii) upon the Company’s demand, Executive will refund to the Company any amounts, plus interest, previously paid by Company to Executive pursuant to Subsections 6(e) (iii), 6(e)(iv), 6(e)(v), 7(a)(i) or 7(a)(ii), less one thousand dollars ($1,000.00) which Executive shall be entitled to retain as fully sufficient consideration to support and maintain in effect any contractual obligations that Executive has to the Company prior to the refund, including the Release as defined herein.</w:t>
      </w:r>
    </w:p>
    <w:p>
      <w:pPr>
        <w:spacing w:after="0" w:line="26" w:lineRule="exact"/>
        <w:rPr>
          <w:sz w:val="20"/>
          <w:szCs w:val="20"/>
          <w:color w:val="auto"/>
        </w:rPr>
      </w:pPr>
    </w:p>
    <w:p>
      <w:pPr>
        <w:jc w:val="both"/>
        <w:ind w:firstLine="464"/>
        <w:spacing w:after="0" w:line="291" w:lineRule="auto"/>
        <w:tabs>
          <w:tab w:leader="none" w:pos="715"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Right to Injunction</w:t>
      </w:r>
      <w:r>
        <w:rPr>
          <w:rFonts w:ascii="Arial" w:cs="Arial" w:eastAsia="Arial" w:hAnsi="Arial"/>
          <w:sz w:val="16"/>
          <w:szCs w:val="16"/>
          <w:color w:val="auto"/>
        </w:rPr>
        <w:t>. Executive acknowledges that a breach of a Protective Covenant set forth in Section 10 hereof will cause irreparable damage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with respect to which the Company’s remedy at law for damages will be inadequate. Therefore, in the event of any breach or anticipatory breach of a Protective Covenant by Executive, Executive and the Company agree that the Company shall be entitled to seek the following particular forms of relief, in addition to remedies otherwise available to it at law or equity: (i) injunctions, both preliminary and permanent, enjoining or restraining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pursue the remedies provided for in this Section of the Agreement to enforce the Protective Covenants.</w:t>
      </w:r>
    </w:p>
    <w:p>
      <w:pPr>
        <w:spacing w:after="0" w:line="32" w:lineRule="exact"/>
        <w:rPr>
          <w:rFonts w:ascii="Arial" w:cs="Arial" w:eastAsia="Arial" w:hAnsi="Arial"/>
          <w:sz w:val="16"/>
          <w:szCs w:val="16"/>
          <w:b w:val="1"/>
          <w:bCs w:val="1"/>
          <w:color w:val="auto"/>
        </w:rPr>
      </w:pPr>
    </w:p>
    <w:p>
      <w:pPr>
        <w:jc w:val="both"/>
        <w:ind w:firstLine="464"/>
        <w:spacing w:after="0" w:line="291" w:lineRule="auto"/>
        <w:tabs>
          <w:tab w:leader="none" w:pos="718"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Reformation of Covenants. </w:t>
      </w:r>
      <w:r>
        <w:rPr>
          <w:rFonts w:ascii="Arial" w:cs="Arial" w:eastAsia="Arial" w:hAnsi="Arial"/>
          <w:sz w:val="16"/>
          <w:szCs w:val="16"/>
          <w:color w:val="auto"/>
        </w:rPr>
        <w:t>The Protective Covenants set forth in Section 10 constitute a series of separate but ancillary covenants, one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State in the United States and the District of Columbia, and one for each applicable foreign country. If in any judicial proceeding, a court shall hold that any of the Protective Covenants set forth in Section 10 exceed the time, geographic, or occupational limitations permitted by applicable laws, Executive and the Company agree that such provisions shall and are hereby reformed to provide for a restriction with the maximum time, geographic, or occupational limitations permitted by such laws to protect the Company’s business interests.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32" w:lineRule="exact"/>
        <w:rPr>
          <w:rFonts w:ascii="Arial" w:cs="Arial" w:eastAsia="Arial" w:hAnsi="Arial"/>
          <w:sz w:val="16"/>
          <w:szCs w:val="16"/>
          <w:b w:val="1"/>
          <w:bCs w:val="1"/>
          <w:color w:val="auto"/>
        </w:rPr>
      </w:pPr>
    </w:p>
    <w:p>
      <w:pPr>
        <w:jc w:val="both"/>
        <w:ind w:firstLine="464"/>
        <w:spacing w:after="0" w:line="290" w:lineRule="auto"/>
        <w:tabs>
          <w:tab w:leader="none" w:pos="742"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Survival. </w:t>
      </w:r>
      <w:r>
        <w:rPr>
          <w:rFonts w:ascii="Arial" w:cs="Arial" w:eastAsia="Arial" w:hAnsi="Arial"/>
          <w:sz w:val="16"/>
          <w:szCs w:val="16"/>
          <w:color w:val="auto"/>
        </w:rPr>
        <w:t>Executive and the Company further agree that the protective Covenants set forth in Section 10 shall each be construed as a separate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independent of any other provisions of this Agreement, and the existence of any claim or cause of action by Executive against the Company whether predicated on this Agreement or otherwise, shall not constitute a defense to the enforcement by the Company of any of the Protective Covenants. The Protective Covenants will survive the termination of Executive’s employment with Company, regardless of the cause of the termination. If Executive violates one of the Protective Covenants for which there is a specific time limitation, the time period for that restriction will be extended by one day for each day Executive violates it, up to a maximum extension equal to the length of time prescribed for the restriction, so as to give Company the full benefit of the bargained-for length of forbearance. If Executive becomes employed with an affiliate of the Company without signing a new agreement, the affiliate will step into Company’s position under this Agreement, and will be entitled to the same protections and enforcement rights as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79" w:name="page80"/>
    <w:bookmarkEnd w:id="7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 Indemnification.</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 Arbitration.</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parties agree that any dispute relating to this Agreement, or to the 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provided, however, that temporary and preliminary injunctive relief to enforce the covenants contained in Section 10 of this Agreement, and related expedited discovery, may be pursued in a court of law to provide temporary injunctive relief pending a final determination of all issues of final relief through arbitration.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arbitrator shall be authorized to award final injunctive relief. The award of the arbitrator shall be final and binding upon the parties without appeal or review, except as permitted by the arbitration laws of the State of Texas. The award, inclusive of any and all injunctive relief provided for therein, shall be enforceable through a court of law upon motion of either party.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 Requirement of Timely Payments.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80" w:name="page81"/>
    <w:bookmarkEnd w:id="8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 Withholding of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may withhold from any compensation and benefits payable under this Agreement all applicable federal, state, local, or other taxes.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 Source of Payments.</w:t>
      </w:r>
    </w:p>
    <w:p>
      <w:pPr>
        <w:spacing w:after="0" w:line="96"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 Assignment.</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This Agreement shall inure to the benefit of the Company, its subsidiaries, affiliates, successors, and assigns. Except as otherwise provided in this Agreement, this Agreement shall inure to the benefit of Executive, and Executive’s heirs, representatives, and successors. This Agreement shall not be assignable by Executive (but any payments due hereunder which would be payable at a time after Executive’s death shall be paid to Executive’s estate).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 Entire Agreement; Amendment.</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This Agreement shall supersede any and all existing oral or written agreements, representations, or warranties between Executive and the Company or any of its subsidiaries or affiliated entities relating to the terms of Executive’s employment by the Company; provided, however, that if all or any material part of the Protective Covenants provided for in this Agreement are deemed void or unenforceable, then any prior agreement between the parties covering the same or substantially similar restrictions on Executive (such as, but not limited to the Company’s prior Employment Agreement(s) or Loyalty And Confidentiality Agreement with Executive) shall resume effect to the extent necessary to maintain protection of the Company’s legitimate protectable interests covered by the Protective Covenants. This Agreement may not be amended except by a written agreement signed by both parties. No material term or obligation of a party may be waived except through written agreement by the party with the authority to enforce such right or obligation.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19. Governing Law and Venue.</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This Agreement shall be governed by and construed in accordance with the laws of the State of Texas applicable to agreements made and to be performed in that State, without regard to its conflict of laws provisions. The parties agree that any legal action arising from this Agreement that is not required to be resolved through arbitration pursuant to Section 13 must be pursued in a court of competent jurisdiction that is located in Houston, Texas.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 Notices.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420"/>
          </w:cols>
          <w:pgMar w:left="240" w:top="274" w:right="239" w:bottom="1440" w:gutter="0" w:footer="0" w:header="0"/>
        </w:sectPr>
      </w:pPr>
    </w:p>
    <w:p>
      <w:pPr>
        <w:spacing w:after="0" w:line="181" w:lineRule="exact"/>
        <w:rPr>
          <w:sz w:val="20"/>
          <w:szCs w:val="20"/>
          <w:color w:val="auto"/>
        </w:rPr>
      </w:pPr>
    </w:p>
    <w:p>
      <w:pPr>
        <w:ind w:left="2200"/>
        <w:spacing w:after="0"/>
        <w:rPr>
          <w:sz w:val="20"/>
          <w:szCs w:val="20"/>
          <w:color w:val="auto"/>
        </w:rPr>
      </w:pPr>
      <w:r>
        <w:rPr>
          <w:rFonts w:ascii="Arial" w:cs="Arial" w:eastAsia="Arial" w:hAnsi="Arial"/>
          <w:sz w:val="15"/>
          <w:szCs w:val="15"/>
          <w:color w:val="auto"/>
        </w:rPr>
        <w:t>To the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Waste Management, Inc.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1001 Fannin, Suite 4000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w:t>
      </w:r>
    </w:p>
    <w:p>
      <w:pPr>
        <w:spacing w:after="0" w:line="134" w:lineRule="exact"/>
        <w:rPr>
          <w:sz w:val="20"/>
          <w:szCs w:val="20"/>
          <w:color w:val="auto"/>
        </w:rPr>
      </w:pPr>
    </w:p>
    <w:p>
      <w:pPr>
        <w:sectPr>
          <w:pgSz w:w="11900" w:h="16838" w:orient="portrait"/>
          <w:cols w:equalWidth="0" w:num="2">
            <w:col w:w="3420" w:space="660"/>
            <w:col w:w="7340"/>
          </w:cols>
          <w:pgMar w:left="240" w:top="274" w:right="239" w:bottom="1440" w:gutter="0" w:footer="0" w:header="0"/>
          <w:type w:val="continuous"/>
        </w:sectPr>
      </w:pPr>
    </w:p>
    <w:p>
      <w:pPr>
        <w:ind w:left="2200"/>
        <w:spacing w:after="0"/>
        <w:rPr>
          <w:sz w:val="20"/>
          <w:szCs w:val="20"/>
          <w:color w:val="auto"/>
        </w:rPr>
      </w:pPr>
      <w:r>
        <w:rPr>
          <w:rFonts w:ascii="Arial" w:cs="Arial" w:eastAsia="Arial" w:hAnsi="Arial"/>
          <w:sz w:val="16"/>
          <w:szCs w:val="16"/>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 the address for Executive set forth below.</w:t>
      </w:r>
    </w:p>
    <w:p>
      <w:pPr>
        <w:spacing w:after="0" w:line="188" w:lineRule="exact"/>
        <w:rPr>
          <w:sz w:val="20"/>
          <w:szCs w:val="20"/>
          <w:color w:val="auto"/>
        </w:rPr>
      </w:pPr>
    </w:p>
    <w:p>
      <w:pPr>
        <w:sectPr>
          <w:pgSz w:w="11900" w:h="16838" w:orient="portrait"/>
          <w:cols w:equalWidth="0" w:num="2">
            <w:col w:w="3360" w:space="720"/>
            <w:col w:w="734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8"/>
          <w:szCs w:val="18"/>
          <w:b w:val="1"/>
          <w:bCs w:val="1"/>
          <w:color w:val="auto"/>
        </w:rPr>
        <w:t>21. Miscellaneous.</w:t>
      </w:r>
    </w:p>
    <w:p>
      <w:pPr>
        <w:spacing w:after="0" w:line="90" w:lineRule="exact"/>
        <w:rPr>
          <w:sz w:val="20"/>
          <w:szCs w:val="20"/>
          <w:color w:val="auto"/>
        </w:rPr>
      </w:pPr>
    </w:p>
    <w:p>
      <w:pPr>
        <w:ind w:firstLine="464"/>
        <w:spacing w:after="0" w:line="275" w:lineRule="auto"/>
        <w:tabs>
          <w:tab w:leader="none" w:pos="70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The failure of a party to insist upon strict adherence to any term of this Agreement on any occasion shall not be considered a waiver thereof or</w:t>
      </w:r>
      <w:r>
        <w:rPr>
          <w:rFonts w:ascii="Arial" w:cs="Arial" w:eastAsia="Arial" w:hAnsi="Arial"/>
          <w:sz w:val="18"/>
          <w:szCs w:val="18"/>
          <w:b w:val="1"/>
          <w:bCs w:val="1"/>
          <w:color w:val="auto"/>
        </w:rPr>
        <w:t xml:space="preserve"> </w:t>
      </w:r>
      <w:r>
        <w:rPr>
          <w:rFonts w:ascii="Arial" w:cs="Arial" w:eastAsia="Arial" w:hAnsi="Arial"/>
          <w:sz w:val="18"/>
          <w:szCs w:val="18"/>
          <w:color w:val="auto"/>
        </w:rPr>
        <w:t>deprive that party of the right thereafter to insist upon strict adherence to that term or any other term of this Agreement.</w:t>
      </w:r>
    </w:p>
    <w:p>
      <w:pPr>
        <w:spacing w:after="0" w:line="38" w:lineRule="exact"/>
        <w:rPr>
          <w:rFonts w:ascii="Arial" w:cs="Arial" w:eastAsia="Arial" w:hAnsi="Arial"/>
          <w:sz w:val="18"/>
          <w:szCs w:val="18"/>
          <w:b w:val="1"/>
          <w:bCs w:val="1"/>
          <w:color w:val="auto"/>
        </w:rPr>
      </w:pPr>
    </w:p>
    <w:p>
      <w:pPr>
        <w:jc w:val="both"/>
        <w:ind w:firstLine="464"/>
        <w:spacing w:after="0" w:line="262" w:lineRule="auto"/>
        <w:tabs>
          <w:tab w:leader="none" w:pos="71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Subject to Section 11 hereof, if any term or provision of this Agreement is declared illegal or unenforceable by any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and cannot be modified to be enforceable, such term or provision shall immediately become null and void, leaving the remainder of this Agreement in full force and effect.</w:t>
      </w:r>
    </w:p>
    <w:p>
      <w:pPr>
        <w:spacing w:after="0" w:line="51" w:lineRule="exact"/>
        <w:rPr>
          <w:rFonts w:ascii="Arial" w:cs="Arial" w:eastAsia="Arial" w:hAnsi="Arial"/>
          <w:sz w:val="18"/>
          <w:szCs w:val="18"/>
          <w:b w:val="1"/>
          <w:bCs w:val="1"/>
          <w:color w:val="auto"/>
        </w:rPr>
      </w:pPr>
    </w:p>
    <w:p>
      <w:pPr>
        <w:ind w:left="700" w:hanging="236"/>
        <w:spacing w:after="0"/>
        <w:tabs>
          <w:tab w:leader="none" w:pos="70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Headings. </w:t>
      </w:r>
      <w:r>
        <w:rPr>
          <w:rFonts w:ascii="Arial" w:cs="Arial" w:eastAsia="Arial" w:hAnsi="Arial"/>
          <w:sz w:val="16"/>
          <w:szCs w:val="16"/>
          <w:color w:val="auto"/>
        </w:rPr>
        <w:t>Section headings are used herein for convenience of reference only and shall not affect the meaning of any provision of this Agreement.</w:t>
      </w:r>
    </w:p>
    <w:p>
      <w:pPr>
        <w:spacing w:after="0" w:line="113" w:lineRule="exact"/>
        <w:rPr>
          <w:rFonts w:ascii="Arial" w:cs="Arial" w:eastAsia="Arial" w:hAnsi="Arial"/>
          <w:sz w:val="16"/>
          <w:szCs w:val="16"/>
          <w:b w:val="1"/>
          <w:bCs w:val="1"/>
          <w:color w:val="auto"/>
        </w:rPr>
      </w:pPr>
    </w:p>
    <w:p>
      <w:pPr>
        <w:ind w:left="720" w:hanging="256"/>
        <w:spacing w:after="0"/>
        <w:tabs>
          <w:tab w:leader="none" w:pos="72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Rules of Construction. </w:t>
      </w:r>
      <w:r>
        <w:rPr>
          <w:rFonts w:ascii="Arial" w:cs="Arial" w:eastAsia="Arial" w:hAnsi="Arial"/>
          <w:sz w:val="16"/>
          <w:szCs w:val="16"/>
          <w:color w:val="auto"/>
        </w:rPr>
        <w:t>Whenever the context so requires, the use of the singular shall be deemed to include the plural and vice versa.</w:t>
      </w:r>
    </w:p>
    <w:p>
      <w:pPr>
        <w:spacing w:after="0" w:line="113" w:lineRule="exact"/>
        <w:rPr>
          <w:rFonts w:ascii="Arial" w:cs="Arial" w:eastAsia="Arial" w:hAnsi="Arial"/>
          <w:sz w:val="16"/>
          <w:szCs w:val="16"/>
          <w:b w:val="1"/>
          <w:bCs w:val="1"/>
          <w:color w:val="auto"/>
        </w:rPr>
      </w:pPr>
    </w:p>
    <w:p>
      <w:pPr>
        <w:ind w:firstLine="464"/>
        <w:spacing w:after="0" w:line="275" w:lineRule="auto"/>
        <w:tabs>
          <w:tab w:leader="none" w:pos="69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so executed shall be deemed to be an original,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will together constitute but one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Potential Limitation on Severance Benefits.</w:t>
      </w:r>
    </w:p>
    <w:p>
      <w:pPr>
        <w:spacing w:after="0" w:line="90" w:lineRule="exact"/>
        <w:rPr>
          <w:sz w:val="20"/>
          <w:szCs w:val="20"/>
          <w:color w:val="auto"/>
        </w:rPr>
      </w:pPr>
    </w:p>
    <w:p>
      <w:pPr>
        <w:jc w:val="both"/>
        <w:ind w:firstLine="464"/>
        <w:spacing w:after="0" w:line="310" w:lineRule="auto"/>
        <w:tabs>
          <w:tab w:leader="none" w:pos="742"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Maximum Severance Amount. </w:t>
      </w:r>
      <w:r>
        <w:rPr>
          <w:rFonts w:ascii="Arial" w:cs="Arial" w:eastAsia="Arial" w:hAnsi="Arial"/>
          <w:sz w:val="16"/>
          <w:szCs w:val="16"/>
          <w:color w:val="auto"/>
        </w:rPr>
        <w:t>Notwithstanding any provision in this Agreement to the contrary, in the event of a qualifying termination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resignation) under Section 6(e) or Section 7 of this Agreement it is determined by the Company that the Severance Benefits (as defined in Section 22(b) below) would exceed 2.99 times the sum of the Executive’s then current base salary and target bonus (the “Maximum Severance Amount”), then the aggregate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type w:val="continuous"/>
        </w:sectPr>
      </w:pPr>
    </w:p>
    <w:bookmarkStart w:id="82" w:name="page83"/>
    <w:bookmarkEnd w:id="82"/>
    <w:p>
      <w:pPr>
        <w:ind w:right="20"/>
        <w:spacing w:after="0" w:line="35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present value of the Severance Benefits provided to the Executive shall be reduced by the Company to the Reduced Amount. The “Reduced Amount” shall be an amount, expressed in present value, that maximizes the aggregate present value of the Severance Benefits without exceeding the Maximum Severance Amount.</w:t>
      </w:r>
    </w:p>
    <w:p>
      <w:pPr>
        <w:spacing w:after="0" w:line="1" w:lineRule="exact"/>
        <w:rPr>
          <w:sz w:val="20"/>
          <w:szCs w:val="20"/>
          <w:color w:val="auto"/>
        </w:rPr>
      </w:pPr>
    </w:p>
    <w:p>
      <w:pPr>
        <w:jc w:val="both"/>
        <w:ind w:firstLine="464"/>
        <w:spacing w:after="0" w:line="262" w:lineRule="auto"/>
        <w:tabs>
          <w:tab w:leader="none" w:pos="74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For purposes of determining Severance Benefits under Section 22(a) above, Severance Benefits means the present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or distributions by the Company, its subsidiaries or affiliated entities to or for the benefit of the Executive (whether paid or provided pursuant to the terms of this Agreement or otherwise), and</w:t>
      </w:r>
    </w:p>
    <w:p>
      <w:pPr>
        <w:spacing w:after="0" w:line="57" w:lineRule="exact"/>
        <w:rPr>
          <w:sz w:val="20"/>
          <w:szCs w:val="20"/>
          <w:color w:val="auto"/>
        </w:rPr>
      </w:pPr>
    </w:p>
    <w:p>
      <w:pPr>
        <w:ind w:left="460" w:firstLine="4"/>
        <w:spacing w:after="0" w:line="332" w:lineRule="auto"/>
        <w:tabs>
          <w:tab w:leader="none" w:pos="758"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including: (i) cash amounts payable by the Company in the event of termination of Executive’s employment; and (ii) the present value of benefits or perquisites provided for periods after termination of employment (but excluding benefits or perquisites provided to employees generally); and</w:t>
      </w:r>
    </w:p>
    <w:p>
      <w:pPr>
        <w:spacing w:after="0" w:line="4" w:lineRule="exact"/>
        <w:rPr>
          <w:rFonts w:ascii="Arial" w:cs="Arial" w:eastAsia="Arial" w:hAnsi="Arial"/>
          <w:sz w:val="16"/>
          <w:szCs w:val="16"/>
          <w:color w:val="auto"/>
        </w:rPr>
      </w:pPr>
    </w:p>
    <w:p>
      <w:pPr>
        <w:jc w:val="both"/>
        <w:ind w:left="460" w:firstLine="4"/>
        <w:spacing w:after="0" w:line="253" w:lineRule="auto"/>
        <w:tabs>
          <w:tab w:leader="none" w:pos="7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excluding: (i) payments of salary, bonus or performance award amounts that had accrued at the time of termination; (ii) payments based on accrued qualified and non-qualified deferred compensation plans, including retirement and savings benefits; (iii) any benefits or perquisites provided under plans or programs applicable to employees generally; (iv) amounts paid as part of any agreement intended to “make-whole” any forfeiture of benefits from a prior employer; (v) amounts paid for services following termination of employment for a reasonable consulting agreement for a period not to exceed one year; (vi) amounts paid for post-termination covenants (such as a covenant not to compete); (vii) the value of accelerated vesting or payment of any outstanding equity-based award; and (viii) any payment that the Board or any committee thereof determines in good faith to be a reasonable settlement of any claim made against the Company.</w:t>
      </w:r>
    </w:p>
    <w:p>
      <w:pPr>
        <w:spacing w:after="0" w:line="60" w:lineRule="exact"/>
        <w:rPr>
          <w:sz w:val="20"/>
          <w:szCs w:val="20"/>
          <w:color w:val="auto"/>
        </w:rPr>
      </w:pPr>
    </w:p>
    <w:p>
      <w:pPr>
        <w:jc w:val="both"/>
        <w:ind w:firstLine="464"/>
        <w:spacing w:after="0" w:line="287" w:lineRule="auto"/>
        <w:tabs>
          <w:tab w:leader="none" w:pos="695"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Possible 280G Reduction. </w:t>
      </w:r>
      <w:r>
        <w:rPr>
          <w:rFonts w:ascii="Arial" w:cs="Arial" w:eastAsia="Arial" w:hAnsi="Arial"/>
          <w:sz w:val="16"/>
          <w:szCs w:val="16"/>
          <w:color w:val="auto"/>
        </w:rPr>
        <w:t>Following application of Section 22(a), in the event that the payment of the remaining Severance Benefits to Executive plus</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payments to Executive which would be subject to Internal Revenue Code Section 280G (including any reduced Severance Benefits) (“280G Severance Benefits”) would be subject (in whole or part), to any excise tax imposed under Internal Revenue Code Section 4999 (the “Excise Tax”), then the cash portion of the 280G Severance Benefits shall first be further reduced, and the non-cash 280G Severance Benefits shall thereafter be further reduced, to the extent necessary so that no portion of the 280G Severance Benefits is subject to the Excise Tax, but only if (i) the amount of the 280G Severance Benefits to be received by Executive, as so reduced by this Section 22(c) and after subtracting the amount of federal, state and local income taxes on such reduced 280G Severance Benefits (after taking into account the phase out of itemized deductions and personal exemptions attributable to such reduced 280G Severance Benefits) is greater than or equal to (ii) the amount of the 280G Severance Benefits to be received by Executive without such reduction by this Section 22(c) after subtracting the amount of federal, state and local income taxes on such 280G Severance Benefits and the amount of the Excise Tax to which Executive would be subject in respect of such unreduced 280G Severance Benefits (after taking into account the phase out of itemized deductions and personal exemptions attributable to such unreduced 280G Severance Benefits ).</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83" w:name="page84"/>
    <w:bookmarkEnd w:id="83"/>
    <w:p>
      <w:pPr>
        <w:jc w:val="both"/>
        <w:ind w:firstLine="464"/>
        <w:spacing w:after="0" w:line="304" w:lineRule="auto"/>
        <w:tabs>
          <w:tab w:leader="none" w:pos="726" w:val="left"/>
        </w:tabs>
        <w:numPr>
          <w:ilvl w:val="1"/>
          <w:numId w:val="68"/>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Calculation of 280G Severance Benefits. </w:t>
      </w:r>
      <w:r>
        <w:rPr>
          <w:rFonts w:ascii="Arial" w:cs="Arial" w:eastAsia="Arial" w:hAnsi="Arial"/>
          <w:sz w:val="15"/>
          <w:szCs w:val="15"/>
          <w:color w:val="auto"/>
        </w:rPr>
        <w:t>For purposes of determining the 280G Severance Benefits, (i) no portion of the 280G Severance Benefits,</w:t>
      </w:r>
      <w:r>
        <w:rPr>
          <w:rFonts w:ascii="Arial" w:cs="Arial" w:eastAsia="Arial" w:hAnsi="Arial"/>
          <w:sz w:val="15"/>
          <w:szCs w:val="15"/>
          <w:b w:val="1"/>
          <w:bCs w:val="1"/>
          <w:color w:val="auto"/>
        </w:rPr>
        <w:t xml:space="preserve"> </w:t>
      </w:r>
      <w:r>
        <w:rPr>
          <w:rFonts w:ascii="Arial" w:cs="Arial" w:eastAsia="Arial" w:hAnsi="Arial"/>
          <w:sz w:val="15"/>
          <w:szCs w:val="15"/>
          <w:color w:val="auto"/>
        </w:rPr>
        <w:t>the receipt or enjoyment of which Executive shall have waived at such time and in such manner as not to constitute a “payment” within the meaning of Internal Revenue Code Section 280G(b), shall be taken into account, (ii) no portion of the 280G Severance Benefits shall be taken into account which, in the opinion of tax counsel (“Tax Counsel”) who is reasonably acceptable to Executive and selected by the accounting firm (the “Auditor”) which was, immediately prior to the Change in Control, the Company’s independent auditor, does not constitute a “parachute payment” within the meaning of Internal Revenue Code Section 280G(b)</w:t>
      </w:r>
    </w:p>
    <w:p>
      <w:pPr>
        <w:jc w:val="both"/>
        <w:ind w:firstLine="8"/>
        <w:spacing w:after="0" w:line="292" w:lineRule="auto"/>
        <w:tabs>
          <w:tab w:leader="none" w:pos="254"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(including by reason of Internal Revenue Code Section 280G(b)(4)(A)); (iii) no portion of the 280G Severance Benefits shall be taken into account which, in the opinion of Tax Counsel, constitutes reasonable compensation for services actually rendered, within the meaning of Internal Revenue Code Section 280G(b)(4) (B), in excess of the “base amount” (as defined in Internal Revenue Code Section 280G(b)(3)) allocable to such reasonable compensation, and (iv) the value of any non-cash benefit or any deferred payment or benefit included in the 280G Severance Benefits shall be determined by the Auditor in accordance with the principles of Internal Revenue Code Sections 280G(d)(3) and (4).</w:t>
      </w:r>
    </w:p>
    <w:p>
      <w:pPr>
        <w:spacing w:after="0" w:line="29" w:lineRule="exact"/>
        <w:rPr>
          <w:rFonts w:ascii="Arial" w:cs="Arial" w:eastAsia="Arial" w:hAnsi="Arial"/>
          <w:sz w:val="16"/>
          <w:szCs w:val="16"/>
          <w:color w:val="auto"/>
        </w:rPr>
      </w:pPr>
    </w:p>
    <w:p>
      <w:pPr>
        <w:ind w:right="20" w:firstLine="464"/>
        <w:spacing w:after="0" w:line="275" w:lineRule="auto"/>
        <w:tabs>
          <w:tab w:leader="none" w:pos="698"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Determination of Present Value. </w:t>
      </w:r>
      <w:r>
        <w:rPr>
          <w:rFonts w:ascii="Arial" w:cs="Arial" w:eastAsia="Arial" w:hAnsi="Arial"/>
          <w:sz w:val="18"/>
          <w:szCs w:val="18"/>
          <w:color w:val="auto"/>
        </w:rPr>
        <w:t>For purposes of this Section 22, the present value of Severance Benefits and 280G Severance Benefits 280G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Internal Revenue Code Section 280G(d)(4).</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Compliance with Internal Revenue Code Section 409A.</w:t>
      </w:r>
    </w:p>
    <w:p>
      <w:pPr>
        <w:spacing w:after="0" w:line="90" w:lineRule="exact"/>
        <w:rPr>
          <w:sz w:val="20"/>
          <w:szCs w:val="20"/>
          <w:color w:val="auto"/>
        </w:rPr>
      </w:pPr>
    </w:p>
    <w:p>
      <w:pPr>
        <w:jc w:val="both"/>
        <w:ind w:firstLine="464"/>
        <w:spacing w:after="0" w:line="258" w:lineRule="auto"/>
        <w:tabs>
          <w:tab w:leader="none" w:pos="739"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t>
      </w:r>
      <w:r>
        <w:rPr>
          <w:rFonts w:ascii="Arial" w:cs="Arial" w:eastAsia="Arial" w:hAnsi="Arial"/>
          <w:sz w:val="18"/>
          <w:szCs w:val="18"/>
          <w:color w:val="auto"/>
        </w:rPr>
        <w:t>It is the intention of the Company and Executive that this Employment Agreement not result in unfavorable tax consequences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under Internal Revenue Code Section 409A. This Section 23 does not create an obligation on the part of Company to modify the Employment Agreement in the future and does not guarantee that the amounts or benefits owed under the Employment Agreement will not be subject to interest and penalties under Internal Revenue Code Section 409A.</w:t>
      </w:r>
    </w:p>
    <w:p>
      <w:pPr>
        <w:spacing w:after="0" w:line="55" w:lineRule="exact"/>
        <w:rPr>
          <w:rFonts w:ascii="Arial" w:cs="Arial" w:eastAsia="Arial" w:hAnsi="Arial"/>
          <w:sz w:val="18"/>
          <w:szCs w:val="18"/>
          <w:b w:val="1"/>
          <w:bCs w:val="1"/>
          <w:color w:val="auto"/>
        </w:rPr>
      </w:pPr>
    </w:p>
    <w:p>
      <w:pPr>
        <w:jc w:val="both"/>
        <w:ind w:firstLine="464"/>
        <w:spacing w:after="0" w:line="287" w:lineRule="auto"/>
        <w:tabs>
          <w:tab w:leader="none" w:pos="749" w:val="left"/>
        </w:tabs>
        <w:numPr>
          <w:ilvl w:val="1"/>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 Timing. </w:t>
      </w:r>
      <w:r>
        <w:rPr>
          <w:rFonts w:ascii="Arial" w:cs="Arial" w:eastAsia="Arial" w:hAnsi="Arial"/>
          <w:sz w:val="16"/>
          <w:szCs w:val="16"/>
          <w:color w:val="auto"/>
        </w:rPr>
        <w:t>The payments of severance under Sections 6(e)(iii) and (iv) and Sections 7(a)(i) and (ii) above (“Separation Payments”) are</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as separate payments for purposes of the short-term deferral rules under Treasury Regulation Section 1.409A-1(b)(4)(i)(F), and, with respect to such Separation Payments, the exemption for involuntary terminations under separation pay plans under Treasury Regulation Section 1.409A-1(b)(9)(iii). As a result,</w:t>
      </w:r>
    </w:p>
    <w:p>
      <w:pPr>
        <w:ind w:left="300" w:hanging="292"/>
        <w:spacing w:after="0"/>
        <w:tabs>
          <w:tab w:leader="none" w:pos="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Separation Payments that are by their terms scheduled to be made on or before March 15th of the calendar year following the applicable year of termination,</w:t>
      </w:r>
    </w:p>
    <w:p>
      <w:pPr>
        <w:spacing w:after="0" w:line="32" w:lineRule="exact"/>
        <w:rPr>
          <w:rFonts w:ascii="Arial" w:cs="Arial" w:eastAsia="Arial" w:hAnsi="Arial"/>
          <w:sz w:val="16"/>
          <w:szCs w:val="16"/>
          <w:color w:val="auto"/>
        </w:rPr>
      </w:pPr>
    </w:p>
    <w:p>
      <w:pPr>
        <w:jc w:val="both"/>
        <w:ind w:firstLine="8"/>
        <w:spacing w:after="0" w:line="252" w:lineRule="auto"/>
        <w:tabs>
          <w:tab w:leader="none" w:pos="282"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additional Separation Payments that are made on or before December 31st of the second calendar year following the year of Executive’s termination and do not exceed the lesser of two times Base Salary or two times the limit under Internal Revenue Code Section 401(a)(17) then in effect, and (C) any Separation Payments under Section 7(a) made on account of a 409A Change in Control within the meaning of Internal Revenue Code Section 409A are exempt from the requirements of Internal Revenue Code Section 409A. If Executive is designated as a “specified employee” within the meaning of Internal Revenue Code Section 409A, then to the extent the Disability Payments and Separation Payments to be made during the first six month period following Executive’s termination of employment exceed such exempt amounts, the payments shall be withheld and the amount of the payments withheld will be paid in a lump sum, with interest (at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84" w:name="page85"/>
    <w:bookmarkEnd w:id="8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then applicable overnight rate), on the date that is six (6) months and one (1) day after Executive’s termination. Continued medical benefits under Sections 6(e)(v) and 7(a)(i) above are intended to satisfy the exemption for medical expense reimbursements under Treasury Regulation Section 1.409A-1(b)(9) (v)(B).</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this Agreement is EXECUTED as of the date first set forth above and effective as set forth therein.</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JOHN MORRIS</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w:t>
      </w:r>
    </w:p>
    <w:p>
      <w:pPr>
        <w:spacing w:after="0" w:line="11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John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Morris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7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“Company”)</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85" w:name="page86"/>
    <w:bookmarkEnd w:id="85"/>
    <w:p>
      <w:pPr>
        <w:ind w:left="10320"/>
        <w:spacing w:after="0"/>
        <w:rPr>
          <w:sz w:val="20"/>
          <w:szCs w:val="20"/>
          <w:color w:val="auto"/>
        </w:rPr>
      </w:pPr>
      <w:r>
        <w:rPr>
          <w:rFonts w:ascii="Arial" w:cs="Arial" w:eastAsia="Arial" w:hAnsi="Arial"/>
          <w:sz w:val="16"/>
          <w:szCs w:val="16"/>
          <w:b w:val="1"/>
          <w:bCs w:val="1"/>
          <w:color w:val="auto"/>
        </w:rPr>
        <w:t>EXHIBIT 10.5</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This EMPLOYMENT AGREEMENT (the “Agreement”) is made and entered into on July 5, 2012 but effective as of May 10, 2012, by and between Waste Management, Inc. (the “Company”) and Mark E. Schwartz (the “Executive”).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Employment.</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shall employ Executive, and Executive shall be employed by the Company upon the terms and subject to the conditions set forth in this Agreement.</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Subject to Section 18 below, Executive acknowledges and represents that, any and all prior employment agreements, including without limitation that certain Employment Agreement between he and Waste Management, Inc. dated November 15, 2000, and the Amendment thereto dated December 31, 2002, is terminated, and that any and all obligations of the Company created thereunder, whether express or implied, are null and void and of no further force or effect, and that the only rights, obligations and duties between the Company and Executive are those expressly set forth in this Agreement.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Term of Employment.</w:t>
      </w:r>
    </w:p>
    <w:p>
      <w:pPr>
        <w:spacing w:after="0" w:line="9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period of Executive’s employment under this Agreement began on May 10, 2012 (“Employment Date”), and may be terminated by either party pursuant to Section 5 below. The period during which Executive is employed hereunder shall be referred to as the “Employment Period.”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Duties and Responsibilities.</w:t>
      </w:r>
    </w:p>
    <w:p>
      <w:pPr>
        <w:spacing w:after="0" w:line="96" w:lineRule="exact"/>
        <w:rPr>
          <w:sz w:val="20"/>
          <w:szCs w:val="20"/>
          <w:color w:val="auto"/>
        </w:rPr>
      </w:pPr>
    </w:p>
    <w:p>
      <w:pPr>
        <w:jc w:val="both"/>
        <w:ind w:firstLine="464"/>
        <w:spacing w:after="0" w:line="306" w:lineRule="auto"/>
        <w:tabs>
          <w:tab w:leader="none" w:pos="730"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Executive shall serve as the Senior Vice President, Human Resources. In such capacity, Executive shall perform such duties and have the power, authority, and functions consistent with such position, as may be deemed appropriate for the position and assigned to Executive from time to time by the Chief Executive Officer, the Executive Vice-President of Growth, Innovation and Field Support or the Board of Directors (the “Board”) of the Company.</w:t>
      </w:r>
    </w:p>
    <w:p>
      <w:pPr>
        <w:spacing w:after="0" w:line="106" w:lineRule="exact"/>
        <w:rPr>
          <w:rFonts w:ascii="Arial" w:cs="Arial" w:eastAsia="Arial" w:hAnsi="Arial"/>
          <w:sz w:val="16"/>
          <w:szCs w:val="16"/>
          <w:b w:val="1"/>
          <w:bCs w:val="1"/>
          <w:color w:val="auto"/>
        </w:rPr>
      </w:pPr>
    </w:p>
    <w:p>
      <w:pPr>
        <w:jc w:val="both"/>
        <w:ind w:firstLine="464"/>
        <w:spacing w:after="0" w:line="294" w:lineRule="auto"/>
        <w:tabs>
          <w:tab w:leader="none" w:pos="719"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10 of this Agreement), be involved in charitable and professional activities, and, with the prior written consent of the Board, serve on boards of other for profit entities, provided such activities do not materially interfere with the performance of his duties hereunder or create a conflict of interest (however, the Board does not typically allow officers to serve on more than one public company board at a time).</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Compensation and Benefits.</w:t>
      </w:r>
    </w:p>
    <w:p>
      <w:pPr>
        <w:spacing w:after="0" w:line="90" w:lineRule="exact"/>
        <w:rPr>
          <w:sz w:val="20"/>
          <w:szCs w:val="20"/>
          <w:color w:val="auto"/>
        </w:rPr>
      </w:pPr>
    </w:p>
    <w:p>
      <w:pPr>
        <w:ind w:firstLine="464"/>
        <w:spacing w:after="0" w:line="275" w:lineRule="auto"/>
        <w:tabs>
          <w:tab w:leader="none" w:pos="732"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During the Employment Period, the Company shall pay Executive a base salary at the annual rate of Three Hundred Seventy Five</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 and 00/100ths Dollars ($375,000.00) per year, or such higher rate as may be determined from time to time by the</w:t>
      </w:r>
    </w:p>
    <w:p>
      <w:pPr>
        <w:sectPr>
          <w:pgSz w:w="11900" w:h="16838" w:orient="portrait"/>
          <w:cols w:equalWidth="0" w:num="1">
            <w:col w:w="11420"/>
          </w:cols>
          <w:pgMar w:left="240" w:top="125" w:right="239" w:bottom="1440" w:gutter="0" w:footer="0" w:header="0"/>
        </w:sectPr>
      </w:pPr>
    </w:p>
    <w:bookmarkStart w:id="86" w:name="page87"/>
    <w:bookmarkEnd w:id="86"/>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(“Base Salary”). Such Base Salary shall be paid in accordance with the Company’s standard payroll practice for its executive officers. Once increased, Base Salary shall not be reduced except by mutual agreement.</w:t>
      </w:r>
    </w:p>
    <w:p>
      <w:pPr>
        <w:spacing w:after="0" w:line="45" w:lineRule="exact"/>
        <w:rPr>
          <w:sz w:val="20"/>
          <w:szCs w:val="20"/>
          <w:color w:val="auto"/>
        </w:rPr>
      </w:pPr>
    </w:p>
    <w:p>
      <w:pPr>
        <w:jc w:val="both"/>
        <w:ind w:firstLine="464"/>
        <w:spacing w:after="0" w:line="289" w:lineRule="auto"/>
        <w:tabs>
          <w:tab w:leader="none" w:pos="715"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Annual Bonus. </w:t>
      </w:r>
      <w:r>
        <w:rPr>
          <w:rFonts w:ascii="Arial" w:cs="Arial" w:eastAsia="Arial" w:hAnsi="Arial"/>
          <w:sz w:val="16"/>
          <w:szCs w:val="16"/>
          <w:color w:val="auto"/>
        </w:rPr>
        <w:t>During the Employment Period, Executive will be entitled to participate in an annual incentive compensation plan of the Company, as</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established by the Management Development and Compensation Committee (“Compensation Committee”) of the Board from time to time. Executive’s target annual bonus under this Agreement will be seventy-five percent (75%) of his Base Salary in effect for such year (the “Target Bonus”), and his actual annual bonus may range from 0% to 150% of Base Salary (</w:t>
      </w:r>
      <w:r>
        <w:rPr>
          <w:rFonts w:ascii="Arial" w:cs="Arial" w:eastAsia="Arial" w:hAnsi="Arial"/>
          <w:sz w:val="16"/>
          <w:szCs w:val="16"/>
          <w:i w:val="1"/>
          <w:iCs w:val="1"/>
          <w:color w:val="auto"/>
        </w:rPr>
        <w:t>i.e</w:t>
      </w:r>
      <w:r>
        <w:rPr>
          <w:rFonts w:ascii="Arial" w:cs="Arial" w:eastAsia="Arial" w:hAnsi="Arial"/>
          <w:sz w:val="16"/>
          <w:szCs w:val="16"/>
          <w:color w:val="auto"/>
        </w:rPr>
        <w:t>., a maximum possible bonus of two times the Target Bonus), and will be determined based upon (i) the achievement of certain corporate financial and/or performance goals, as may be established and approved from time to time by the Compensation Committee of the Board, and (ii) the achievement of personal performance goals as may be established by Executive’s immediate supervisor. Executive’s annual bonus for calendar year 2012 will be prorated between the time he spent as Vice-President and Assistant General Counsel and the time he spent as Senior Vice President, Human Resources, in each case calculated using the applicable financial and operational performance objectives, salary, and target bonus for each such position. The annual bonus will be paid at such time and in such manner as set forth in the annual incentive compensation plan document.</w:t>
      </w:r>
    </w:p>
    <w:p>
      <w:pPr>
        <w:spacing w:after="0" w:line="31" w:lineRule="exact"/>
        <w:rPr>
          <w:rFonts w:ascii="Arial" w:cs="Arial" w:eastAsia="Arial" w:hAnsi="Arial"/>
          <w:sz w:val="16"/>
          <w:szCs w:val="16"/>
          <w:b w:val="1"/>
          <w:bCs w:val="1"/>
          <w:color w:val="auto"/>
        </w:rPr>
      </w:pPr>
    </w:p>
    <w:p>
      <w:pPr>
        <w:jc w:val="both"/>
        <w:ind w:firstLine="464"/>
        <w:spacing w:after="0" w:line="301" w:lineRule="auto"/>
        <w:tabs>
          <w:tab w:leader="none" w:pos="695"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Benefit Plans and Vacation. </w:t>
      </w:r>
      <w:r>
        <w:rPr>
          <w:rFonts w:ascii="Arial" w:cs="Arial" w:eastAsia="Arial" w:hAnsi="Arial"/>
          <w:sz w:val="16"/>
          <w:szCs w:val="16"/>
          <w:color w:val="auto"/>
        </w:rPr>
        <w:t>Subject to the terms of such plans, Executive shall be eligible to participate in or receive benefits under any profit sharing</w:t>
      </w:r>
      <w:r>
        <w:rPr>
          <w:rFonts w:ascii="Arial" w:cs="Arial" w:eastAsia="Arial" w:hAnsi="Arial"/>
          <w:sz w:val="16"/>
          <w:szCs w:val="16"/>
          <w:b w:val="1"/>
          <w:bCs w:val="1"/>
          <w:color w:val="auto"/>
        </w:rPr>
        <w:t xml:space="preserve"> </w:t>
      </w:r>
      <w:r>
        <w:rPr>
          <w:rFonts w:ascii="Arial" w:cs="Arial" w:eastAsia="Arial" w:hAnsi="Arial"/>
          <w:sz w:val="16"/>
          <w:szCs w:val="16"/>
          <w:color w:val="auto"/>
        </w:rPr>
        <w:t>plan, salary deferral plan, medical and dental benefits plan, 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so long as such changes are similarly applicable to similarly-situated employees generally.</w:t>
      </w:r>
    </w:p>
    <w:p>
      <w:pPr>
        <w:spacing w:after="0" w:line="2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During the Employment Period, Executive shall be entitled to vacation each year in accordance with the Company’s policies in effect from time to time, but in no event less than four (4) weeks paid vacation per calendar year. Vacation not taken in the calendar year in which it is granted cannot be carried forward to any subsequent year.</w:t>
      </w:r>
    </w:p>
    <w:p>
      <w:pPr>
        <w:spacing w:after="0" w:line="53" w:lineRule="exact"/>
        <w:rPr>
          <w:sz w:val="20"/>
          <w:szCs w:val="20"/>
          <w:color w:val="auto"/>
        </w:rPr>
      </w:pPr>
    </w:p>
    <w:p>
      <w:pPr>
        <w:jc w:val="both"/>
        <w:ind w:firstLine="464"/>
        <w:spacing w:after="0" w:line="258" w:lineRule="auto"/>
        <w:tabs>
          <w:tab w:leader="none" w:pos="715"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 </w:t>
      </w:r>
      <w:r>
        <w:rPr>
          <w:rFonts w:ascii="Arial" w:cs="Arial" w:eastAsia="Arial" w:hAnsi="Arial"/>
          <w:sz w:val="18"/>
          <w:szCs w:val="18"/>
          <w:color w:val="auto"/>
        </w:rPr>
        <w:t>The Company shall promptly reimburse Executive for the ordinary and necessary business expenses incurred by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performance of his duties hereunder in accordance with the Company’s customary practices applicable to executive officers. The reimbursement of expenses during a year will not affect the expenses eligible for reimbursement in any other year. In no event shall any expense be reimbursed after the last day of the year following the year in which the expense was incurred.</w:t>
      </w:r>
    </w:p>
    <w:p>
      <w:pPr>
        <w:spacing w:after="0" w:line="55" w:lineRule="exact"/>
        <w:rPr>
          <w:rFonts w:ascii="Arial" w:cs="Arial" w:eastAsia="Arial" w:hAnsi="Arial"/>
          <w:sz w:val="18"/>
          <w:szCs w:val="18"/>
          <w:b w:val="1"/>
          <w:bCs w:val="1"/>
          <w:color w:val="auto"/>
        </w:rPr>
      </w:pPr>
    </w:p>
    <w:p>
      <w:pPr>
        <w:ind w:right="20" w:firstLine="464"/>
        <w:spacing w:after="0" w:line="275" w:lineRule="auto"/>
        <w:tabs>
          <w:tab w:leader="none" w:pos="702"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Perquisites. </w:t>
      </w:r>
      <w:r>
        <w:rPr>
          <w:rFonts w:ascii="Arial" w:cs="Arial" w:eastAsia="Arial" w:hAnsi="Arial"/>
          <w:sz w:val="18"/>
          <w:szCs w:val="18"/>
          <w:color w:val="auto"/>
        </w:rPr>
        <w:t>Executive shall be entitled to all perquisites provided to Senior Vice Presidents of the Company as approved by the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Compensation Committee of the Board, and as such perquisites may exist from time to time.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Termination of Employment.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Executive’s employment hereunder may be terminated during the Employment Period under the following circumstances: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87" w:name="page88"/>
    <w:bookmarkEnd w:id="87"/>
    <w:p>
      <w:pPr>
        <w:ind w:left="720" w:hanging="256"/>
        <w:spacing w:after="0"/>
        <w:tabs>
          <w:tab w:leader="none" w:pos="720" w:val="left"/>
        </w:tabs>
        <w:numPr>
          <w:ilvl w:val="1"/>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Death. </w:t>
      </w:r>
      <w:r>
        <w:rPr>
          <w:rFonts w:ascii="Arial" w:cs="Arial" w:eastAsia="Arial" w:hAnsi="Arial"/>
          <w:sz w:val="18"/>
          <w:szCs w:val="18"/>
          <w:color w:val="auto"/>
        </w:rPr>
        <w:t>Executive’s employment hereunder shall terminate upon Executive’s death.</w:t>
      </w:r>
    </w:p>
    <w:p>
      <w:pPr>
        <w:spacing w:after="0" w:line="90" w:lineRule="exact"/>
        <w:rPr>
          <w:rFonts w:ascii="Arial" w:cs="Arial" w:eastAsia="Arial" w:hAnsi="Arial"/>
          <w:sz w:val="18"/>
          <w:szCs w:val="18"/>
          <w:b w:val="1"/>
          <w:bCs w:val="1"/>
          <w:color w:val="auto"/>
        </w:rPr>
      </w:pPr>
    </w:p>
    <w:p>
      <w:pPr>
        <w:jc w:val="both"/>
        <w:ind w:firstLine="464"/>
        <w:spacing w:after="0" w:line="293" w:lineRule="auto"/>
        <w:tabs>
          <w:tab w:leader="none" w:pos="715" w:val="left"/>
        </w:tabs>
        <w:numPr>
          <w:ilvl w:val="1"/>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Total Disability. </w:t>
      </w:r>
      <w:r>
        <w:rPr>
          <w:rFonts w:ascii="Arial" w:cs="Arial" w:eastAsia="Arial" w:hAnsi="Arial"/>
          <w:sz w:val="16"/>
          <w:szCs w:val="16"/>
          <w:color w:val="auto"/>
        </w:rPr>
        <w:t>The Company may terminate Executive’s employment hereunder upon Executive’s becoming “Totally Disabled.” For purposes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Executive shall be considered “Totally Disabled” if Executive has become physically or mentally disabled so as to render Executive incapable of performing the essential functions of his position (with or without reasonable accommodations) and such disability is expected to result in death or to last for a continuous period of at least 12 months, provided that such condition constitutes a “disability” within the meaning of Section 409A of the Internal Revenue Code. Executive’s receipt of disability benefits under the Company’s long-term disability plan or receipt of Social Security disability benefits shall be deemed conclusive evidence of Total Disability for purpose of this Agreement.</w:t>
      </w:r>
    </w:p>
    <w:p>
      <w:pPr>
        <w:spacing w:after="0" w:line="29" w:lineRule="exact"/>
        <w:rPr>
          <w:rFonts w:ascii="Arial" w:cs="Arial" w:eastAsia="Arial" w:hAnsi="Arial"/>
          <w:sz w:val="16"/>
          <w:szCs w:val="16"/>
          <w:b w:val="1"/>
          <w:bCs w:val="1"/>
          <w:color w:val="auto"/>
        </w:rPr>
      </w:pPr>
    </w:p>
    <w:p>
      <w:pPr>
        <w:ind w:firstLine="464"/>
        <w:spacing w:after="0" w:line="275" w:lineRule="auto"/>
        <w:tabs>
          <w:tab w:leader="none" w:pos="699" w:val="left"/>
        </w:tabs>
        <w:numPr>
          <w:ilvl w:val="1"/>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for Cause. </w:t>
      </w:r>
      <w:r>
        <w:rPr>
          <w:rFonts w:ascii="Arial" w:cs="Arial" w:eastAsia="Arial" w:hAnsi="Arial"/>
          <w:sz w:val="18"/>
          <w:szCs w:val="18"/>
          <w:color w:val="auto"/>
        </w:rPr>
        <w:t>The Company may terminate Executive’s employment hereunder for “Cause” at any time after providing a</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Termination for Cause to Executive.</w:t>
      </w:r>
    </w:p>
    <w:p>
      <w:pPr>
        <w:spacing w:after="0" w:line="44" w:lineRule="exact"/>
        <w:rPr>
          <w:rFonts w:ascii="Arial" w:cs="Arial" w:eastAsia="Arial" w:hAnsi="Arial"/>
          <w:sz w:val="18"/>
          <w:szCs w:val="18"/>
          <w:b w:val="1"/>
          <w:bCs w:val="1"/>
          <w:color w:val="auto"/>
        </w:rPr>
      </w:pPr>
    </w:p>
    <w:p>
      <w:pPr>
        <w:jc w:val="both"/>
        <w:ind w:left="900" w:hanging="446"/>
        <w:spacing w:after="0" w:line="289"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For purposes of this Agreement, the term “Cause” means any of the following: Executive’s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Executive’s failure to cure such nonperformance within ten (10) days of receipt of said written notice; (B) breach of any statutory or common law duty of loyalty to the Company; (C) conviction of, or plea of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(D) willful or intentional cause of material injury to the Company, its property, or its assets; (E) disclosure or attempted disclosure to any unauthorized person(s) of the Company’s proprietary or confidential information; (F) material violation or a repeated and willful violation of the Company’s policies or procedures, including but not limited to, the Company’s Code of Business Conduct and Ethics (or any successor policy) then in effect; or (G) breach of any of the covenants set forth in Section 10 hereof.</w:t>
      </w:r>
    </w:p>
    <w:p>
      <w:pPr>
        <w:spacing w:after="0" w:line="37"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purposes of this Agreement, the phrase “Notice of Termination for Cause” shall mean a written notice that shall indicate the specific termination provision or provisions in Section 5(c)(i) relied upon, and shall set forth in reasonable detail the facts and circumstances which provide the basis for termination for Cause.</w:t>
      </w:r>
    </w:p>
    <w:p>
      <w:pPr>
        <w:spacing w:after="0" w:line="53" w:lineRule="exact"/>
        <w:rPr>
          <w:rFonts w:ascii="Arial" w:cs="Arial" w:eastAsia="Arial" w:hAnsi="Arial"/>
          <w:sz w:val="18"/>
          <w:szCs w:val="18"/>
          <w:color w:val="auto"/>
        </w:rPr>
      </w:pPr>
    </w:p>
    <w:p>
      <w:pPr>
        <w:ind w:firstLine="464"/>
        <w:spacing w:after="0" w:line="275" w:lineRule="auto"/>
        <w:tabs>
          <w:tab w:leader="none" w:pos="728" w:val="left"/>
        </w:tabs>
        <w:numPr>
          <w:ilvl w:val="1"/>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Executive may terminate his employment hereunder with or without Good Reason at any time upon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w:t>
      </w:r>
    </w:p>
    <w:p>
      <w:pPr>
        <w:spacing w:after="0" w:line="45" w:lineRule="exact"/>
        <w:rPr>
          <w:sz w:val="20"/>
          <w:szCs w:val="20"/>
          <w:color w:val="auto"/>
        </w:rPr>
      </w:pPr>
    </w:p>
    <w:p>
      <w:pPr>
        <w:jc w:val="both"/>
        <w:ind w:left="900" w:hanging="446"/>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termination for “Good Reason” means a resignation of employment by Executive by written notice (“Notice of Termination for Good Reason”) given to the Company’s Chief Executive Officer within ninety (90) days after the occurrence of the Good Reason event, unless such circumstances are substantially corrected prior to the date of termination specified in the Notice of Termination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88" w:name="page89"/>
    <w:bookmarkEnd w:id="88"/>
    <w:p>
      <w:pPr>
        <w:jc w:val="both"/>
        <w:ind w:left="9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Good Reason. For purposes of this Agreement, “Good Reason” shall mean the occurrence or failure to cause the occurrence, as the case may be, without Executive’s express written consent, of any of the following circumstances: (A) the Company materially diminishes Executive’s core duties or responsibility for those core duties, so as to effectively cause Executive to no longer be performing the duties of his position (except in each case in connection with the termination of Executive’s employment for Death, Total Disability, or Cause, or temporarily as a result of Executive’s illness or other absence); (B) in the event of the Company’s becoming a fifty percent or more subsidiary of any other entity, the Company materially diminishes the duties, authority or responsibilities of the person to whom Executive is required to report; (C) removal or the non-reelection of the Executive from the officer position with the Company specified herein, or removal of the Executive from any of his then officer positions; (D) any material breach by the Company of any provision of this Agreement; or (E) failure of any successor to the Company (whether direct or indirect and whether by merger, acquisition, consolidation or otherwise) to assume in a writing delivered to Executive upon the assignee becoming such, the obligations of the Company hereunder, resulting in a material negative change in the employment relationship.</w:t>
      </w:r>
    </w:p>
    <w:p>
      <w:pPr>
        <w:spacing w:after="0" w:line="42" w:lineRule="exact"/>
        <w:rPr>
          <w:sz w:val="20"/>
          <w:szCs w:val="20"/>
          <w:color w:val="auto"/>
        </w:rPr>
      </w:pPr>
    </w:p>
    <w:p>
      <w:pPr>
        <w:jc w:val="both"/>
        <w:ind w:left="900" w:hanging="446"/>
        <w:spacing w:after="0" w:line="255"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“Notice of Termination for Good Reason” shall mean a notice that shall indicate the specific termination provision or provisions relied upon and shall set forth in reasonable detail the facts and circumstances claimed to provide a basis for Termination for Good Reason. The Notice of Termination for Good Reason shall provide for a date of termination not less than thirty (30) nor more than sixty (60) days after the date such Notice of Termination for Good Reason is given, provided that in the case of the events set forth in Sections 5(d)(i)(A) or (B), the date may be twenty (20) days after the giving of such notice.</w:t>
      </w:r>
    </w:p>
    <w:p>
      <w:pPr>
        <w:spacing w:after="0" w:line="56" w:lineRule="exact"/>
        <w:rPr>
          <w:sz w:val="20"/>
          <w:szCs w:val="20"/>
          <w:color w:val="auto"/>
        </w:rPr>
      </w:pPr>
    </w:p>
    <w:p>
      <w:pPr>
        <w:ind w:firstLine="464"/>
        <w:spacing w:after="0" w:line="275" w:lineRule="auto"/>
        <w:tabs>
          <w:tab w:leader="none" w:pos="718"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The Company may terminate Executive’s employment hereunder without Cause at any time upon</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Executive.</w:t>
      </w:r>
    </w:p>
    <w:p>
      <w:pPr>
        <w:spacing w:after="0" w:line="38" w:lineRule="exact"/>
        <w:rPr>
          <w:rFonts w:ascii="Arial" w:cs="Arial" w:eastAsia="Arial" w:hAnsi="Arial"/>
          <w:sz w:val="18"/>
          <w:szCs w:val="18"/>
          <w:b w:val="1"/>
          <w:bCs w:val="1"/>
          <w:color w:val="auto"/>
        </w:rPr>
      </w:pPr>
    </w:p>
    <w:p>
      <w:pPr>
        <w:ind w:firstLine="464"/>
        <w:spacing w:after="0" w:line="275" w:lineRule="auto"/>
        <w:tabs>
          <w:tab w:leader="none" w:pos="676"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Termination. </w:t>
      </w:r>
      <w:r>
        <w:rPr>
          <w:rFonts w:ascii="Arial" w:cs="Arial" w:eastAsia="Arial" w:hAnsi="Arial"/>
          <w:sz w:val="18"/>
          <w:szCs w:val="18"/>
          <w:color w:val="auto"/>
        </w:rPr>
        <w:t>Upon any termination of employment for any reason, Executive shall immediately resign from all Board memberships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with the Company or any of its subsidiaries held by him at such time.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Compensation Following Termination of Employment.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event that Executive’s employment hereunder is terminated in a manner as set forth in Section 5 above, Executive shall be entitled to the compensation and benefits provided under this Section 6, in each case subject to potential reduction as may be required by Section 22, as applicable to the form of termination:</w:t>
      </w:r>
    </w:p>
    <w:p>
      <w:pPr>
        <w:spacing w:after="0" w:line="53" w:lineRule="exact"/>
        <w:rPr>
          <w:sz w:val="20"/>
          <w:szCs w:val="20"/>
          <w:color w:val="auto"/>
        </w:rPr>
      </w:pPr>
    </w:p>
    <w:p>
      <w:pPr>
        <w:ind w:firstLine="464"/>
        <w:spacing w:after="0" w:line="275" w:lineRule="auto"/>
        <w:tabs>
          <w:tab w:leader="none" w:pos="710" w:val="left"/>
        </w:tabs>
        <w:numPr>
          <w:ilvl w:val="1"/>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Death. </w:t>
      </w:r>
      <w:r>
        <w:rPr>
          <w:rFonts w:ascii="Arial" w:cs="Arial" w:eastAsia="Arial" w:hAnsi="Arial"/>
          <w:sz w:val="18"/>
          <w:szCs w:val="18"/>
          <w:color w:val="auto"/>
        </w:rPr>
        <w:t>In the event that Executive’s employment is terminated by reason of Executive’s death, the Company shall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amounts to Executive’s beneficiary or estate:</w:t>
      </w:r>
    </w:p>
    <w:p>
      <w:pPr>
        <w:spacing w:after="0" w:line="44" w:lineRule="exact"/>
        <w:rPr>
          <w:rFonts w:ascii="Arial" w:cs="Arial" w:eastAsia="Arial" w:hAnsi="Arial"/>
          <w:sz w:val="18"/>
          <w:szCs w:val="18"/>
          <w:b w:val="1"/>
          <w:bCs w:val="1"/>
          <w:color w:val="auto"/>
        </w:rPr>
      </w:pPr>
    </w:p>
    <w:p>
      <w:pPr>
        <w:ind w:left="90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death, any accrued but unpaid expenses required to be reimbursed under this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9" w:name="page90"/>
    <w:bookmarkEnd w:id="89"/>
    <w:p>
      <w:pPr>
        <w:jc w:val="both"/>
        <w:ind w:left="9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accrued but unused vacation to the date of employment termination, and any earned but unpaid bonuses for any prior calendar year. Executive shall also be eligible for a pro-rata bonus or incentive compensation payment for the calendar year of his employment termination to the extent such awards are made to other senior executives of the Company and paid at the same time as other senior executives are paid.</w:t>
      </w:r>
    </w:p>
    <w:p>
      <w:pPr>
        <w:spacing w:after="0" w:line="26" w:lineRule="exact"/>
        <w:rPr>
          <w:sz w:val="20"/>
          <w:szCs w:val="20"/>
          <w:color w:val="auto"/>
        </w:rPr>
      </w:pPr>
    </w:p>
    <w:p>
      <w:pPr>
        <w:ind w:left="900" w:hanging="446"/>
        <w:spacing w:after="0" w:line="330"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benefits accrued through the date of termination to which Executive may be entitled pursuant to the plans, policies and arrangements (including those referred to in Section 4(c) hereof), as determined and paid in accordance with the terms of such plans, policies and arrangements.</w:t>
      </w:r>
    </w:p>
    <w:p>
      <w:pPr>
        <w:spacing w:after="0" w:line="1" w:lineRule="exact"/>
        <w:rPr>
          <w:rFonts w:ascii="Arial" w:cs="Arial" w:eastAsia="Arial" w:hAnsi="Arial"/>
          <w:sz w:val="16"/>
          <w:szCs w:val="16"/>
          <w:color w:val="auto"/>
        </w:rPr>
      </w:pPr>
    </w:p>
    <w:p>
      <w:pPr>
        <w:ind w:right="20" w:firstLine="464"/>
        <w:spacing w:after="0" w:line="275" w:lineRule="auto"/>
        <w:tabs>
          <w:tab w:leader="none" w:pos="724"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Total Disability. </w:t>
      </w:r>
      <w:r>
        <w:rPr>
          <w:rFonts w:ascii="Arial" w:cs="Arial" w:eastAsia="Arial" w:hAnsi="Arial"/>
          <w:sz w:val="18"/>
          <w:szCs w:val="18"/>
          <w:color w:val="auto"/>
        </w:rPr>
        <w:t>In the event that Executive’s employment is terminated by the Company by reason of Executive’s Total</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(as determined in accordance with Section 5(b)), the Company shall pay the following amounts to Executive:</w:t>
      </w:r>
    </w:p>
    <w:p>
      <w:pPr>
        <w:spacing w:after="0" w:line="45" w:lineRule="exact"/>
        <w:rPr>
          <w:sz w:val="20"/>
          <w:szCs w:val="20"/>
          <w:color w:val="auto"/>
        </w:rPr>
      </w:pPr>
    </w:p>
    <w:p>
      <w:pPr>
        <w:jc w:val="both"/>
        <w:ind w:left="900" w:hanging="446"/>
        <w:spacing w:after="0" w:line="298"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 Executive shall also be eligible for a pro-rata bonus or incentive compensation payment for the calendar year of his employment termination to the extent such awards are made to other senior executives of the Company and paid at the same time as other senior executives are paid.</w:t>
      </w:r>
    </w:p>
    <w:p>
      <w:pPr>
        <w:spacing w:after="0" w:line="31" w:lineRule="exact"/>
        <w:rPr>
          <w:rFonts w:ascii="Arial" w:cs="Arial" w:eastAsia="Arial" w:hAnsi="Arial"/>
          <w:sz w:val="16"/>
          <w:szCs w:val="16"/>
          <w:color w:val="auto"/>
        </w:rPr>
      </w:pPr>
    </w:p>
    <w:p>
      <w:pPr>
        <w:ind w:left="900" w:hanging="446"/>
        <w:spacing w:after="0" w:line="330"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benefits accrued through the date of termination to which Executive may be entitled pursuant to the plans, policies and arrangements (including those referred to in Section 4(c) hereof) shall be determined and paid in accordance with the terms of such plans, policies and arrangements.</w:t>
      </w:r>
    </w:p>
    <w:p>
      <w:pPr>
        <w:spacing w:after="0" w:line="1" w:lineRule="exact"/>
        <w:rPr>
          <w:sz w:val="20"/>
          <w:szCs w:val="20"/>
          <w:color w:val="auto"/>
        </w:rPr>
      </w:pPr>
    </w:p>
    <w:p>
      <w:pPr>
        <w:ind w:firstLine="464"/>
        <w:spacing w:after="0" w:line="275" w:lineRule="auto"/>
        <w:tabs>
          <w:tab w:leader="none" w:pos="713"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In the event that Executive’s employment is terminated by the Company for Cause, the Company shall pay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to Executive:</w:t>
      </w:r>
    </w:p>
    <w:p>
      <w:pPr>
        <w:spacing w:after="0" w:line="44" w:lineRule="exact"/>
        <w:rPr>
          <w:rFonts w:ascii="Arial" w:cs="Arial" w:eastAsia="Arial" w:hAnsi="Arial"/>
          <w:sz w:val="18"/>
          <w:szCs w:val="18"/>
          <w:b w:val="1"/>
          <w:bCs w:val="1"/>
          <w:color w:val="auto"/>
        </w:rPr>
      </w:pPr>
    </w:p>
    <w:p>
      <w:pPr>
        <w:ind w:left="900" w:right="20" w:hanging="446"/>
        <w:spacing w:after="0" w:line="33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benefits accrued through the date of termination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53" w:lineRule="exact"/>
        <w:rPr>
          <w:rFonts w:ascii="Arial" w:cs="Arial" w:eastAsia="Arial" w:hAnsi="Arial"/>
          <w:sz w:val="18"/>
          <w:szCs w:val="18"/>
          <w:color w:val="auto"/>
        </w:rPr>
      </w:pPr>
    </w:p>
    <w:p>
      <w:pPr>
        <w:ind w:firstLine="464"/>
        <w:spacing w:after="0" w:line="275" w:lineRule="auto"/>
        <w:tabs>
          <w:tab w:leader="none" w:pos="718" w:val="left"/>
        </w:tabs>
        <w:numPr>
          <w:ilvl w:val="1"/>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In the event that Executive voluntarily terminates employment other than for Good Reason,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pay the following amounts to Executive: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0" w:name="page91"/>
    <w:bookmarkEnd w:id="90"/>
    <w:p>
      <w:pPr>
        <w:ind w:left="900" w:right="20" w:hanging="446"/>
        <w:spacing w:after="0" w:line="332"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benefits accrued through the date of termination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53" w:lineRule="exact"/>
        <w:rPr>
          <w:rFonts w:ascii="Arial" w:cs="Arial" w:eastAsia="Arial" w:hAnsi="Arial"/>
          <w:sz w:val="18"/>
          <w:szCs w:val="18"/>
          <w:color w:val="auto"/>
        </w:rPr>
      </w:pPr>
    </w:p>
    <w:p>
      <w:pPr>
        <w:jc w:val="both"/>
        <w:ind w:firstLine="464"/>
        <w:spacing w:after="0" w:line="258" w:lineRule="auto"/>
        <w:tabs>
          <w:tab w:leader="none" w:pos="720" w:val="left"/>
        </w:tabs>
        <w:numPr>
          <w:ilvl w:val="1"/>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Outside a Change in Control Period; Termination by Executive for Good Reason Outside a Change in Control Period. </w:t>
      </w:r>
      <w:r>
        <w:rPr>
          <w:rFonts w:ascii="Arial" w:cs="Arial" w:eastAsia="Arial" w:hAnsi="Arial"/>
          <w:sz w:val="18"/>
          <w:szCs w:val="18"/>
          <w:color w:val="auto"/>
        </w:rPr>
        <w:t>In the event that Executive’s employment is terminated by the Company outside a Change in Control Period (as defined in Section 7</w:t>
      </w:r>
      <w:r>
        <w:rPr>
          <w:rFonts w:ascii="Arial" w:cs="Arial" w:eastAsia="Arial" w:hAnsi="Arial"/>
          <w:sz w:val="18"/>
          <w:szCs w:val="18"/>
          <w:b w:val="1"/>
          <w:bCs w:val="1"/>
          <w:color w:val="auto"/>
        </w:rPr>
        <w:t xml:space="preserve"> </w:t>
      </w:r>
      <w:r>
        <w:rPr>
          <w:rFonts w:ascii="Arial" w:cs="Arial" w:eastAsia="Arial" w:hAnsi="Arial"/>
          <w:sz w:val="18"/>
          <w:szCs w:val="18"/>
          <w:color w:val="auto"/>
        </w:rPr>
        <w:t>below) for reasons other than death, Total Disability or Cause, or Executive terminates his employment for Good Reason outside of a Change in Control Period, the Company shall pay the following amounts to Executive:</w:t>
      </w:r>
    </w:p>
    <w:p>
      <w:pPr>
        <w:spacing w:after="0" w:line="61" w:lineRule="exact"/>
        <w:rPr>
          <w:sz w:val="20"/>
          <w:szCs w:val="20"/>
          <w:color w:val="auto"/>
        </w:rPr>
      </w:pPr>
    </w:p>
    <w:p>
      <w:pPr>
        <w:ind w:left="900" w:right="20" w:hanging="446"/>
        <w:spacing w:after="0" w:line="33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4" w:lineRule="exact"/>
        <w:rPr>
          <w:rFonts w:ascii="Arial" w:cs="Arial" w:eastAsia="Arial" w:hAnsi="Arial"/>
          <w:sz w:val="16"/>
          <w:szCs w:val="16"/>
          <w:color w:val="auto"/>
        </w:rPr>
      </w:pPr>
    </w:p>
    <w:p>
      <w:pPr>
        <w:ind w:left="900" w:hanging="446"/>
        <w:spacing w:after="0" w:line="33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benefits accrued through the date of termination to which Executive may be entitled pursuant to the plans, policies and arrangements referred to in Section 4(c) hereof shall be determined and paid in accordance with the terms of such plans, policies and arrangements.</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Subject to Executive’s execution of the Release (as defined in Section 7), Executive shall be eligible for a bonus or incentive compensation payment, at the same time, on the same basis, and to the same extent payments are made to senior executives of the Company, pro-rated for the fiscal year in which the Executive’s employment is terminated.</w:t>
      </w:r>
    </w:p>
    <w:p>
      <w:pPr>
        <w:spacing w:after="0" w:line="59" w:lineRule="exact"/>
        <w:rPr>
          <w:rFonts w:ascii="Arial" w:cs="Arial" w:eastAsia="Arial" w:hAnsi="Arial"/>
          <w:sz w:val="18"/>
          <w:szCs w:val="18"/>
          <w:color w:val="auto"/>
        </w:rPr>
      </w:pPr>
    </w:p>
    <w:p>
      <w:pPr>
        <w:jc w:val="both"/>
        <w:ind w:left="900" w:hanging="446"/>
        <w:spacing w:after="0" w:line="318" w:lineRule="auto"/>
        <w:tabs>
          <w:tab w:leader="none" w:pos="9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Subject to Executive’s execution of the Release (as defined in Section 7), an amount equal to two (2) times the sum of Executive’s Base Salary plus his Target Annual Bonus (in each case, as then in effect), of which one-half of such amount shall be paid in a lump sum within the calendar quarter in which the 60</w:t>
      </w:r>
      <w:r>
        <w:rPr>
          <w:rFonts w:ascii="Arial" w:cs="Arial" w:eastAsia="Arial" w:hAnsi="Arial"/>
          <w:sz w:val="10"/>
          <w:szCs w:val="10"/>
          <w:color w:val="auto"/>
        </w:rPr>
        <w:t>th</w:t>
      </w:r>
      <w:r>
        <w:rPr>
          <w:rFonts w:ascii="Arial" w:cs="Arial" w:eastAsia="Arial" w:hAnsi="Arial"/>
          <w:sz w:val="15"/>
          <w:szCs w:val="15"/>
          <w:color w:val="auto"/>
        </w:rPr>
        <w:t xml:space="preserve"> day following Executive’s employment termination date falls and one-half of such amount shall be paid during the two (2) year period beginning in the calendar quarter within which the 60</w:t>
      </w:r>
      <w:r>
        <w:rPr>
          <w:rFonts w:ascii="Arial" w:cs="Arial" w:eastAsia="Arial" w:hAnsi="Arial"/>
          <w:sz w:val="10"/>
          <w:szCs w:val="10"/>
          <w:color w:val="auto"/>
        </w:rPr>
        <w:t>th</w:t>
      </w:r>
      <w:r>
        <w:rPr>
          <w:rFonts w:ascii="Arial" w:cs="Arial" w:eastAsia="Arial" w:hAnsi="Arial"/>
          <w:sz w:val="15"/>
          <w:szCs w:val="15"/>
          <w:color w:val="auto"/>
        </w:rPr>
        <w:t xml:space="preserve"> day following Executive’s employment termination date falls and continuing at the same time and in the same manner as Base Salary would have been paid if Executive had remained in active employment until the end of such period.</w:t>
      </w:r>
    </w:p>
    <w:p>
      <w:pPr>
        <w:spacing w:after="0" w:line="18" w:lineRule="exact"/>
        <w:rPr>
          <w:rFonts w:ascii="Arial" w:cs="Arial" w:eastAsia="Arial" w:hAnsi="Arial"/>
          <w:sz w:val="15"/>
          <w:szCs w:val="15"/>
          <w:color w:val="auto"/>
        </w:rPr>
      </w:pPr>
    </w:p>
    <w:p>
      <w:pPr>
        <w:jc w:val="both"/>
        <w:ind w:left="900" w:hanging="446"/>
        <w:spacing w:after="0" w:line="306"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Subject to Executive’s execution of the Release (as defined in Section 7) and Executive’s completion of required enrollment elections, the Company will continue for Executive and Executive’s spouse and eligible dependents coverage under the Company’s health benefit plan and disability benefit plans, in which Executive was a participant at any time during the twelve-month period prior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1" w:name="page92"/>
    <w:bookmarkEnd w:id="91"/>
    <w:p>
      <w:pPr>
        <w:jc w:val="both"/>
        <w:ind w:left="9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of termination, until the earliest to occur of (A) twenty-four (24) months after the employment termination date; (B) Executive’s death (provided that benefits provided to Executive’s spouse and dependents shall not terminate until twenty-four (24) months after the employment termination date); or (C) with respect to any particular plan, the date Executive becomes eligible to participate in a comparable benefit provided by a subsequent employer. In the event that Executive’s continued participation in any such Company plan is prohibited, the Company will arrange to provide Executive with benefits substantially similar to those which Executive would have been entitled to receive under this paragraph on a basis which provides Executive with no additional after-tax cost.</w:t>
      </w:r>
    </w:p>
    <w:p>
      <w:pPr>
        <w:spacing w:after="0" w:line="33" w:lineRule="exact"/>
        <w:rPr>
          <w:sz w:val="20"/>
          <w:szCs w:val="20"/>
          <w:color w:val="auto"/>
        </w:rPr>
      </w:pPr>
    </w:p>
    <w:p>
      <w:pPr>
        <w:jc w:val="both"/>
        <w:ind w:firstLine="464"/>
        <w:spacing w:after="0" w:line="262" w:lineRule="auto"/>
        <w:tabs>
          <w:tab w:leader="none" w:pos="700" w:val="left"/>
        </w:tabs>
        <w:numPr>
          <w:ilvl w:val="1"/>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Suspension and Refund of Termination Benefits for Subsequently Discovered Cause. </w:t>
      </w:r>
      <w:r>
        <w:rPr>
          <w:rFonts w:ascii="Arial" w:cs="Arial" w:eastAsia="Arial" w:hAnsi="Arial"/>
          <w:sz w:val="18"/>
          <w:szCs w:val="18"/>
          <w:color w:val="auto"/>
        </w:rPr>
        <w:t>Notwithstanding any provision of this Agreement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 if within one (1) year of Executive’s employment termination date for any reason other than for Cause, it is determined by the Company that Executive could have been terminated for Cause, then to the extent permitted by law:</w:t>
      </w:r>
    </w:p>
    <w:p>
      <w:pPr>
        <w:spacing w:after="0" w:line="57" w:lineRule="exact"/>
        <w:rPr>
          <w:rFonts w:ascii="Arial" w:cs="Arial" w:eastAsia="Arial" w:hAnsi="Arial"/>
          <w:sz w:val="18"/>
          <w:szCs w:val="18"/>
          <w:b w:val="1"/>
          <w:bCs w:val="1"/>
          <w:color w:val="auto"/>
        </w:rPr>
      </w:pPr>
    </w:p>
    <w:p>
      <w:pPr>
        <w:ind w:left="900" w:right="2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may elect to cancel any and all payments of any benefits otherwise due Executive, but not yet paid, under this Agreement or otherwise; and</w:t>
      </w:r>
    </w:p>
    <w:p>
      <w:pPr>
        <w:spacing w:after="0" w:line="50" w:lineRule="exact"/>
        <w:rPr>
          <w:rFonts w:ascii="Arial" w:cs="Arial" w:eastAsia="Arial" w:hAnsi="Arial"/>
          <w:sz w:val="18"/>
          <w:szCs w:val="18"/>
          <w:color w:val="auto"/>
        </w:rPr>
      </w:pPr>
    </w:p>
    <w:p>
      <w:pPr>
        <w:jc w:val="both"/>
        <w:ind w:left="900" w:hanging="446"/>
        <w:spacing w:after="0" w:line="256"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upon written demand by the Company, Executive shall refund to the Company any amounts, plus interest, previously paid by Company to Executive pursuant to Subsections 6(e)(iii), 6(e)(iv) or 6(e)(v), less one thousand dollars ($1,000) which Executive shall be entitled to retain as fully sufficient consideration to support and maintain in effect any contractual obligations that Executive has to the Company prior to the refund, including the Release as defined herein.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Resignation by Executive for Good Reason or Termination by Company Without Cause During a Change in Control Period.</w:t>
      </w:r>
    </w:p>
    <w:p>
      <w:pPr>
        <w:spacing w:after="0" w:line="90" w:lineRule="exact"/>
        <w:rPr>
          <w:sz w:val="20"/>
          <w:szCs w:val="20"/>
          <w:color w:val="auto"/>
        </w:rPr>
      </w:pPr>
    </w:p>
    <w:p>
      <w:pPr>
        <w:ind w:left="720" w:hanging="256"/>
        <w:spacing w:after="0"/>
        <w:tabs>
          <w:tab w:leader="none" w:pos="720" w:val="left"/>
        </w:tabs>
        <w:numPr>
          <w:ilvl w:val="2"/>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Certain Terminations During a Change in Control Period. </w:t>
      </w:r>
      <w:r>
        <w:rPr>
          <w:rFonts w:ascii="Arial" w:cs="Arial" w:eastAsia="Arial" w:hAnsi="Arial"/>
          <w:sz w:val="16"/>
          <w:szCs w:val="16"/>
          <w:color w:val="auto"/>
        </w:rPr>
        <w:t>Subject to reduction required by Section 22, in the event a Change in Control occurs and</w:t>
      </w:r>
    </w:p>
    <w:p>
      <w:pPr>
        <w:spacing w:after="0" w:line="44" w:lineRule="exact"/>
        <w:rPr>
          <w:rFonts w:ascii="Arial" w:cs="Arial" w:eastAsia="Arial" w:hAnsi="Arial"/>
          <w:sz w:val="16"/>
          <w:szCs w:val="16"/>
          <w:b w:val="1"/>
          <w:bCs w:val="1"/>
          <w:color w:val="auto"/>
        </w:rPr>
      </w:pPr>
    </w:p>
    <w:p>
      <w:pPr>
        <w:jc w:val="both"/>
        <w:ind w:firstLine="8"/>
        <w:spacing w:after="0" w:line="255" w:lineRule="auto"/>
        <w:tabs>
          <w:tab w:leader="none" w:pos="258"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Executive terminates his employment for Good Reason during a Change in Control Period, or (y) the Company terminates Executive’s employment without Cause (and for reason other than Death of Total Disability) during a Change in Control Period, the Company shall, subject to Executive’s execution of the Release (as defined in this Section 7), pay the following amounts to Executive:</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payments and benefits provided for in Section 6(e)(iv) and (v) in the same form as provided for therein.</w:t>
      </w:r>
    </w:p>
    <w:p>
      <w:pPr>
        <w:spacing w:after="0" w:line="9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Executive shall also receive a bonus or incentive compensation payment for the calendar year of the employment termination, payable at 100% of the maximum bonus available to Executive, pro-rated as of the employment termination date. Such bonus payment shall be payable within five (5) days after the later of the effective date of Executive’s termination or the Change in Control.</w:t>
      </w:r>
    </w:p>
    <w:p>
      <w:pPr>
        <w:spacing w:after="0" w:line="53" w:lineRule="exact"/>
        <w:rPr>
          <w:rFonts w:ascii="Arial" w:cs="Arial" w:eastAsia="Arial" w:hAnsi="Arial"/>
          <w:sz w:val="18"/>
          <w:szCs w:val="18"/>
          <w:color w:val="auto"/>
        </w:rPr>
      </w:pPr>
    </w:p>
    <w:p>
      <w:pPr>
        <w:ind w:left="720" w:hanging="256"/>
        <w:spacing w:after="0"/>
        <w:tabs>
          <w:tab w:leader="none" w:pos="720" w:val="left"/>
        </w:tabs>
        <w:numPr>
          <w:ilvl w:val="2"/>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90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purposes of this Agreement, “Change in Control” means the first to occur on or after the date on which this Agreement is first signed, the occurrence of any of the following events: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2" w:name="page93"/>
    <w:bookmarkEnd w:id="92"/>
    <w:p>
      <w:pPr>
        <w:jc w:val="both"/>
        <w:ind w:left="1026" w:hanging="567"/>
        <w:spacing w:after="0" w:line="256" w:lineRule="auto"/>
        <w:tabs>
          <w:tab w:leader="none" w:pos="1026" w:val="left"/>
        </w:tabs>
        <w:numPr>
          <w:ilvl w:val="1"/>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Person, or Persons acting as a group (within the meaning of Section 409A of the Internal Revenue Code), directly or indirectly, including by purchases, mergers, consolidation or otherwise, acquires ownership of securities of the Company that, together with stock held by such Person or Persons, represents fifty percent (50%) or more of the total voting power or total fair market value of the Company’s then outstanding securities;</w:t>
      </w:r>
    </w:p>
    <w:p>
      <w:pPr>
        <w:spacing w:after="0" w:line="62" w:lineRule="exact"/>
        <w:rPr>
          <w:rFonts w:ascii="Arial" w:cs="Arial" w:eastAsia="Arial" w:hAnsi="Arial"/>
          <w:sz w:val="18"/>
          <w:szCs w:val="18"/>
          <w:color w:val="auto"/>
        </w:rPr>
      </w:pPr>
    </w:p>
    <w:p>
      <w:pPr>
        <w:jc w:val="both"/>
        <w:ind w:left="1026" w:hanging="567"/>
        <w:spacing w:after="0" w:line="256" w:lineRule="auto"/>
        <w:tabs>
          <w:tab w:leader="none" w:pos="1026"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of the Internal Revenue Code), acquires, (or has acquired during the 12-month period ending on the date of the most recent acquisition by such Person or Persons) directly or indirectly, including by purchases, merger, consolidation or otherwise, ownership of the securities of the Company that represent thirty percent (30%) or more of the total voting power of the Company’s then outstanding voting securities;</w:t>
      </w:r>
    </w:p>
    <w:p>
      <w:pPr>
        <w:spacing w:after="0" w:line="62" w:lineRule="exact"/>
        <w:rPr>
          <w:rFonts w:ascii="Arial" w:cs="Arial" w:eastAsia="Arial" w:hAnsi="Arial"/>
          <w:sz w:val="18"/>
          <w:szCs w:val="18"/>
          <w:color w:val="auto"/>
        </w:rPr>
      </w:pPr>
    </w:p>
    <w:p>
      <w:pPr>
        <w:jc w:val="both"/>
        <w:ind w:left="1026" w:hanging="567"/>
        <w:spacing w:after="0" w:line="291" w:lineRule="auto"/>
        <w:tabs>
          <w:tab w:leader="none" w:pos="1026"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then serving during any 12-month period: individuals who, at the beginning of the 12-month period,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w:t>
      </w:r>
    </w:p>
    <w:p>
      <w:pPr>
        <w:spacing w:after="0" w:line="39" w:lineRule="exact"/>
        <w:rPr>
          <w:rFonts w:ascii="Arial" w:cs="Arial" w:eastAsia="Arial" w:hAnsi="Arial"/>
          <w:sz w:val="16"/>
          <w:szCs w:val="16"/>
          <w:color w:val="auto"/>
        </w:rPr>
      </w:pPr>
    </w:p>
    <w:p>
      <w:pPr>
        <w:jc w:val="both"/>
        <w:ind w:left="1026" w:hanging="567"/>
        <w:spacing w:after="0" w:line="291" w:lineRule="auto"/>
        <w:tabs>
          <w:tab w:leader="none" w:pos="1026" w:val="left"/>
        </w:tabs>
        <w:numPr>
          <w:ilvl w:val="1"/>
          <w:numId w:val="94"/>
        </w:numPr>
        <w:rPr>
          <w:rFonts w:ascii="Arial" w:cs="Arial" w:eastAsia="Arial" w:hAnsi="Arial"/>
          <w:sz w:val="16"/>
          <w:szCs w:val="16"/>
          <w:color w:val="auto"/>
        </w:rPr>
      </w:pPr>
      <w:r>
        <w:rPr>
          <w:rFonts w:ascii="Arial" w:cs="Arial" w:eastAsia="Arial" w:hAnsi="Arial"/>
          <w:sz w:val="16"/>
          <w:szCs w:val="16"/>
          <w:color w:val="auto"/>
        </w:rPr>
        <w:t>a Person or Persons acting as a group acquires (or has acquired during the 12-month period ending on the date of the most recent acquisition by such Person or Persons) assets from the Company that have a total gross fair market value equal to or more than forty percent (40%) of the total gross fair market value of all of the assets of the Company immediately before such acquisition or acquisitions, other than a sale or disposition by the Company of such assets to an entity, at least fifty percent (50%) of the combined voting power of the voting securities of which are owned by the Company or by the stockholders of the Company in substantially the same proportions as their ownership of the Company immediately prior to such sale.</w:t>
      </w:r>
    </w:p>
    <w:p>
      <w:pPr>
        <w:spacing w:after="0" w:line="39" w:lineRule="exact"/>
        <w:rPr>
          <w:rFonts w:ascii="Arial" w:cs="Arial" w:eastAsia="Arial" w:hAnsi="Arial"/>
          <w:sz w:val="16"/>
          <w:szCs w:val="16"/>
          <w:color w:val="auto"/>
        </w:rPr>
      </w:pPr>
    </w:p>
    <w:p>
      <w:pPr>
        <w:ind w:left="446" w:hanging="446"/>
        <w:spacing w:after="0" w:line="332" w:lineRule="auto"/>
        <w:tabs>
          <w:tab w:leader="none" w:pos="446" w:val="left"/>
        </w:tabs>
        <w:numPr>
          <w:ilvl w:val="0"/>
          <w:numId w:val="95"/>
        </w:numPr>
        <w:rPr>
          <w:rFonts w:ascii="Arial" w:cs="Arial" w:eastAsia="Arial" w:hAnsi="Arial"/>
          <w:sz w:val="16"/>
          <w:szCs w:val="16"/>
          <w:color w:val="auto"/>
        </w:rPr>
      </w:pPr>
      <w:r>
        <w:rPr>
          <w:rFonts w:ascii="Arial" w:cs="Arial" w:eastAsia="Arial" w:hAnsi="Arial"/>
          <w:sz w:val="16"/>
          <w:szCs w:val="16"/>
          <w:color w:val="auto"/>
        </w:rPr>
        <w:t>For purposes of this Agreement, “Change in Control Period” means the period commencing on the date occurring six months immediately prior to the date on which a Change in Control occurs and ending on the second anniversary of the date on which a Change in Control occurs.</w:t>
      </w:r>
    </w:p>
    <w:p>
      <w:pPr>
        <w:spacing w:after="0" w:line="4" w:lineRule="exact"/>
        <w:rPr>
          <w:rFonts w:ascii="Arial" w:cs="Arial" w:eastAsia="Arial" w:hAnsi="Arial"/>
          <w:sz w:val="16"/>
          <w:szCs w:val="16"/>
          <w:color w:val="auto"/>
        </w:rPr>
      </w:pPr>
    </w:p>
    <w:p>
      <w:pPr>
        <w:ind w:left="446" w:hanging="446"/>
        <w:spacing w:after="0"/>
        <w:tabs>
          <w:tab w:leader="none" w:pos="4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purposes of this Agreement, “Exchange Act” means the Securities and Exchange Act of 1934, as amended from time to time.</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6"/>
          </w:cols>
          <w:pgMar w:left="694" w:top="280" w:right="239" w:bottom="1440" w:gutter="0" w:footer="0" w:header="0"/>
        </w:sectPr>
      </w:pPr>
    </w:p>
    <w:bookmarkStart w:id="93" w:name="page94"/>
    <w:bookmarkEnd w:id="93"/>
    <w:p>
      <w:pPr>
        <w:jc w:val="both"/>
        <w:ind w:left="900" w:hanging="446"/>
        <w:spacing w:after="0" w:line="255"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Section 7, “Person”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 of the Company.</w:t>
      </w:r>
    </w:p>
    <w:p>
      <w:pPr>
        <w:spacing w:after="0" w:line="61" w:lineRule="exact"/>
        <w:rPr>
          <w:rFonts w:ascii="Arial" w:cs="Arial" w:eastAsia="Arial" w:hAnsi="Arial"/>
          <w:sz w:val="18"/>
          <w:szCs w:val="18"/>
          <w:color w:val="auto"/>
        </w:rPr>
      </w:pPr>
    </w:p>
    <w:p>
      <w:pPr>
        <w:jc w:val="both"/>
        <w:ind w:left="900" w:hanging="446"/>
        <w:spacing w:after="0" w:line="294"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For purposes of this Agreement, “Release” means that specific document which the Company shall present to Executive for consideration and execution after any applicable termination of employment, wherein if he agrees to such, he will irrevocably and unconditionally release and forever discharge the Company, it subsidiaries, affiliates and related parties from any and all causes of action which Executive at that time had or may have had against the Company (excluding any claim for indemnity under this Agreement, any claim under state workers’ compensation or unemployment laws, or any claim under the Consolidated Omnibus Budget Reconciliation Act of 1985 (“COBRA”)).</w:t>
      </w:r>
    </w:p>
    <w:p>
      <w:pPr>
        <w:spacing w:after="0" w:line="28" w:lineRule="exact"/>
        <w:rPr>
          <w:rFonts w:ascii="Arial" w:cs="Arial" w:eastAsia="Arial" w:hAnsi="Arial"/>
          <w:sz w:val="16"/>
          <w:szCs w:val="16"/>
          <w:color w:val="auto"/>
        </w:rPr>
      </w:pPr>
    </w:p>
    <w:p>
      <w:pPr>
        <w:jc w:val="both"/>
        <w:ind w:firstLine="464"/>
        <w:spacing w:after="0" w:line="258" w:lineRule="auto"/>
        <w:tabs>
          <w:tab w:leader="none" w:pos="640" w:val="left"/>
        </w:tabs>
        <w:numPr>
          <w:ilvl w:val="1"/>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No Other Benefits or Compensation</w:t>
      </w:r>
      <w:r>
        <w:rPr>
          <w:rFonts w:ascii="Arial" w:cs="Arial" w:eastAsia="Arial" w:hAnsi="Arial"/>
          <w:sz w:val="18"/>
          <w:szCs w:val="18"/>
          <w:color w:val="auto"/>
        </w:rPr>
        <w:t>. Except as may be provided under this Agreement, or under the terms of any incentive compensation,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or fringe benefit plan applicable to Executive at the time of Executive’s employment termination or resignation, Executive shall have no right to receive any other compensation, or to participate in any other plan, arrangement or benefit, with respect to future periods after such employment termination or resignation.</w:t>
      </w:r>
    </w:p>
    <w:p>
      <w:pPr>
        <w:spacing w:after="0" w:line="55" w:lineRule="exact"/>
        <w:rPr>
          <w:rFonts w:ascii="Arial" w:cs="Arial" w:eastAsia="Arial" w:hAnsi="Arial"/>
          <w:sz w:val="18"/>
          <w:szCs w:val="18"/>
          <w:b w:val="1"/>
          <w:bCs w:val="1"/>
          <w:color w:val="auto"/>
        </w:rPr>
      </w:pPr>
    </w:p>
    <w:p>
      <w:pPr>
        <w:jc w:val="both"/>
        <w:ind w:firstLine="464"/>
        <w:spacing w:after="0" w:line="262" w:lineRule="auto"/>
        <w:tabs>
          <w:tab w:leader="none" w:pos="639" w:val="left"/>
        </w:tabs>
        <w:numPr>
          <w:ilvl w:val="1"/>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No Mitigation</w:t>
      </w:r>
      <w:r>
        <w:rPr>
          <w:rFonts w:ascii="Arial" w:cs="Arial" w:eastAsia="Arial" w:hAnsi="Arial"/>
          <w:sz w:val="18"/>
          <w:szCs w:val="18"/>
          <w:color w:val="auto"/>
        </w:rPr>
        <w:t>. In the event of any termination of employment hereunder, Executive shall be under no obligation to seek other employment, and there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no offset against any amounts due Executive under this Agreement on account of any remuneration attributable to any subsequent employment that Executive may obtain.</w:t>
      </w:r>
    </w:p>
    <w:p>
      <w:pPr>
        <w:spacing w:after="0" w:line="51" w:lineRule="exact"/>
        <w:rPr>
          <w:rFonts w:ascii="Arial" w:cs="Arial" w:eastAsia="Arial" w:hAnsi="Arial"/>
          <w:sz w:val="18"/>
          <w:szCs w:val="18"/>
          <w:b w:val="1"/>
          <w:bCs w:val="1"/>
          <w:color w:val="auto"/>
        </w:rPr>
      </w:pPr>
    </w:p>
    <w:p>
      <w:pPr>
        <w:jc w:val="both"/>
        <w:ind w:firstLine="464"/>
        <w:spacing w:after="0" w:line="289" w:lineRule="auto"/>
        <w:tabs>
          <w:tab w:leader="none" w:pos="740" w:val="left"/>
        </w:tabs>
        <w:numPr>
          <w:ilvl w:val="1"/>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Protective Covenants</w:t>
      </w:r>
      <w:r>
        <w:rPr>
          <w:rFonts w:ascii="Arial" w:cs="Arial" w:eastAsia="Arial" w:hAnsi="Arial"/>
          <w:sz w:val="16"/>
          <w:szCs w:val="16"/>
          <w:color w:val="auto"/>
        </w:rPr>
        <w:t>. In reliance upon Executive’s promise to abide by the various protective covenants and restrictions provided for below,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will continue to provide Executive with one or more of the following: (i) portions of the Company’s Confidential Information (through a computer password or other means) and updates thereto; (ii) authorization to communicate with customers and prospective customers, and other business relationship providers, to help Executive develop goodwill for Company; and/or (iii) authorization to participate in specialized training related to Company’s business. Executive agrees that each of Executive’s covenants in Section 10 of this Agreement (the “Protective Covenants”) is reasonable and necessary to protect a legitimate business interest of the Company, and that no one restriction or obligation (such as the confidentiality obligations) would be sufficient to protect the Company’s interests standing alone due to the variety of different interests involved, the difficulty of identifying and addressing a breach before irreparable harm has occurred, and the need to prevent irreparable harm. Employee understands and agrees that one purpose of this Agreement is to enhance, maintain, and not diminish, all common law and contract protections that have been in effect for the parties concerning Confidential Information that Employee has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4" w:name="page95"/>
    <w:bookmarkEnd w:id="94"/>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received in the past. In addition, Executive agrees that any and all rights Executive may have to incentive compensation, stock or stock-related compensation, and/or severance compensation, whether provided for in this Agreement or elsewhere, are provided in reliance upon Executive’s agreement to abide by and not challenge the validity of the Protective Covenants described below.</w:t>
      </w:r>
    </w:p>
    <w:p>
      <w:pPr>
        <w:spacing w:after="0" w:line="53" w:lineRule="exact"/>
        <w:rPr>
          <w:sz w:val="20"/>
          <w:szCs w:val="20"/>
          <w:color w:val="auto"/>
        </w:rPr>
      </w:pPr>
    </w:p>
    <w:p>
      <w:pPr>
        <w:jc w:val="both"/>
        <w:ind w:firstLine="464"/>
        <w:spacing w:after="0" w:line="284" w:lineRule="auto"/>
        <w:tabs>
          <w:tab w:leader="none" w:pos="741"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Company Property, Computer Systems, and Inventions</w:t>
      </w:r>
      <w:r>
        <w:rPr>
          <w:rFonts w:ascii="Arial" w:cs="Arial" w:eastAsia="Arial" w:hAnsi="Arial"/>
          <w:sz w:val="16"/>
          <w:szCs w:val="16"/>
          <w:color w:val="auto"/>
        </w:rPr>
        <w:t>. All written materials, records, data, and other documents prepared or possessed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Executive during Executive’s employment with the Company are the Company’s property. Executive understands that access to the Company’s computer systems is authorized for activities that are consistent with the business purposes of the Company, that benefit the Company (consistent with Company policies and/or guidelines as they may be modified from time to time), and that do not knowingly cause harm to the Company. The use of the Company computer systems to pursue a competing enterprise, or prepare to compete with the Company, is unauthorized and strictly prohibited. All information, ideas, concepts, improvements, discoveries, and inventions that are conceived, made, developed, or acquired by Executive individually or in conjunction with others during Executive’s employment (whether during business hours or not and whether on the Company’s premises or not) which relate to or are derived from the Company’s business, products, property, resources or services are the Company’s sole and exclusive property. Executive does hereby grant and assign to the Company (or its nominee) Executive’s entire right, title and interest in and to all inventions, original works of authorship, developments, concepts, improvements, designs, discoveries, and ideas of commercial use or value that either: (i) relate to the Company’s business, or actual or demonstrably anticipated research or development activity of the Company; or (ii) are derived from, suggested by, or result of work performed for the Company, or were created, discovered, or conceived with the aid of Company property (“Company IP”). While employed, and as necessary thereafter, Executive will assist Company to obtain patents or copyrights on Company IP, and will upon request execute all documents and otherwise cooperate in the Company’s efforts to obtain the copyrights, patents, licenses, and other rights and interests that would be necessary to secure for the Company the complete benefit of Company IP. To the extent state law where Executive resides requires it (such as under Cal. Lab. Code, § 2870, or comparable laws), Executive is notified that </w:t>
      </w:r>
      <w:r>
        <w:rPr>
          <w:rFonts w:ascii="Arial" w:cs="Arial" w:eastAsia="Arial" w:hAnsi="Arial"/>
          <w:sz w:val="16"/>
          <w:szCs w:val="16"/>
          <w:b w:val="1"/>
          <w:bCs w:val="1"/>
          <w:color w:val="auto"/>
        </w:rPr>
        <w:t>no provision in this Agreement requires Executive to assign any of rights 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an invention for which no equipment, supplies, facility, or trade secret information of the Company was used and which was developed entirely on Executive’s own time, unless (i) the invention relates at the time of conception or reduction to practice of the invention, (A) to the business of the Company, or (B) to the Company’s actual or demonstrably anticipated research or development, or (ii) the invention results from any work performed by Executive for the Company. </w:t>
      </w:r>
      <w:r>
        <w:rPr>
          <w:rFonts w:ascii="Arial" w:cs="Arial" w:eastAsia="Arial" w:hAnsi="Arial"/>
          <w:sz w:val="16"/>
          <w:szCs w:val="16"/>
          <w:color w:val="auto"/>
        </w:rPr>
        <w:t>This paragraph is intended to compliment and supplement, not replace, any additional written agreement(s) the parties may have</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Company IP.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 and shall not retain any copies of such property, in any form (tangible or intangible), without the express written consent of the Company.</w:t>
      </w:r>
    </w:p>
    <w:p>
      <w:pPr>
        <w:spacing w:after="0" w:line="41" w:lineRule="exact"/>
        <w:rPr>
          <w:rFonts w:ascii="Arial" w:cs="Arial" w:eastAsia="Arial" w:hAnsi="Arial"/>
          <w:sz w:val="16"/>
          <w:szCs w:val="16"/>
          <w:b w:val="1"/>
          <w:bCs w:val="1"/>
          <w:color w:val="auto"/>
        </w:rPr>
      </w:pPr>
    </w:p>
    <w:p>
      <w:pPr>
        <w:ind w:right="20" w:firstLine="464"/>
        <w:spacing w:after="0" w:line="275" w:lineRule="auto"/>
        <w:tabs>
          <w:tab w:leader="none" w:pos="733"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 Non-Disclosure</w:t>
      </w:r>
      <w:r>
        <w:rPr>
          <w:rFonts w:ascii="Arial" w:cs="Arial" w:eastAsia="Arial" w:hAnsi="Arial"/>
          <w:sz w:val="18"/>
          <w:szCs w:val="18"/>
          <w:color w:val="auto"/>
        </w:rPr>
        <w:t>. Executive acknowledges that the business of the Company is highly competitive and that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 is one where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95" w:name="page96"/>
    <w:bookmarkEnd w:id="95"/>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will provide Executive with access to “Confidential Information” relating to the business of the Company and its affiliates. Executive further acknowledges that protection of such Confidential Information against unauthorized disclosure and use is of critical importance to the Company and its affiliates in maintaining their competitive advantage. Executive understands that it shall be his responsibility to handle and use “Confidential Information” in a manner that does not violate Company policies or knowingly cause harm to the Company. Accordingly, during employment and for so long thereafter as the information remains qualified as “Confidential Information,” Executive agrees to maintain the confidentiality of “Confidential Information” and not to engage in any unauthorized use or disclosure of such information.</w:t>
      </w:r>
    </w:p>
    <w:p>
      <w:pPr>
        <w:spacing w:after="0" w:line="63"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For purposes of this Agreement, “Confidential Information” refers to an item of information, or a compilation of information, in any form (tangible or intangible), related to the Company’s business that (i) the Company has not intentionally made public or authorized public disclosure of, and (ii) is not generally known to the public or to other persons who might obtain value or competitive advantage from its disclosure or use, through proper means. Confidential Information will not lose its protected status under this Agreement if it becomes known to the public or to other persons through improper means such as the unauthorized use or disclosure of the information by Executive or another person. Confidential Information includes, but is not limited to: (i) Market Business Strategy (MBS) data, the Company Transformation Change processes, MBS Plans, Business Improvement Process (BIP), Fleet Planning, Public Sector Pro-formas, Letters of Intent, Route Manager and District Manager Training Programs, internal information regarding acquisition targets, divestiture targets, and mergers, Real Estate Market Area Analysis Mapping and Real Estate Owned and Leased Property Data and Reporting; (ii) Company’s business plans and analysis, customer and prospect lists; compilations of names and other individualized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marketing plans and strategies, research and development data, buying practices, human resource information and personnel files (including salaries of management level personnel), financial data, operational data, methods, techniques, technical data, know-how, innovations, computer programs, un-patented inventions, and trade secrets; and (iii) information about the business affairs of third parties (including, but not limited to, clients and acquisition targets) that such third parties provide to Company in confidence.</w:t>
      </w:r>
    </w:p>
    <w:p>
      <w:pPr>
        <w:spacing w:after="0" w:line="4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Confidential Information will include trade secrets, but an item of Confidential Information need not qualify as a trade secret to be protected by this Agreement. Company’s confidential exchange of information with a third party for business purposes will not remove it from protection under this Agreement. Executive acknowledges that items of Confidential Information are Company’s valuable assets and have economic value, actual or potential, because they are not generally known by the public or others who could use them to their own economic benefit and/or to the competitive disadvantage of the Company, and thus, should be treated as Company’s trade secrets.</w:t>
      </w:r>
    </w:p>
    <w:p>
      <w:pPr>
        <w:spacing w:after="0" w:line="56" w:lineRule="exact"/>
        <w:rPr>
          <w:sz w:val="20"/>
          <w:szCs w:val="20"/>
          <w:color w:val="auto"/>
        </w:rPr>
      </w:pPr>
    </w:p>
    <w:p>
      <w:pPr>
        <w:jc w:val="both"/>
        <w:ind w:firstLine="464"/>
        <w:spacing w:after="0" w:line="310" w:lineRule="auto"/>
        <w:tabs>
          <w:tab w:leader="none" w:pos="722"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Unfair Competition Restrictions</w:t>
      </w:r>
      <w:r>
        <w:rPr>
          <w:rFonts w:ascii="Arial" w:cs="Arial" w:eastAsia="Arial" w:hAnsi="Arial"/>
          <w:sz w:val="16"/>
          <w:szCs w:val="16"/>
          <w:color w:val="auto"/>
        </w:rPr>
        <w:t>. Ancillary to the rights provided to Executive following employment termination, the Company’s provision of</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Information, specialized training, and/or goodwill support to Executive, and Executive’s agreements regarding the use of same, and in order to protect the value of any restricted stock, stock options, or other stock-related compensation, training, goodwill support and/or the Confidential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96" w:name="page97"/>
    <w:bookmarkEnd w:id="96"/>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Canada, the United Kingdom, or the People’s Republic of China (the “Restricted Area”) do the following, unless expressly authorized to do so in writing by the Chief Executive Officer of the Company:</w:t>
      </w:r>
    </w:p>
    <w:p>
      <w:pPr>
        <w:spacing w:after="0" w:line="32" w:lineRule="exact"/>
        <w:rPr>
          <w:sz w:val="20"/>
          <w:szCs w:val="20"/>
          <w:color w:val="auto"/>
        </w:rPr>
      </w:pPr>
    </w:p>
    <w:p>
      <w:pPr>
        <w:jc w:val="both"/>
        <w:ind w:left="1500" w:right="1140"/>
        <w:spacing w:after="0" w:line="284" w:lineRule="auto"/>
        <w:rPr>
          <w:sz w:val="20"/>
          <w:szCs w:val="20"/>
          <w:color w:val="auto"/>
        </w:rPr>
      </w:pPr>
      <w:r>
        <w:rPr>
          <w:rFonts w:ascii="Arial" w:cs="Arial" w:eastAsia="Arial" w:hAnsi="Arial"/>
          <w:sz w:val="16"/>
          <w:szCs w:val="16"/>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w:t>
      </w:r>
    </w:p>
    <w:p>
      <w:pPr>
        <w:spacing w:after="0" w:line="1" w:lineRule="exact"/>
        <w:rPr>
          <w:sz w:val="20"/>
          <w:szCs w:val="20"/>
          <w:color w:val="auto"/>
        </w:rPr>
      </w:pPr>
    </w:p>
    <w:p>
      <w:pPr>
        <w:jc w:val="both"/>
        <w:ind w:left="1500" w:right="1140" w:hanging="8"/>
        <w:spacing w:after="0" w:line="302" w:lineRule="auto"/>
        <w:tabs>
          <w:tab w:leader="none" w:pos="1801"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6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in writing to be of no material threat to the legitimate business interests of the Company.</w:t>
      </w:r>
    </w:p>
    <w:p>
      <w:pPr>
        <w:spacing w:after="0" w:line="33" w:lineRule="exact"/>
        <w:rPr>
          <w:sz w:val="20"/>
          <w:szCs w:val="20"/>
          <w:color w:val="auto"/>
        </w:rPr>
      </w:pPr>
    </w:p>
    <w:p>
      <w:pPr>
        <w:jc w:val="both"/>
        <w:ind w:firstLine="464"/>
        <w:spacing w:after="0" w:line="301" w:lineRule="auto"/>
        <w:tabs>
          <w:tab w:leader="none" w:pos="715"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Non-Solicitation of Customers</w:t>
      </w:r>
      <w:r>
        <w:rPr>
          <w:rFonts w:ascii="Arial" w:cs="Arial" w:eastAsia="Arial" w:hAnsi="Arial"/>
          <w:sz w:val="16"/>
          <w:szCs w:val="16"/>
          <w:color w:val="auto"/>
        </w:rPr>
        <w:t>. For the Restricted Term, Executive will not, in person or through the direction or control of others, call on, service, or</w:t>
      </w:r>
      <w:r>
        <w:rPr>
          <w:rFonts w:ascii="Arial" w:cs="Arial" w:eastAsia="Arial" w:hAnsi="Arial"/>
          <w:sz w:val="16"/>
          <w:szCs w:val="16"/>
          <w:b w:val="1"/>
          <w:bCs w:val="1"/>
          <w:color w:val="auto"/>
        </w:rPr>
        <w:t xml:space="preserve"> </w:t>
      </w:r>
      <w:r>
        <w:rPr>
          <w:rFonts w:ascii="Arial" w:cs="Arial" w:eastAsia="Arial" w:hAnsi="Arial"/>
          <w:sz w:val="16"/>
          <w:szCs w:val="16"/>
          <w:color w:val="auto"/>
        </w:rPr>
        <w:t>solicit competing business from a Covered Customer, or induce or encourage any such Covered Customer or other source of ongoing business to stop doing business with Company. A “Covered Customer” is any Company customer (person or entity) for which Executive had business-related contact or dealings with, or received Confidential Information about, in the two (2) year period preceding the termination of Executive’s employment with the Company for any reason.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97" w:name="page98"/>
    <w:bookmarkEnd w:id="97"/>
    <w:p>
      <w:pPr>
        <w:jc w:val="both"/>
        <w:ind w:firstLine="464"/>
        <w:spacing w:after="0" w:line="258" w:lineRule="auto"/>
        <w:tabs>
          <w:tab w:leader="none" w:pos="695"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Non-Solicitation of Employees</w:t>
      </w:r>
      <w:r>
        <w:rPr>
          <w:rFonts w:ascii="Arial" w:cs="Arial" w:eastAsia="Arial" w:hAnsi="Arial"/>
          <w:sz w:val="18"/>
          <w:szCs w:val="18"/>
          <w:color w:val="auto"/>
        </w:rPr>
        <w:t>. During Executive’s employment, and for the Restricted Term, Executive will not, in person or through the direction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of others, call on, solicit, encourage, or induce any other employee or officer of the Company or its affiliates whom Executive had contact with, knowledge of, or association within the course of employment with the Company to terminate his or her employment, and will not assist any other person or entity in such a solicitation.</w:t>
      </w:r>
    </w:p>
    <w:p>
      <w:pPr>
        <w:spacing w:after="0" w:line="55" w:lineRule="exact"/>
        <w:rPr>
          <w:rFonts w:ascii="Arial" w:cs="Arial" w:eastAsia="Arial" w:hAnsi="Arial"/>
          <w:sz w:val="18"/>
          <w:szCs w:val="18"/>
          <w:b w:val="1"/>
          <w:bCs w:val="1"/>
          <w:color w:val="auto"/>
        </w:rPr>
      </w:pPr>
    </w:p>
    <w:p>
      <w:pPr>
        <w:jc w:val="both"/>
        <w:ind w:firstLine="464"/>
        <w:spacing w:after="0" w:line="301" w:lineRule="auto"/>
        <w:tabs>
          <w:tab w:leader="none" w:pos="676"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Non-Disparagement. </w:t>
      </w:r>
      <w:r>
        <w:rPr>
          <w:rFonts w:ascii="Arial" w:cs="Arial" w:eastAsia="Arial" w:hAnsi="Arial"/>
          <w:sz w:val="16"/>
          <w:szCs w:val="16"/>
          <w:color w:val="auto"/>
        </w:rPr>
        <w:t>During Executive’s employment, and for the Restricted Term, Executive covenants and agrees that Executive shall not engage in</w:t>
      </w:r>
      <w:r>
        <w:rPr>
          <w:rFonts w:ascii="Arial" w:cs="Arial" w:eastAsia="Arial" w:hAnsi="Arial"/>
          <w:sz w:val="16"/>
          <w:szCs w:val="16"/>
          <w:b w:val="1"/>
          <w:bCs w:val="1"/>
          <w:color w:val="auto"/>
        </w:rPr>
        <w:t xml:space="preserve"> </w:t>
      </w:r>
      <w:r>
        <w:rPr>
          <w:rFonts w:ascii="Arial" w:cs="Arial" w:eastAsia="Arial" w:hAnsi="Arial"/>
          <w:sz w:val="16"/>
          <w:szCs w:val="16"/>
          <w:color w:val="auto"/>
        </w:rPr>
        <w:t>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22" w:lineRule="exact"/>
        <w:rPr>
          <w:rFonts w:ascii="Arial" w:cs="Arial" w:eastAsia="Arial" w:hAnsi="Arial"/>
          <w:sz w:val="16"/>
          <w:szCs w:val="16"/>
          <w:b w:val="1"/>
          <w:bCs w:val="1"/>
          <w:color w:val="auto"/>
        </w:rPr>
      </w:pPr>
    </w:p>
    <w:p>
      <w:pPr>
        <w:jc w:val="both"/>
        <w:ind w:firstLine="464"/>
        <w:spacing w:after="0" w:line="291" w:lineRule="auto"/>
        <w:tabs>
          <w:tab w:leader="none" w:pos="75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Protected Communications. </w:t>
      </w:r>
      <w:r>
        <w:rPr>
          <w:rFonts w:ascii="Arial" w:cs="Arial" w:eastAsia="Arial" w:hAnsi="Arial"/>
          <w:sz w:val="16"/>
          <w:szCs w:val="16"/>
          <w:color w:val="auto"/>
        </w:rPr>
        <w:t>Nothing in this Agreement (particularly nothing in Paragraphs 10(b) and (f) regarding non-disclosure and non-disparagement) is intended or to be construed to prohibit or interfere with any and all rights Executive may have to report a violation of state or federal law to appropriate federal or state law enforcement officials, or to cooperate with a duly authorized government investigation. In addition, nothing herein prohibits Executive from engaging in a disclosure of information that is required by law (such as by court order or subpoena). Provided, however, that if Executive believes that the disclosure of Confidential Information is required by a subpoena, court order, or similar legal mandate, then Executive will provide the Company reasonable notice and opportunity to protect any legitimate business interests it may have in maintaining Confidential Information as confidential (through protective order or other means) before engaging in such a disclosure.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Enforcement of Protective Covenants.</w:t>
      </w:r>
    </w:p>
    <w:p>
      <w:pPr>
        <w:spacing w:after="0" w:line="90" w:lineRule="exact"/>
        <w:rPr>
          <w:sz w:val="20"/>
          <w:szCs w:val="20"/>
          <w:color w:val="auto"/>
        </w:rPr>
      </w:pPr>
    </w:p>
    <w:p>
      <w:pPr>
        <w:jc w:val="both"/>
        <w:ind w:firstLine="464"/>
        <w:spacing w:after="0" w:line="310" w:lineRule="auto"/>
        <w:tabs>
          <w:tab w:leader="none" w:pos="704"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Employment and Forfeiture of Compensation. </w:t>
      </w:r>
      <w:r>
        <w:rPr>
          <w:rFonts w:ascii="Arial" w:cs="Arial" w:eastAsia="Arial" w:hAnsi="Arial"/>
          <w:sz w:val="16"/>
          <w:szCs w:val="16"/>
          <w:color w:val="auto"/>
        </w:rPr>
        <w:t>Executive agrees that any breach by Executive of any of the Protective Covenants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in Section 10 during Executive’s employment with the Company shall be grounds for immediate employment termination of Executive for Cause pursuant to Section 5(c)(i), which shall be in addition to and not exclusive of any and all other rights and remedies the Company may have against Executive.</w:t>
      </w:r>
    </w:p>
    <w:p>
      <w:pPr>
        <w:spacing w:after="0" w:line="2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the event that Executive violates one of the Protective Covenants, (i) the Company shall have the right to immediately cease making any payments that it may otherwise owe to Executive, if any, (ii) Executive will forfeit any remaining rights to payments or continuing benefits provided by this Agreement, if there are any, and (iii) upon the Company’s demand, Executive will refund to the Company any amounts, plus interest, previously paid by Company to Executive pursuant to Subsections 6(e)(iii), 6(e)(iv), 6(e)(v), 7(a)(i) or 7(a)(ii), less one thousand dollars ($1,000) which Executive shall be entitled to retain as fully sufficient consideration to support and maintain in effect any contractual obligations that Executive has to the Company prior to the refund, including the Release as defined herein.</w:t>
      </w:r>
    </w:p>
    <w:p>
      <w:pPr>
        <w:spacing w:after="0" w:line="57" w:lineRule="exact"/>
        <w:rPr>
          <w:sz w:val="20"/>
          <w:szCs w:val="20"/>
          <w:color w:val="auto"/>
        </w:rPr>
      </w:pPr>
    </w:p>
    <w:p>
      <w:pPr>
        <w:ind w:firstLine="464"/>
        <w:spacing w:after="0" w:line="275" w:lineRule="auto"/>
        <w:tabs>
          <w:tab w:leader="none" w:pos="715"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Right to Injunction</w:t>
      </w:r>
      <w:r>
        <w:rPr>
          <w:rFonts w:ascii="Arial" w:cs="Arial" w:eastAsia="Arial" w:hAnsi="Arial"/>
          <w:sz w:val="18"/>
          <w:szCs w:val="18"/>
          <w:color w:val="auto"/>
        </w:rPr>
        <w:t>. Executive acknowledges that a breach of a Protective Covenant set forth in Section 10 hereof will cause irreparable damage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respect to which the Company’s remedy at law for damages will be inadequate. Therefore, in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98" w:name="page99"/>
    <w:bookmarkEnd w:id="98"/>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 of any breach or anticipatory breach of a Protective Covenant by Executive, Executive and the Company agree that the Company shall be entitled to seek the following particular forms of relief, in addition to remedies otherwise available to it at law or equity: (i) injunctions, both preliminary and permanent, enjoining or restraining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pursue the remedies provided for in this Section of the Agreement to enforce the Protective Covenants.</w:t>
      </w:r>
    </w:p>
    <w:p>
      <w:pPr>
        <w:spacing w:after="0" w:line="29" w:lineRule="exact"/>
        <w:rPr>
          <w:sz w:val="20"/>
          <w:szCs w:val="20"/>
          <w:color w:val="auto"/>
        </w:rPr>
      </w:pPr>
    </w:p>
    <w:p>
      <w:pPr>
        <w:jc w:val="both"/>
        <w:ind w:firstLine="464"/>
        <w:spacing w:after="0" w:line="291" w:lineRule="auto"/>
        <w:tabs>
          <w:tab w:leader="none" w:pos="718"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Reformation of Covenants. </w:t>
      </w:r>
      <w:r>
        <w:rPr>
          <w:rFonts w:ascii="Arial" w:cs="Arial" w:eastAsia="Arial" w:hAnsi="Arial"/>
          <w:sz w:val="16"/>
          <w:szCs w:val="16"/>
          <w:color w:val="auto"/>
        </w:rPr>
        <w:t>The Protective Covenants set forth in Section 10 constitute a series of separate but ancillary covenants, one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State in the United States and the District of Columbia, and one for each applicable foreign country. If in any judicial proceeding, a court shall hold that any of the Protective Covenants set forth in Section 10 exceed the time, geographic, or occupational limitations permitted by applicable laws, Executive and the Company agree that such provisions shall and are hereby reformed to provide for a restriction with the maximum time, geographic, or occupational limitations permitted by such laws to protect the Company’s business interests.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32" w:lineRule="exact"/>
        <w:rPr>
          <w:rFonts w:ascii="Arial" w:cs="Arial" w:eastAsia="Arial" w:hAnsi="Arial"/>
          <w:sz w:val="16"/>
          <w:szCs w:val="16"/>
          <w:b w:val="1"/>
          <w:bCs w:val="1"/>
          <w:color w:val="auto"/>
        </w:rPr>
      </w:pPr>
    </w:p>
    <w:p>
      <w:pPr>
        <w:jc w:val="both"/>
        <w:ind w:firstLine="464"/>
        <w:spacing w:after="0" w:line="290" w:lineRule="auto"/>
        <w:tabs>
          <w:tab w:leader="none" w:pos="742"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Survival. </w:t>
      </w:r>
      <w:r>
        <w:rPr>
          <w:rFonts w:ascii="Arial" w:cs="Arial" w:eastAsia="Arial" w:hAnsi="Arial"/>
          <w:sz w:val="16"/>
          <w:szCs w:val="16"/>
          <w:color w:val="auto"/>
        </w:rPr>
        <w:t>Executive and the Company further agree that the protective Covenants set forth in Section 10 shall each be construed as a separate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independent of any other provisions of this Agreement, and the existence of any claim or cause of action by Executive against the Company whether predicated on this Agreement or otherwise, shall not constitute a defense to the enforcement by the Company of any of the Protective Covenants. The Protective Covenants will survive the termination of Executive’s employment with Company, regardless of the cause of the termination. If Executive violates one of the Protective Covenants for which there is a specific time limitation, the time period for that restriction will be extended by one day for each day Executive violates it, up to a maximum extension equal to the length of time prescribed for the restriction, so as to give Company the full benefit of the bargained-for length of forbearance. If Executive becomes employed with an affiliate of the Company without signing a new agreement, the affiliate will step into Company’s position under this Agreement, and will be entitled to the same protections and enforcement rights as the Company.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Indemnification.</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99" w:name="page100"/>
    <w:bookmarkEnd w:id="9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 Arbitration.</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parties agree that any dispute relating to this Agreement, or to the 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provided, however, that temporary and preliminary injunctive relief to enforce the covenants contained in Section 10 of this Agreement, and related expedited discovery, may be pursued in a court of law to provide temporary injunctive relief pending a final determination of all issues of final relief through arbitration.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arbitrator shall be authorized to award final injunctive relief. The award of the arbitrator shall be final and binding upon the parties without appeal or review, except as permitted by the arbitration laws of the State of Texas. The award, inclusive of any and all injunctive relief provided for therein, shall be enforceable through a court of law upon motion of either party.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 Requirement of Timely Payments.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 Withholding of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may withhold from any compensation and benefits payable under this Agreement all applicable federal, state, local, or other taxes.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 Source of Payments.</w:t>
      </w:r>
    </w:p>
    <w:p>
      <w:pPr>
        <w:spacing w:after="0" w:line="96"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00" w:name="page101"/>
    <w:bookmarkEnd w:id="10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 Assignment.</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This Agreement shall inure to the benefit of the Company, its subsidiaries, affiliates, successors, and assigns. Except as otherwise provided in this Agreement, this Agreement shall inure to the benefit of Executive, and Executive’s heirs, representatives, and successors. This Agreement shall not be assignable by Executive (but any payments due hereunder which would be payable at a time after Executive’s death shall be paid to Executive’s estate).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 Entire Agreement; Amendment.</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This Agreement shall supersede any and all existing oral or written agreements, representations, or warranties between Executive and the Company or any of its subsidiaries or affiliated entities relating to the terms of Executive’s employment by the Company; provided, however, that if all or any material part of the Protective Covenants provided for in this Agreement are deemed void or unenforceable, then any prior agreement between the parties covering the same or substantially similar restrictions on Executive (such as, but not limited to the Company’s prior Employment Agreement(s) or Loyalty And Confidentiality Agreement with Executive) shall resume effect to the extent necessary to maintain protection of the Company’s legitimate protectable interests covered by the Protective Covenants. This Agreement may not be amended except by a written agreement signed by both parties. No material term or obligation of a party may be waived except through written agreement by the party with the authority to enforce such right or obligation.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19. Governing Law and Venue.</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This Agreement shall be governed by and construed in accordance with the laws of the State of Texas applicable to agreements made and to be performed in that State, without regard to its conflict of laws provisions. The parties agree that any legal action arising from this Agreement that is not required to be resolved through arbitration pursuant to Section 13 must be pursued in a court of competent jurisdiction that is located in Houston, Texas.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 Notices.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420"/>
          </w:cols>
          <w:pgMar w:left="240" w:top="274" w:right="239" w:bottom="1440" w:gutter="0" w:footer="0" w:header="0"/>
        </w:sectPr>
      </w:pPr>
    </w:p>
    <w:p>
      <w:pPr>
        <w:spacing w:after="0" w:line="181"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To the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Waste Management, Inc.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1001 Fannin, Suite 4000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Attention: General Counsel</w:t>
      </w:r>
    </w:p>
    <w:p>
      <w:pPr>
        <w:spacing w:after="0" w:line="159" w:lineRule="exact"/>
        <w:rPr>
          <w:sz w:val="20"/>
          <w:szCs w:val="20"/>
          <w:color w:val="auto"/>
        </w:rPr>
      </w:pPr>
    </w:p>
    <w:p>
      <w:pPr>
        <w:sectPr>
          <w:pgSz w:w="11900" w:h="16838" w:orient="portrait"/>
          <w:cols w:equalWidth="0" w:num="2">
            <w:col w:w="3060" w:space="500"/>
            <w:col w:w="7860"/>
          </w:cols>
          <w:pgMar w:left="240" w:top="274" w:right="23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At the address for Executive set forth below.</w:t>
      </w:r>
    </w:p>
    <w:p>
      <w:pPr>
        <w:spacing w:after="0" w:line="192" w:lineRule="exact"/>
        <w:rPr>
          <w:sz w:val="20"/>
          <w:szCs w:val="20"/>
          <w:color w:val="auto"/>
        </w:rPr>
      </w:pPr>
    </w:p>
    <w:p>
      <w:pPr>
        <w:sectPr>
          <w:pgSz w:w="11900" w:h="16838" w:orient="portrait"/>
          <w:cols w:equalWidth="0" w:num="2">
            <w:col w:w="2840" w:space="720"/>
            <w:col w:w="786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274" w:right="239" w:bottom="1440" w:gutter="0" w:footer="0" w:header="0"/>
          <w:type w:val="continuous"/>
        </w:sectPr>
      </w:pPr>
    </w:p>
    <w:bookmarkStart w:id="101" w:name="page102"/>
    <w:bookmarkEnd w:id="10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 Miscellaneous.</w:t>
      </w:r>
    </w:p>
    <w:p>
      <w:pPr>
        <w:spacing w:after="0" w:line="90" w:lineRule="exact"/>
        <w:rPr>
          <w:sz w:val="20"/>
          <w:szCs w:val="20"/>
          <w:color w:val="auto"/>
        </w:rPr>
      </w:pPr>
    </w:p>
    <w:p>
      <w:pPr>
        <w:ind w:firstLine="464"/>
        <w:spacing w:after="0" w:line="275" w:lineRule="auto"/>
        <w:tabs>
          <w:tab w:leader="none" w:pos="705"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The failure of a party to insist upon strict adherence to any term of this Agreement on any occasion shall not be considered a waiver thereof or</w:t>
      </w:r>
      <w:r>
        <w:rPr>
          <w:rFonts w:ascii="Arial" w:cs="Arial" w:eastAsia="Arial" w:hAnsi="Arial"/>
          <w:sz w:val="18"/>
          <w:szCs w:val="18"/>
          <w:b w:val="1"/>
          <w:bCs w:val="1"/>
          <w:color w:val="auto"/>
        </w:rPr>
        <w:t xml:space="preserve"> </w:t>
      </w:r>
      <w:r>
        <w:rPr>
          <w:rFonts w:ascii="Arial" w:cs="Arial" w:eastAsia="Arial" w:hAnsi="Arial"/>
          <w:sz w:val="18"/>
          <w:szCs w:val="18"/>
          <w:color w:val="auto"/>
        </w:rPr>
        <w:t>deprive that party of the right thereafter to insist upon strict adherence to that term or any other term of this Agreement.</w:t>
      </w:r>
    </w:p>
    <w:p>
      <w:pPr>
        <w:spacing w:after="0" w:line="38" w:lineRule="exact"/>
        <w:rPr>
          <w:rFonts w:ascii="Arial" w:cs="Arial" w:eastAsia="Arial" w:hAnsi="Arial"/>
          <w:sz w:val="18"/>
          <w:szCs w:val="18"/>
          <w:b w:val="1"/>
          <w:bCs w:val="1"/>
          <w:color w:val="auto"/>
        </w:rPr>
      </w:pPr>
    </w:p>
    <w:p>
      <w:pPr>
        <w:jc w:val="both"/>
        <w:ind w:firstLine="464"/>
        <w:spacing w:after="0" w:line="262" w:lineRule="auto"/>
        <w:tabs>
          <w:tab w:leader="none" w:pos="715"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Subject to Section 11 hereof, if any term or provision of this Agreement is declared illegal or unenforceable by any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and cannot be modified to be enforceable, such term or provision shall immediately become null and void, leaving the remainder of this Agreement in full force and effect.</w:t>
      </w:r>
    </w:p>
    <w:p>
      <w:pPr>
        <w:spacing w:after="0" w:line="51" w:lineRule="exact"/>
        <w:rPr>
          <w:rFonts w:ascii="Arial" w:cs="Arial" w:eastAsia="Arial" w:hAnsi="Arial"/>
          <w:sz w:val="18"/>
          <w:szCs w:val="18"/>
          <w:b w:val="1"/>
          <w:bCs w:val="1"/>
          <w:color w:val="auto"/>
        </w:rPr>
      </w:pPr>
    </w:p>
    <w:p>
      <w:pPr>
        <w:ind w:left="700" w:hanging="236"/>
        <w:spacing w:after="0"/>
        <w:tabs>
          <w:tab w:leader="none" w:pos="70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Headings. </w:t>
      </w:r>
      <w:r>
        <w:rPr>
          <w:rFonts w:ascii="Arial" w:cs="Arial" w:eastAsia="Arial" w:hAnsi="Arial"/>
          <w:sz w:val="16"/>
          <w:szCs w:val="16"/>
          <w:color w:val="auto"/>
        </w:rPr>
        <w:t>Section headings are used herein for convenience of reference only and shall not affect the meaning of any provision of this Agreement.</w:t>
      </w:r>
    </w:p>
    <w:p>
      <w:pPr>
        <w:spacing w:after="0" w:line="113" w:lineRule="exact"/>
        <w:rPr>
          <w:rFonts w:ascii="Arial" w:cs="Arial" w:eastAsia="Arial" w:hAnsi="Arial"/>
          <w:sz w:val="16"/>
          <w:szCs w:val="16"/>
          <w:b w:val="1"/>
          <w:bCs w:val="1"/>
          <w:color w:val="auto"/>
        </w:rPr>
      </w:pPr>
    </w:p>
    <w:p>
      <w:pPr>
        <w:ind w:left="720" w:hanging="256"/>
        <w:spacing w:after="0"/>
        <w:tabs>
          <w:tab w:leader="none" w:pos="72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Rules of Construction. </w:t>
      </w:r>
      <w:r>
        <w:rPr>
          <w:rFonts w:ascii="Arial" w:cs="Arial" w:eastAsia="Arial" w:hAnsi="Arial"/>
          <w:sz w:val="16"/>
          <w:szCs w:val="16"/>
          <w:color w:val="auto"/>
        </w:rPr>
        <w:t>Whenever the context so requires, the use of the singular shall be deemed to include the plural and vice versa.</w:t>
      </w:r>
    </w:p>
    <w:p>
      <w:pPr>
        <w:spacing w:after="0" w:line="113" w:lineRule="exact"/>
        <w:rPr>
          <w:rFonts w:ascii="Arial" w:cs="Arial" w:eastAsia="Arial" w:hAnsi="Arial"/>
          <w:sz w:val="16"/>
          <w:szCs w:val="16"/>
          <w:b w:val="1"/>
          <w:bCs w:val="1"/>
          <w:color w:val="auto"/>
        </w:rPr>
      </w:pPr>
    </w:p>
    <w:p>
      <w:pPr>
        <w:ind w:right="20" w:firstLine="464"/>
        <w:spacing w:after="0" w:line="275" w:lineRule="auto"/>
        <w:tabs>
          <w:tab w:leader="none" w:pos="695"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so executed shall be deemed to be an original,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will together constitute but one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Potential Limitation on Severance Benefits.</w:t>
      </w:r>
    </w:p>
    <w:p>
      <w:pPr>
        <w:spacing w:after="0" w:line="90" w:lineRule="exact"/>
        <w:rPr>
          <w:sz w:val="20"/>
          <w:szCs w:val="20"/>
          <w:color w:val="auto"/>
        </w:rPr>
      </w:pPr>
    </w:p>
    <w:p>
      <w:pPr>
        <w:jc w:val="both"/>
        <w:ind w:firstLine="464"/>
        <w:spacing w:after="0" w:line="296" w:lineRule="auto"/>
        <w:tabs>
          <w:tab w:leader="none" w:pos="742"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Maximum Severance Amount. </w:t>
      </w:r>
      <w:r>
        <w:rPr>
          <w:rFonts w:ascii="Arial" w:cs="Arial" w:eastAsia="Arial" w:hAnsi="Arial"/>
          <w:sz w:val="16"/>
          <w:szCs w:val="16"/>
          <w:color w:val="auto"/>
        </w:rPr>
        <w:t>Notwithstanding any provision in this Agreement to the contrary, in the event of a qualifying termination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resignation) under Section 6(e) or Section 7 of this Agreement it is determined by the Company that the Severance Benefits (as defined in Section 22(b) below) would exceed 2.99 times the sum of the Executive’s then current base salary and target bonus (the “Maximum Severance Amount”), then the aggregate present value of the Severance Benefits provided to the Executive shall be reduced by the Company to the Reduced Amount. The “Reduced Amount” shall be an amount, expressed in present value, that maximizes the aggregate present value of the Severance Benefits without exceeding the Maximum Severance Amount.</w:t>
      </w:r>
    </w:p>
    <w:p>
      <w:pPr>
        <w:spacing w:after="0" w:line="26" w:lineRule="exact"/>
        <w:rPr>
          <w:rFonts w:ascii="Arial" w:cs="Arial" w:eastAsia="Arial" w:hAnsi="Arial"/>
          <w:sz w:val="16"/>
          <w:szCs w:val="16"/>
          <w:b w:val="1"/>
          <w:bCs w:val="1"/>
          <w:color w:val="auto"/>
        </w:rPr>
      </w:pPr>
    </w:p>
    <w:p>
      <w:pPr>
        <w:jc w:val="both"/>
        <w:ind w:firstLine="464"/>
        <w:spacing w:after="0" w:line="262" w:lineRule="auto"/>
        <w:tabs>
          <w:tab w:leader="none" w:pos="742"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For purposes of determining Severance Benefits under Section 22(a) above, Severance Benefits means the present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or distributions by the Company, its subsidiaries or affiliated entities to or for the benefit of the Executive (whether paid or provided pursuant to the terms of this Agreement or otherwise), and</w:t>
      </w:r>
    </w:p>
    <w:p>
      <w:pPr>
        <w:spacing w:after="0" w:line="57" w:lineRule="exact"/>
        <w:rPr>
          <w:rFonts w:ascii="Arial" w:cs="Arial" w:eastAsia="Arial" w:hAnsi="Arial"/>
          <w:sz w:val="18"/>
          <w:szCs w:val="18"/>
          <w:b w:val="1"/>
          <w:bCs w:val="1"/>
          <w:color w:val="auto"/>
        </w:rPr>
      </w:pPr>
    </w:p>
    <w:p>
      <w:pPr>
        <w:jc w:val="both"/>
        <w:ind w:left="920" w:firstLine="1"/>
        <w:spacing w:after="0" w:line="259" w:lineRule="auto"/>
        <w:tabs>
          <w:tab w:leader="none" w:pos="123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including: (i) cash amounts payable by the Company in the event of termination of Executive’s employment; and (ii) the present value of benefits or perquisites provided for periods after termination of employment (but excluding benefits or perquisites provided to employees generally); and</w:t>
      </w:r>
    </w:p>
    <w:p>
      <w:pPr>
        <w:spacing w:after="0" w:line="59" w:lineRule="exact"/>
        <w:rPr>
          <w:rFonts w:ascii="Arial" w:cs="Arial" w:eastAsia="Arial" w:hAnsi="Arial"/>
          <w:sz w:val="18"/>
          <w:szCs w:val="18"/>
          <w:color w:val="auto"/>
        </w:rPr>
      </w:pPr>
    </w:p>
    <w:p>
      <w:pPr>
        <w:jc w:val="both"/>
        <w:ind w:left="920" w:firstLine="1"/>
        <w:spacing w:after="0" w:line="306" w:lineRule="auto"/>
        <w:tabs>
          <w:tab w:leader="none" w:pos="1219"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excluding: (i) payments of salary, bonus or performance award amounts that had accrued at the time of termination; (ii) payments based on accrued qualified and non-qualified deferred compensation plans, including retirement and savings benefits; (iii) any benefits or perquisites provided under plans or programs applicable to employees generally; (iv) amounts paid as part of any agreement intended to “make-whole” 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02" w:name="page103"/>
    <w:bookmarkEnd w:id="102"/>
    <w:p>
      <w:pPr>
        <w:jc w:val="both"/>
        <w:ind w:left="9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forfeiture of benefits from a prior employer; (v) amounts paid for services following termination of employment for a reasonable consulting agreement for a period not to exceed one year; (vi) amounts paid for post-termination covenants (such as a covenant not to compete); (vii) the value of accelerated vesting or payment of any outstanding equity-based award; and (viii) any payment that the Board or any committee thereof determines in good faith to be a reasonable settlement of any claim made against the Company.</w:t>
      </w:r>
    </w:p>
    <w:p>
      <w:pPr>
        <w:spacing w:after="0" w:line="26" w:lineRule="exact"/>
        <w:rPr>
          <w:sz w:val="20"/>
          <w:szCs w:val="20"/>
          <w:color w:val="auto"/>
        </w:rPr>
      </w:pPr>
    </w:p>
    <w:p>
      <w:pPr>
        <w:jc w:val="both"/>
        <w:ind w:firstLine="464"/>
        <w:spacing w:after="0" w:line="287" w:lineRule="auto"/>
        <w:tabs>
          <w:tab w:leader="none" w:pos="695" w:val="left"/>
        </w:tabs>
        <w:numPr>
          <w:ilvl w:val="1"/>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Possible 280G Reduction. </w:t>
      </w:r>
      <w:r>
        <w:rPr>
          <w:rFonts w:ascii="Arial" w:cs="Arial" w:eastAsia="Arial" w:hAnsi="Arial"/>
          <w:sz w:val="16"/>
          <w:szCs w:val="16"/>
          <w:color w:val="auto"/>
        </w:rPr>
        <w:t>Following application of Section 22(a), in the event that the payment of the remaining Severance Benefits to Executive plus</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payments to Executive which would be subject to Internal Revenue Code Section 280G (including any reduced Severance Benefits) (“280G Severance Benefits”) would be subject (in whole or part), to any excise tax imposed under Internal Revenue Code Section 4999 (the “Excise Tax”), then the cash portion of the 280G Severance Benefits shall first be further reduced, and the non-cash 280G Severance Benefits shall thereafter be further reduced, to the extent necessary so that no portion of the 280G Severance Benefits is subject to the Excise Tax, but only if (i) the amount of the 280G Severance Benefits to be received by Executive, as so reduced by this Section 22(c) and after subtracting the amount of federal, state and local income taxes on such reduced 280G Severance Benefits (after taking into account the phase out of itemized deductions and personal exemptions attributable to such reduced 280G Severance Benefits) is greater than or equal to (ii) the amount of the 280G Severance Benefits to be received by Executive without such reduction by this Section 22(c) after subtracting the amount of federal, state and local income taxes on such 280G Severance Benefits and the amount of the Excise Tax to which Executive would be subject in respect of such unreduced 280G Severance Benefits (after taking into account the phase out of itemized deductions and personal exemptions attributable to such unreduced 280G Severance Benefits ).</w:t>
      </w:r>
    </w:p>
    <w:p>
      <w:pPr>
        <w:spacing w:after="0" w:line="37" w:lineRule="exact"/>
        <w:rPr>
          <w:rFonts w:ascii="Arial" w:cs="Arial" w:eastAsia="Arial" w:hAnsi="Arial"/>
          <w:sz w:val="16"/>
          <w:szCs w:val="16"/>
          <w:b w:val="1"/>
          <w:bCs w:val="1"/>
          <w:color w:val="auto"/>
        </w:rPr>
      </w:pPr>
    </w:p>
    <w:p>
      <w:pPr>
        <w:jc w:val="both"/>
        <w:ind w:firstLine="464"/>
        <w:spacing w:after="0" w:line="304" w:lineRule="auto"/>
        <w:tabs>
          <w:tab w:leader="none" w:pos="726" w:val="left"/>
        </w:tabs>
        <w:numPr>
          <w:ilvl w:val="1"/>
          <w:numId w:val="10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Calculation of 280G Severance Benefits. </w:t>
      </w:r>
      <w:r>
        <w:rPr>
          <w:rFonts w:ascii="Arial" w:cs="Arial" w:eastAsia="Arial" w:hAnsi="Arial"/>
          <w:sz w:val="15"/>
          <w:szCs w:val="15"/>
          <w:color w:val="auto"/>
        </w:rPr>
        <w:t>For purposes of determining the 280G Severance Benefits, (i) no portion of the 280G Severance Benefits,</w:t>
      </w:r>
      <w:r>
        <w:rPr>
          <w:rFonts w:ascii="Arial" w:cs="Arial" w:eastAsia="Arial" w:hAnsi="Arial"/>
          <w:sz w:val="15"/>
          <w:szCs w:val="15"/>
          <w:b w:val="1"/>
          <w:bCs w:val="1"/>
          <w:color w:val="auto"/>
        </w:rPr>
        <w:t xml:space="preserve"> </w:t>
      </w:r>
      <w:r>
        <w:rPr>
          <w:rFonts w:ascii="Arial" w:cs="Arial" w:eastAsia="Arial" w:hAnsi="Arial"/>
          <w:sz w:val="15"/>
          <w:szCs w:val="15"/>
          <w:color w:val="auto"/>
        </w:rPr>
        <w:t>the receipt or enjoyment of which Executive shall have waived at such time and in such manner as not to constitute a “payment” within the meaning of Internal Revenue Code Section 280G(b), shall be taken into account, (ii) no portion of the 280G Severance Benefits shall be taken into account which, in the opinion of tax counsel (“Tax Counsel”) who is reasonably acceptable to Executive and selected by the accounting firm (the “Auditor”) which was, immediately prior to the Change in Control, the Company’s independent auditor, does not constitute a “parachute payment” within the meaning of Internal Revenue Code Section 280G(b)</w:t>
      </w:r>
    </w:p>
    <w:p>
      <w:pPr>
        <w:jc w:val="both"/>
        <w:ind w:firstLine="8"/>
        <w:spacing w:after="0" w:line="292" w:lineRule="auto"/>
        <w:tabs>
          <w:tab w:leader="none" w:pos="25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(including by reason of Internal Revenue Code Section 280G(b)(4)(A)); (iii) no portion of the 280G Severance Benefits shall be taken into account which, in the opinion of Tax Counsel, constitutes reasonable compensation for services actually rendered, within the meaning of Internal Revenue Code Section 280G(b)(4) (B), in excess of the “base amount” (as defined in Internal Revenue Code Section 280G(b)(3)) allocable to such reasonable compensation, and (iv) the value of any non-cash benefit or any deferred payment or benefit included in the 280G Severance Benefits shall be determined by the Auditor in accordance with the principles of Internal Revenue Code Sections 280G(d)(3) and (4).</w:t>
      </w:r>
    </w:p>
    <w:p>
      <w:pPr>
        <w:spacing w:after="0" w:line="29" w:lineRule="exact"/>
        <w:rPr>
          <w:rFonts w:ascii="Arial" w:cs="Arial" w:eastAsia="Arial" w:hAnsi="Arial"/>
          <w:sz w:val="16"/>
          <w:szCs w:val="16"/>
          <w:color w:val="auto"/>
        </w:rPr>
      </w:pPr>
    </w:p>
    <w:p>
      <w:pPr>
        <w:ind w:right="20" w:firstLine="464"/>
        <w:spacing w:after="0" w:line="275" w:lineRule="auto"/>
        <w:tabs>
          <w:tab w:leader="none" w:pos="698" w:val="left"/>
        </w:tabs>
        <w:numPr>
          <w:ilvl w:val="1"/>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Determination of Present Value. </w:t>
      </w:r>
      <w:r>
        <w:rPr>
          <w:rFonts w:ascii="Arial" w:cs="Arial" w:eastAsia="Arial" w:hAnsi="Arial"/>
          <w:sz w:val="18"/>
          <w:szCs w:val="18"/>
          <w:color w:val="auto"/>
        </w:rPr>
        <w:t>For purposes of this Section 22, the present value of Severance Benefits and 280G Severance Benefits 280G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Internal Revenue Code Section 280G(d)(4).</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 Compliance with Internal Revenue Code Section 409A.</w:t>
      </w:r>
    </w:p>
    <w:p>
      <w:pPr>
        <w:spacing w:after="0" w:line="90" w:lineRule="exact"/>
        <w:rPr>
          <w:sz w:val="20"/>
          <w:szCs w:val="20"/>
          <w:color w:val="auto"/>
        </w:rPr>
      </w:pPr>
    </w:p>
    <w:p>
      <w:pPr>
        <w:jc w:val="both"/>
        <w:ind w:firstLine="464"/>
        <w:spacing w:after="0" w:line="258" w:lineRule="auto"/>
        <w:tabs>
          <w:tab w:leader="none" w:pos="739" w:val="left"/>
        </w:tabs>
        <w:numPr>
          <w:ilvl w:val="1"/>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t>
      </w:r>
      <w:r>
        <w:rPr>
          <w:rFonts w:ascii="Arial" w:cs="Arial" w:eastAsia="Arial" w:hAnsi="Arial"/>
          <w:sz w:val="18"/>
          <w:szCs w:val="18"/>
          <w:color w:val="auto"/>
        </w:rPr>
        <w:t>It is the intention of the Company and Executive that this Employment Agreement not result in unfavorable tax consequences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under Internal Revenue Code Section 409A. This Section 23 does not create an obligation on the part of Company to modify the Employment Agreement in the future and does not guarantee that the amounts or benefits owed under the Employment Agreement will not be subject to interest and penalties under Internal Revenue Code Section 409A.</w:t>
      </w:r>
    </w:p>
    <w:p>
      <w:pPr>
        <w:spacing w:after="0" w:line="55" w:lineRule="exact"/>
        <w:rPr>
          <w:rFonts w:ascii="Arial" w:cs="Arial" w:eastAsia="Arial" w:hAnsi="Arial"/>
          <w:sz w:val="18"/>
          <w:szCs w:val="18"/>
          <w:b w:val="1"/>
          <w:bCs w:val="1"/>
          <w:color w:val="auto"/>
        </w:rPr>
      </w:pPr>
    </w:p>
    <w:p>
      <w:pPr>
        <w:jc w:val="both"/>
        <w:ind w:firstLine="464"/>
        <w:spacing w:after="0" w:line="287" w:lineRule="auto"/>
        <w:tabs>
          <w:tab w:leader="none" w:pos="749" w:val="left"/>
        </w:tabs>
        <w:numPr>
          <w:ilvl w:val="1"/>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 Timing. </w:t>
      </w:r>
      <w:r>
        <w:rPr>
          <w:rFonts w:ascii="Arial" w:cs="Arial" w:eastAsia="Arial" w:hAnsi="Arial"/>
          <w:sz w:val="16"/>
          <w:szCs w:val="16"/>
          <w:color w:val="auto"/>
        </w:rPr>
        <w:t>The payments of severance under Sections 6(e)(iii) and (iv) and Sections 7(a)(i) and (ii) above (“Separation Payments”) are</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as separate payments for purposes of the short-term deferral rules under Treasury Regulation Section 1.409A-1(b)(4)(i)(F), and, with respect to such Separation Payments, the exemption for involuntary terminations under separation pay plans under Treasury Regulation Section 1.409A-1(b)(9)(iii). As a result,</w:t>
      </w:r>
    </w:p>
    <w:p>
      <w:pPr>
        <w:ind w:left="300" w:hanging="292"/>
        <w:spacing w:after="0"/>
        <w:tabs>
          <w:tab w:leader="none" w:pos="3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Separation Payments that are by their terms scheduled to be made on or before March 15th of the calendar year following the applicable year of termination,</w:t>
      </w:r>
    </w:p>
    <w:p>
      <w:pPr>
        <w:spacing w:after="0" w:line="32" w:lineRule="exact"/>
        <w:rPr>
          <w:rFonts w:ascii="Arial" w:cs="Arial" w:eastAsia="Arial" w:hAnsi="Arial"/>
          <w:sz w:val="16"/>
          <w:szCs w:val="16"/>
          <w:color w:val="auto"/>
        </w:rPr>
      </w:pPr>
    </w:p>
    <w:p>
      <w:pPr>
        <w:jc w:val="both"/>
        <w:ind w:firstLine="8"/>
        <w:spacing w:after="0" w:line="287" w:lineRule="auto"/>
        <w:tabs>
          <w:tab w:leader="none" w:pos="28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any additional Separation Payments that are made on or before December 31st of the second calendar year following the year of Executive’s termination and do not exceed the lesser of two times Base Salary or two times the limit under Internal Revenue Code Section 401(a)(17) then in effect, and (C) any Separation Payments under Section 7(a) made on account of a 409A Change in Control within the meaning of Internal Revenue Code Section 409A are exempt from the requirements of Internal Revenue Code Section 409A. If Executive is designated as a “specified employee” within the meaning of Internal Revenue Code Section 409A, then to the extent the Disability Payments and Separation Payments to be made during the first six month period following Executive’s termination of employment exceed such exempt amounts, the payments shall be withheld and the amount of the payments withheld will be paid in a lump sum, with interest (at the Company’s then applicable overnight rate), on the date that is six (6) months and one (1) day after Executive’s termination. Continued medical benefits under Sections 6(e)(v) and 7(a)(i) above are intended to satisfy the exemption for medical expense reimbursements under Treasury Regulation Section 1.409A-1(b)(9)(v)(B).</w:t>
      </w:r>
    </w:p>
    <w:p>
      <w:pPr>
        <w:spacing w:after="0" w:line="3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MARK E. SCHWARTZ</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w:t>
      </w:r>
    </w:p>
    <w:p>
      <w:pPr>
        <w:spacing w:after="0" w:line="11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E.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E. Schwartz</w:t>
      </w:r>
    </w:p>
    <w:p>
      <w:pPr>
        <w:spacing w:after="0" w:line="8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“Company”)</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90" w:lineRule="exact"/>
        <w:rPr>
          <w:sz w:val="20"/>
          <w:szCs w:val="20"/>
          <w:color w:val="auto"/>
        </w:rPr>
      </w:pPr>
    </w:p>
    <w:p>
      <w:pPr>
        <w:ind w:firstLine="464"/>
        <w:spacing w:after="0" w:line="332" w:lineRule="auto"/>
        <w:tabs>
          <w:tab w:leader="none" w:pos="66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firstLine="464"/>
        <w:spacing w:after="0" w:line="268" w:lineRule="auto"/>
        <w:tabs>
          <w:tab w:leader="none" w:pos="71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jc w:val="both"/>
        <w:ind w:firstLine="464"/>
        <w:spacing w:after="0" w:line="259" w:lineRule="auto"/>
        <w:tabs>
          <w:tab w:leader="none" w:pos="69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3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20" w:firstLine="443"/>
        <w:spacing w:after="0" w:line="332" w:lineRule="auto"/>
        <w:tabs>
          <w:tab w:leader="none" w:pos="114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firstLine="443"/>
        <w:spacing w:after="0" w:line="259" w:lineRule="auto"/>
        <w:tabs>
          <w:tab w:leader="none" w:pos="112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firstLine="464"/>
        <w:spacing w:after="0" w:line="268" w:lineRule="auto"/>
        <w:tabs>
          <w:tab w:leader="none" w:pos="63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0" w:lineRule="exact"/>
        <w:rPr>
          <w:rFonts w:ascii="Arial" w:cs="Arial" w:eastAsia="Arial" w:hAnsi="Arial"/>
          <w:sz w:val="18"/>
          <w:szCs w:val="18"/>
          <w:color w:val="auto"/>
        </w:rPr>
      </w:pPr>
    </w:p>
    <w:p>
      <w:pPr>
        <w:ind w:left="460" w:firstLine="443"/>
        <w:spacing w:after="0" w:line="268" w:lineRule="auto"/>
        <w:tabs>
          <w:tab w:leader="none" w:pos="112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1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2012</w:t>
      </w:r>
    </w:p>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 Steven C. Preston, certify that: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90" w:lineRule="exact"/>
        <w:rPr>
          <w:sz w:val="20"/>
          <w:szCs w:val="20"/>
          <w:color w:val="auto"/>
        </w:rPr>
      </w:pPr>
    </w:p>
    <w:p>
      <w:pPr>
        <w:ind w:firstLine="464"/>
        <w:spacing w:after="0" w:line="332" w:lineRule="auto"/>
        <w:tabs>
          <w:tab w:leader="none" w:pos="66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firstLine="464"/>
        <w:spacing w:after="0" w:line="268" w:lineRule="auto"/>
        <w:tabs>
          <w:tab w:leader="none" w:pos="71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jc w:val="both"/>
        <w:ind w:firstLine="464"/>
        <w:spacing w:after="0" w:line="259" w:lineRule="auto"/>
        <w:tabs>
          <w:tab w:leader="none" w:pos="6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3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20" w:firstLine="443"/>
        <w:spacing w:after="0" w:line="332" w:lineRule="auto"/>
        <w:tabs>
          <w:tab w:leader="none" w:pos="114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firstLine="443"/>
        <w:spacing w:after="0" w:line="259" w:lineRule="auto"/>
        <w:tabs>
          <w:tab w:leader="none" w:pos="1129"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firstLine="464"/>
        <w:spacing w:after="0" w:line="268" w:lineRule="auto"/>
        <w:tabs>
          <w:tab w:leader="none" w:pos="63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0" w:lineRule="exact"/>
        <w:rPr>
          <w:rFonts w:ascii="Arial" w:cs="Arial" w:eastAsia="Arial" w:hAnsi="Arial"/>
          <w:sz w:val="18"/>
          <w:szCs w:val="18"/>
          <w:color w:val="auto"/>
        </w:rPr>
      </w:pPr>
    </w:p>
    <w:p>
      <w:pPr>
        <w:ind w:left="460" w:firstLine="443"/>
        <w:spacing w:after="0" w:line="268" w:lineRule="auto"/>
        <w:tabs>
          <w:tab w:leader="none" w:pos="112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1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ind w:left="6860"/>
        <w:spacing w:after="0"/>
        <w:tabs>
          <w:tab w:leader="none" w:pos="8280" w:val="left"/>
          <w:tab w:leader="none" w:pos="8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STEVEN C.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Steven C. Preston</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Executive Vice President —</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Finance, Recycling &amp; Energy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2012</w:t>
      </w:r>
    </w:p>
    <w:p>
      <w:pPr>
        <w:sectPr>
          <w:pgSz w:w="11900" w:h="16838" w:orient="portrait"/>
          <w:cols w:equalWidth="0" w:num="1">
            <w:col w:w="11420"/>
          </w:cols>
          <w:pgMar w:left="240" w:top="12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2012 as filed with the Securities and Exchange Commission on the date hereof (the “Report”), I, David P. Steiner, Chief Executive Officer of the Company, certify, pursuant to 18 U.S.C. § 1350, as adopted pursuant to §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July 26, 2012</w:t>
      </w:r>
    </w:p>
    <w:p>
      <w:pPr>
        <w:sectPr>
          <w:pgSz w:w="11900" w:h="16838" w:orient="portrait"/>
          <w:cols w:equalWidth="0" w:num="1">
            <w:col w:w="11420"/>
          </w:cols>
          <w:pgMar w:left="240" w:top="12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2012 as filed with the Securities and Exchange Commission on the date hereof (the “Report”), I, Steven C. Preston, principal financial officer of the Company, certify, pursuant to 18 U.S.C. § 1350, as adopted pursuant to §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tabs>
          <w:tab w:leader="none" w:pos="8280" w:val="left"/>
          <w:tab w:leader="none" w:pos="8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STEVEN C.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Steven C. Preston</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Executive Vice President —</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Finance, Recycling &amp; Energy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July 26, 2012</w:t>
      </w:r>
    </w:p>
    <w:p>
      <w:pPr>
        <w:sectPr>
          <w:pgSz w:w="11900" w:h="16838" w:orient="portrait"/>
          <w:cols w:equalWidth="0" w:num="1">
            <w:col w:w="11420"/>
          </w:cols>
          <w:pgMar w:left="240" w:top="125"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95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4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During the quarter ended June 30, 2012,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addition, during the quarter ended June 30, 2012,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1)"/>
      <w:numFmt w:val="lowerLetter"/>
      <w:start w:val="1"/>
    </w:lvl>
  </w:abstractNum>
  <w:abstractNum w:abstractNumId="3">
    <w:nsid w:val="354FE9F9"/>
    <w:multiLevelType w:val="hybridMultilevel"/>
    <w:lvl w:ilvl="0">
      <w:lvlJc w:val="left"/>
      <w:lvlText w:val="%1."/>
      <w:numFmt w:val="decimal"/>
      <w:start w:val="11"/>
    </w:lvl>
  </w:abstractNum>
  <w:abstractNum w:abstractNumId="4">
    <w:nsid w:val="15B5AF5C"/>
    <w:multiLevelType w:val="hybridMultilevel"/>
    <w:lvl w:ilvl="0">
      <w:lvlJc w:val="left"/>
      <w:lvlText w:val="Ÿ"/>
      <w:numFmt w:val="bullet"/>
      <w:start w:val="1"/>
    </w:lvl>
  </w:abstractNum>
  <w:abstractNum w:abstractNumId="5">
    <w:nsid w:val="741226BB"/>
    <w:multiLevelType w:val="hybridMultilevel"/>
    <w:lvl w:ilvl="0">
      <w:lvlJc w:val="left"/>
      <w:lvlText w:val="Ÿ"/>
      <w:numFmt w:val="bullet"/>
      <w:start w:val="1"/>
    </w:lvl>
  </w:abstractNum>
  <w:abstractNum w:abstractNumId="6">
    <w:nsid w:val="D34B6A8"/>
    <w:multiLevelType w:val="hybridMultilevel"/>
    <w:lvl w:ilvl="0">
      <w:lvlJc w:val="left"/>
      <w:lvlText w:val="Ÿ"/>
      <w:numFmt w:val="bullet"/>
      <w:start w:val="1"/>
    </w:lvl>
  </w:abstractNum>
  <w:abstractNum w:abstractNumId="7">
    <w:nsid w:val="10233C99"/>
    <w:multiLevelType w:val="hybridMultilevel"/>
    <w:lvl w:ilvl="0">
      <w:lvlJc w:val="left"/>
      <w:lvlText w:val="Ÿ"/>
      <w:numFmt w:val="bullet"/>
      <w:start w:val="1"/>
    </w:lvl>
  </w:abstractNum>
  <w:abstractNum w:abstractNumId="8">
    <w:nsid w:val="3F6AB60F"/>
    <w:multiLevelType w:val="hybridMultilevel"/>
    <w:lvl w:ilvl="0">
      <w:lvlJc w:val="left"/>
      <w:lvlText w:val="Ÿ"/>
      <w:numFmt w:val="bullet"/>
      <w:start w:val="1"/>
    </w:lvl>
  </w:abstractNum>
  <w:abstractNum w:abstractNumId="9">
    <w:nsid w:val="61574095"/>
    <w:multiLevelType w:val="hybridMultilevel"/>
    <w:lvl w:ilvl="0">
      <w:lvlJc w:val="left"/>
      <w:lvlText w:val="Ÿ"/>
      <w:numFmt w:val="bullet"/>
      <w:start w:val="1"/>
    </w:lvl>
    <w:lvl w:ilvl="1">
      <w:lvlJc w:val="left"/>
      <w:lvlText w:val="Ÿ"/>
      <w:numFmt w:val="bullet"/>
      <w:start w:val="1"/>
    </w:lvl>
  </w:abstractNum>
  <w:abstractNum w:abstractNumId="10">
    <w:nsid w:val="7E0C57B1"/>
    <w:multiLevelType w:val="hybridMultilevel"/>
    <w:lvl w:ilvl="0">
      <w:lvlJc w:val="left"/>
      <w:lvlText w:val="Ÿ"/>
      <w:numFmt w:val="bullet"/>
      <w:start w:val="1"/>
    </w:lvl>
    <w:lvl w:ilvl="1">
      <w:lvlJc w:val="left"/>
      <w:lvlText w:val="Ÿ"/>
      <w:numFmt w:val="bullet"/>
      <w:start w:val="1"/>
    </w:lvl>
  </w:abstractNum>
  <w:abstractNum w:abstractNumId="11">
    <w:nsid w:val="77AE35EB"/>
    <w:multiLevelType w:val="hybridMultilevel"/>
    <w:lvl w:ilvl="0">
      <w:lvlJc w:val="left"/>
      <w:lvlText w:val="(%1)"/>
      <w:numFmt w:val="lowerLetter"/>
      <w:start w:val="1"/>
    </w:lvl>
  </w:abstractNum>
  <w:abstractNum w:abstractNumId="12">
    <w:nsid w:val="579BE4F1"/>
    <w:multiLevelType w:val="hybridMultilevel"/>
    <w:lvl w:ilvl="0">
      <w:lvlJc w:val="left"/>
      <w:lvlText w:val="(%1)"/>
      <w:numFmt w:val="lowerRoman"/>
      <w:start w:val="1"/>
    </w:lvl>
  </w:abstractNum>
  <w:abstractNum w:abstractNumId="13">
    <w:nsid w:val="310C50B3"/>
    <w:multiLevelType w:val="hybridMultilevel"/>
    <w:lvl w:ilvl="0">
      <w:lvlJc w:val="left"/>
      <w:lvlText w:val="(%1)"/>
      <w:numFmt w:val="lowerRoman"/>
      <w:start w:val="2"/>
    </w:lvl>
  </w:abstractNum>
  <w:abstractNum w:abstractNumId="14">
    <w:nsid w:val="5FF87E05"/>
    <w:multiLevelType w:val="hybridMultilevel"/>
    <w:lvl w:ilvl="0">
      <w:lvlJc w:val="left"/>
      <w:lvlText w:val="Ÿ"/>
      <w:numFmt w:val="bullet"/>
      <w:start w:val="1"/>
    </w:lvl>
  </w:abstractNum>
  <w:abstractNum w:abstractNumId="15">
    <w:nsid w:val="2F305DEF"/>
    <w:multiLevelType w:val="hybridMultilevel"/>
    <w:lvl w:ilvl="0">
      <w:lvlJc w:val="left"/>
      <w:lvlText w:val="Ÿ"/>
      <w:numFmt w:val="bullet"/>
      <w:start w:val="1"/>
    </w:lvl>
    <w:lvl w:ilvl="1">
      <w:lvlJc w:val="left"/>
      <w:lvlText w:val="(%2)"/>
      <w:numFmt w:val="lowerRoman"/>
      <w:start w:val="3"/>
    </w:lvl>
  </w:abstractNum>
  <w:abstractNum w:abstractNumId="16">
    <w:nsid w:val="25A70BF7"/>
    <w:multiLevelType w:val="hybridMultilevel"/>
    <w:lvl w:ilvl="0">
      <w:lvlJc w:val="left"/>
      <w:lvlText w:val="Ÿ"/>
      <w:numFmt w:val="bullet"/>
      <w:start w:val="1"/>
    </w:lvl>
    <w:lvl w:ilvl="1">
      <w:lvlJc w:val="left"/>
      <w:lvlText w:val="(%2)"/>
      <w:numFmt w:val="lowerRoman"/>
      <w:start w:val="1"/>
    </w:lvl>
  </w:abstractNum>
  <w:abstractNum w:abstractNumId="17">
    <w:nsid w:val="1DBABF00"/>
    <w:multiLevelType w:val="hybridMultilevel"/>
    <w:lvl w:ilvl="0">
      <w:lvlJc w:val="left"/>
      <w:lvlText w:val="Ÿ"/>
      <w:numFmt w:val="bullet"/>
      <w:start w:val="1"/>
    </w:lvl>
  </w:abstractNum>
  <w:abstractNum w:abstractNumId="18">
    <w:nsid w:val="4AD084E9"/>
    <w:multiLevelType w:val="hybridMultilevel"/>
    <w:lvl w:ilvl="0">
      <w:lvlJc w:val="left"/>
      <w:lvlText w:val="(%1)"/>
      <w:numFmt w:val="lowerRoman"/>
      <w:start w:val="1"/>
    </w:lvl>
  </w:abstractNum>
  <w:abstractNum w:abstractNumId="19">
    <w:nsid w:val="1F48EAA1"/>
    <w:multiLevelType w:val="hybridMultilevel"/>
    <w:lvl w:ilvl="0">
      <w:lvlJc w:val="left"/>
      <w:lvlText w:val="(%1)"/>
      <w:numFmt w:val="lowerRoman"/>
      <w:start w:val="1"/>
    </w:lvl>
  </w:abstractNum>
  <w:abstractNum w:abstractNumId="20">
    <w:nsid w:val="1381823A"/>
    <w:multiLevelType w:val="hybridMultilevel"/>
    <w:lvl w:ilvl="0">
      <w:lvlJc w:val="left"/>
      <w:lvlText w:val="Ÿ"/>
      <w:numFmt w:val="bullet"/>
      <w:start w:val="1"/>
    </w:lvl>
  </w:abstractNum>
  <w:abstractNum w:abstractNumId="21">
    <w:nsid w:val="5DB70AE5"/>
    <w:multiLevelType w:val="hybridMultilevel"/>
    <w:lvl w:ilvl="0">
      <w:lvlJc w:val="left"/>
      <w:lvlText w:val="(%1)"/>
      <w:numFmt w:val="lowerLetter"/>
      <w:start w:val="1"/>
    </w:lvl>
  </w:abstractNum>
  <w:abstractNum w:abstractNumId="22">
    <w:nsid w:val="100F8FCA"/>
    <w:multiLevelType w:val="hybridMultilevel"/>
    <w:lvl w:ilvl="0">
      <w:lvlJc w:val="left"/>
      <w:lvlText w:val="Ÿ"/>
      <w:numFmt w:val="bullet"/>
      <w:start w:val="1"/>
    </w:lvl>
  </w:abstractNum>
  <w:abstractNum w:abstractNumId="23">
    <w:nsid w:val="6590700B"/>
    <w:multiLevelType w:val="hybridMultilevel"/>
    <w:lvl w:ilvl="0">
      <w:lvlJc w:val="left"/>
      <w:lvlText w:val="Ÿ"/>
      <w:numFmt w:val="bullet"/>
      <w:start w:val="1"/>
    </w:lvl>
  </w:abstractNum>
  <w:abstractNum w:abstractNumId="24">
    <w:nsid w:val="15014ACB"/>
    <w:multiLevelType w:val="hybridMultilevel"/>
    <w:lvl w:ilvl="0">
      <w:lvlJc w:val="left"/>
      <w:lvlText w:val="Ÿ"/>
      <w:numFmt w:val="bullet"/>
      <w:start w:val="1"/>
    </w:lvl>
  </w:abstractNum>
  <w:abstractNum w:abstractNumId="25">
    <w:nsid w:val="5F5E7FD0"/>
    <w:multiLevelType w:val="hybridMultilevel"/>
    <w:lvl w:ilvl="0">
      <w:lvlJc w:val="left"/>
      <w:lvlText w:val="Ÿ"/>
      <w:numFmt w:val="bullet"/>
      <w:start w:val="1"/>
    </w:lvl>
  </w:abstractNum>
  <w:abstractNum w:abstractNumId="26">
    <w:nsid w:val="98A3148"/>
    <w:multiLevelType w:val="hybridMultilevel"/>
    <w:lvl w:ilvl="0">
      <w:lvlJc w:val="left"/>
      <w:lvlText w:val="%1."/>
      <w:numFmt w:val="decimal"/>
      <w:start w:val="1"/>
    </w:lvl>
  </w:abstractNum>
  <w:abstractNum w:abstractNumId="27">
    <w:nsid w:val="799D0247"/>
    <w:multiLevelType w:val="hybridMultilevel"/>
    <w:lvl w:ilvl="0">
      <w:lvlJc w:val="left"/>
      <w:lvlText w:val="(%1)"/>
      <w:numFmt w:val="lowerLetter"/>
      <w:start w:val="1"/>
    </w:lvl>
  </w:abstractNum>
  <w:abstractNum w:abstractNumId="28">
    <w:nsid w:val="6B94764"/>
    <w:multiLevelType w:val="hybridMultilevel"/>
    <w:lvl w:ilvl="0">
      <w:lvlJc w:val="left"/>
      <w:lvlText w:val="%1"/>
      <w:numFmt w:val="lowerLetter"/>
      <w:start w:val="1"/>
    </w:lvl>
    <w:lvl w:ilvl="1">
      <w:lvlJc w:val="left"/>
      <w:lvlText w:val="(%2)"/>
      <w:numFmt w:val="lowerLetter"/>
      <w:start w:val="1"/>
    </w:lvl>
  </w:abstractNum>
  <w:abstractNum w:abstractNumId="29">
    <w:nsid w:val="42C296BD"/>
    <w:multiLevelType w:val="hybridMultilevel"/>
    <w:lvl w:ilvl="0">
      <w:lvlJc w:val="left"/>
      <w:lvlText w:val="(%1)"/>
      <w:numFmt w:val="lowerLetter"/>
      <w:start w:val="35"/>
    </w:lvl>
    <w:lvl w:ilvl="1">
      <w:lvlJc w:val="left"/>
      <w:lvlText w:val="(%2)"/>
      <w:numFmt w:val="lowerLetter"/>
      <w:start w:val="3"/>
    </w:lvl>
  </w:abstractNum>
  <w:abstractNum w:abstractNumId="30">
    <w:nsid w:val="168E121F"/>
    <w:multiLevelType w:val="hybridMultilevel"/>
    <w:lvl w:ilvl="0">
      <w:lvlJc w:val="left"/>
      <w:lvlText w:val="(%1)"/>
      <w:numFmt w:val="lowerLetter"/>
      <w:start w:val="4"/>
    </w:lvl>
  </w:abstractNum>
  <w:abstractNum w:abstractNumId="31">
    <w:nsid w:val="1EBA5D23"/>
    <w:multiLevelType w:val="hybridMultilevel"/>
    <w:lvl w:ilvl="0">
      <w:lvlJc w:val="left"/>
      <w:lvlText w:val="(%1)"/>
      <w:numFmt w:val="lowerLetter"/>
      <w:start w:val="5"/>
    </w:lvl>
  </w:abstractNum>
  <w:abstractNum w:abstractNumId="32">
    <w:nsid w:val="661E3F1E"/>
    <w:multiLevelType w:val="hybridMultilevel"/>
    <w:lvl w:ilvl="0">
      <w:lvlJc w:val="left"/>
      <w:lvlText w:val="(%1)"/>
      <w:numFmt w:val="lowerLetter"/>
      <w:start w:val="1"/>
    </w:lvl>
  </w:abstractNum>
  <w:abstractNum w:abstractNumId="33">
    <w:nsid w:val="5DC79EA8"/>
    <w:multiLevelType w:val="hybridMultilevel"/>
    <w:lvl w:ilvl="0">
      <w:lvlJc w:val="left"/>
      <w:lvlText w:val="%1"/>
      <w:numFmt w:val="lowerRoman"/>
      <w:start w:val="1"/>
    </w:lvl>
    <w:lvl w:ilvl="1">
      <w:lvlJc w:val="left"/>
      <w:lvlText w:val="(%2)"/>
      <w:numFmt w:val="lowerLetter"/>
      <w:start w:val="3"/>
    </w:lvl>
  </w:abstractNum>
  <w:abstractNum w:abstractNumId="34">
    <w:nsid w:val="540A471C"/>
    <w:multiLevelType w:val="hybridMultilevel"/>
    <w:lvl w:ilvl="0">
      <w:lvlJc w:val="left"/>
      <w:lvlText w:val="(%1)"/>
      <w:numFmt w:val="lowerRoman"/>
      <w:start w:val="1"/>
    </w:lvl>
    <w:lvl w:ilvl="1">
      <w:lvlJc w:val="left"/>
      <w:lvlText w:val="(%2)"/>
      <w:numFmt w:val="lowerLetter"/>
      <w:start w:val="4"/>
    </w:lvl>
  </w:abstractNum>
  <w:abstractNum w:abstractNumId="35">
    <w:nsid w:val="7BD3EE7B"/>
    <w:multiLevelType w:val="hybridMultilevel"/>
    <w:lvl w:ilvl="0">
      <w:lvlJc w:val="left"/>
      <w:lvlText w:val="(%1)"/>
      <w:numFmt w:val="lowerRoman"/>
      <w:start w:val="1"/>
    </w:lvl>
  </w:abstractNum>
  <w:abstractNum w:abstractNumId="36">
    <w:nsid w:val="51D9C564"/>
    <w:multiLevelType w:val="hybridMultilevel"/>
    <w:lvl w:ilvl="0">
      <w:lvlJc w:val="left"/>
      <w:lvlText w:val="(%1)"/>
      <w:numFmt w:val="lowerRoman"/>
      <w:start w:val="2"/>
    </w:lvl>
  </w:abstractNum>
  <w:abstractNum w:abstractNumId="37">
    <w:nsid w:val="613EFDC5"/>
    <w:multiLevelType w:val="hybridMultilevel"/>
    <w:lvl w:ilvl="0">
      <w:lvlJc w:val="left"/>
      <w:lvlText w:val="(%1)"/>
      <w:numFmt w:val="lowerLetter"/>
      <w:start w:val="5"/>
    </w:lvl>
  </w:abstractNum>
  <w:abstractNum w:abstractNumId="38">
    <w:nsid w:val="BF72B14"/>
    <w:multiLevelType w:val="hybridMultilevel"/>
    <w:lvl w:ilvl="0">
      <w:lvlJc w:val="left"/>
      <w:lvlText w:val="%1"/>
      <w:numFmt w:val="lowerLetter"/>
      <w:start w:val="1"/>
    </w:lvl>
    <w:lvl w:ilvl="1">
      <w:lvlJc w:val="left"/>
      <w:lvlText w:val="(%2)"/>
      <w:numFmt w:val="lowerLetter"/>
      <w:start w:val="1"/>
    </w:lvl>
  </w:abstractNum>
  <w:abstractNum w:abstractNumId="39">
    <w:nsid w:val="11447B73"/>
    <w:multiLevelType w:val="hybridMultilevel"/>
    <w:lvl w:ilvl="0">
      <w:lvlJc w:val="left"/>
      <w:lvlText w:val="(%1)"/>
      <w:numFmt w:val="lowerLetter"/>
      <w:start w:val="9"/>
    </w:lvl>
    <w:lvl w:ilvl="1">
      <w:lvlJc w:val="left"/>
      <w:lvlText w:val="%2"/>
      <w:numFmt w:val="lowerLetter"/>
      <w:start w:val="1"/>
    </w:lvl>
  </w:abstractNum>
  <w:abstractNum w:abstractNumId="40">
    <w:nsid w:val="42963E5A"/>
    <w:multiLevelType w:val="hybridMultilevel"/>
    <w:lvl w:ilvl="0">
      <w:lvlJc w:val="left"/>
      <w:lvlText w:val="(%1)"/>
      <w:numFmt w:val="lowerLetter"/>
      <w:start w:val="35"/>
    </w:lvl>
    <w:lvl w:ilvl="1">
      <w:lvlJc w:val="left"/>
      <w:lvlText w:val="(%2)"/>
      <w:numFmt w:val="lowerLetter"/>
      <w:start w:val="2"/>
    </w:lvl>
  </w:abstractNum>
  <w:abstractNum w:abstractNumId="41">
    <w:nsid w:val="A0382C5"/>
    <w:multiLevelType w:val="hybridMultilevel"/>
    <w:lvl w:ilvl="0">
      <w:lvlJc w:val="left"/>
      <w:lvlText w:val="(%1)"/>
      <w:numFmt w:val="lowerRoman"/>
      <w:start w:val="1"/>
    </w:lvl>
  </w:abstractNum>
  <w:abstractNum w:abstractNumId="42">
    <w:nsid w:val="8F2B15E"/>
    <w:multiLevelType w:val="hybridMultilevel"/>
    <w:lvl w:ilvl="0">
      <w:lvlJc w:val="left"/>
      <w:lvlText w:val="%1"/>
      <w:numFmt w:val="lowerRoman"/>
      <w:start w:val="1"/>
    </w:lvl>
    <w:lvl w:ilvl="1">
      <w:lvlJc w:val="left"/>
      <w:lvlText w:val="(%2)"/>
      <w:numFmt w:val="lowerLetter"/>
      <w:start w:val="3"/>
    </w:lvl>
  </w:abstractNum>
  <w:abstractNum w:abstractNumId="43">
    <w:nsid w:val="1A32234B"/>
    <w:multiLevelType w:val="hybridMultilevel"/>
    <w:lvl w:ilvl="0">
      <w:lvlJc w:val="left"/>
      <w:lvlText w:val="(%1)"/>
      <w:numFmt w:val="lowerRoman"/>
      <w:start w:val="1"/>
    </w:lvl>
    <w:lvl w:ilvl="1">
      <w:lvlJc w:val="left"/>
      <w:lvlText w:val="(%2)"/>
      <w:numFmt w:val="lowerLetter"/>
      <w:start w:val="4"/>
    </w:lvl>
  </w:abstractNum>
  <w:abstractNum w:abstractNumId="44">
    <w:nsid w:val="3B0FD379"/>
    <w:multiLevelType w:val="hybridMultilevel"/>
    <w:lvl w:ilvl="0">
      <w:lvlJc w:val="left"/>
      <w:lvlText w:val="(%1)"/>
      <w:numFmt w:val="lowerRoman"/>
      <w:start w:val="1"/>
    </w:lvl>
  </w:abstractNum>
  <w:abstractNum w:abstractNumId="45">
    <w:nsid w:val="68EB2F63"/>
    <w:multiLevelType w:val="hybridMultilevel"/>
    <w:lvl w:ilvl="0">
      <w:lvlJc w:val="left"/>
      <w:lvlText w:val="%1"/>
      <w:numFmt w:val="lowerRoman"/>
      <w:start w:val="1"/>
    </w:lvl>
    <w:lvl w:ilvl="1">
      <w:lvlJc w:val="left"/>
      <w:lvlText w:val="(%2)"/>
      <w:numFmt w:val="lowerLetter"/>
      <w:start w:val="5"/>
    </w:lvl>
    <w:lvl w:ilvl="2">
      <w:lvlJc w:val="left"/>
      <w:lvlText w:val="%3"/>
      <w:numFmt w:val="upperLetter"/>
      <w:start w:val="1"/>
    </w:lvl>
  </w:abstractNum>
  <w:abstractNum w:abstractNumId="46">
    <w:nsid w:val="4962813B"/>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47">
    <w:nsid w:val="60B6DF70"/>
    <w:multiLevelType w:val="hybridMultilevel"/>
    <w:lvl w:ilvl="0">
      <w:lvlJc w:val="left"/>
      <w:lvlText w:val="%1"/>
      <w:numFmt w:val="lowerRoman"/>
      <w:start w:val="1"/>
    </w:lvl>
    <w:lvl w:ilvl="1">
      <w:lvlJc w:val="left"/>
      <w:lvlText w:val="(%2)"/>
      <w:numFmt w:val="lowerLetter"/>
      <w:start w:val="6"/>
    </w:lvl>
  </w:abstractNum>
  <w:abstractNum w:abstractNumId="48">
    <w:nsid w:val="6A5EE64"/>
    <w:multiLevelType w:val="hybridMultilevel"/>
    <w:lvl w:ilvl="0">
      <w:lvlJc w:val="left"/>
      <w:lvlText w:val="(%1)"/>
      <w:numFmt w:val="lowerRoman"/>
      <w:start w:val="1"/>
    </w:lvl>
    <w:lvl w:ilvl="1">
      <w:lvlJc w:val="left"/>
      <w:lvlText w:val="%2"/>
      <w:numFmt w:val="lowerLetter"/>
      <w:start w:val="1"/>
    </w:lvl>
  </w:abstractNum>
  <w:abstractNum w:abstractNumId="49">
    <w:nsid w:val="1433062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50">
    <w:nsid w:val="7FFFCA11"/>
    <w:multiLevelType w:val="hybridMultilevel"/>
    <w:lvl w:ilvl="0">
      <w:lvlJc w:val="left"/>
      <w:lvlText w:val="(%1)"/>
      <w:numFmt w:val="lowerLetter"/>
      <w:start w:val="24"/>
    </w:lvl>
    <w:lvl w:ilvl="1">
      <w:lvlJc w:val="left"/>
      <w:lvlText w:val="(%2)"/>
      <w:numFmt w:val="lowerRoman"/>
      <w:start w:val="1"/>
    </w:lvl>
    <w:lvl w:ilvl="2">
      <w:lvlJc w:val="left"/>
      <w:lvlText w:val="(%3)"/>
      <w:numFmt w:val="lowerLetter"/>
      <w:start w:val="2"/>
    </w:lvl>
  </w:abstractNum>
  <w:abstractNum w:abstractNumId="51">
    <w:nsid w:val="1A27709E"/>
    <w:multiLevelType w:val="hybridMultilevel"/>
    <w:lvl w:ilvl="0">
      <w:lvlJc w:val="left"/>
      <w:lvlText w:val="(%1)"/>
      <w:numFmt w:val="lowerRoman"/>
      <w:start w:val="1"/>
    </w:lvl>
  </w:abstractNum>
  <w:abstractNum w:abstractNumId="52">
    <w:nsid w:val="71EA1109"/>
    <w:multiLevelType w:val="hybridMultilevel"/>
    <w:lvl w:ilvl="0">
      <w:lvlJc w:val="left"/>
      <w:lvlText w:val="%1"/>
      <w:numFmt w:val="lowerRoman"/>
      <w:start w:val="1"/>
    </w:lvl>
    <w:lvl w:ilvl="1">
      <w:lvlJc w:val="left"/>
      <w:lvlText w:val="(%2)"/>
      <w:numFmt w:val="upperLetter"/>
      <w:start w:val="1"/>
    </w:lvl>
  </w:abstractNum>
  <w:abstractNum w:abstractNumId="53">
    <w:nsid w:val="100F59DC"/>
    <w:multiLevelType w:val="hybridMultilevel"/>
    <w:lvl w:ilvl="0">
      <w:lvlJc w:val="left"/>
      <w:lvlText w:val="(%1)"/>
      <w:numFmt w:val="lowerRoman"/>
      <w:start w:val="2"/>
    </w:lvl>
    <w:lvl w:ilvl="1">
      <w:lvlJc w:val="left"/>
      <w:lvlText w:val="%2"/>
      <w:numFmt w:val="upperLetter"/>
      <w:start w:val="1"/>
    </w:lvl>
  </w:abstractNum>
  <w:abstractNum w:abstractNumId="54">
    <w:nsid w:val="7FB7E0AA"/>
    <w:multiLevelType w:val="hybridMultilevel"/>
    <w:lvl w:ilvl="0">
      <w:lvlJc w:val="left"/>
      <w:lvlText w:val="(%1)"/>
      <w:numFmt w:val="lowerRoman"/>
      <w:start w:val="4"/>
    </w:lvl>
    <w:lvl w:ilvl="1">
      <w:lvlJc w:val="left"/>
      <w:lvlText w:val="%2."/>
      <w:numFmt w:val="decimal"/>
      <w:start w:val="8"/>
    </w:lvl>
  </w:abstractNum>
  <w:abstractNum w:abstractNumId="55">
    <w:nsid w:val="6EB5BD4"/>
    <w:multiLevelType w:val="hybridMultilevel"/>
    <w:lvl w:ilvl="0">
      <w:lvlJc w:val="left"/>
      <w:lvlText w:val="(%1)"/>
      <w:numFmt w:val="lowerLetter"/>
      <w:start w:val="1"/>
    </w:lvl>
  </w:abstractNum>
  <w:abstractNum w:abstractNumId="56">
    <w:nsid w:val="6F6DD9AC"/>
    <w:multiLevelType w:val="hybridMultilevel"/>
    <w:lvl w:ilvl="0">
      <w:lvlJc w:val="left"/>
      <w:lvlText w:val="(%1)"/>
      <w:numFmt w:val="lowerLetter"/>
      <w:start w:val="2"/>
    </w:lvl>
  </w:abstractNum>
  <w:abstractNum w:abstractNumId="57">
    <w:nsid w:val="94211F2"/>
    <w:multiLevelType w:val="hybridMultilevel"/>
    <w:lvl w:ilvl="0">
      <w:lvlJc w:val="left"/>
      <w:lvlText w:val="(%1)"/>
      <w:numFmt w:val="lowerLetter"/>
      <w:start w:val="3"/>
    </w:lvl>
  </w:abstractNum>
  <w:abstractNum w:abstractNumId="58">
    <w:nsid w:val="885E1B"/>
    <w:multiLevelType w:val="hybridMultilevel"/>
    <w:lvl w:ilvl="0">
      <w:lvlJc w:val="left"/>
      <w:lvlText w:val="(%1)"/>
      <w:numFmt w:val="lowerRoman"/>
      <w:start w:val="2"/>
    </w:lvl>
  </w:abstractNum>
  <w:abstractNum w:abstractNumId="59">
    <w:nsid w:val="76272110"/>
    <w:multiLevelType w:val="hybridMultilevel"/>
    <w:lvl w:ilvl="0">
      <w:lvlJc w:val="left"/>
      <w:lvlText w:val="(%1)"/>
      <w:numFmt w:val="lowerLetter"/>
      <w:start w:val="4"/>
    </w:lvl>
  </w:abstractNum>
  <w:abstractNum w:abstractNumId="60">
    <w:nsid w:val="4C04A8AF"/>
    <w:multiLevelType w:val="hybridMultilevel"/>
    <w:lvl w:ilvl="0">
      <w:lvlJc w:val="left"/>
      <w:lvlText w:val="(%1)"/>
      <w:numFmt w:val="lowerLetter"/>
      <w:start w:val="1"/>
    </w:lvl>
  </w:abstractNum>
  <w:abstractNum w:abstractNumId="61">
    <w:nsid w:val="1716703B"/>
    <w:multiLevelType w:val="hybridMultilevel"/>
    <w:lvl w:ilvl="0">
      <w:lvlJc w:val="left"/>
      <w:lvlText w:val="(%1)"/>
      <w:numFmt w:val="lowerLetter"/>
      <w:start w:val="2"/>
    </w:lvl>
  </w:abstractNum>
  <w:abstractNum w:abstractNumId="62">
    <w:nsid w:val="14E17E33"/>
    <w:multiLevelType w:val="hybridMultilevel"/>
    <w:lvl w:ilvl="0">
      <w:lvlJc w:val="left"/>
      <w:lvlText w:val="(%1)"/>
      <w:numFmt w:val="lowerLetter"/>
      <w:start w:val="1"/>
    </w:lvl>
  </w:abstractNum>
  <w:abstractNum w:abstractNumId="63">
    <w:nsid w:val="3222E7CD"/>
    <w:multiLevelType w:val="hybridMultilevel"/>
    <w:lvl w:ilvl="0">
      <w:lvlJc w:val="left"/>
      <w:lvlText w:val="(%1)"/>
      <w:numFmt w:val="lowerLetter"/>
      <w:start w:val="1"/>
    </w:lvl>
  </w:abstractNum>
  <w:abstractNum w:abstractNumId="64">
    <w:nsid w:val="74DE0EE3"/>
    <w:multiLevelType w:val="hybridMultilevel"/>
    <w:lvl w:ilvl="0">
      <w:lvlJc w:val="left"/>
      <w:lvlText w:val="(%1)"/>
      <w:numFmt w:val="lowerLetter"/>
      <w:start w:val="2"/>
    </w:lvl>
  </w:abstractNum>
  <w:abstractNum w:abstractNumId="65">
    <w:nsid w:val="68EBC550"/>
    <w:multiLevelType w:val="hybridMultilevel"/>
    <w:lvl w:ilvl="0">
      <w:lvlJc w:val="left"/>
      <w:lvlText w:val="(%1)"/>
      <w:numFmt w:val="upperLetter"/>
      <w:start w:val="1"/>
    </w:lvl>
  </w:abstractNum>
  <w:abstractNum w:abstractNumId="66">
    <w:nsid w:val="2DF6D648"/>
    <w:multiLevelType w:val="hybridMultilevel"/>
    <w:lvl w:ilvl="0">
      <w:lvlJc w:val="left"/>
      <w:lvlText w:val="(%1)"/>
      <w:numFmt w:val="lowerLetter"/>
      <w:start w:val="3"/>
    </w:lvl>
  </w:abstractNum>
  <w:abstractNum w:abstractNumId="67">
    <w:nsid w:val="46B7D447"/>
    <w:multiLevelType w:val="hybridMultilevel"/>
    <w:lvl w:ilvl="0">
      <w:lvlJc w:val="left"/>
      <w:lvlText w:val="%1"/>
      <w:numFmt w:val="decimal"/>
      <w:start w:val="1"/>
    </w:lvl>
    <w:lvl w:ilvl="1">
      <w:lvlJc w:val="left"/>
      <w:lvlText w:val="(%2)"/>
      <w:numFmt w:val="lowerLetter"/>
      <w:start w:val="4"/>
    </w:lvl>
  </w:abstractNum>
  <w:abstractNum w:abstractNumId="68">
    <w:nsid w:val="4A2AC315"/>
    <w:multiLevelType w:val="hybridMultilevel"/>
    <w:lvl w:ilvl="0">
      <w:lvlJc w:val="left"/>
      <w:lvlText w:val="(%1)"/>
      <w:numFmt w:val="decimal"/>
      <w:start w:val="2"/>
    </w:lvl>
    <w:lvl w:ilvl="1">
      <w:lvlJc w:val="left"/>
      <w:lvlText w:val="(%2)"/>
      <w:numFmt w:val="lowerLetter"/>
      <w:start w:val="5"/>
    </w:lvl>
  </w:abstractNum>
  <w:abstractNum w:abstractNumId="69">
    <w:nsid w:val="39EE015C"/>
    <w:multiLevelType w:val="hybridMultilevel"/>
    <w:lvl w:ilvl="0">
      <w:lvlJc w:val="left"/>
      <w:lvlText w:val="%1"/>
      <w:numFmt w:val="upperLetter"/>
      <w:start w:val="1"/>
    </w:lvl>
    <w:lvl w:ilvl="1">
      <w:lvlJc w:val="left"/>
      <w:lvlText w:val="(%2)"/>
      <w:numFmt w:val="lowerLetter"/>
      <w:start w:val="1"/>
    </w:lvl>
  </w:abstractNum>
  <w:abstractNum w:abstractNumId="70">
    <w:nsid w:val="57FC4FBB"/>
    <w:multiLevelType w:val="hybridMultilevel"/>
    <w:lvl w:ilvl="0">
      <w:lvlJc w:val="left"/>
      <w:lvlText w:val="(%1)"/>
      <w:numFmt w:val="upperLetter"/>
      <w:start w:val="1"/>
    </w:lvl>
    <w:lvl w:ilvl="1">
      <w:lvlJc w:val="left"/>
      <w:lvlText w:val="%2"/>
      <w:numFmt w:val="lowerLetter"/>
      <w:start w:val="1"/>
    </w:lvl>
  </w:abstractNum>
  <w:abstractNum w:abstractNumId="71">
    <w:nsid w:val="CC1016F"/>
    <w:multiLevelType w:val="hybridMultilevel"/>
    <w:lvl w:ilvl="0">
      <w:lvlJc w:val="left"/>
      <w:lvlText w:val="(%1)"/>
      <w:numFmt w:val="lowerLetter"/>
      <w:start w:val="1"/>
    </w:lvl>
  </w:abstractNum>
  <w:abstractNum w:abstractNumId="72">
    <w:nsid w:val="43F18422"/>
    <w:multiLevelType w:val="hybridMultilevel"/>
    <w:lvl w:ilvl="0">
      <w:lvlJc w:val="left"/>
      <w:lvlText w:val="(%1)"/>
      <w:numFmt w:val="lowerLetter"/>
      <w:start w:val="1"/>
    </w:lvl>
  </w:abstractNum>
  <w:abstractNum w:abstractNumId="73">
    <w:nsid w:val="60EF0119"/>
    <w:multiLevelType w:val="hybridMultilevel"/>
    <w:lvl w:ilvl="0">
      <w:lvlJc w:val="left"/>
      <w:lvlText w:val="(%1)"/>
      <w:numFmt w:val="lowerLetter"/>
      <w:start w:val="2"/>
    </w:lvl>
  </w:abstractNum>
  <w:abstractNum w:abstractNumId="74">
    <w:nsid w:val="26F324BA"/>
    <w:multiLevelType w:val="hybridMultilevel"/>
    <w:lvl w:ilvl="0">
      <w:lvlJc w:val="left"/>
      <w:lvlText w:val="(%1)"/>
      <w:numFmt w:val="lowerLetter"/>
      <w:start w:val="4"/>
    </w:lvl>
  </w:abstractNum>
  <w:abstractNum w:abstractNumId="75">
    <w:nsid w:val="7F01579B"/>
    <w:multiLevelType w:val="hybridMultilevel"/>
    <w:lvl w:ilvl="0">
      <w:lvlJc w:val="left"/>
      <w:lvlText w:val="%1"/>
      <w:numFmt w:val="lowerRoman"/>
      <w:start w:val="1"/>
    </w:lvl>
    <w:lvl w:ilvl="1">
      <w:lvlJc w:val="left"/>
      <w:lvlText w:val="(%2)"/>
      <w:numFmt w:val="lowerLetter"/>
      <w:start w:val="1"/>
    </w:lvl>
  </w:abstractNum>
  <w:abstractNum w:abstractNumId="76">
    <w:nsid w:val="49DA307D"/>
    <w:multiLevelType w:val="hybridMultilevel"/>
    <w:lvl w:ilvl="0">
      <w:lvlJc w:val="left"/>
      <w:lvlText w:val="(%1)"/>
      <w:numFmt w:val="lowerRoman"/>
      <w:start w:val="1"/>
    </w:lvl>
    <w:lvl w:ilvl="1">
      <w:lvlJc w:val="left"/>
      <w:lvlText w:val="(%2)"/>
      <w:numFmt w:val="lowerLetter"/>
      <w:start w:val="4"/>
    </w:lvl>
  </w:abstractNum>
  <w:abstractNum w:abstractNumId="77">
    <w:nsid w:val="7055A5F5"/>
    <w:multiLevelType w:val="hybridMultilevel"/>
    <w:lvl w:ilvl="0">
      <w:lvlJc w:val="left"/>
      <w:lvlText w:val="(%1)"/>
      <w:numFmt w:val="lowerRoman"/>
      <w:start w:val="1"/>
    </w:lvl>
  </w:abstractNum>
  <w:abstractNum w:abstractNumId="78">
    <w:nsid w:val="5FB8370B"/>
    <w:multiLevelType w:val="hybridMultilevel"/>
    <w:lvl w:ilvl="0">
      <w:lvlJc w:val="left"/>
      <w:lvlText w:val="(%1)"/>
      <w:numFmt w:val="lowerRoman"/>
      <w:start w:val="2"/>
    </w:lvl>
  </w:abstractNum>
  <w:abstractNum w:abstractNumId="79">
    <w:nsid w:val="50801EE1"/>
    <w:multiLevelType w:val="hybridMultilevel"/>
    <w:lvl w:ilvl="0">
      <w:lvlJc w:val="left"/>
      <w:lvlText w:val="(%1)"/>
      <w:numFmt w:val="lowerLetter"/>
      <w:start w:val="5"/>
    </w:lvl>
  </w:abstractNum>
  <w:abstractNum w:abstractNumId="80">
    <w:nsid w:val="488AC1A"/>
    <w:multiLevelType w:val="hybridMultilevel"/>
    <w:lvl w:ilvl="0">
      <w:lvlJc w:val="left"/>
      <w:lvlText w:val="%1"/>
      <w:numFmt w:val="lowerLetter"/>
      <w:start w:val="1"/>
    </w:lvl>
    <w:lvl w:ilvl="1">
      <w:lvlJc w:val="left"/>
      <w:lvlText w:val="(%2)"/>
      <w:numFmt w:val="lowerLetter"/>
      <w:start w:val="1"/>
    </w:lvl>
  </w:abstractNum>
  <w:abstractNum w:abstractNumId="81">
    <w:nsid w:val="5FB8011C"/>
    <w:multiLevelType w:val="hybridMultilevel"/>
    <w:lvl w:ilvl="0">
      <w:lvlJc w:val="left"/>
      <w:lvlText w:val="(%1)"/>
      <w:numFmt w:val="lowerLetter"/>
      <w:start w:val="9"/>
    </w:lvl>
    <w:lvl w:ilvl="1">
      <w:lvlJc w:val="left"/>
      <w:lvlText w:val="%2"/>
      <w:numFmt w:val="lowerLetter"/>
      <w:start w:val="1"/>
    </w:lvl>
  </w:abstractNum>
  <w:abstractNum w:abstractNumId="82">
    <w:nsid w:val="6AA78F7F"/>
    <w:multiLevelType w:val="hybridMultilevel"/>
    <w:lvl w:ilvl="0">
      <w:lvlJc w:val="left"/>
      <w:lvlText w:val="(%1)"/>
      <w:numFmt w:val="lowerLetter"/>
      <w:start w:val="35"/>
    </w:lvl>
    <w:lvl w:ilvl="1">
      <w:lvlJc w:val="left"/>
      <w:lvlText w:val="(%2)"/>
      <w:numFmt w:val="lowerLetter"/>
      <w:start w:val="2"/>
    </w:lvl>
  </w:abstractNum>
  <w:abstractNum w:abstractNumId="83">
    <w:nsid w:val="7672BD23"/>
    <w:multiLevelType w:val="hybridMultilevel"/>
    <w:lvl w:ilvl="0">
      <w:lvlJc w:val="left"/>
      <w:lvlText w:val="(%1)"/>
      <w:numFmt w:val="lowerRoman"/>
      <w:start w:val="1"/>
    </w:lvl>
  </w:abstractNum>
  <w:abstractNum w:abstractNumId="84">
    <w:nsid w:val="6FC75AF8"/>
    <w:multiLevelType w:val="hybridMultilevel"/>
    <w:lvl w:ilvl="0">
      <w:lvlJc w:val="left"/>
      <w:lvlText w:val="%1"/>
      <w:numFmt w:val="lowerRoman"/>
      <w:start w:val="1"/>
    </w:lvl>
    <w:lvl w:ilvl="1">
      <w:lvlJc w:val="left"/>
      <w:lvlText w:val="(%2)"/>
      <w:numFmt w:val="lowerLetter"/>
      <w:start w:val="3"/>
    </w:lvl>
  </w:abstractNum>
  <w:abstractNum w:abstractNumId="85">
    <w:nsid w:val="6A5F7029"/>
    <w:multiLevelType w:val="hybridMultilevel"/>
    <w:lvl w:ilvl="0">
      <w:lvlJc w:val="left"/>
      <w:lvlText w:val="(%1)"/>
      <w:numFmt w:val="lowerRoman"/>
      <w:start w:val="1"/>
    </w:lvl>
    <w:lvl w:ilvl="1">
      <w:lvlJc w:val="left"/>
      <w:lvlText w:val="(%2)"/>
      <w:numFmt w:val="lowerLetter"/>
      <w:start w:val="4"/>
    </w:lvl>
  </w:abstractNum>
  <w:abstractNum w:abstractNumId="86">
    <w:nsid w:val="7D5E18F8"/>
    <w:multiLevelType w:val="hybridMultilevel"/>
    <w:lvl w:ilvl="0">
      <w:lvlJc w:val="left"/>
      <w:lvlText w:val="(%1)"/>
      <w:numFmt w:val="lowerRoman"/>
      <w:start w:val="1"/>
    </w:lvl>
    <w:lvl w:ilvl="1">
      <w:lvlJc w:val="left"/>
      <w:lvlText w:val="(%2)"/>
      <w:numFmt w:val="lowerLetter"/>
      <w:start w:val="5"/>
    </w:lvl>
  </w:abstractNum>
  <w:abstractNum w:abstractNumId="87">
    <w:nsid w:val="5F3534A4"/>
    <w:multiLevelType w:val="hybridMultilevel"/>
    <w:lvl w:ilvl="0">
      <w:lvlJc w:val="left"/>
      <w:lvlText w:val="(%1)"/>
      <w:numFmt w:val="lowerRoman"/>
      <w:start w:val="1"/>
    </w:lvl>
  </w:abstractNum>
  <w:abstractNum w:abstractNumId="88">
    <w:nsid w:val="73A1821B"/>
    <w:multiLevelType w:val="hybridMultilevel"/>
    <w:lvl w:ilvl="0">
      <w:lvlJc w:val="left"/>
      <w:lvlText w:val="%1"/>
      <w:numFmt w:val="lowerRoman"/>
      <w:start w:val="1"/>
    </w:lvl>
    <w:lvl w:ilvl="1">
      <w:lvlJc w:val="left"/>
      <w:lvlText w:val="(%2)"/>
      <w:numFmt w:val="lowerLetter"/>
      <w:start w:val="6"/>
    </w:lvl>
  </w:abstractNum>
  <w:abstractNum w:abstractNumId="89">
    <w:nsid w:val="7DE67713"/>
    <w:multiLevelType w:val="hybridMultilevel"/>
    <w:lvl w:ilvl="0">
      <w:lvlJc w:val="left"/>
      <w:lvlText w:val="(%1)"/>
      <w:numFmt w:val="lowerRoman"/>
      <w:start w:val="1"/>
    </w:lvl>
    <w:lvl w:ilvl="1">
      <w:lvlJc w:val="left"/>
      <w:lvlText w:val="%2"/>
      <w:numFmt w:val="lowerLetter"/>
      <w:start w:val="1"/>
    </w:lvl>
  </w:abstractNum>
  <w:abstractNum w:abstractNumId="90">
    <w:nsid w:val="555C55B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91">
    <w:nsid w:val="3FA62ACA"/>
    <w:multiLevelType w:val="hybridMultilevel"/>
    <w:lvl w:ilvl="0">
      <w:lvlJc w:val="left"/>
      <w:lvlText w:val="(%1)"/>
      <w:numFmt w:val="lowerLetter"/>
      <w:start w:val="24"/>
    </w:lvl>
    <w:lvl w:ilvl="1">
      <w:lvlJc w:val="left"/>
      <w:lvlText w:val="(%2)"/>
      <w:numFmt w:val="lowerRoman"/>
      <w:start w:val="1"/>
    </w:lvl>
    <w:lvl w:ilvl="2">
      <w:lvlJc w:val="left"/>
      <w:lvlText w:val="(%3)"/>
      <w:numFmt w:val="lowerLetter"/>
      <w:start w:val="2"/>
    </w:lvl>
  </w:abstractNum>
  <w:abstractNum w:abstractNumId="92">
    <w:nsid w:val="14FCE74E"/>
    <w:multiLevelType w:val="hybridMultilevel"/>
    <w:lvl w:ilvl="0">
      <w:lvlJc w:val="left"/>
      <w:lvlText w:val="(%1)"/>
      <w:numFmt w:val="lowerRoman"/>
      <w:start w:val="1"/>
    </w:lvl>
  </w:abstractNum>
  <w:abstractNum w:abstractNumId="93">
    <w:nsid w:val="6A3DD3E8"/>
    <w:multiLevelType w:val="hybridMultilevel"/>
    <w:lvl w:ilvl="0">
      <w:lvlJc w:val="left"/>
      <w:lvlText w:val="%1"/>
      <w:numFmt w:val="lowerRoman"/>
      <w:start w:val="1"/>
    </w:lvl>
    <w:lvl w:ilvl="1">
      <w:lvlJc w:val="left"/>
      <w:lvlText w:val="(%2)"/>
      <w:numFmt w:val="upperLetter"/>
      <w:start w:val="1"/>
    </w:lvl>
  </w:abstractNum>
  <w:abstractNum w:abstractNumId="94">
    <w:nsid w:val="71C91298"/>
    <w:multiLevelType w:val="hybridMultilevel"/>
    <w:lvl w:ilvl="0">
      <w:lvlJc w:val="left"/>
      <w:lvlText w:val="(%1)"/>
      <w:numFmt w:val="lowerRoman"/>
      <w:start w:val="2"/>
    </w:lvl>
    <w:lvl w:ilvl="1">
      <w:lvlJc w:val="left"/>
      <w:lvlText w:val="%2"/>
      <w:numFmt w:val="upperLetter"/>
      <w:start w:val="1"/>
    </w:lvl>
  </w:abstractNum>
  <w:abstractNum w:abstractNumId="95">
    <w:nsid w:val="9DAF632"/>
    <w:multiLevelType w:val="hybridMultilevel"/>
    <w:lvl w:ilvl="0">
      <w:lvlJc w:val="left"/>
      <w:lvlText w:val="(%1)"/>
      <w:numFmt w:val="lowerRoman"/>
      <w:start w:val="4"/>
    </w:lvl>
    <w:lvl w:ilvl="1">
      <w:lvlJc w:val="left"/>
      <w:lvlText w:val="%2."/>
      <w:numFmt w:val="decimal"/>
      <w:start w:val="8"/>
    </w:lvl>
  </w:abstractNum>
  <w:abstractNum w:abstractNumId="96">
    <w:nsid w:val="53299938"/>
    <w:multiLevelType w:val="hybridMultilevel"/>
    <w:lvl w:ilvl="0">
      <w:lvlJc w:val="left"/>
      <w:lvlText w:val="(%1)"/>
      <w:numFmt w:val="lowerLetter"/>
      <w:start w:val="1"/>
    </w:lvl>
  </w:abstractNum>
  <w:abstractNum w:abstractNumId="97">
    <w:nsid w:val="1FBFE8E0"/>
    <w:multiLevelType w:val="hybridMultilevel"/>
    <w:lvl w:ilvl="0">
      <w:lvlJc w:val="left"/>
      <w:lvlText w:val="(%1)"/>
      <w:numFmt w:val="lowerLetter"/>
      <w:start w:val="3"/>
    </w:lvl>
  </w:abstractNum>
  <w:abstractNum w:abstractNumId="98">
    <w:nsid w:val="5092CA79"/>
    <w:multiLevelType w:val="hybridMultilevel"/>
    <w:lvl w:ilvl="0">
      <w:lvlJc w:val="left"/>
      <w:lvlText w:val="(%1)"/>
      <w:numFmt w:val="lowerRoman"/>
      <w:start w:val="2"/>
    </w:lvl>
  </w:abstractNum>
  <w:abstractNum w:abstractNumId="99">
    <w:nsid w:val="1D545C4D"/>
    <w:multiLevelType w:val="hybridMultilevel"/>
    <w:lvl w:ilvl="0">
      <w:lvlJc w:val="left"/>
      <w:lvlText w:val="(%1)"/>
      <w:numFmt w:val="lowerLetter"/>
      <w:start w:val="4"/>
    </w:lvl>
  </w:abstractNum>
  <w:abstractNum w:abstractNumId="100">
    <w:nsid w:val="59ADEA3D"/>
    <w:multiLevelType w:val="hybridMultilevel"/>
    <w:lvl w:ilvl="0">
      <w:lvlJc w:val="left"/>
      <w:lvlText w:val="(%1)"/>
      <w:numFmt w:val="lowerLetter"/>
      <w:start w:val="5"/>
    </w:lvl>
  </w:abstractNum>
  <w:abstractNum w:abstractNumId="101">
    <w:nsid w:val="288F1A34"/>
    <w:multiLevelType w:val="hybridMultilevel"/>
    <w:lvl w:ilvl="0">
      <w:lvlJc w:val="left"/>
      <w:lvlText w:val="(%1)"/>
      <w:numFmt w:val="lowerLetter"/>
      <w:start w:val="1"/>
    </w:lvl>
  </w:abstractNum>
  <w:abstractNum w:abstractNumId="102">
    <w:nsid w:val="2A155DBC"/>
    <w:multiLevelType w:val="hybridMultilevel"/>
    <w:lvl w:ilvl="0">
      <w:lvlJc w:val="left"/>
      <w:lvlText w:val="(%1)"/>
      <w:numFmt w:val="lowerLetter"/>
      <w:start w:val="2"/>
    </w:lvl>
  </w:abstractNum>
  <w:abstractNum w:abstractNumId="103">
    <w:nsid w:val="1D9F6E5F"/>
    <w:multiLevelType w:val="hybridMultilevel"/>
    <w:lvl w:ilvl="0">
      <w:lvlJc w:val="left"/>
      <w:lvlText w:val="(%1)"/>
      <w:numFmt w:val="lowerLetter"/>
      <w:start w:val="3"/>
    </w:lvl>
  </w:abstractNum>
  <w:abstractNum w:abstractNumId="104">
    <w:nsid w:val="97E1B4E"/>
    <w:multiLevelType w:val="hybridMultilevel"/>
    <w:lvl w:ilvl="0">
      <w:lvlJc w:val="left"/>
      <w:lvlText w:val="(%1)"/>
      <w:numFmt w:val="lowerLetter"/>
      <w:start w:val="1"/>
    </w:lvl>
  </w:abstractNum>
  <w:abstractNum w:abstractNumId="105">
    <w:nsid w:val="51088277"/>
    <w:multiLevelType w:val="hybridMultilevel"/>
    <w:lvl w:ilvl="0">
      <w:lvlJc w:val="left"/>
      <w:lvlText w:val="(%1)"/>
      <w:numFmt w:val="lowerLetter"/>
      <w:start w:val="1"/>
    </w:lvl>
    <w:lvl w:ilvl="1">
      <w:lvlJc w:val="left"/>
      <w:lvlText w:val="(%2)"/>
      <w:numFmt w:val="upperLetter"/>
      <w:start w:val="1"/>
    </w:lvl>
  </w:abstractNum>
  <w:abstractNum w:abstractNumId="106">
    <w:nsid w:val="1CA0C5FA"/>
    <w:multiLevelType w:val="hybridMultilevel"/>
    <w:lvl w:ilvl="0">
      <w:lvlJc w:val="left"/>
      <w:lvlText w:val="%1"/>
      <w:numFmt w:val="decimal"/>
      <w:start w:val="1"/>
    </w:lvl>
    <w:lvl w:ilvl="1">
      <w:lvlJc w:val="left"/>
      <w:lvlText w:val="(%2)"/>
      <w:numFmt w:val="lowerLetter"/>
      <w:start w:val="3"/>
    </w:lvl>
  </w:abstractNum>
  <w:abstractNum w:abstractNumId="107">
    <w:nsid w:val="53584BCB"/>
    <w:multiLevelType w:val="hybridMultilevel"/>
    <w:lvl w:ilvl="0">
      <w:lvlJc w:val="left"/>
      <w:lvlText w:val="(%1)"/>
      <w:numFmt w:val="decimal"/>
      <w:start w:val="2"/>
    </w:lvl>
    <w:lvl w:ilvl="1">
      <w:lvlJc w:val="left"/>
      <w:lvlText w:val="(%2)"/>
      <w:numFmt w:val="lowerLetter"/>
      <w:start w:val="5"/>
    </w:lvl>
  </w:abstractNum>
  <w:abstractNum w:abstractNumId="108">
    <w:nsid w:val="415E286C"/>
    <w:multiLevelType w:val="hybridMultilevel"/>
    <w:lvl w:ilvl="0">
      <w:lvlJc w:val="left"/>
      <w:lvlText w:val="%1"/>
      <w:numFmt w:val="upperLetter"/>
      <w:start w:val="1"/>
    </w:lvl>
    <w:lvl w:ilvl="1">
      <w:lvlJc w:val="left"/>
      <w:lvlText w:val="(%2)"/>
      <w:numFmt w:val="lowerLetter"/>
      <w:start w:val="1"/>
    </w:lvl>
  </w:abstractNum>
  <w:abstractNum w:abstractNumId="109">
    <w:nsid w:val="7C58FD05"/>
    <w:multiLevelType w:val="hybridMultilevel"/>
    <w:lvl w:ilvl="0">
      <w:lvlJc w:val="left"/>
      <w:lvlText w:val="(%1)"/>
      <w:numFmt w:val="upperLetter"/>
      <w:start w:val="1"/>
    </w:lvl>
    <w:lvl w:ilvl="1">
      <w:lvlJc w:val="left"/>
      <w:lvlText w:val="%2"/>
      <w:numFmt w:val="lowerLetter"/>
      <w:start w:val="1"/>
    </w:lvl>
  </w:abstractNum>
  <w:abstractNum w:abstractNumId="110">
    <w:nsid w:val="23D86AAC"/>
    <w:multiLevelType w:val="hybridMultilevel"/>
    <w:lvl w:ilvl="0">
      <w:lvlJc w:val="left"/>
      <w:lvlText w:val="%1."/>
      <w:numFmt w:val="lowerRoman"/>
      <w:start w:val="2"/>
    </w:lvl>
    <w:lvl w:ilvl="1">
      <w:lvlJc w:val="left"/>
      <w:lvlText w:val="%2."/>
      <w:numFmt w:val="upperLetter"/>
      <w:start w:val="1"/>
    </w:lvl>
  </w:abstractNum>
  <w:abstractNum w:abstractNumId="111">
    <w:nsid w:val="45E6D486"/>
    <w:multiLevelType w:val="hybridMultilevel"/>
    <w:lvl w:ilvl="0">
      <w:lvlJc w:val="left"/>
      <w:lvlText w:val="%1."/>
      <w:numFmt w:val="lowerRoman"/>
      <w:start w:val="2"/>
    </w:lvl>
    <w:lvl w:ilvl="1">
      <w:lvlJc w:val="left"/>
      <w:lvlText w:val="%2."/>
      <w:numFmt w:val="upperLetter"/>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2019-12-09T10:19:00Z</dcterms:created>
  <dcterms:modified xsi:type="dcterms:W3CDTF">2019-12-09T10:19:00Z</dcterms:modified>
</cp:coreProperties>
</file>