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94106L109</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80" w:hanging="58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ind w:left="1080" w:hanging="58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000" w:right="8120" w:hanging="614"/>
        <w:spacing w:after="0" w:line="339"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Names of Reporting Persons </w:t>
      </w:r>
      <w:r>
        <w:rPr>
          <w:rFonts w:ascii="Arial" w:cs="Arial" w:eastAsia="Arial" w:hAnsi="Arial"/>
          <w:sz w:val="15"/>
          <w:szCs w:val="15"/>
          <w:color w:val="auto"/>
        </w:rPr>
        <w:t>Cascade Investment, L.L.C.</w:t>
      </w:r>
    </w:p>
    <w:p>
      <w:pPr>
        <w:spacing w:after="0" w:line="344" w:lineRule="exact"/>
        <w:rPr>
          <w:rFonts w:ascii="Arial" w:cs="Arial" w:eastAsia="Arial" w:hAnsi="Arial"/>
          <w:sz w:val="16"/>
          <w:szCs w:val="16"/>
          <w:color w:val="auto"/>
        </w:rPr>
      </w:pPr>
    </w:p>
    <w:p>
      <w:pPr>
        <w:ind w:left="1000" w:hanging="614"/>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3"/>
        <w:spacing w:after="0"/>
        <w:tabs>
          <w:tab w:leader="none" w:pos="2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3"/>
        <w:spacing w:after="0"/>
        <w:tabs>
          <w:tab w:leader="none" w:pos="2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1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560" w:hanging="614"/>
        <w:spacing w:after="0" w:line="275"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497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497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-942975</wp:posOffset>
            </wp:positionV>
            <wp:extent cx="57778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-1156970</wp:posOffset>
            </wp:positionV>
            <wp:extent cx="57778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-1774190</wp:posOffset>
            </wp:positionV>
            <wp:extent cx="64979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16,600,672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54349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54349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16,600,672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54349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54349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8520"/>
          </w:cols>
          <w:pgMar w:left="320" w:top="395" w:right="379" w:bottom="1440" w:gutter="0" w:footer="0" w:header="0"/>
          <w:type w:val="continuous"/>
        </w:sectPr>
      </w:pPr>
    </w:p>
    <w:p>
      <w:pPr>
        <w:spacing w:after="0" w:line="227" w:lineRule="exact"/>
        <w:rPr>
          <w:sz w:val="20"/>
          <w:szCs w:val="20"/>
          <w:color w:val="auto"/>
        </w:rPr>
      </w:pPr>
    </w:p>
    <w:p>
      <w:pPr>
        <w:ind w:left="1000" w:right="5400" w:hanging="614"/>
        <w:spacing w:after="0" w:line="291"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 xml:space="preserve">16,600,672 </w:t>
      </w:r>
      <w:r>
        <w:rPr>
          <w:rFonts w:ascii="Arial" w:cs="Arial" w:eastAsia="Arial" w:hAnsi="Arial"/>
          <w:sz w:val="23"/>
          <w:szCs w:val="23"/>
          <w:color w:val="auto"/>
          <w:vertAlign w:val="superscript"/>
        </w:rPr>
        <w:t>(1)</w:t>
      </w:r>
    </w:p>
    <w:p>
      <w:pPr>
        <w:spacing w:after="0" w:line="292" w:lineRule="exact"/>
        <w:rPr>
          <w:rFonts w:ascii="Arial" w:cs="Arial" w:eastAsia="Arial" w:hAnsi="Arial"/>
          <w:sz w:val="18"/>
          <w:szCs w:val="18"/>
          <w:color w:val="auto"/>
        </w:rPr>
      </w:pPr>
    </w:p>
    <w:p>
      <w:pPr>
        <w:ind w:left="1000" w:hanging="614"/>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14"/>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 xml:space="preserve">3.9% </w:t>
      </w:r>
      <w:r>
        <w:rPr>
          <w:rFonts w:ascii="Arial" w:cs="Arial" w:eastAsia="Arial" w:hAnsi="Arial"/>
          <w:sz w:val="23"/>
          <w:szCs w:val="23"/>
          <w:color w:val="auto"/>
          <w:vertAlign w:val="superscript"/>
        </w:rPr>
        <w:t>(2)</w:t>
      </w:r>
    </w:p>
    <w:p>
      <w:pPr>
        <w:spacing w:after="0" w:line="369" w:lineRule="exact"/>
        <w:rPr>
          <w:rFonts w:ascii="Arial" w:cs="Arial" w:eastAsia="Arial" w:hAnsi="Arial"/>
          <w:sz w:val="18"/>
          <w:szCs w:val="18"/>
          <w:color w:val="auto"/>
        </w:rPr>
      </w:pPr>
    </w:p>
    <w:p>
      <w:pPr>
        <w:ind w:left="1000" w:hanging="614"/>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60" w:hanging="252"/>
        <w:spacing w:after="0" w:line="227" w:lineRule="auto"/>
        <w:tabs>
          <w:tab w:leader="none" w:pos="24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All shares of the common stock (the “Common Stock”) of Waste Management, Inc. (the “Issuer”) held by Cascade Investment, L.L.C. (“Cascade”) may be deemed to be beneficially owned by William H. Gates III as the sole member of Cascade.</w:t>
      </w:r>
    </w:p>
    <w:p>
      <w:pPr>
        <w:spacing w:after="0" w:line="202" w:lineRule="exact"/>
        <w:rPr>
          <w:rFonts w:ascii="Arial" w:cs="Arial" w:eastAsia="Arial" w:hAnsi="Arial"/>
          <w:sz w:val="23"/>
          <w:szCs w:val="23"/>
          <w:color w:val="auto"/>
          <w:vertAlign w:val="superscript"/>
        </w:rPr>
      </w:pPr>
    </w:p>
    <w:p>
      <w:pPr>
        <w:ind w:left="260" w:right="660" w:hanging="252"/>
        <w:spacing w:after="0" w:line="227" w:lineRule="auto"/>
        <w:tabs>
          <w:tab w:leader="none" w:pos="24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Based on 422,606,194 shares of the Issuer’s Common Stock outstanding as of October 28, 2020, as reported in the Issuer’s Form 10-Q filed on 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-976630</wp:posOffset>
            </wp:positionV>
            <wp:extent cx="6497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-1525270</wp:posOffset>
            </wp:positionV>
            <wp:extent cx="64979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-2073910</wp:posOffset>
            </wp:positionV>
            <wp:extent cx="64979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-2485390</wp:posOffset>
            </wp:positionV>
            <wp:extent cx="6497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1800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000" w:hanging="61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Bill &amp; Melinda Gates Foundation Trust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hanging="614"/>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3"/>
        <w:spacing w:after="0"/>
        <w:tabs>
          <w:tab w:leader="none" w:pos="2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3"/>
        <w:spacing w:after="0"/>
        <w:tabs>
          <w:tab w:leader="none" w:pos="2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1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420" w:hanging="614"/>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497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4979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-942975</wp:posOffset>
            </wp:positionV>
            <wp:extent cx="57778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-1156970</wp:posOffset>
            </wp:positionV>
            <wp:extent cx="57778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-1774190</wp:posOffset>
            </wp:positionV>
            <wp:extent cx="6497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1060"/>
          </w:cols>
          <w:pgMar w:left="320" w:top="395" w:right="51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54349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54349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54349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54349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8380"/>
          </w:cols>
          <w:pgMar w:left="320" w:top="395" w:right="519" w:bottom="1440" w:gutter="0" w:footer="0" w:header="0"/>
          <w:type w:val="continuous"/>
        </w:sectPr>
      </w:pPr>
    </w:p>
    <w:p>
      <w:pPr>
        <w:spacing w:after="0" w:line="169" w:lineRule="exact"/>
        <w:rPr>
          <w:sz w:val="20"/>
          <w:szCs w:val="20"/>
          <w:color w:val="auto"/>
        </w:rPr>
      </w:pPr>
    </w:p>
    <w:p>
      <w:pPr>
        <w:ind w:left="1000" w:right="5260" w:hanging="614"/>
        <w:spacing w:after="0" w:line="291"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 xml:space="preserve">18,633,672 </w:t>
      </w:r>
      <w:r>
        <w:rPr>
          <w:rFonts w:ascii="Arial" w:cs="Arial" w:eastAsia="Arial" w:hAnsi="Arial"/>
          <w:sz w:val="23"/>
          <w:szCs w:val="23"/>
          <w:color w:val="auto"/>
          <w:vertAlign w:val="superscript"/>
        </w:rPr>
        <w:t>(1)</w:t>
      </w:r>
    </w:p>
    <w:p>
      <w:pPr>
        <w:spacing w:after="0" w:line="292" w:lineRule="exact"/>
        <w:rPr>
          <w:rFonts w:ascii="Arial" w:cs="Arial" w:eastAsia="Arial" w:hAnsi="Arial"/>
          <w:sz w:val="18"/>
          <w:szCs w:val="18"/>
          <w:color w:val="auto"/>
        </w:rPr>
      </w:pPr>
    </w:p>
    <w:p>
      <w:pPr>
        <w:ind w:left="1000" w:hanging="614"/>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14"/>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(2)</w:t>
      </w:r>
    </w:p>
    <w:p>
      <w:pPr>
        <w:spacing w:after="0" w:line="369" w:lineRule="exact"/>
        <w:rPr>
          <w:rFonts w:ascii="Arial" w:cs="Arial" w:eastAsia="Arial" w:hAnsi="Arial"/>
          <w:sz w:val="18"/>
          <w:szCs w:val="18"/>
          <w:color w:val="auto"/>
        </w:rPr>
      </w:pPr>
    </w:p>
    <w:p>
      <w:pPr>
        <w:ind w:left="1000" w:hanging="614"/>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60" w:hanging="252"/>
        <w:spacing w:after="0" w:line="234" w:lineRule="auto"/>
        <w:tabs>
          <w:tab w:leader="none" w:pos="24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For purposes of Rule 13d-3 under the Securities Exchange Act of 1934, as amended, all shares of the common stock (the “Common Stock”) of Waste Management, Inc. (the “Issuer”) beneficially owned by Bill &amp; Melinda Gates Foundation Trust (the “Trust”) may be deemed to be beneficially owned by William H. Gates III and Melinda French Gates, as Co-Trustees of the Trust.</w:t>
      </w:r>
    </w:p>
    <w:p>
      <w:pPr>
        <w:spacing w:after="0" w:line="202" w:lineRule="exact"/>
        <w:rPr>
          <w:rFonts w:ascii="Arial" w:cs="Arial" w:eastAsia="Arial" w:hAnsi="Arial"/>
          <w:sz w:val="23"/>
          <w:szCs w:val="23"/>
          <w:color w:val="auto"/>
          <w:vertAlign w:val="superscript"/>
        </w:rPr>
      </w:pPr>
    </w:p>
    <w:p>
      <w:pPr>
        <w:ind w:left="260" w:right="520" w:hanging="252"/>
        <w:spacing w:after="0" w:line="227" w:lineRule="auto"/>
        <w:tabs>
          <w:tab w:leader="none" w:pos="24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Based on 422,606,194 shares of the Issuer’s Common Stock outstanding as of October 28, 2020, as reported in the Issuer’s Form 10-Q filed on 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-1113790</wp:posOffset>
            </wp:positionV>
            <wp:extent cx="64979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-1662430</wp:posOffset>
            </wp:positionV>
            <wp:extent cx="64979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-2211070</wp:posOffset>
            </wp:positionV>
            <wp:extent cx="6497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-2622550</wp:posOffset>
            </wp:positionV>
            <wp:extent cx="64979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-899160</wp:posOffset>
            </wp:positionV>
            <wp:extent cx="1800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320" w:top="395" w:right="5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000" w:right="8120" w:hanging="614"/>
        <w:spacing w:after="0" w:line="305"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Names of Reporting Persons </w:t>
      </w:r>
      <w:r>
        <w:rPr>
          <w:rFonts w:ascii="Arial" w:cs="Arial" w:eastAsia="Arial" w:hAnsi="Arial"/>
          <w:sz w:val="16"/>
          <w:szCs w:val="16"/>
          <w:color w:val="auto"/>
        </w:rPr>
        <w:t>William H. Gates III</w:t>
      </w:r>
    </w:p>
    <w:p>
      <w:pPr>
        <w:spacing w:after="0" w:line="367" w:lineRule="exact"/>
        <w:rPr>
          <w:rFonts w:ascii="Arial" w:cs="Arial" w:eastAsia="Arial" w:hAnsi="Arial"/>
          <w:sz w:val="17"/>
          <w:szCs w:val="17"/>
          <w:color w:val="auto"/>
        </w:rPr>
      </w:pPr>
    </w:p>
    <w:p>
      <w:pPr>
        <w:ind w:left="1000" w:hanging="614"/>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3"/>
        <w:spacing w:after="0"/>
        <w:tabs>
          <w:tab w:leader="none" w:pos="2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3"/>
        <w:spacing w:after="0"/>
        <w:tabs>
          <w:tab w:leader="none" w:pos="2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1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560" w:hanging="614"/>
        <w:spacing w:after="0" w:line="339"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Citizenship or Place of Organization </w:t>
      </w:r>
      <w:r>
        <w:rPr>
          <w:rFonts w:ascii="Arial" w:cs="Arial" w:eastAsia="Arial" w:hAnsi="Arial"/>
          <w:sz w:val="15"/>
          <w:szCs w:val="15"/>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497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-560070</wp:posOffset>
            </wp:positionV>
            <wp:extent cx="64979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-971550</wp:posOffset>
            </wp:positionV>
            <wp:extent cx="57778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-1186180</wp:posOffset>
            </wp:positionV>
            <wp:extent cx="57778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-1803400</wp:posOffset>
            </wp:positionV>
            <wp:extent cx="64979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16,600,672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54349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54349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16,600,672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54349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54349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8520"/>
          </w:cols>
          <w:pgMar w:left="320" w:top="395" w:right="379" w:bottom="1440" w:gutter="0" w:footer="0" w:header="0"/>
          <w:type w:val="continuous"/>
        </w:sectPr>
      </w:pPr>
    </w:p>
    <w:p>
      <w:pPr>
        <w:spacing w:after="0" w:line="169" w:lineRule="exact"/>
        <w:rPr>
          <w:sz w:val="20"/>
          <w:szCs w:val="20"/>
          <w:color w:val="auto"/>
        </w:rPr>
      </w:pPr>
    </w:p>
    <w:p>
      <w:pPr>
        <w:ind w:left="1000" w:right="5400" w:hanging="614"/>
        <w:spacing w:after="0" w:line="291"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 xml:space="preserve">35,234,344 </w:t>
      </w:r>
      <w:r>
        <w:rPr>
          <w:rFonts w:ascii="Arial" w:cs="Arial" w:eastAsia="Arial" w:hAnsi="Arial"/>
          <w:sz w:val="23"/>
          <w:szCs w:val="23"/>
          <w:color w:val="auto"/>
          <w:vertAlign w:val="superscript"/>
        </w:rPr>
        <w:t>(1)(2)</w:t>
      </w:r>
    </w:p>
    <w:p>
      <w:pPr>
        <w:spacing w:after="0" w:line="292" w:lineRule="exact"/>
        <w:rPr>
          <w:rFonts w:ascii="Arial" w:cs="Arial" w:eastAsia="Arial" w:hAnsi="Arial"/>
          <w:sz w:val="18"/>
          <w:szCs w:val="18"/>
          <w:color w:val="auto"/>
        </w:rPr>
      </w:pPr>
    </w:p>
    <w:p>
      <w:pPr>
        <w:ind w:left="1000" w:hanging="614"/>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14"/>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 xml:space="preserve">8.3% </w:t>
      </w:r>
      <w:r>
        <w:rPr>
          <w:rFonts w:ascii="Arial" w:cs="Arial" w:eastAsia="Arial" w:hAnsi="Arial"/>
          <w:sz w:val="23"/>
          <w:szCs w:val="23"/>
          <w:color w:val="auto"/>
          <w:vertAlign w:val="superscript"/>
        </w:rPr>
        <w:t>(3)</w:t>
      </w:r>
    </w:p>
    <w:p>
      <w:pPr>
        <w:spacing w:after="0" w:line="369" w:lineRule="exact"/>
        <w:rPr>
          <w:rFonts w:ascii="Arial" w:cs="Arial" w:eastAsia="Arial" w:hAnsi="Arial"/>
          <w:sz w:val="18"/>
          <w:szCs w:val="18"/>
          <w:color w:val="auto"/>
        </w:rPr>
      </w:pPr>
    </w:p>
    <w:p>
      <w:pPr>
        <w:ind w:left="1000" w:hanging="614"/>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60" w:hanging="252"/>
        <w:spacing w:after="0" w:line="227" w:lineRule="auto"/>
        <w:tabs>
          <w:tab w:leader="none" w:pos="24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All shares of the common stock (the “Common Stock”) of Waste Management, Inc. (the “Issuer”) held by Cascade Investment, L.L.C. (“Cascade”) may be deemed to be beneficially owned by William H. Gates III as the sole member of Cascade.</w:t>
      </w:r>
    </w:p>
    <w:p>
      <w:pPr>
        <w:spacing w:after="0" w:line="202" w:lineRule="exact"/>
        <w:rPr>
          <w:rFonts w:ascii="Arial" w:cs="Arial" w:eastAsia="Arial" w:hAnsi="Arial"/>
          <w:sz w:val="23"/>
          <w:szCs w:val="23"/>
          <w:color w:val="auto"/>
          <w:vertAlign w:val="superscript"/>
        </w:rPr>
      </w:pPr>
    </w:p>
    <w:p>
      <w:pPr>
        <w:ind w:left="260" w:right="80" w:hanging="252"/>
        <w:spacing w:after="0" w:line="234" w:lineRule="auto"/>
        <w:tabs>
          <w:tab w:leader="none" w:pos="24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Bill &amp; Melinda Gates Foundation Trust (the “Trust”) beneficially owns 18,633,672 shares of Issuer Common Stock. For purposes of Rule 13d-3 under the Securities Exchange Act of 1934, as amended, all Common Stock of the Issuer beneficially owned by the Trust may be deemed to be beneficially owned by William H. Gates III and Melinda French Gates, as Co-Trustees of the Trust.</w:t>
      </w:r>
    </w:p>
    <w:p>
      <w:pPr>
        <w:spacing w:after="0" w:line="202" w:lineRule="exact"/>
        <w:rPr>
          <w:rFonts w:ascii="Arial" w:cs="Arial" w:eastAsia="Arial" w:hAnsi="Arial"/>
          <w:sz w:val="23"/>
          <w:szCs w:val="23"/>
          <w:color w:val="auto"/>
          <w:vertAlign w:val="superscript"/>
        </w:rPr>
      </w:pPr>
    </w:p>
    <w:p>
      <w:pPr>
        <w:ind w:left="260" w:right="660" w:hanging="252"/>
        <w:spacing w:after="0" w:line="227" w:lineRule="auto"/>
        <w:tabs>
          <w:tab w:leader="none" w:pos="2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Based on 422,606,194 shares of the Issuer’s Common Stock outstanding as of October 28, 2020, as reported in the Issuer’s Form 10-Q filed on 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-1525270</wp:posOffset>
            </wp:positionV>
            <wp:extent cx="6497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-2073910</wp:posOffset>
            </wp:positionV>
            <wp:extent cx="64979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-2622550</wp:posOffset>
            </wp:positionV>
            <wp:extent cx="64979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-3034030</wp:posOffset>
            </wp:positionV>
            <wp:extent cx="64979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1800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000" w:right="8140" w:hanging="614"/>
        <w:spacing w:after="0" w:line="339"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Names of Reporting Persons </w:t>
      </w:r>
      <w:r>
        <w:rPr>
          <w:rFonts w:ascii="Arial" w:cs="Arial" w:eastAsia="Arial" w:hAnsi="Arial"/>
          <w:sz w:val="15"/>
          <w:szCs w:val="15"/>
          <w:color w:val="auto"/>
        </w:rPr>
        <w:t>Melinda French Gates</w:t>
      </w:r>
    </w:p>
    <w:p>
      <w:pPr>
        <w:spacing w:after="0" w:line="344" w:lineRule="exact"/>
        <w:rPr>
          <w:rFonts w:ascii="Arial" w:cs="Arial" w:eastAsia="Arial" w:hAnsi="Arial"/>
          <w:sz w:val="16"/>
          <w:szCs w:val="16"/>
          <w:color w:val="auto"/>
        </w:rPr>
      </w:pPr>
    </w:p>
    <w:p>
      <w:pPr>
        <w:ind w:left="1000" w:hanging="614"/>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3"/>
        <w:spacing w:after="0"/>
        <w:tabs>
          <w:tab w:leader="none" w:pos="2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3"/>
        <w:spacing w:after="0"/>
        <w:tabs>
          <w:tab w:leader="none" w:pos="2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1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580" w:hanging="614"/>
        <w:spacing w:after="0" w:line="339"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Citizenship or Place of Organization </w:t>
      </w:r>
      <w:r>
        <w:rPr>
          <w:rFonts w:ascii="Arial" w:cs="Arial" w:eastAsia="Arial" w:hAnsi="Arial"/>
          <w:sz w:val="15"/>
          <w:szCs w:val="15"/>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4979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-560070</wp:posOffset>
            </wp:positionV>
            <wp:extent cx="64979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-971550</wp:posOffset>
            </wp:positionV>
            <wp:extent cx="57778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-1186180</wp:posOffset>
            </wp:positionV>
            <wp:extent cx="57778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-1803400</wp:posOffset>
            </wp:positionV>
            <wp:extent cx="64979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54349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54349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54349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54349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8540"/>
          </w:cols>
          <w:pgMar w:left="320" w:top="395" w:right="359" w:bottom="1440" w:gutter="0" w:footer="0" w:header="0"/>
          <w:type w:val="continuous"/>
        </w:sectPr>
      </w:pPr>
    </w:p>
    <w:p>
      <w:pPr>
        <w:spacing w:after="0" w:line="169" w:lineRule="exact"/>
        <w:rPr>
          <w:sz w:val="20"/>
          <w:szCs w:val="20"/>
          <w:color w:val="auto"/>
        </w:rPr>
      </w:pPr>
    </w:p>
    <w:p>
      <w:pPr>
        <w:ind w:left="1000" w:right="5420" w:hanging="614"/>
        <w:spacing w:after="0" w:line="291"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 xml:space="preserve">18,633,672 </w:t>
      </w:r>
      <w:r>
        <w:rPr>
          <w:rFonts w:ascii="Arial" w:cs="Arial" w:eastAsia="Arial" w:hAnsi="Arial"/>
          <w:sz w:val="23"/>
          <w:szCs w:val="23"/>
          <w:color w:val="auto"/>
          <w:vertAlign w:val="superscript"/>
        </w:rPr>
        <w:t>(1)</w:t>
      </w:r>
    </w:p>
    <w:p>
      <w:pPr>
        <w:spacing w:after="0" w:line="292" w:lineRule="exact"/>
        <w:rPr>
          <w:rFonts w:ascii="Arial" w:cs="Arial" w:eastAsia="Arial" w:hAnsi="Arial"/>
          <w:sz w:val="18"/>
          <w:szCs w:val="18"/>
          <w:color w:val="auto"/>
        </w:rPr>
      </w:pPr>
    </w:p>
    <w:p>
      <w:pPr>
        <w:ind w:left="1000" w:hanging="614"/>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14"/>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(2)</w:t>
      </w:r>
    </w:p>
    <w:p>
      <w:pPr>
        <w:spacing w:after="0" w:line="369" w:lineRule="exact"/>
        <w:rPr>
          <w:rFonts w:ascii="Arial" w:cs="Arial" w:eastAsia="Arial" w:hAnsi="Arial"/>
          <w:sz w:val="18"/>
          <w:szCs w:val="18"/>
          <w:color w:val="auto"/>
        </w:rPr>
      </w:pPr>
    </w:p>
    <w:p>
      <w:pPr>
        <w:ind w:left="1000" w:hanging="614"/>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60" w:hanging="252"/>
        <w:spacing w:after="0" w:line="238" w:lineRule="auto"/>
        <w:tabs>
          <w:tab w:leader="none" w:pos="24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Bill &amp; Melinda Gates Foundation Trust (the “Trust”) beneficially owns 18,633,672 shares of the common stock (“Common Stock”) of Waste Management, Inc. (the “Issuer”). For purposes of Rule 13d-3 under the Securities Exchange Act of 1934, as amended, all of the Issuer’s Common Stock beneficially owned by the Trust may be deemed to be beneficially owned by William H. Gates III and Melinda French Gates, as Co-Trustees of the Trust.</w:t>
      </w:r>
    </w:p>
    <w:p>
      <w:pPr>
        <w:spacing w:after="0" w:line="201" w:lineRule="exact"/>
        <w:rPr>
          <w:rFonts w:ascii="Arial" w:cs="Arial" w:eastAsia="Arial" w:hAnsi="Arial"/>
          <w:sz w:val="23"/>
          <w:szCs w:val="23"/>
          <w:color w:val="auto"/>
          <w:vertAlign w:val="superscript"/>
        </w:rPr>
      </w:pPr>
    </w:p>
    <w:p>
      <w:pPr>
        <w:ind w:left="260" w:right="680" w:hanging="252"/>
        <w:spacing w:after="0" w:line="227" w:lineRule="auto"/>
        <w:tabs>
          <w:tab w:leader="none" w:pos="24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422,606,194 shares of the Issuer’s Common Stock outstanding as of October 28, 2020, as reported in the Issuer’s Form 10-Q filed on 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-1250950</wp:posOffset>
            </wp:positionV>
            <wp:extent cx="64979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-1799590</wp:posOffset>
            </wp:positionV>
            <wp:extent cx="64979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-2348230</wp:posOffset>
            </wp:positionV>
            <wp:extent cx="64979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-2759710</wp:posOffset>
            </wp:positionV>
            <wp:extent cx="64979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1800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117" w:lineRule="exact"/>
        <w:rPr>
          <w:sz w:val="20"/>
          <w:szCs w:val="20"/>
          <w:color w:val="auto"/>
        </w:rPr>
      </w:pPr>
    </w:p>
    <w:p>
      <w:pPr>
        <w:ind w:left="1440" w:hanging="487"/>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Name of Issuer</w:t>
      </w:r>
    </w:p>
    <w:p>
      <w:pPr>
        <w:spacing w:after="0" w:line="27"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Waste Management, Inc. (the “Issuer”)</w:t>
      </w:r>
    </w:p>
    <w:p>
      <w:pPr>
        <w:spacing w:after="0" w:line="112" w:lineRule="exact"/>
        <w:rPr>
          <w:rFonts w:ascii="Arial" w:cs="Arial" w:eastAsia="Arial" w:hAnsi="Arial"/>
          <w:sz w:val="18"/>
          <w:szCs w:val="18"/>
          <w:color w:val="auto"/>
        </w:rPr>
      </w:pPr>
    </w:p>
    <w:p>
      <w:pPr>
        <w:ind w:left="1440" w:right="6060" w:hanging="487"/>
        <w:spacing w:after="0" w:line="347" w:lineRule="auto"/>
        <w:tabs>
          <w:tab w:leader="none" w:pos="14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1001 Fannin Street,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-17145</wp:posOffset>
            </wp:positionV>
            <wp:extent cx="6223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-368300</wp:posOffset>
            </wp:positionV>
            <wp:extent cx="62236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17" w:lineRule="exact"/>
        <w:rPr>
          <w:sz w:val="20"/>
          <w:szCs w:val="20"/>
          <w:color w:val="auto"/>
        </w:rPr>
      </w:pPr>
    </w:p>
    <w:p>
      <w:pPr>
        <w:ind w:left="1440" w:hanging="487"/>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Name of Person Filing</w:t>
      </w:r>
    </w:p>
    <w:p>
      <w:pPr>
        <w:spacing w:after="0" w:line="27" w:lineRule="exact"/>
        <w:rPr>
          <w:rFonts w:ascii="Arial" w:cs="Arial" w:eastAsia="Arial" w:hAnsi="Arial"/>
          <w:sz w:val="18"/>
          <w:szCs w:val="18"/>
          <w:color w:val="auto"/>
        </w:rPr>
      </w:pPr>
    </w:p>
    <w:p>
      <w:pPr>
        <w:ind w:left="1440"/>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Cascade Investment, L.L.C. (“Cascade”), Bill &amp; Melinda Gates Foundation Trust (the “Trust”), Melinda French Gates and William H. Gates III (together, the “Reporting Persons”) </w:t>
      </w:r>
      <w:r>
        <w:rPr>
          <w:rFonts w:ascii="Arial" w:cs="Arial" w:eastAsia="Arial" w:hAnsi="Arial"/>
          <w:sz w:val="23"/>
          <w:szCs w:val="23"/>
          <w:color w:val="auto"/>
          <w:vertAlign w:val="superscript"/>
        </w:rPr>
        <w:t>(1)</w:t>
      </w:r>
    </w:p>
    <w:p>
      <w:pPr>
        <w:spacing w:after="0" w:line="10" w:lineRule="exact"/>
        <w:rPr>
          <w:rFonts w:ascii="Arial" w:cs="Arial" w:eastAsia="Arial" w:hAnsi="Arial"/>
          <w:sz w:val="18"/>
          <w:szCs w:val="18"/>
          <w:color w:val="auto"/>
        </w:rPr>
      </w:pPr>
    </w:p>
    <w:p>
      <w:pPr>
        <w:ind w:left="1440" w:right="4960" w:hanging="487"/>
        <w:spacing w:after="0" w:line="298" w:lineRule="auto"/>
        <w:tabs>
          <w:tab w:leader="none" w:pos="14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Address of Principal Business Office or, if none, Residence </w:t>
      </w:r>
      <w:r>
        <w:rPr>
          <w:rFonts w:ascii="Arial" w:cs="Arial" w:eastAsia="Arial" w:hAnsi="Arial"/>
          <w:sz w:val="16"/>
          <w:szCs w:val="16"/>
          <w:color w:val="auto"/>
        </w:rPr>
        <w:t>Cascade – 2365 Carillon Point, Kirkland, Washington 98033 The Trust – 2365 Carillon Point, Kirkland, Washington 98033 Mr. Gates – 500 Fifth Avenue North, Seattle, Washington 98109 Mrs. Gates – 500 Fifth Avenue North, Seattle, Washington 98109</w:t>
      </w:r>
    </w:p>
    <w:p>
      <w:pPr>
        <w:spacing w:after="0" w:line="59" w:lineRule="exact"/>
        <w:rPr>
          <w:rFonts w:ascii="Arial" w:cs="Arial" w:eastAsia="Arial" w:hAnsi="Arial"/>
          <w:sz w:val="16"/>
          <w:szCs w:val="16"/>
          <w:color w:val="auto"/>
        </w:rPr>
      </w:pPr>
    </w:p>
    <w:p>
      <w:pPr>
        <w:ind w:left="1440" w:hanging="487"/>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Citizenship</w:t>
      </w:r>
    </w:p>
    <w:p>
      <w:pPr>
        <w:spacing w:after="0" w:line="27" w:lineRule="exact"/>
        <w:rPr>
          <w:rFonts w:ascii="Arial" w:cs="Arial" w:eastAsia="Arial" w:hAnsi="Arial"/>
          <w:sz w:val="18"/>
          <w:szCs w:val="18"/>
          <w:color w:val="auto"/>
        </w:rPr>
      </w:pPr>
    </w:p>
    <w:p>
      <w:pPr>
        <w:ind w:left="1440" w:right="3060"/>
        <w:spacing w:after="0" w:line="281" w:lineRule="auto"/>
        <w:rPr>
          <w:rFonts w:ascii="Arial" w:cs="Arial" w:eastAsia="Arial" w:hAnsi="Arial"/>
          <w:sz w:val="18"/>
          <w:szCs w:val="18"/>
          <w:color w:val="auto"/>
        </w:rPr>
      </w:pPr>
      <w:r>
        <w:rPr>
          <w:rFonts w:ascii="Arial" w:cs="Arial" w:eastAsia="Arial" w:hAnsi="Arial"/>
          <w:sz w:val="16"/>
          <w:szCs w:val="16"/>
          <w:color w:val="auto"/>
        </w:rPr>
        <w:t>Cascade is a limited liability company organized under the laws of the State of Washington. The Trust is a charitable trust organized under the laws of the State of Washington.</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Mr. and Mrs. Gates are citizens of the United States of America.</w:t>
      </w:r>
    </w:p>
    <w:p>
      <w:pPr>
        <w:spacing w:after="0" w:line="112" w:lineRule="exact"/>
        <w:rPr>
          <w:rFonts w:ascii="Arial" w:cs="Arial" w:eastAsia="Arial" w:hAnsi="Arial"/>
          <w:sz w:val="18"/>
          <w:szCs w:val="18"/>
          <w:color w:val="auto"/>
        </w:rPr>
      </w:pPr>
    </w:p>
    <w:p>
      <w:pPr>
        <w:ind w:left="1440" w:right="7340" w:hanging="487"/>
        <w:spacing w:after="0" w:line="347" w:lineRule="auto"/>
        <w:tabs>
          <w:tab w:leader="none" w:pos="14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 $0.01 par value</w:t>
      </w:r>
    </w:p>
    <w:p>
      <w:pPr>
        <w:spacing w:after="0" w:line="21" w:lineRule="exact"/>
        <w:rPr>
          <w:rFonts w:ascii="Arial" w:cs="Arial" w:eastAsia="Arial" w:hAnsi="Arial"/>
          <w:sz w:val="16"/>
          <w:szCs w:val="16"/>
          <w:color w:val="auto"/>
        </w:rPr>
      </w:pPr>
    </w:p>
    <w:p>
      <w:pPr>
        <w:ind w:left="1440" w:right="8440" w:hanging="487"/>
        <w:spacing w:after="0" w:line="312" w:lineRule="auto"/>
        <w:tabs>
          <w:tab w:leader="none" w:pos="14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-1905</wp:posOffset>
            </wp:positionV>
            <wp:extent cx="62236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-353060</wp:posOffset>
            </wp:positionV>
            <wp:extent cx="62236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-704850</wp:posOffset>
            </wp:positionV>
            <wp:extent cx="62236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-1330325</wp:posOffset>
            </wp:positionV>
            <wp:extent cx="6223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-2093595</wp:posOffset>
            </wp:positionV>
            <wp:extent cx="62236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3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800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60" w:right="320" w:hanging="252"/>
        <w:spacing w:after="0" w:line="227" w:lineRule="auto"/>
        <w:tabs>
          <w:tab w:leader="none" w:pos="24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Neither the present filing nor anything contained herein shall be construed as an admission that the Reporting Persons constitute a “group” for any purpose and the Reporting Persons expressly disclaim membership in a group.</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91" w:right="479" w:bottom="1440" w:gutter="0" w:footer="0" w:header="0"/>
        </w:sectPr>
      </w:pPr>
    </w:p>
    <w:bookmarkStart w:id="6" w:name="page7"/>
    <w:bookmarkEnd w:id="6"/>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40" w:lineRule="exact"/>
        <w:rPr>
          <w:sz w:val="20"/>
          <w:szCs w:val="20"/>
          <w:color w:val="auto"/>
        </w:rPr>
      </w:pPr>
    </w:p>
    <w:p>
      <w:pPr>
        <w:ind w:left="1580" w:hanging="342"/>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16" w:lineRule="exact"/>
        <w:rPr>
          <w:rFonts w:ascii="Arial" w:cs="Arial" w:eastAsia="Arial" w:hAnsi="Arial"/>
          <w:sz w:val="18"/>
          <w:szCs w:val="18"/>
          <w:color w:val="auto"/>
        </w:rPr>
      </w:pPr>
    </w:p>
    <w:p>
      <w:pPr>
        <w:ind w:left="1580" w:hanging="347"/>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116" w:lineRule="exact"/>
        <w:rPr>
          <w:rFonts w:ascii="Arial" w:cs="Arial" w:eastAsia="Arial" w:hAnsi="Arial"/>
          <w:sz w:val="18"/>
          <w:szCs w:val="18"/>
          <w:color w:val="auto"/>
        </w:rPr>
      </w:pPr>
    </w:p>
    <w:p>
      <w:pPr>
        <w:ind w:left="1580" w:hanging="342"/>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180" w:hanging="387"/>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40005</wp:posOffset>
            </wp:positionV>
            <wp:extent cx="57518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183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-516255</wp:posOffset>
            </wp:positionV>
            <wp:extent cx="61379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37910"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-868045</wp:posOffset>
            </wp:positionV>
            <wp:extent cx="61379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pacing w:after="0" w:line="96" w:lineRule="exact"/>
        <w:rPr>
          <w:sz w:val="20"/>
          <w:szCs w:val="20"/>
          <w:color w:val="auto"/>
        </w:rPr>
      </w:pPr>
    </w:p>
    <w:p>
      <w:pPr>
        <w:ind w:left="2180" w:hanging="412"/>
        <w:spacing w:after="0"/>
        <w:tabs>
          <w:tab w:leader="none" w:pos="2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40005</wp:posOffset>
            </wp:positionV>
            <wp:extent cx="57518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96" w:lineRule="exact"/>
        <w:rPr>
          <w:sz w:val="20"/>
          <w:szCs w:val="20"/>
          <w:color w:val="auto"/>
        </w:rPr>
      </w:pPr>
    </w:p>
    <w:p>
      <w:pPr>
        <w:ind w:left="2180" w:right="5060" w:hanging="437"/>
        <w:spacing w:after="0" w:line="342" w:lineRule="auto"/>
        <w:tabs>
          <w:tab w:leader="none" w:pos="2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the responses to Item 7 on the attached cover pages.</w:t>
      </w:r>
    </w:p>
    <w:p>
      <w:pPr>
        <w:spacing w:after="0" w:line="29" w:lineRule="exact"/>
        <w:rPr>
          <w:rFonts w:ascii="Arial" w:cs="Arial" w:eastAsia="Arial" w:hAnsi="Arial"/>
          <w:sz w:val="16"/>
          <w:szCs w:val="16"/>
          <w:color w:val="auto"/>
        </w:rPr>
      </w:pPr>
    </w:p>
    <w:p>
      <w:pPr>
        <w:ind w:left="2180" w:right="5060" w:hanging="432"/>
        <w:spacing w:after="0" w:line="381" w:lineRule="auto"/>
        <w:tabs>
          <w:tab w:leader="none" w:pos="21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-29210</wp:posOffset>
            </wp:positionV>
            <wp:extent cx="57518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1830" cy="825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-381000</wp:posOffset>
            </wp:positionV>
            <wp:extent cx="57518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20" w:type="dxa"/>
            <w:vAlign w:val="bottom"/>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10"/>
        </w:trPr>
        <w:tc>
          <w:tcPr>
            <w:tcW w:w="86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If this statement is being filed to report the fact that as of the date hereof the reporting person has ceased to be the beneficial owner of more</w:t>
            </w:r>
          </w:p>
        </w:tc>
      </w:tr>
      <w:tr>
        <w:trPr>
          <w:trHeight w:val="230"/>
        </w:trPr>
        <w:tc>
          <w:tcPr>
            <w:tcW w:w="86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than five percent of the class of securities, check the following  o.</w:t>
            </w:r>
          </w:p>
        </w:tc>
      </w:tr>
      <w:tr>
        <w:trPr>
          <w:trHeight w:val="64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tcPr>
          <w:p>
            <w:pPr>
              <w:ind w:left="2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86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630"/>
        </w:trPr>
        <w:tc>
          <w:tcPr>
            <w:tcW w:w="8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20" w:type="dxa"/>
            <w:vAlign w:val="bottom"/>
          </w:tcPr>
          <w:p>
            <w:pPr>
              <w:ind w:left="240"/>
              <w:spacing w:after="0"/>
              <w:rPr>
                <w:sz w:val="20"/>
                <w:szCs w:val="20"/>
                <w:color w:val="auto"/>
              </w:rPr>
            </w:pPr>
            <w:r>
              <w:rPr>
                <w:rFonts w:ascii="Arial" w:cs="Arial" w:eastAsia="Arial" w:hAnsi="Arial"/>
                <w:sz w:val="18"/>
                <w:szCs w:val="18"/>
                <w:b w:val="1"/>
                <w:bCs w:val="1"/>
                <w:color w:val="auto"/>
                <w:w w:val="98"/>
              </w:rPr>
              <w:t>Identification and Classification of the Subsidiary Which Acquired the Security Being Reported on By the Parent Holding</w:t>
            </w:r>
          </w:p>
        </w:tc>
      </w:tr>
      <w:tr>
        <w:trPr>
          <w:trHeight w:val="234"/>
        </w:trPr>
        <w:tc>
          <w:tcPr>
            <w:tcW w:w="86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b w:val="1"/>
                <w:bCs w:val="1"/>
                <w:color w:val="auto"/>
              </w:rPr>
              <w:t>Company or Control Person</w:t>
            </w:r>
          </w:p>
        </w:tc>
      </w:tr>
      <w:tr>
        <w:trPr>
          <w:trHeight w:val="324"/>
        </w:trPr>
        <w:tc>
          <w:tcPr>
            <w:tcW w:w="86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20" w:type="dxa"/>
            <w:vAlign w:val="bottom"/>
          </w:tcPr>
          <w:p>
            <w:pPr>
              <w:ind w:left="24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86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20" w:type="dxa"/>
            <w:vAlign w:val="bottom"/>
          </w:tcPr>
          <w:p>
            <w:pPr>
              <w:ind w:left="24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86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20" w:type="dxa"/>
            <w:vAlign w:val="bottom"/>
          </w:tcPr>
          <w:p>
            <w:pPr>
              <w:ind w:left="240"/>
              <w:spacing w:after="0"/>
              <w:rPr>
                <w:sz w:val="20"/>
                <w:szCs w:val="20"/>
                <w:color w:val="auto"/>
              </w:rPr>
            </w:pPr>
            <w:r>
              <w:rPr>
                <w:rFonts w:ascii="Arial" w:cs="Arial" w:eastAsia="Arial" w:hAnsi="Arial"/>
                <w:sz w:val="18"/>
                <w:szCs w:val="18"/>
                <w:b w:val="1"/>
                <w:bCs w:val="1"/>
                <w:color w:val="auto"/>
              </w:rPr>
              <w:t>Certification</w:t>
            </w:r>
          </w:p>
        </w:tc>
      </w:tr>
      <w:tr>
        <w:trPr>
          <w:trHeight w:val="310"/>
        </w:trPr>
        <w:tc>
          <w:tcPr>
            <w:tcW w:w="86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3"/>
              </w:rPr>
              <w:t>By signing below I certify that, to the best of my knowledge and belief, the securities referred to above were not acquired and are not held</w:t>
            </w:r>
          </w:p>
        </w:tc>
      </w:tr>
      <w:tr>
        <w:trPr>
          <w:trHeight w:val="216"/>
        </w:trPr>
        <w:tc>
          <w:tcPr>
            <w:tcW w:w="86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3"/>
              </w:rPr>
              <w:t>for the purpose of or with the effect of changing or influencing the control of the issuer of the securities and were not acquired and are not</w:t>
            </w:r>
          </w:p>
        </w:tc>
      </w:tr>
      <w:tr>
        <w:trPr>
          <w:trHeight w:val="230"/>
        </w:trPr>
        <w:tc>
          <w:tcPr>
            <w:tcW w:w="86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held in connection with or as a participant in any transaction having that purpose or effect.</w:t>
            </w:r>
          </w:p>
        </w:tc>
      </w:tr>
      <w:tr>
        <w:trPr>
          <w:trHeight w:val="486"/>
        </w:trPr>
        <w:tc>
          <w:tcPr>
            <w:tcW w:w="860" w:type="dxa"/>
            <w:vAlign w:val="bottom"/>
          </w:tcPr>
          <w:p>
            <w:pPr>
              <w:spacing w:after="0"/>
              <w:rPr>
                <w:sz w:val="24"/>
                <w:szCs w:val="24"/>
                <w:color w:val="auto"/>
              </w:rPr>
            </w:pPr>
          </w:p>
        </w:tc>
        <w:tc>
          <w:tcPr>
            <w:tcW w:w="10420" w:type="dxa"/>
            <w:vAlign w:val="bottom"/>
          </w:tcPr>
          <w:p>
            <w:pPr>
              <w:ind w:left="4720"/>
              <w:spacing w:after="0"/>
              <w:rPr>
                <w:sz w:val="20"/>
                <w:szCs w:val="20"/>
                <w:color w:val="auto"/>
              </w:rPr>
            </w:pPr>
            <w:r>
              <w:rPr>
                <w:rFonts w:ascii="Arial" w:cs="Arial" w:eastAsia="Arial" w:hAnsi="Arial"/>
                <w:sz w:val="18"/>
                <w:szCs w:val="18"/>
                <w:color w:val="auto"/>
              </w:rPr>
              <w:t>7</w:t>
            </w:r>
          </w:p>
        </w:tc>
      </w:tr>
      <w:tr>
        <w:trPr>
          <w:trHeight w:val="132"/>
        </w:trPr>
        <w:tc>
          <w:tcPr>
            <w:tcW w:w="860" w:type="dxa"/>
            <w:vAlign w:val="bottom"/>
            <w:tcBorders>
              <w:bottom w:val="single" w:sz="8" w:color="808080"/>
            </w:tcBorders>
          </w:tcPr>
          <w:p>
            <w:pPr>
              <w:spacing w:after="0"/>
              <w:rPr>
                <w:sz w:val="11"/>
                <w:szCs w:val="11"/>
                <w:color w:val="auto"/>
              </w:rPr>
            </w:pPr>
          </w:p>
        </w:tc>
        <w:tc>
          <w:tcPr>
            <w:tcW w:w="104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91"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313"/>
        </w:trPr>
        <w:tc>
          <w:tcPr>
            <w:tcW w:w="3600" w:type="dxa"/>
            <w:vAlign w:val="bottom"/>
          </w:tcPr>
          <w:p>
            <w:pPr>
              <w:spacing w:after="0"/>
              <w:rPr>
                <w:sz w:val="20"/>
                <w:szCs w:val="20"/>
                <w:color w:val="auto"/>
              </w:rPr>
            </w:pPr>
            <w:r>
              <w:rPr>
                <w:rFonts w:ascii="Arial" w:cs="Arial" w:eastAsia="Arial" w:hAnsi="Arial"/>
                <w:sz w:val="18"/>
                <w:szCs w:val="18"/>
                <w:color w:val="auto"/>
              </w:rPr>
              <w:t>Date: February 12, 2021</w:t>
            </w:r>
          </w:p>
        </w:tc>
        <w:tc>
          <w:tcPr>
            <w:tcW w:w="7580" w:type="dxa"/>
            <w:vAlign w:val="bottom"/>
            <w:gridSpan w:val="3"/>
          </w:tcPr>
          <w:p>
            <w:pPr>
              <w:ind w:left="1780"/>
              <w:spacing w:after="0"/>
              <w:rPr>
                <w:sz w:val="20"/>
                <w:szCs w:val="20"/>
                <w:color w:val="auto"/>
              </w:rPr>
            </w:pPr>
            <w:r>
              <w:rPr>
                <w:rFonts w:ascii="Arial" w:cs="Arial" w:eastAsia="Arial" w:hAnsi="Arial"/>
                <w:sz w:val="18"/>
                <w:szCs w:val="18"/>
                <w:color w:val="auto"/>
              </w:rPr>
              <w:t xml:space="preserve">CASCADE INVESTMENT, L.L.C. </w:t>
            </w:r>
            <w:r>
              <w:rPr>
                <w:rFonts w:ascii="Arial" w:cs="Arial" w:eastAsia="Arial" w:hAnsi="Arial"/>
                <w:sz w:val="23"/>
                <w:szCs w:val="23"/>
                <w:color w:val="auto"/>
                <w:vertAlign w:val="superscript"/>
              </w:rPr>
              <w:t>(1)</w:t>
            </w:r>
          </w:p>
        </w:tc>
      </w:tr>
      <w:tr>
        <w:trPr>
          <w:trHeight w:val="350"/>
        </w:trPr>
        <w:tc>
          <w:tcPr>
            <w:tcW w:w="3600" w:type="dxa"/>
            <w:vAlign w:val="bottom"/>
          </w:tcPr>
          <w:p>
            <w:pPr>
              <w:spacing w:after="0"/>
              <w:rPr>
                <w:sz w:val="24"/>
                <w:szCs w:val="24"/>
                <w:color w:val="auto"/>
              </w:rPr>
            </w:pPr>
          </w:p>
        </w:tc>
        <w:tc>
          <w:tcPr>
            <w:tcW w:w="3020" w:type="dxa"/>
            <w:vAlign w:val="bottom"/>
            <w:gridSpan w:val="2"/>
          </w:tcPr>
          <w:p>
            <w:pPr>
              <w:ind w:left="1780"/>
              <w:spacing w:after="0"/>
              <w:rPr>
                <w:sz w:val="20"/>
                <w:szCs w:val="20"/>
                <w:color w:val="auto"/>
              </w:rPr>
            </w:pPr>
            <w:r>
              <w:rPr>
                <w:rFonts w:ascii="Arial" w:cs="Arial" w:eastAsia="Arial" w:hAnsi="Arial"/>
                <w:sz w:val="18"/>
                <w:szCs w:val="18"/>
                <w:color w:val="auto"/>
              </w:rPr>
              <w:t>By</w:t>
            </w:r>
          </w:p>
        </w:tc>
        <w:tc>
          <w:tcPr>
            <w:tcW w:w="45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195"/>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7"/>
                <w:szCs w:val="17"/>
                <w:color w:val="auto"/>
              </w:rPr>
              <w:t xml:space="preserve">Alan Heuberger </w:t>
            </w:r>
            <w:r>
              <w:rPr>
                <w:rFonts w:ascii="Arial" w:cs="Arial" w:eastAsia="Arial" w:hAnsi="Arial"/>
                <w:sz w:val="22"/>
                <w:szCs w:val="22"/>
                <w:color w:val="auto"/>
                <w:vertAlign w:val="superscript"/>
              </w:rPr>
              <w:t>(2)</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Attorney-in-fact for Michael Larson,</w:t>
            </w: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Business Manager</w:t>
            </w:r>
          </w:p>
        </w:tc>
      </w:tr>
      <w:tr>
        <w:trPr>
          <w:trHeight w:val="514"/>
        </w:trPr>
        <w:tc>
          <w:tcPr>
            <w:tcW w:w="3600" w:type="dxa"/>
            <w:vAlign w:val="bottom"/>
          </w:tcPr>
          <w:p>
            <w:pPr>
              <w:spacing w:after="0"/>
              <w:rPr>
                <w:sz w:val="24"/>
                <w:szCs w:val="24"/>
                <w:color w:val="auto"/>
              </w:rPr>
            </w:pPr>
          </w:p>
        </w:tc>
        <w:tc>
          <w:tcPr>
            <w:tcW w:w="7580" w:type="dxa"/>
            <w:vAlign w:val="bottom"/>
            <w:gridSpan w:val="3"/>
          </w:tcPr>
          <w:p>
            <w:pPr>
              <w:ind w:left="1780"/>
              <w:spacing w:after="0"/>
              <w:rPr>
                <w:sz w:val="20"/>
                <w:szCs w:val="20"/>
                <w:color w:val="auto"/>
              </w:rPr>
            </w:pPr>
            <w:r>
              <w:rPr>
                <w:rFonts w:ascii="Arial" w:cs="Arial" w:eastAsia="Arial" w:hAnsi="Arial"/>
                <w:sz w:val="18"/>
                <w:szCs w:val="18"/>
                <w:color w:val="auto"/>
              </w:rPr>
              <w:t xml:space="preserve">BILL &amp; MELINDA GATES FOUNDATION TRUST </w:t>
            </w:r>
            <w:r>
              <w:rPr>
                <w:rFonts w:ascii="Arial" w:cs="Arial" w:eastAsia="Arial" w:hAnsi="Arial"/>
                <w:sz w:val="23"/>
                <w:szCs w:val="23"/>
                <w:color w:val="auto"/>
                <w:vertAlign w:val="superscript"/>
              </w:rPr>
              <w:t>(1)</w:t>
            </w:r>
          </w:p>
        </w:tc>
      </w:tr>
      <w:tr>
        <w:trPr>
          <w:trHeight w:val="350"/>
        </w:trPr>
        <w:tc>
          <w:tcPr>
            <w:tcW w:w="3600" w:type="dxa"/>
            <w:vAlign w:val="bottom"/>
          </w:tcPr>
          <w:p>
            <w:pPr>
              <w:spacing w:after="0"/>
              <w:rPr>
                <w:sz w:val="24"/>
                <w:szCs w:val="24"/>
                <w:color w:val="auto"/>
              </w:rPr>
            </w:pPr>
          </w:p>
        </w:tc>
        <w:tc>
          <w:tcPr>
            <w:tcW w:w="3020" w:type="dxa"/>
            <w:vAlign w:val="bottom"/>
            <w:gridSpan w:val="2"/>
          </w:tcPr>
          <w:p>
            <w:pPr>
              <w:ind w:left="1780"/>
              <w:spacing w:after="0"/>
              <w:rPr>
                <w:sz w:val="20"/>
                <w:szCs w:val="20"/>
                <w:color w:val="auto"/>
              </w:rPr>
            </w:pPr>
            <w:r>
              <w:rPr>
                <w:rFonts w:ascii="Arial" w:cs="Arial" w:eastAsia="Arial" w:hAnsi="Arial"/>
                <w:sz w:val="18"/>
                <w:szCs w:val="18"/>
                <w:color w:val="auto"/>
              </w:rPr>
              <w:t>By</w:t>
            </w:r>
          </w:p>
        </w:tc>
        <w:tc>
          <w:tcPr>
            <w:tcW w:w="45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195"/>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7"/>
                <w:szCs w:val="17"/>
                <w:color w:val="auto"/>
              </w:rPr>
              <w:t xml:space="preserve">Alan Heuberger </w:t>
            </w:r>
            <w:r>
              <w:rPr>
                <w:rFonts w:ascii="Arial" w:cs="Arial" w:eastAsia="Arial" w:hAnsi="Arial"/>
                <w:sz w:val="22"/>
                <w:szCs w:val="22"/>
                <w:color w:val="auto"/>
                <w:vertAlign w:val="superscript"/>
              </w:rPr>
              <w:t>(3)</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Attorney-in-fact for each of the Co-Trustees, William H.</w:t>
            </w: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Gates III and Melinda French Gates</w:t>
            </w:r>
          </w:p>
        </w:tc>
      </w:tr>
      <w:tr>
        <w:trPr>
          <w:trHeight w:val="514"/>
        </w:trPr>
        <w:tc>
          <w:tcPr>
            <w:tcW w:w="3600" w:type="dxa"/>
            <w:vAlign w:val="bottom"/>
          </w:tcPr>
          <w:p>
            <w:pPr>
              <w:spacing w:after="0"/>
              <w:rPr>
                <w:sz w:val="24"/>
                <w:szCs w:val="24"/>
                <w:color w:val="auto"/>
              </w:rPr>
            </w:pPr>
          </w:p>
        </w:tc>
        <w:tc>
          <w:tcPr>
            <w:tcW w:w="7580" w:type="dxa"/>
            <w:vAlign w:val="bottom"/>
            <w:gridSpan w:val="3"/>
          </w:tcPr>
          <w:p>
            <w:pPr>
              <w:ind w:left="1780"/>
              <w:spacing w:after="0"/>
              <w:rPr>
                <w:sz w:val="20"/>
                <w:szCs w:val="20"/>
                <w:color w:val="auto"/>
              </w:rPr>
            </w:pPr>
            <w:r>
              <w:rPr>
                <w:rFonts w:ascii="Arial" w:cs="Arial" w:eastAsia="Arial" w:hAnsi="Arial"/>
                <w:sz w:val="18"/>
                <w:szCs w:val="18"/>
                <w:color w:val="auto"/>
              </w:rPr>
              <w:t xml:space="preserve">WILLIAM H. GATES III </w:t>
            </w:r>
            <w:r>
              <w:rPr>
                <w:rFonts w:ascii="Arial" w:cs="Arial" w:eastAsia="Arial" w:hAnsi="Arial"/>
                <w:sz w:val="23"/>
                <w:szCs w:val="23"/>
                <w:color w:val="auto"/>
                <w:vertAlign w:val="superscript"/>
              </w:rPr>
              <w:t>(1)</w:t>
            </w:r>
          </w:p>
        </w:tc>
      </w:tr>
      <w:tr>
        <w:trPr>
          <w:trHeight w:val="350"/>
        </w:trPr>
        <w:tc>
          <w:tcPr>
            <w:tcW w:w="3600" w:type="dxa"/>
            <w:vAlign w:val="bottom"/>
          </w:tcPr>
          <w:p>
            <w:pPr>
              <w:spacing w:after="0"/>
              <w:rPr>
                <w:sz w:val="24"/>
                <w:szCs w:val="24"/>
                <w:color w:val="auto"/>
              </w:rPr>
            </w:pPr>
          </w:p>
        </w:tc>
        <w:tc>
          <w:tcPr>
            <w:tcW w:w="3020" w:type="dxa"/>
            <w:vAlign w:val="bottom"/>
            <w:gridSpan w:val="2"/>
          </w:tcPr>
          <w:p>
            <w:pPr>
              <w:ind w:left="1780"/>
              <w:spacing w:after="0"/>
              <w:rPr>
                <w:sz w:val="20"/>
                <w:szCs w:val="20"/>
                <w:color w:val="auto"/>
              </w:rPr>
            </w:pPr>
            <w:r>
              <w:rPr>
                <w:rFonts w:ascii="Arial" w:cs="Arial" w:eastAsia="Arial" w:hAnsi="Arial"/>
                <w:sz w:val="18"/>
                <w:szCs w:val="18"/>
                <w:color w:val="auto"/>
              </w:rPr>
              <w:t>By</w:t>
            </w:r>
          </w:p>
        </w:tc>
        <w:tc>
          <w:tcPr>
            <w:tcW w:w="45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195"/>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7"/>
                <w:szCs w:val="17"/>
                <w:color w:val="auto"/>
              </w:rPr>
              <w:t xml:space="preserve">Alan Heuberger </w:t>
            </w:r>
            <w:r>
              <w:rPr>
                <w:rFonts w:ascii="Arial" w:cs="Arial" w:eastAsia="Arial" w:hAnsi="Arial"/>
                <w:sz w:val="22"/>
                <w:szCs w:val="22"/>
                <w:color w:val="auto"/>
                <w:vertAlign w:val="superscript"/>
              </w:rPr>
              <w:t>(3)(4)</w:t>
            </w: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Attorney-in-fact</w:t>
            </w:r>
          </w:p>
        </w:tc>
      </w:tr>
      <w:tr>
        <w:trPr>
          <w:trHeight w:val="514"/>
        </w:trPr>
        <w:tc>
          <w:tcPr>
            <w:tcW w:w="3600" w:type="dxa"/>
            <w:vAlign w:val="bottom"/>
          </w:tcPr>
          <w:p>
            <w:pPr>
              <w:spacing w:after="0"/>
              <w:rPr>
                <w:sz w:val="24"/>
                <w:szCs w:val="24"/>
                <w:color w:val="auto"/>
              </w:rPr>
            </w:pPr>
          </w:p>
        </w:tc>
        <w:tc>
          <w:tcPr>
            <w:tcW w:w="7580" w:type="dxa"/>
            <w:vAlign w:val="bottom"/>
            <w:gridSpan w:val="3"/>
          </w:tcPr>
          <w:p>
            <w:pPr>
              <w:ind w:left="1780"/>
              <w:spacing w:after="0"/>
              <w:rPr>
                <w:sz w:val="20"/>
                <w:szCs w:val="20"/>
                <w:color w:val="auto"/>
              </w:rPr>
            </w:pPr>
            <w:r>
              <w:rPr>
                <w:rFonts w:ascii="Arial" w:cs="Arial" w:eastAsia="Arial" w:hAnsi="Arial"/>
                <w:sz w:val="18"/>
                <w:szCs w:val="18"/>
                <w:color w:val="auto"/>
              </w:rPr>
              <w:t xml:space="preserve">MELINDA FRENCH GATES </w:t>
            </w:r>
            <w:r>
              <w:rPr>
                <w:rFonts w:ascii="Arial" w:cs="Arial" w:eastAsia="Arial" w:hAnsi="Arial"/>
                <w:sz w:val="23"/>
                <w:szCs w:val="23"/>
                <w:color w:val="auto"/>
                <w:vertAlign w:val="superscript"/>
              </w:rPr>
              <w:t>(1)</w:t>
            </w:r>
          </w:p>
        </w:tc>
      </w:tr>
      <w:tr>
        <w:trPr>
          <w:trHeight w:val="350"/>
        </w:trPr>
        <w:tc>
          <w:tcPr>
            <w:tcW w:w="3600" w:type="dxa"/>
            <w:vAlign w:val="bottom"/>
          </w:tcPr>
          <w:p>
            <w:pPr>
              <w:spacing w:after="0"/>
              <w:rPr>
                <w:sz w:val="24"/>
                <w:szCs w:val="24"/>
                <w:color w:val="auto"/>
              </w:rPr>
            </w:pPr>
          </w:p>
        </w:tc>
        <w:tc>
          <w:tcPr>
            <w:tcW w:w="3020" w:type="dxa"/>
            <w:vAlign w:val="bottom"/>
            <w:gridSpan w:val="2"/>
          </w:tcPr>
          <w:p>
            <w:pPr>
              <w:ind w:left="1780"/>
              <w:spacing w:after="0"/>
              <w:rPr>
                <w:sz w:val="20"/>
                <w:szCs w:val="20"/>
                <w:color w:val="auto"/>
              </w:rPr>
            </w:pPr>
            <w:r>
              <w:rPr>
                <w:rFonts w:ascii="Arial" w:cs="Arial" w:eastAsia="Arial" w:hAnsi="Arial"/>
                <w:sz w:val="18"/>
                <w:szCs w:val="18"/>
                <w:color w:val="auto"/>
              </w:rPr>
              <w:t>By</w:t>
            </w:r>
          </w:p>
        </w:tc>
        <w:tc>
          <w:tcPr>
            <w:tcW w:w="45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195"/>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7"/>
                <w:szCs w:val="17"/>
                <w:color w:val="auto"/>
              </w:rPr>
              <w:t xml:space="preserve">Alan Heuberger </w:t>
            </w:r>
            <w:r>
              <w:rPr>
                <w:rFonts w:ascii="Arial" w:cs="Arial" w:eastAsia="Arial" w:hAnsi="Arial"/>
                <w:sz w:val="22"/>
                <w:szCs w:val="22"/>
                <w:color w:val="auto"/>
                <w:vertAlign w:val="superscript"/>
              </w:rPr>
              <w:t>(3)</w:t>
            </w: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Attorney-in-fact</w:t>
            </w:r>
          </w:p>
        </w:tc>
      </w:tr>
      <w:tr>
        <w:trPr>
          <w:trHeight w:val="432"/>
        </w:trPr>
        <w:tc>
          <w:tcPr>
            <w:tcW w:w="3600" w:type="dxa"/>
            <w:vAlign w:val="bottom"/>
          </w:tcPr>
          <w:p>
            <w:pPr>
              <w:spacing w:after="0"/>
              <w:rPr>
                <w:sz w:val="24"/>
                <w:szCs w:val="24"/>
                <w:color w:val="auto"/>
              </w:rPr>
            </w:pPr>
          </w:p>
        </w:tc>
        <w:tc>
          <w:tcPr>
            <w:tcW w:w="3020" w:type="dxa"/>
            <w:vAlign w:val="bottom"/>
            <w:gridSpan w:val="2"/>
          </w:tcPr>
          <w:p>
            <w:pPr>
              <w:ind w:left="1780"/>
              <w:spacing w:after="0"/>
              <w:rPr>
                <w:sz w:val="20"/>
                <w:szCs w:val="20"/>
                <w:color w:val="auto"/>
              </w:rPr>
            </w:pPr>
            <w:r>
              <w:rPr>
                <w:rFonts w:ascii="Arial" w:cs="Arial" w:eastAsia="Arial" w:hAnsi="Arial"/>
                <w:sz w:val="18"/>
                <w:szCs w:val="18"/>
                <w:color w:val="auto"/>
              </w:rPr>
              <w:t>* By:</w:t>
            </w:r>
          </w:p>
        </w:tc>
        <w:tc>
          <w:tcPr>
            <w:tcW w:w="4560" w:type="dxa"/>
            <w:vAlign w:val="bottom"/>
          </w:tcPr>
          <w:p>
            <w:pPr>
              <w:ind w:left="300"/>
              <w:spacing w:after="0"/>
              <w:rPr>
                <w:sz w:val="20"/>
                <w:szCs w:val="20"/>
                <w:color w:val="auto"/>
              </w:rPr>
            </w:pPr>
            <w:r>
              <w:rPr>
                <w:rFonts w:ascii="Arial" w:cs="Arial" w:eastAsia="Arial" w:hAnsi="Arial"/>
                <w:sz w:val="18"/>
                <w:szCs w:val="18"/>
                <w:color w:val="auto"/>
              </w:rPr>
              <w:t>/s/ Alan Heuberger</w:t>
            </w:r>
          </w:p>
        </w:tc>
      </w:tr>
      <w:tr>
        <w:trPr>
          <w:trHeight w:val="224"/>
        </w:trPr>
        <w:tc>
          <w:tcPr>
            <w:tcW w:w="36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Alan Heuberger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18002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right="260" w:hanging="252"/>
        <w:spacing w:after="0" w:line="234" w:lineRule="auto"/>
        <w:tabs>
          <w:tab w:leader="none" w:pos="2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This Amendment is being filed jointly by the Reporting Persons pursuant to the Joint Filing Agreement dated September 17, 2010, and included with the signature page to the Reporting Persons’ Schedule 13G with respect to the Issuer filed on September 17, 2010, SEC File No. 005-39928, and incorporated by reference herein.</w:t>
      </w:r>
    </w:p>
    <w:p>
      <w:pPr>
        <w:spacing w:after="0" w:line="202" w:lineRule="exact"/>
        <w:rPr>
          <w:rFonts w:ascii="Arial" w:cs="Arial" w:eastAsia="Arial" w:hAnsi="Arial"/>
          <w:sz w:val="23"/>
          <w:szCs w:val="23"/>
          <w:color w:val="auto"/>
          <w:vertAlign w:val="superscript"/>
        </w:rPr>
      </w:pPr>
    </w:p>
    <w:p>
      <w:pPr>
        <w:ind w:left="260" w:right="380" w:hanging="252"/>
        <w:spacing w:after="0" w:line="249" w:lineRule="auto"/>
        <w:tabs>
          <w:tab w:leader="none" w:pos="24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Duly authorized under Special Limited Power of Attorney appointing Alan Heuberger attorney-in-fact, dated October 11, 2013, by and on behalf of Michael Larson, filed as Exhibit 99.1 to Amendment No. 9 to Cascade’s Schedule 13D with respect to Western Asset/Claymore Inflation-Linked Opportunities &amp; Income Fund on December 11, 2013, SEC File No. 005-81261, and incorporated by reference herein.</w:t>
      </w:r>
    </w:p>
    <w:p>
      <w:pPr>
        <w:spacing w:after="0" w:line="195" w:lineRule="exact"/>
        <w:rPr>
          <w:rFonts w:ascii="Arial" w:cs="Arial" w:eastAsia="Arial" w:hAnsi="Arial"/>
          <w:sz w:val="22"/>
          <w:szCs w:val="22"/>
          <w:color w:val="auto"/>
          <w:vertAlign w:val="superscript"/>
        </w:rPr>
      </w:pPr>
    </w:p>
    <w:p>
      <w:pPr>
        <w:ind w:left="260" w:right="60" w:hanging="252"/>
        <w:spacing w:after="0" w:line="234" w:lineRule="auto"/>
        <w:tabs>
          <w:tab w:leader="none" w:pos="2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Duly authorized under Special Limited Power of Attorney appointing Alan Heuberger attorney-in-fact, dated August 12, 2008, by and on behalf of William H. Gates III and Melinda French Gates as Co-Trustees, filed as Exhibit 99.5 to Cascade’s Schedule 13D with respect to Grupo Televisa, S.A.B. on May 7, 2009, SEC File No. 005-60431, and incorporated by reference herein.</w:t>
      </w:r>
    </w:p>
    <w:p>
      <w:pPr>
        <w:spacing w:after="0" w:line="202" w:lineRule="exact"/>
        <w:rPr>
          <w:rFonts w:ascii="Arial" w:cs="Arial" w:eastAsia="Arial" w:hAnsi="Arial"/>
          <w:sz w:val="23"/>
          <w:szCs w:val="23"/>
          <w:color w:val="auto"/>
          <w:vertAlign w:val="superscript"/>
        </w:rPr>
      </w:pPr>
    </w:p>
    <w:p>
      <w:pPr>
        <w:ind w:left="260" w:right="260" w:hanging="252"/>
        <w:spacing w:after="0" w:line="234" w:lineRule="auto"/>
        <w:tabs>
          <w:tab w:leader="none" w:pos="2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1."/>
      <w:numFmt w:val="decimal"/>
      <w:start w:val="1"/>
    </w:lvl>
    <w:lvl w:ilvl="1">
      <w:lvlJc w:val="left"/>
      <w:lvlText w:val="(%2)"/>
      <w:numFmt w:val="lowerLetter"/>
      <w:start w:val="1"/>
    </w:lvl>
  </w:abstractNum>
  <w:abstractNum w:abstractNumId="2">
    <w:nsid w:val="1190CDE7"/>
    <w:multiLevelType w:val="hybridMultilevel"/>
    <w:lvl w:ilvl="0">
      <w:lvlJc w:val="left"/>
      <w:lvlText w:val="%1"/>
      <w:numFmt w:val="decimal"/>
      <w:start w:val="1"/>
    </w:lvl>
    <w:lvl w:ilvl="1">
      <w:lvlJc w:val="left"/>
      <w:lvlText w:val="%2."/>
      <w:numFmt w:val="decimal"/>
      <w:start w:val="9"/>
    </w:lvl>
  </w:abstractNum>
  <w:abstractNum w:abstractNumId="3">
    <w:nsid w:val="66EF438D"/>
    <w:multiLevelType w:val="hybridMultilevel"/>
    <w:lvl w:ilvl="0">
      <w:lvlJc w:val="left"/>
      <w:lvlText w:val="(%1)"/>
      <w:numFmt w:val="decimal"/>
      <w:start w:val="1"/>
    </w:lvl>
    <w:lvl w:ilvl="1">
      <w:lvlJc w:val="left"/>
      <w:lvlText w:val="%2"/>
      <w:numFmt w:val="decimal"/>
      <w:start w:val="1"/>
    </w:lvl>
  </w:abstractNum>
  <w:abstractNum w:abstractNumId="4">
    <w:nsid w:val="140E0F76"/>
    <w:multiLevelType w:val="hybridMultilevel"/>
    <w:lvl w:ilvl="0">
      <w:lvlJc w:val="left"/>
      <w:lvlText w:val="%1."/>
      <w:numFmt w:val="decimal"/>
      <w:start w:val="1"/>
    </w:lvl>
    <w:lvl w:ilvl="1">
      <w:lvlJc w:val="left"/>
      <w:lvlText w:val="(%2)"/>
      <w:numFmt w:val="lowerLetter"/>
      <w:start w:val="1"/>
    </w:lvl>
  </w:abstractNum>
  <w:abstractNum w:abstractNumId="5">
    <w:nsid w:val="3352255A"/>
    <w:multiLevelType w:val="hybridMultilevel"/>
    <w:lvl w:ilvl="0">
      <w:lvlJc w:val="left"/>
      <w:lvlText w:val="%1"/>
      <w:numFmt w:val="decimal"/>
      <w:start w:val="1"/>
    </w:lvl>
    <w:lvl w:ilvl="1">
      <w:lvlJc w:val="left"/>
      <w:lvlText w:val="%2."/>
      <w:numFmt w:val="decimal"/>
      <w:start w:val="9"/>
    </w:lvl>
  </w:abstractNum>
  <w:abstractNum w:abstractNumId="6">
    <w:nsid w:val="109CF92E"/>
    <w:multiLevelType w:val="hybridMultilevel"/>
    <w:lvl w:ilvl="0">
      <w:lvlJc w:val="left"/>
      <w:lvlText w:val="(%1)"/>
      <w:numFmt w:val="decimal"/>
      <w:start w:val="1"/>
    </w:lvl>
    <w:lvl w:ilvl="1">
      <w:lvlJc w:val="left"/>
      <w:lvlText w:val="%2"/>
      <w:numFmt w:val="decimal"/>
      <w:start w:val="1"/>
    </w:lvl>
  </w:abstractNum>
  <w:abstractNum w:abstractNumId="7">
    <w:nsid w:val="DED7263"/>
    <w:multiLevelType w:val="hybridMultilevel"/>
    <w:lvl w:ilvl="0">
      <w:lvlJc w:val="left"/>
      <w:lvlText w:val="%1."/>
      <w:numFmt w:val="decimal"/>
      <w:start w:val="1"/>
    </w:lvl>
    <w:lvl w:ilvl="1">
      <w:lvlJc w:val="left"/>
      <w:lvlText w:val="(%2)"/>
      <w:numFmt w:val="lowerLetter"/>
      <w:start w:val="1"/>
    </w:lvl>
  </w:abstractNum>
  <w:abstractNum w:abstractNumId="8">
    <w:nsid w:val="7FDCC233"/>
    <w:multiLevelType w:val="hybridMultilevel"/>
    <w:lvl w:ilvl="0">
      <w:lvlJc w:val="left"/>
      <w:lvlText w:val="%1"/>
      <w:numFmt w:val="decimal"/>
      <w:start w:val="1"/>
    </w:lvl>
    <w:lvl w:ilvl="1">
      <w:lvlJc w:val="left"/>
      <w:lvlText w:val="%2."/>
      <w:numFmt w:val="decimal"/>
      <w:start w:val="9"/>
    </w:lvl>
  </w:abstractNum>
  <w:abstractNum w:abstractNumId="9">
    <w:nsid w:val="1BEFD79F"/>
    <w:multiLevelType w:val="hybridMultilevel"/>
    <w:lvl w:ilvl="0">
      <w:lvlJc w:val="left"/>
      <w:lvlText w:val="(%1)"/>
      <w:numFmt w:val="decimal"/>
      <w:start w:val="1"/>
    </w:lvl>
    <w:lvl w:ilvl="1">
      <w:lvlJc w:val="left"/>
      <w:lvlText w:val="%2"/>
      <w:numFmt w:val="decimal"/>
      <w:start w:val="1"/>
    </w:lvl>
  </w:abstractNum>
  <w:abstractNum w:abstractNumId="10">
    <w:nsid w:val="41A7C4C9"/>
    <w:multiLevelType w:val="hybridMultilevel"/>
    <w:lvl w:ilvl="0">
      <w:lvlJc w:val="left"/>
      <w:lvlText w:val="%1."/>
      <w:numFmt w:val="decimal"/>
      <w:start w:val="1"/>
    </w:lvl>
    <w:lvl w:ilvl="1">
      <w:lvlJc w:val="left"/>
      <w:lvlText w:val="(%2)"/>
      <w:numFmt w:val="lowerLetter"/>
      <w:start w:val="1"/>
    </w:lvl>
  </w:abstractNum>
  <w:abstractNum w:abstractNumId="11">
    <w:nsid w:val="6B68079A"/>
    <w:multiLevelType w:val="hybridMultilevel"/>
    <w:lvl w:ilvl="0">
      <w:lvlJc w:val="left"/>
      <w:lvlText w:val="%1"/>
      <w:numFmt w:val="decimal"/>
      <w:start w:val="1"/>
    </w:lvl>
    <w:lvl w:ilvl="1">
      <w:lvlJc w:val="left"/>
      <w:lvlText w:val="%2."/>
      <w:numFmt w:val="decimal"/>
      <w:start w:val="9"/>
    </w:lvl>
  </w:abstractNum>
  <w:abstractNum w:abstractNumId="12">
    <w:nsid w:val="4E6AFB66"/>
    <w:multiLevelType w:val="hybridMultilevel"/>
    <w:lvl w:ilvl="0">
      <w:lvlJc w:val="left"/>
      <w:lvlText w:val="(%1)"/>
      <w:numFmt w:val="decimal"/>
      <w:start w:val="1"/>
    </w:lvl>
    <w:lvl w:ilvl="1">
      <w:lvlJc w:val="left"/>
      <w:lvlText w:val="%2"/>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lvl w:ilvl="1">
      <w:lvlJc w:val="left"/>
      <w:lvlText w:val="(%2)"/>
      <w:numFmt w:val="lowerRoman"/>
      <w:start w:val="1"/>
    </w:lvl>
  </w:abstractNum>
  <w:abstractNum w:abstractNumId="17">
    <w:nsid w:val="7C83E458"/>
    <w:multiLevelType w:val="hybridMultilevel"/>
    <w:lvl w:ilvl="0">
      <w:lvlJc w:val="left"/>
      <w:lvlText w:val="(%1)"/>
      <w:numFmt w:val="lowerRoman"/>
      <w:start w:val="2"/>
    </w:lvl>
  </w:abstractNum>
  <w:abstractNum w:abstractNumId="18">
    <w:nsid w:val="257130A3"/>
    <w:multiLevelType w:val="hybridMultilevel"/>
    <w:lvl w:ilvl="0">
      <w:lvlJc w:val="left"/>
      <w:lvlText w:val="(%1)"/>
      <w:numFmt w:val="lowerRoman"/>
      <w:start w:val="3"/>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2021-02-12T15:33:20Z</dcterms:created>
  <dcterms:modified xsi:type="dcterms:W3CDTF">2021-02-12T15:33:20Z</dcterms:modified>
</cp:coreProperties>
</file>