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80"/>
        <w:spacing w:after="0"/>
        <w:rPr>
          <w:sz w:val="20"/>
          <w:szCs w:val="20"/>
          <w:color w:val="auto"/>
        </w:rPr>
      </w:pPr>
      <w:r>
        <w:rPr>
          <w:rFonts w:ascii="Courier New" w:cs="Courier New" w:eastAsia="Courier New" w:hAnsi="Courier New"/>
          <w:sz w:val="15"/>
          <w:szCs w:val="15"/>
          <w:color w:val="auto"/>
        </w:rPr>
        <w:t>1</w:t>
      </w:r>
    </w:p>
    <w:p>
      <w:pPr>
        <w:spacing w:after="0" w:line="5" w:lineRule="exact"/>
        <w:rPr>
          <w:sz w:val="24"/>
          <w:szCs w:val="24"/>
          <w:color w:val="auto"/>
        </w:rPr>
      </w:pPr>
    </w:p>
    <w:p>
      <w:pPr>
        <w:jc w:val="center"/>
        <w:ind w:right="305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5" w:lineRule="exact"/>
        <w:rPr>
          <w:sz w:val="24"/>
          <w:szCs w:val="24"/>
          <w:color w:val="auto"/>
        </w:rPr>
      </w:pPr>
    </w:p>
    <w:p>
      <w:pPr>
        <w:jc w:val="center"/>
        <w:ind w:right="3059"/>
        <w:spacing w:after="0"/>
        <w:rPr>
          <w:sz w:val="20"/>
          <w:szCs w:val="20"/>
          <w:color w:val="auto"/>
        </w:rPr>
      </w:pPr>
      <w:r>
        <w:rPr>
          <w:rFonts w:ascii="Courier New" w:cs="Courier New" w:eastAsia="Courier New" w:hAnsi="Courier New"/>
          <w:sz w:val="15"/>
          <w:szCs w:val="15"/>
          <w:color w:val="auto"/>
        </w:rPr>
        <w:t>Washington, D.C. 20549</w:t>
      </w:r>
    </w:p>
    <w:p>
      <w:pPr>
        <w:spacing w:after="0" w:line="354" w:lineRule="exact"/>
        <w:rPr>
          <w:sz w:val="24"/>
          <w:szCs w:val="24"/>
          <w:color w:val="auto"/>
        </w:rPr>
      </w:pPr>
    </w:p>
    <w:p>
      <w:pPr>
        <w:ind w:left="2820"/>
        <w:spacing w:after="0"/>
        <w:rPr>
          <w:sz w:val="20"/>
          <w:szCs w:val="20"/>
          <w:color w:val="auto"/>
        </w:rPr>
      </w:pPr>
      <w:r>
        <w:rPr>
          <w:rFonts w:ascii="Courier New" w:cs="Courier New" w:eastAsia="Courier New" w:hAnsi="Courier New"/>
          <w:sz w:val="15"/>
          <w:szCs w:val="15"/>
          <w:color w:val="auto"/>
        </w:rPr>
        <w:t>-----------------</w:t>
      </w:r>
    </w:p>
    <w:p>
      <w:pPr>
        <w:spacing w:after="0" w:line="354" w:lineRule="exact"/>
        <w:rPr>
          <w:sz w:val="24"/>
          <w:szCs w:val="24"/>
          <w:color w:val="auto"/>
        </w:rPr>
      </w:pPr>
    </w:p>
    <w:p>
      <w:pPr>
        <w:jc w:val="center"/>
        <w:ind w:right="3059"/>
        <w:spacing w:after="0"/>
        <w:rPr>
          <w:sz w:val="20"/>
          <w:szCs w:val="20"/>
          <w:color w:val="auto"/>
        </w:rPr>
      </w:pPr>
      <w:r>
        <w:rPr>
          <w:rFonts w:ascii="Courier New" w:cs="Courier New" w:eastAsia="Courier New" w:hAnsi="Courier New"/>
          <w:sz w:val="15"/>
          <w:szCs w:val="15"/>
          <w:color w:val="auto"/>
        </w:rPr>
        <w:t>FORM 8-K</w:t>
      </w:r>
    </w:p>
    <w:p>
      <w:pPr>
        <w:spacing w:after="0" w:line="5" w:lineRule="exact"/>
        <w:rPr>
          <w:sz w:val="24"/>
          <w:szCs w:val="24"/>
          <w:color w:val="auto"/>
        </w:rPr>
      </w:pPr>
    </w:p>
    <w:p>
      <w:pPr>
        <w:jc w:val="center"/>
        <w:ind w:right="3059"/>
        <w:spacing w:after="0"/>
        <w:rPr>
          <w:sz w:val="20"/>
          <w:szCs w:val="20"/>
          <w:color w:val="auto"/>
        </w:rPr>
      </w:pPr>
      <w:r>
        <w:rPr>
          <w:rFonts w:ascii="Courier New" w:cs="Courier New" w:eastAsia="Courier New" w:hAnsi="Courier New"/>
          <w:sz w:val="15"/>
          <w:szCs w:val="15"/>
          <w:color w:val="auto"/>
        </w:rPr>
        <w:t>CURRENT REPORT</w:t>
      </w:r>
    </w:p>
    <w:p>
      <w:pPr>
        <w:spacing w:after="0" w:line="200" w:lineRule="exact"/>
        <w:rPr>
          <w:sz w:val="24"/>
          <w:szCs w:val="24"/>
          <w:color w:val="auto"/>
        </w:rPr>
      </w:pPr>
    </w:p>
    <w:p>
      <w:pPr>
        <w:spacing w:after="0" w:line="329" w:lineRule="exact"/>
        <w:rPr>
          <w:sz w:val="24"/>
          <w:szCs w:val="24"/>
          <w:color w:val="auto"/>
        </w:rPr>
      </w:pPr>
    </w:p>
    <w:p>
      <w:pPr>
        <w:ind w:left="1820"/>
        <w:spacing w:after="0"/>
        <w:rPr>
          <w:sz w:val="20"/>
          <w:szCs w:val="20"/>
          <w:color w:val="auto"/>
        </w:rPr>
      </w:pPr>
      <w:r>
        <w:rPr>
          <w:rFonts w:ascii="Courier New" w:cs="Courier New" w:eastAsia="Courier New" w:hAnsi="Courier New"/>
          <w:sz w:val="15"/>
          <w:szCs w:val="15"/>
          <w:color w:val="auto"/>
        </w:rPr>
        <w:t>PURSUANT TO SECTION 13 OR 15(d) OF THE</w:t>
      </w:r>
    </w:p>
    <w:p>
      <w:pPr>
        <w:spacing w:after="0" w:line="5" w:lineRule="exact"/>
        <w:rPr>
          <w:sz w:val="24"/>
          <w:szCs w:val="24"/>
          <w:color w:val="auto"/>
        </w:rPr>
      </w:pPr>
    </w:p>
    <w:p>
      <w:pPr>
        <w:ind w:left="2180"/>
        <w:spacing w:after="0"/>
        <w:rPr>
          <w:sz w:val="20"/>
          <w:szCs w:val="20"/>
          <w:color w:val="auto"/>
        </w:rPr>
      </w:pPr>
      <w:r>
        <w:rPr>
          <w:rFonts w:ascii="Courier New" w:cs="Courier New" w:eastAsia="Courier New" w:hAnsi="Courier New"/>
          <w:sz w:val="15"/>
          <w:szCs w:val="15"/>
          <w:color w:val="auto"/>
        </w:rPr>
        <w:t>SECURITIES EXCHANGE ACT OF 1934</w:t>
      </w:r>
    </w:p>
    <w:p>
      <w:pPr>
        <w:spacing w:after="0" w:line="200" w:lineRule="exact"/>
        <w:rPr>
          <w:sz w:val="24"/>
          <w:szCs w:val="24"/>
          <w:color w:val="auto"/>
        </w:rPr>
      </w:pPr>
    </w:p>
    <w:p>
      <w:pPr>
        <w:spacing w:after="0" w:line="329" w:lineRule="exact"/>
        <w:rPr>
          <w:sz w:val="24"/>
          <w:szCs w:val="24"/>
          <w:color w:val="auto"/>
        </w:rPr>
      </w:pPr>
    </w:p>
    <w:p>
      <w:pPr>
        <w:ind w:left="540"/>
        <w:spacing w:after="0"/>
        <w:rPr>
          <w:sz w:val="20"/>
          <w:szCs w:val="20"/>
          <w:color w:val="auto"/>
        </w:rPr>
      </w:pPr>
      <w:r>
        <w:rPr>
          <w:rFonts w:ascii="Courier New" w:cs="Courier New" w:eastAsia="Courier New" w:hAnsi="Courier New"/>
          <w:sz w:val="15"/>
          <w:szCs w:val="15"/>
          <w:color w:val="auto"/>
        </w:rPr>
        <w:t>Date of Report (date of earliest event reported): February 7, 1997</w:t>
      </w:r>
    </w:p>
    <w:p>
      <w:pPr>
        <w:spacing w:after="0" w:line="200" w:lineRule="exact"/>
        <w:rPr>
          <w:sz w:val="24"/>
          <w:szCs w:val="24"/>
          <w:color w:val="auto"/>
        </w:rPr>
      </w:pPr>
    </w:p>
    <w:p>
      <w:pPr>
        <w:spacing w:after="0" w:line="329" w:lineRule="exact"/>
        <w:rPr>
          <w:sz w:val="24"/>
          <w:szCs w:val="24"/>
          <w:color w:val="auto"/>
        </w:rPr>
      </w:pPr>
    </w:p>
    <w:p>
      <w:pPr>
        <w:jc w:val="center"/>
        <w:ind w:right="3059"/>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4"/>
          <w:szCs w:val="24"/>
          <w:color w:val="auto"/>
        </w:rPr>
      </w:pPr>
    </w:p>
    <w:p>
      <w:pPr>
        <w:jc w:val="center"/>
        <w:ind w:right="3059"/>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139"/>
          </w:cols>
          <w:pgMar w:left="320" w:top="235" w:right="1440" w:bottom="1440" w:gutter="0" w:footer="0" w:header="0"/>
        </w:sectPr>
      </w:pPr>
    </w:p>
    <w:p>
      <w:pPr>
        <w:spacing w:after="0" w:line="200" w:lineRule="exact"/>
        <w:rPr>
          <w:sz w:val="24"/>
          <w:szCs w:val="24"/>
          <w:color w:val="auto"/>
        </w:rPr>
      </w:pPr>
    </w:p>
    <w:p>
      <w:pPr>
        <w:spacing w:after="0" w:line="329" w:lineRule="exact"/>
        <w:rPr>
          <w:sz w:val="24"/>
          <w:szCs w:val="24"/>
          <w:color w:val="auto"/>
        </w:rPr>
      </w:pPr>
    </w:p>
    <w:p>
      <w:pPr>
        <w:jc w:val="center"/>
        <w:spacing w:after="0"/>
        <w:rPr>
          <w:sz w:val="20"/>
          <w:szCs w:val="20"/>
          <w:color w:val="auto"/>
        </w:rPr>
      </w:pPr>
      <w:r>
        <w:rPr>
          <w:rFonts w:ascii="Courier New" w:cs="Courier New" w:eastAsia="Courier New" w:hAnsi="Courier New"/>
          <w:sz w:val="15"/>
          <w:szCs w:val="15"/>
          <w:color w:val="auto"/>
        </w:rPr>
        <w:t>DELAWARE</w:t>
      </w:r>
    </w:p>
    <w:p>
      <w:pPr>
        <w:spacing w:after="0" w:line="5" w:lineRule="exact"/>
        <w:rPr>
          <w:sz w:val="24"/>
          <w:szCs w:val="24"/>
          <w:color w:val="auto"/>
        </w:rPr>
      </w:pPr>
    </w:p>
    <w:p>
      <w:pPr>
        <w:jc w:val="center"/>
        <w:spacing w:after="0"/>
        <w:rPr>
          <w:sz w:val="20"/>
          <w:szCs w:val="20"/>
          <w:color w:val="auto"/>
        </w:rPr>
      </w:pPr>
      <w:r>
        <w:rPr>
          <w:rFonts w:ascii="Courier New" w:cs="Courier New" w:eastAsia="Courier New" w:hAnsi="Courier New"/>
          <w:sz w:val="15"/>
          <w:szCs w:val="15"/>
          <w:color w:val="auto"/>
        </w:rPr>
        <w:t>(State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ind w:left="740"/>
        <w:spacing w:after="0"/>
        <w:rPr>
          <w:sz w:val="20"/>
          <w:szCs w:val="20"/>
          <w:color w:val="auto"/>
        </w:rPr>
      </w:pPr>
      <w:r>
        <w:rPr>
          <w:rFonts w:ascii="Courier New" w:cs="Courier New" w:eastAsia="Courier New" w:hAnsi="Courier New"/>
          <w:sz w:val="15"/>
          <w:szCs w:val="15"/>
          <w:color w:val="auto"/>
        </w:rPr>
        <w:t>1-12154</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73-1309529</w:t>
      </w:r>
    </w:p>
    <w:p>
      <w:pPr>
        <w:spacing w:after="0" w:line="5" w:lineRule="exact"/>
        <w:rPr>
          <w:sz w:val="24"/>
          <w:szCs w:val="24"/>
          <w:color w:val="auto"/>
        </w:rPr>
      </w:pPr>
    </w:p>
    <w:p>
      <w:pPr>
        <w:ind w:left="80"/>
        <w:spacing w:after="0"/>
        <w:rPr>
          <w:sz w:val="20"/>
          <w:szCs w:val="20"/>
          <w:color w:val="auto"/>
        </w:rPr>
      </w:pPr>
      <w:r>
        <w:rPr>
          <w:rFonts w:ascii="Courier New" w:cs="Courier New" w:eastAsia="Courier New" w:hAnsi="Courier New"/>
          <w:sz w:val="15"/>
          <w:szCs w:val="15"/>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Identification Number)</w:t>
      </w:r>
    </w:p>
    <w:p>
      <w:pPr>
        <w:spacing w:after="0" w:line="200" w:lineRule="exact"/>
        <w:rPr>
          <w:sz w:val="24"/>
          <w:szCs w:val="24"/>
          <w:color w:val="auto"/>
        </w:rPr>
      </w:pPr>
    </w:p>
    <w:p>
      <w:pPr>
        <w:sectPr>
          <w:pgSz w:w="11900" w:h="16838" w:orient="portrait"/>
          <w:cols w:equalWidth="0" w:num="3">
            <w:col w:w="2180" w:space="360"/>
            <w:col w:w="2180" w:space="380"/>
            <w:col w:w="5039"/>
          </w:cols>
          <w:pgMar w:left="320" w:top="235" w:right="1440" w:bottom="1440" w:gutter="0" w:footer="0" w:header="0"/>
          <w:type w:val="continuous"/>
        </w:sectPr>
      </w:pPr>
    </w:p>
    <w:p>
      <w:pPr>
        <w:spacing w:after="0" w:line="154" w:lineRule="exact"/>
        <w:rPr>
          <w:sz w:val="24"/>
          <w:szCs w:val="24"/>
          <w:color w:val="auto"/>
        </w:rPr>
      </w:pPr>
    </w:p>
    <w:p>
      <w:pPr>
        <w:jc w:val="center"/>
        <w:ind w:left="280"/>
        <w:spacing w:after="0"/>
        <w:rPr>
          <w:sz w:val="20"/>
          <w:szCs w:val="20"/>
          <w:color w:val="auto"/>
        </w:rPr>
      </w:pPr>
      <w:r>
        <w:rPr>
          <w:rFonts w:ascii="Courier New" w:cs="Courier New" w:eastAsia="Courier New" w:hAnsi="Courier New"/>
          <w:sz w:val="15"/>
          <w:szCs w:val="15"/>
          <w:color w:val="auto"/>
        </w:rPr>
        <w:t>1001 FANNIN STREET</w:t>
      </w:r>
    </w:p>
    <w:p>
      <w:pPr>
        <w:spacing w:after="0" w:line="5" w:lineRule="exact"/>
        <w:rPr>
          <w:sz w:val="24"/>
          <w:szCs w:val="24"/>
          <w:color w:val="auto"/>
        </w:rPr>
      </w:pPr>
    </w:p>
    <w:p>
      <w:pPr>
        <w:jc w:val="center"/>
        <w:ind w:left="280"/>
        <w:spacing w:after="0"/>
        <w:rPr>
          <w:sz w:val="20"/>
          <w:szCs w:val="20"/>
          <w:color w:val="auto"/>
        </w:rPr>
      </w:pPr>
      <w:r>
        <w:rPr>
          <w:rFonts w:ascii="Courier New" w:cs="Courier New" w:eastAsia="Courier New" w:hAnsi="Courier New"/>
          <w:sz w:val="15"/>
          <w:szCs w:val="15"/>
          <w:color w:val="auto"/>
        </w:rPr>
        <w:t>SUITE 4000</w:t>
      </w:r>
    </w:p>
    <w:p>
      <w:pPr>
        <w:spacing w:after="0" w:line="5" w:lineRule="exact"/>
        <w:rPr>
          <w:sz w:val="24"/>
          <w:szCs w:val="24"/>
          <w:color w:val="auto"/>
        </w:rPr>
      </w:pPr>
    </w:p>
    <w:p>
      <w:pPr>
        <w:jc w:val="center"/>
        <w:ind w:left="280"/>
        <w:spacing w:after="0"/>
        <w:rPr>
          <w:sz w:val="20"/>
          <w:szCs w:val="20"/>
          <w:color w:val="auto"/>
        </w:rPr>
      </w:pPr>
      <w:r>
        <w:rPr>
          <w:rFonts w:ascii="Courier New" w:cs="Courier New" w:eastAsia="Courier New" w:hAnsi="Courier New"/>
          <w:sz w:val="15"/>
          <w:szCs w:val="15"/>
          <w:color w:val="auto"/>
        </w:rPr>
        <w:t>HOUSTON, TEXAS</w:t>
      </w:r>
    </w:p>
    <w:p>
      <w:pPr>
        <w:spacing w:after="0" w:line="5" w:lineRule="exact"/>
        <w:rPr>
          <w:sz w:val="24"/>
          <w:szCs w:val="24"/>
          <w:color w:val="auto"/>
        </w:rPr>
      </w:pPr>
    </w:p>
    <w:p>
      <w:pPr>
        <w:jc w:val="center"/>
        <w:ind w:left="280"/>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4"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77002</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(Zip Code)</w:t>
      </w:r>
    </w:p>
    <w:p>
      <w:pPr>
        <w:spacing w:after="0" w:line="200" w:lineRule="exact"/>
        <w:rPr>
          <w:sz w:val="24"/>
          <w:szCs w:val="24"/>
          <w:color w:val="auto"/>
        </w:rPr>
      </w:pPr>
    </w:p>
    <w:p>
      <w:pPr>
        <w:sectPr>
          <w:pgSz w:w="11900" w:h="16838" w:orient="portrait"/>
          <w:cols w:equalWidth="0" w:num="2">
            <w:col w:w="4640" w:space="720"/>
            <w:col w:w="4779"/>
          </w:cols>
          <w:pgMar w:left="320" w:top="235" w:right="1440" w:bottom="1440" w:gutter="0" w:footer="0" w:header="0"/>
          <w:type w:val="continuous"/>
        </w:sectPr>
      </w:pPr>
    </w:p>
    <w:p>
      <w:pPr>
        <w:spacing w:after="0" w:line="329" w:lineRule="exact"/>
        <w:rPr>
          <w:sz w:val="24"/>
          <w:szCs w:val="24"/>
          <w:color w:val="auto"/>
        </w:rPr>
      </w:pPr>
    </w:p>
    <w:p>
      <w:pPr>
        <w:ind w:left="540"/>
        <w:spacing w:after="0"/>
        <w:rPr>
          <w:sz w:val="20"/>
          <w:szCs w:val="20"/>
          <w:color w:val="auto"/>
        </w:rPr>
      </w:pPr>
      <w:r>
        <w:rPr>
          <w:rFonts w:ascii="Courier New" w:cs="Courier New" w:eastAsia="Courier New" w:hAnsi="Courier New"/>
          <w:sz w:val="15"/>
          <w:szCs w:val="15"/>
          <w:color w:val="auto"/>
        </w:rPr>
        <w:t>Registrant's telephone number, including area code: (713) 512-6200</w:t>
      </w:r>
    </w:p>
    <w:p>
      <w:pPr>
        <w:sectPr>
          <w:pgSz w:w="11900" w:h="16838" w:orient="portrait"/>
          <w:cols w:equalWidth="0" w:num="1">
            <w:col w:w="10139"/>
          </w:cols>
          <w:pgMar w:left="320" w:top="235" w:right="1440" w:bottom="1440" w:gutter="0" w:footer="0" w:header="0"/>
          <w:type w:val="continuous"/>
        </w:sectPr>
      </w:pPr>
    </w:p>
    <w:bookmarkStart w:id="1" w:name="page2"/>
    <w:bookmarkEnd w:id="1"/>
    <w:p>
      <w:pPr>
        <w:ind w:left="260"/>
        <w:spacing w:after="0"/>
        <w:rPr>
          <w:sz w:val="20"/>
          <w:szCs w:val="20"/>
          <w:color w:val="auto"/>
        </w:rPr>
      </w:pPr>
      <w:r>
        <w:rPr>
          <w:rFonts w:ascii="Courier New" w:cs="Courier New" w:eastAsia="Courier New" w:hAnsi="Courier New"/>
          <w:sz w:val="15"/>
          <w:szCs w:val="15"/>
          <w:color w:val="auto"/>
        </w:rPr>
        <w:t>2</w:t>
      </w:r>
    </w:p>
    <w:p>
      <w:pPr>
        <w:spacing w:after="0" w:line="354"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4"/>
          <w:szCs w:val="14"/>
          <w:color w:val="auto"/>
        </w:rPr>
        <w:t>OTHER EVENTS</w:t>
      </w:r>
    </w:p>
    <w:p>
      <w:pPr>
        <w:spacing w:after="0" w:line="180" w:lineRule="exact"/>
        <w:rPr>
          <w:sz w:val="20"/>
          <w:szCs w:val="20"/>
          <w:color w:val="auto"/>
        </w:rPr>
      </w:pPr>
    </w:p>
    <w:p>
      <w:pPr>
        <w:ind w:right="3039" w:firstLine="727"/>
        <w:spacing w:after="0" w:line="247" w:lineRule="auto"/>
        <w:rPr>
          <w:sz w:val="20"/>
          <w:szCs w:val="20"/>
          <w:color w:val="auto"/>
        </w:rPr>
      </w:pPr>
      <w:r>
        <w:rPr>
          <w:rFonts w:ascii="Courier New" w:cs="Courier New" w:eastAsia="Courier New" w:hAnsi="Courier New"/>
          <w:sz w:val="15"/>
          <w:szCs w:val="15"/>
          <w:color w:val="auto"/>
        </w:rPr>
        <w:t>On February 7, 1997, USA Waste Services, Inc. sold 11,500,000 shares of its Common Stock in an underwritten public offering and $535,275,000 of its 4% Convertible Subordinated Notes due 2002 in an underwritten public offering.</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7. FINANCIAL STATEMENTS AND EXHIBITS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 Exhibits</w:t>
      </w:r>
    </w:p>
    <w:p>
      <w:pPr>
        <w:spacing w:after="0" w:line="180" w:lineRule="exact"/>
        <w:rPr>
          <w:sz w:val="20"/>
          <w:szCs w:val="20"/>
          <w:color w:val="auto"/>
        </w:rPr>
      </w:pPr>
    </w:p>
    <w:p>
      <w:pPr>
        <w:ind w:left="1440" w:right="3219" w:hanging="726"/>
        <w:spacing w:after="0" w:line="247" w:lineRule="auto"/>
        <w:tabs>
          <w:tab w:leader="none" w:pos="1420" w:val="left"/>
        </w:tabs>
        <w:rPr>
          <w:sz w:val="20"/>
          <w:szCs w:val="20"/>
          <w:color w:val="auto"/>
        </w:rPr>
      </w:pPr>
      <w:r>
        <w:rPr>
          <w:rFonts w:ascii="Courier New" w:cs="Courier New" w:eastAsia="Courier New" w:hAnsi="Courier New"/>
          <w:sz w:val="15"/>
          <w:szCs w:val="15"/>
          <w:color w:val="auto"/>
        </w:rPr>
        <w:t>1.1</w:t>
      </w:r>
      <w:r>
        <w:rPr>
          <w:sz w:val="20"/>
          <w:szCs w:val="20"/>
          <w:color w:val="auto"/>
        </w:rPr>
        <w:tab/>
      </w:r>
      <w:r>
        <w:rPr>
          <w:rFonts w:ascii="Courier New" w:cs="Courier New" w:eastAsia="Courier New" w:hAnsi="Courier New"/>
          <w:sz w:val="15"/>
          <w:szCs w:val="15"/>
          <w:color w:val="auto"/>
        </w:rPr>
        <w:t>Underwriting Agreement dated February 3, 1997, among the Registrant and the Underwriters named therein relating to the sale of Common Stock.</w:t>
      </w:r>
    </w:p>
    <w:p>
      <w:pPr>
        <w:spacing w:after="0" w:line="174" w:lineRule="exact"/>
        <w:rPr>
          <w:sz w:val="20"/>
          <w:szCs w:val="20"/>
          <w:color w:val="auto"/>
        </w:rPr>
      </w:pPr>
    </w:p>
    <w:p>
      <w:pPr>
        <w:ind w:left="1440" w:right="3219" w:hanging="726"/>
        <w:spacing w:after="0" w:line="247" w:lineRule="auto"/>
        <w:tabs>
          <w:tab w:leader="none" w:pos="1420" w:val="left"/>
        </w:tabs>
        <w:rPr>
          <w:sz w:val="20"/>
          <w:szCs w:val="20"/>
          <w:color w:val="auto"/>
        </w:rPr>
      </w:pPr>
      <w:r>
        <w:rPr>
          <w:rFonts w:ascii="Courier New" w:cs="Courier New" w:eastAsia="Courier New" w:hAnsi="Courier New"/>
          <w:sz w:val="15"/>
          <w:szCs w:val="15"/>
          <w:color w:val="auto"/>
        </w:rPr>
        <w:t>1.2</w:t>
      </w:r>
      <w:r>
        <w:rPr>
          <w:sz w:val="20"/>
          <w:szCs w:val="20"/>
          <w:color w:val="auto"/>
        </w:rPr>
        <w:tab/>
      </w:r>
      <w:r>
        <w:rPr>
          <w:rFonts w:ascii="Courier New" w:cs="Courier New" w:eastAsia="Courier New" w:hAnsi="Courier New"/>
          <w:sz w:val="15"/>
          <w:szCs w:val="15"/>
          <w:color w:val="auto"/>
        </w:rPr>
        <w:t>Underwriting Agreement dated February 3, 1997, among the Registrant and the Underwriters named therein relating to the sale of 4% Convertible Subordinated Notes due 2002.</w:t>
      </w:r>
    </w:p>
    <w:p>
      <w:pPr>
        <w:spacing w:after="0" w:line="174" w:lineRule="exact"/>
        <w:rPr>
          <w:sz w:val="20"/>
          <w:szCs w:val="20"/>
          <w:color w:val="auto"/>
        </w:rPr>
      </w:pPr>
    </w:p>
    <w:p>
      <w:pPr>
        <w:ind w:left="1440" w:right="3319" w:hanging="726"/>
        <w:spacing w:after="0" w:line="247" w:lineRule="auto"/>
        <w:tabs>
          <w:tab w:leader="none" w:pos="1420"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5"/>
          <w:szCs w:val="15"/>
          <w:color w:val="auto"/>
        </w:rPr>
        <w:t>Indenture for Subordinated Debt Securities dated February 3, 1997, among the Registrant and Texas Commerce Bank National Association, as trustee.</w:t>
      </w:r>
    </w:p>
    <w:p>
      <w:pPr>
        <w:spacing w:after="0" w:line="174" w:lineRule="exact"/>
        <w:rPr>
          <w:sz w:val="20"/>
          <w:szCs w:val="20"/>
          <w:color w:val="auto"/>
        </w:rPr>
      </w:pPr>
    </w:p>
    <w:p>
      <w:pPr>
        <w:ind w:left="1440" w:right="3319" w:hanging="726"/>
        <w:spacing w:after="0" w:line="247" w:lineRule="auto"/>
        <w:tabs>
          <w:tab w:leader="none" w:pos="1420" w:val="left"/>
        </w:tabs>
        <w:rPr>
          <w:sz w:val="20"/>
          <w:szCs w:val="20"/>
          <w:color w:val="auto"/>
        </w:rPr>
      </w:pPr>
      <w:r>
        <w:rPr>
          <w:rFonts w:ascii="Courier New" w:cs="Courier New" w:eastAsia="Courier New" w:hAnsi="Courier New"/>
          <w:sz w:val="15"/>
          <w:szCs w:val="15"/>
          <w:color w:val="auto"/>
        </w:rPr>
        <w:t>4.2</w:t>
      </w:r>
      <w:r>
        <w:rPr>
          <w:sz w:val="20"/>
          <w:szCs w:val="20"/>
          <w:color w:val="auto"/>
        </w:rPr>
        <w:tab/>
      </w:r>
      <w:r>
        <w:rPr>
          <w:rFonts w:ascii="Courier New" w:cs="Courier New" w:eastAsia="Courier New" w:hAnsi="Courier New"/>
          <w:sz w:val="15"/>
          <w:szCs w:val="15"/>
          <w:color w:val="auto"/>
        </w:rPr>
        <w:t>Officers Certificate dated as of February 7, 1997, setting forth the terms of the 4% Convertible Subordinated Notes due 2002.</w:t>
      </w:r>
    </w:p>
    <w:p>
      <w:pPr>
        <w:spacing w:after="0" w:line="174" w:lineRule="exact"/>
        <w:rPr>
          <w:sz w:val="20"/>
          <w:szCs w:val="20"/>
          <w:color w:val="auto"/>
        </w:rPr>
      </w:pPr>
    </w:p>
    <w:p>
      <w:pPr>
        <w:ind w:left="720"/>
        <w:spacing w:after="0"/>
        <w:tabs>
          <w:tab w:leader="none" w:pos="1420" w:val="left"/>
        </w:tabs>
        <w:rPr>
          <w:sz w:val="20"/>
          <w:szCs w:val="20"/>
          <w:color w:val="auto"/>
        </w:rPr>
      </w:pPr>
      <w:r>
        <w:rPr>
          <w:rFonts w:ascii="Courier New" w:cs="Courier New" w:eastAsia="Courier New" w:hAnsi="Courier New"/>
          <w:sz w:val="15"/>
          <w:szCs w:val="15"/>
          <w:color w:val="auto"/>
        </w:rPr>
        <w:t>4.3</w:t>
      </w:r>
      <w:r>
        <w:rPr>
          <w:sz w:val="20"/>
          <w:szCs w:val="20"/>
          <w:color w:val="auto"/>
        </w:rPr>
        <w:tab/>
      </w:r>
      <w:r>
        <w:rPr>
          <w:rFonts w:ascii="Courier New" w:cs="Courier New" w:eastAsia="Courier New" w:hAnsi="Courier New"/>
          <w:sz w:val="15"/>
          <w:szCs w:val="15"/>
          <w:color w:val="auto"/>
        </w:rPr>
        <w:t>Form of 4% Convertible Subordinated Note due 2002.</w:t>
      </w:r>
    </w:p>
    <w:p>
      <w:pPr>
        <w:spacing w:after="0" w:line="180"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SIGNATURE</w:t>
      </w:r>
    </w:p>
    <w:p>
      <w:pPr>
        <w:spacing w:after="0" w:line="180" w:lineRule="exact"/>
        <w:rPr>
          <w:sz w:val="20"/>
          <w:szCs w:val="20"/>
          <w:color w:val="auto"/>
        </w:rPr>
      </w:pPr>
    </w:p>
    <w:p>
      <w:pPr>
        <w:ind w:right="3139" w:firstLine="818"/>
        <w:spacing w:after="0" w:line="247" w:lineRule="auto"/>
        <w:rPr>
          <w:sz w:val="20"/>
          <w:szCs w:val="20"/>
          <w:color w:val="auto"/>
        </w:rPr>
      </w:pPr>
      <w:r>
        <w:rPr>
          <w:rFonts w:ascii="Courier New" w:cs="Courier New" w:eastAsia="Courier New" w:hAnsi="Courier New"/>
          <w:sz w:val="15"/>
          <w:szCs w:val="15"/>
          <w:color w:val="auto"/>
        </w:rPr>
        <w:t>Pursuant to the requirements of Section 12 of the Securities Exchange Act of 1934, the registrant has duly caused this report to be signed on its behalf by the undersigned hereunto duly authorized.</w:t>
      </w:r>
    </w:p>
    <w:p>
      <w:pPr>
        <w:spacing w:after="0" w:line="174" w:lineRule="exact"/>
        <w:rPr>
          <w:sz w:val="20"/>
          <w:szCs w:val="20"/>
          <w:color w:val="auto"/>
        </w:rPr>
      </w:pPr>
    </w:p>
    <w:p>
      <w:pPr>
        <w:spacing w:after="0"/>
        <w:tabs>
          <w:tab w:leader="none" w:pos="700" w:val="left"/>
        </w:tabs>
        <w:rPr>
          <w:sz w:val="20"/>
          <w:szCs w:val="20"/>
          <w:color w:val="auto"/>
        </w:rPr>
      </w:pPr>
      <w:r>
        <w:rPr>
          <w:rFonts w:ascii="Courier New" w:cs="Courier New" w:eastAsia="Courier New" w:hAnsi="Courier New"/>
          <w:sz w:val="15"/>
          <w:szCs w:val="15"/>
          <w:color w:val="auto"/>
        </w:rPr>
        <w:t>Dated:</w:t>
        <w:tab/>
        <w:t>February 7, 1997</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USA WASTE SERVICES, INC.</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By: /s/ GREGORY T. SANGALIS</w:t>
      </w:r>
    </w:p>
    <w:p>
      <w:pPr>
        <w:spacing w:after="0" w:line="5"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260"/>
        <w:spacing w:after="0"/>
        <w:rPr>
          <w:sz w:val="20"/>
          <w:szCs w:val="20"/>
          <w:color w:val="auto"/>
        </w:rPr>
      </w:pPr>
      <w:r>
        <w:rPr>
          <w:rFonts w:ascii="Courier New" w:cs="Courier New" w:eastAsia="Courier New" w:hAnsi="Courier New"/>
          <w:sz w:val="15"/>
          <w:szCs w:val="15"/>
          <w:color w:val="auto"/>
        </w:rPr>
        <w:t>Gregory T. Sangalis</w:t>
      </w:r>
    </w:p>
    <w:p>
      <w:pPr>
        <w:spacing w:after="0" w:line="5" w:lineRule="exact"/>
        <w:rPr>
          <w:sz w:val="20"/>
          <w:szCs w:val="20"/>
          <w:color w:val="auto"/>
        </w:rPr>
      </w:pPr>
    </w:p>
    <w:p>
      <w:pPr>
        <w:ind w:left="4260"/>
        <w:spacing w:after="0"/>
        <w:rPr>
          <w:sz w:val="20"/>
          <w:szCs w:val="20"/>
          <w:color w:val="auto"/>
        </w:rPr>
      </w:pPr>
      <w:r>
        <w:rPr>
          <w:rFonts w:ascii="Courier New" w:cs="Courier New" w:eastAsia="Courier New" w:hAnsi="Courier New"/>
          <w:sz w:val="15"/>
          <w:szCs w:val="15"/>
          <w:color w:val="auto"/>
        </w:rPr>
        <w:t>Vice President, General Counsel</w:t>
      </w:r>
    </w:p>
    <w:p>
      <w:pPr>
        <w:spacing w:after="0" w:line="5" w:lineRule="exact"/>
        <w:rPr>
          <w:sz w:val="20"/>
          <w:szCs w:val="20"/>
          <w:color w:val="auto"/>
        </w:rPr>
      </w:pPr>
    </w:p>
    <w:p>
      <w:pPr>
        <w:ind w:left="4540"/>
        <w:spacing w:after="0"/>
        <w:rPr>
          <w:sz w:val="20"/>
          <w:szCs w:val="20"/>
          <w:color w:val="auto"/>
        </w:rPr>
      </w:pPr>
      <w:r>
        <w:rPr>
          <w:rFonts w:ascii="Courier New" w:cs="Courier New" w:eastAsia="Courier New" w:hAnsi="Courier New"/>
          <w:sz w:val="15"/>
          <w:szCs w:val="15"/>
          <w:color w:val="auto"/>
        </w:rPr>
        <w:t>and Secretary</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93"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5"/>
          <w:szCs w:val="15"/>
          <w:color w:val="auto"/>
        </w:rPr>
        <w:t>3</w:t>
      </w:r>
    </w:p>
    <w:p>
      <w:pPr>
        <w:spacing w:after="0" w:line="5" w:lineRule="exact"/>
        <w:rPr>
          <w:sz w:val="20"/>
          <w:szCs w:val="20"/>
          <w:color w:val="auto"/>
        </w:rPr>
      </w:pPr>
    </w:p>
    <w:tbl>
      <w:tblPr>
        <w:tblLayout w:type="fixed"/>
        <w:tblInd w:w="280" w:type="dxa"/>
        <w:tblCellMar>
          <w:top w:w="0" w:type="dxa"/>
          <w:left w:w="0" w:type="dxa"/>
          <w:bottom w:w="0" w:type="dxa"/>
          <w:right w:w="0" w:type="dxa"/>
        </w:tblCellMar>
      </w:tblPr>
      <w:tr>
        <w:trPr>
          <w:trHeight w:val="170"/>
        </w:trPr>
        <w:tc>
          <w:tcPr>
            <w:tcW w:w="780" w:type="dxa"/>
            <w:vAlign w:val="bottom"/>
          </w:tcPr>
          <w:p>
            <w:pPr>
              <w:spacing w:after="0"/>
              <w:rPr>
                <w:sz w:val="14"/>
                <w:szCs w:val="14"/>
                <w:color w:val="auto"/>
              </w:rPr>
            </w:pPr>
          </w:p>
        </w:tc>
        <w:tc>
          <w:tcPr>
            <w:tcW w:w="5680" w:type="dxa"/>
            <w:vAlign w:val="bottom"/>
          </w:tcPr>
          <w:p>
            <w:pPr>
              <w:ind w:left="1680"/>
              <w:spacing w:after="0"/>
              <w:rPr>
                <w:sz w:val="20"/>
                <w:szCs w:val="20"/>
                <w:color w:val="auto"/>
              </w:rPr>
            </w:pPr>
            <w:r>
              <w:rPr>
                <w:rFonts w:ascii="Courier New" w:cs="Courier New" w:eastAsia="Courier New" w:hAnsi="Courier New"/>
                <w:sz w:val="15"/>
                <w:szCs w:val="15"/>
                <w:color w:val="auto"/>
              </w:rPr>
              <w:t>EXHIBIT INDEX</w:t>
            </w:r>
          </w:p>
        </w:tc>
      </w:tr>
      <w:tr>
        <w:trPr>
          <w:trHeight w:val="699"/>
        </w:trPr>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Exhibit</w:t>
            </w:r>
          </w:p>
        </w:tc>
        <w:tc>
          <w:tcPr>
            <w:tcW w:w="5680" w:type="dxa"/>
            <w:vAlign w:val="bottom"/>
          </w:tcPr>
          <w:p>
            <w:pPr>
              <w:spacing w:after="0"/>
              <w:rPr>
                <w:sz w:val="24"/>
                <w:szCs w:val="24"/>
                <w:color w:val="auto"/>
              </w:rPr>
            </w:pPr>
          </w:p>
        </w:tc>
      </w:tr>
      <w:tr>
        <w:trPr>
          <w:trHeight w:val="175"/>
        </w:trPr>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Number</w:t>
            </w:r>
          </w:p>
        </w:tc>
        <w:tc>
          <w:tcPr>
            <w:tcW w:w="5680" w:type="dxa"/>
            <w:vAlign w:val="bottom"/>
          </w:tcPr>
          <w:p>
            <w:pPr>
              <w:ind w:left="2040"/>
              <w:spacing w:after="0"/>
              <w:rPr>
                <w:sz w:val="20"/>
                <w:szCs w:val="20"/>
                <w:color w:val="auto"/>
              </w:rPr>
            </w:pPr>
            <w:r>
              <w:rPr>
                <w:rFonts w:ascii="Courier New" w:cs="Courier New" w:eastAsia="Courier New" w:hAnsi="Courier New"/>
                <w:sz w:val="15"/>
                <w:szCs w:val="15"/>
                <w:color w:val="auto"/>
              </w:rPr>
              <w:t>Description</w:t>
            </w:r>
          </w:p>
        </w:tc>
      </w:tr>
      <w:tr>
        <w:trPr>
          <w:trHeight w:val="175"/>
        </w:trPr>
        <w:tc>
          <w:tcPr>
            <w:tcW w:w="78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w:t>
            </w:r>
          </w:p>
        </w:tc>
        <w:tc>
          <w:tcPr>
            <w:tcW w:w="5680" w:type="dxa"/>
            <w:vAlign w:val="bottom"/>
          </w:tcPr>
          <w:p>
            <w:pPr>
              <w:ind w:left="2040"/>
              <w:spacing w:after="0"/>
              <w:rPr>
                <w:sz w:val="20"/>
                <w:szCs w:val="20"/>
                <w:color w:val="auto"/>
              </w:rPr>
            </w:pPr>
            <w:r>
              <w:rPr>
                <w:rFonts w:ascii="Courier New" w:cs="Courier New" w:eastAsia="Courier New" w:hAnsi="Courier New"/>
                <w:sz w:val="15"/>
                <w:szCs w:val="15"/>
                <w:color w:val="auto"/>
              </w:rPr>
              <w:t>-----------</w:t>
            </w:r>
          </w:p>
        </w:tc>
      </w:tr>
      <w:tr>
        <w:trPr>
          <w:trHeight w:val="350"/>
        </w:trPr>
        <w:tc>
          <w:tcPr>
            <w:tcW w:w="78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1.1</w:t>
            </w:r>
          </w:p>
        </w:tc>
        <w:tc>
          <w:tcPr>
            <w:tcW w:w="5680" w:type="dxa"/>
            <w:vAlign w:val="bottom"/>
          </w:tcPr>
          <w:p>
            <w:pPr>
              <w:ind w:left="120"/>
              <w:spacing w:after="0"/>
              <w:rPr>
                <w:sz w:val="20"/>
                <w:szCs w:val="20"/>
                <w:color w:val="auto"/>
              </w:rPr>
            </w:pPr>
            <w:r>
              <w:rPr>
                <w:rFonts w:ascii="Courier New" w:cs="Courier New" w:eastAsia="Courier New" w:hAnsi="Courier New"/>
                <w:sz w:val="15"/>
                <w:szCs w:val="15"/>
                <w:color w:val="auto"/>
              </w:rPr>
              <w:t>Underwriting Agreement dated February 3, 1997, among the</w:t>
            </w:r>
          </w:p>
        </w:tc>
      </w:tr>
      <w:tr>
        <w:trPr>
          <w:trHeight w:val="175"/>
        </w:trPr>
        <w:tc>
          <w:tcPr>
            <w:tcW w:w="780" w:type="dxa"/>
            <w:vAlign w:val="bottom"/>
          </w:tcPr>
          <w:p>
            <w:pPr>
              <w:spacing w:after="0"/>
              <w:rPr>
                <w:sz w:val="15"/>
                <w:szCs w:val="15"/>
                <w:color w:val="auto"/>
              </w:rPr>
            </w:pPr>
          </w:p>
        </w:tc>
        <w:tc>
          <w:tcPr>
            <w:tcW w:w="5680" w:type="dxa"/>
            <w:vAlign w:val="bottom"/>
          </w:tcPr>
          <w:p>
            <w:pPr>
              <w:ind w:left="120"/>
              <w:spacing w:after="0"/>
              <w:rPr>
                <w:sz w:val="20"/>
                <w:szCs w:val="20"/>
                <w:color w:val="auto"/>
              </w:rPr>
            </w:pPr>
            <w:r>
              <w:rPr>
                <w:rFonts w:ascii="Courier New" w:cs="Courier New" w:eastAsia="Courier New" w:hAnsi="Courier New"/>
                <w:sz w:val="15"/>
                <w:szCs w:val="15"/>
                <w:color w:val="auto"/>
              </w:rPr>
              <w:t>Registrant and the Underwriters named therein relating to the</w:t>
            </w:r>
          </w:p>
        </w:tc>
      </w:tr>
      <w:tr>
        <w:trPr>
          <w:trHeight w:val="175"/>
        </w:trPr>
        <w:tc>
          <w:tcPr>
            <w:tcW w:w="780" w:type="dxa"/>
            <w:vAlign w:val="bottom"/>
          </w:tcPr>
          <w:p>
            <w:pPr>
              <w:spacing w:after="0"/>
              <w:rPr>
                <w:sz w:val="15"/>
                <w:szCs w:val="15"/>
                <w:color w:val="auto"/>
              </w:rPr>
            </w:pPr>
          </w:p>
        </w:tc>
        <w:tc>
          <w:tcPr>
            <w:tcW w:w="5680" w:type="dxa"/>
            <w:vAlign w:val="bottom"/>
          </w:tcPr>
          <w:p>
            <w:pPr>
              <w:ind w:left="120"/>
              <w:spacing w:after="0"/>
              <w:rPr>
                <w:sz w:val="20"/>
                <w:szCs w:val="20"/>
                <w:color w:val="auto"/>
              </w:rPr>
            </w:pPr>
            <w:r>
              <w:rPr>
                <w:rFonts w:ascii="Courier New" w:cs="Courier New" w:eastAsia="Courier New" w:hAnsi="Courier New"/>
                <w:sz w:val="15"/>
                <w:szCs w:val="15"/>
                <w:color w:val="auto"/>
              </w:rPr>
              <w:t>sale of Common Stock.</w:t>
            </w:r>
          </w:p>
        </w:tc>
      </w:tr>
      <w:tr>
        <w:trPr>
          <w:trHeight w:val="350"/>
        </w:trPr>
        <w:tc>
          <w:tcPr>
            <w:tcW w:w="78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1.2</w:t>
            </w:r>
          </w:p>
        </w:tc>
        <w:tc>
          <w:tcPr>
            <w:tcW w:w="5680" w:type="dxa"/>
            <w:vAlign w:val="bottom"/>
          </w:tcPr>
          <w:p>
            <w:pPr>
              <w:ind w:left="120"/>
              <w:spacing w:after="0"/>
              <w:rPr>
                <w:sz w:val="20"/>
                <w:szCs w:val="20"/>
                <w:color w:val="auto"/>
              </w:rPr>
            </w:pPr>
            <w:r>
              <w:rPr>
                <w:rFonts w:ascii="Courier New" w:cs="Courier New" w:eastAsia="Courier New" w:hAnsi="Courier New"/>
                <w:sz w:val="15"/>
                <w:szCs w:val="15"/>
                <w:color w:val="auto"/>
              </w:rPr>
              <w:t>Underwriting Agreement dated February 3, 1997, among the</w:t>
            </w:r>
          </w:p>
        </w:tc>
      </w:tr>
      <w:tr>
        <w:trPr>
          <w:trHeight w:val="175"/>
        </w:trPr>
        <w:tc>
          <w:tcPr>
            <w:tcW w:w="780" w:type="dxa"/>
            <w:vAlign w:val="bottom"/>
          </w:tcPr>
          <w:p>
            <w:pPr>
              <w:spacing w:after="0"/>
              <w:rPr>
                <w:sz w:val="15"/>
                <w:szCs w:val="15"/>
                <w:color w:val="auto"/>
              </w:rPr>
            </w:pPr>
          </w:p>
        </w:tc>
        <w:tc>
          <w:tcPr>
            <w:tcW w:w="5680" w:type="dxa"/>
            <w:vAlign w:val="bottom"/>
          </w:tcPr>
          <w:p>
            <w:pPr>
              <w:ind w:left="120"/>
              <w:spacing w:after="0"/>
              <w:rPr>
                <w:sz w:val="20"/>
                <w:szCs w:val="20"/>
                <w:color w:val="auto"/>
              </w:rPr>
            </w:pPr>
            <w:r>
              <w:rPr>
                <w:rFonts w:ascii="Courier New" w:cs="Courier New" w:eastAsia="Courier New" w:hAnsi="Courier New"/>
                <w:sz w:val="15"/>
                <w:szCs w:val="15"/>
                <w:color w:val="auto"/>
              </w:rPr>
              <w:t>Registrant and the Underwriters named therein relating to the</w:t>
            </w:r>
          </w:p>
        </w:tc>
      </w:tr>
      <w:tr>
        <w:trPr>
          <w:trHeight w:val="175"/>
        </w:trPr>
        <w:tc>
          <w:tcPr>
            <w:tcW w:w="780" w:type="dxa"/>
            <w:vAlign w:val="bottom"/>
          </w:tcPr>
          <w:p>
            <w:pPr>
              <w:spacing w:after="0"/>
              <w:rPr>
                <w:sz w:val="15"/>
                <w:szCs w:val="15"/>
                <w:color w:val="auto"/>
              </w:rPr>
            </w:pPr>
          </w:p>
        </w:tc>
        <w:tc>
          <w:tcPr>
            <w:tcW w:w="5680" w:type="dxa"/>
            <w:vAlign w:val="bottom"/>
          </w:tcPr>
          <w:p>
            <w:pPr>
              <w:ind w:left="120"/>
              <w:spacing w:after="0"/>
              <w:rPr>
                <w:sz w:val="20"/>
                <w:szCs w:val="20"/>
                <w:color w:val="auto"/>
              </w:rPr>
            </w:pPr>
            <w:r>
              <w:rPr>
                <w:rFonts w:ascii="Courier New" w:cs="Courier New" w:eastAsia="Courier New" w:hAnsi="Courier New"/>
                <w:sz w:val="15"/>
                <w:szCs w:val="15"/>
                <w:color w:val="auto"/>
              </w:rPr>
              <w:t>sale of 4% Convertible Subordinated Notes due 2002.</w:t>
            </w:r>
          </w:p>
        </w:tc>
      </w:tr>
      <w:tr>
        <w:trPr>
          <w:trHeight w:val="350"/>
        </w:trPr>
        <w:tc>
          <w:tcPr>
            <w:tcW w:w="78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4.1</w:t>
            </w:r>
          </w:p>
        </w:tc>
        <w:tc>
          <w:tcPr>
            <w:tcW w:w="5680" w:type="dxa"/>
            <w:vAlign w:val="bottom"/>
          </w:tcPr>
          <w:p>
            <w:pPr>
              <w:ind w:left="120"/>
              <w:spacing w:after="0"/>
              <w:rPr>
                <w:sz w:val="20"/>
                <w:szCs w:val="20"/>
                <w:color w:val="auto"/>
              </w:rPr>
            </w:pPr>
            <w:r>
              <w:rPr>
                <w:rFonts w:ascii="Courier New" w:cs="Courier New" w:eastAsia="Courier New" w:hAnsi="Courier New"/>
                <w:sz w:val="15"/>
                <w:szCs w:val="15"/>
                <w:color w:val="auto"/>
              </w:rPr>
              <w:t>Indenture for Subordinated Debt Securities dated February 3,</w:t>
            </w:r>
          </w:p>
        </w:tc>
      </w:tr>
      <w:tr>
        <w:trPr>
          <w:trHeight w:val="175"/>
        </w:trPr>
        <w:tc>
          <w:tcPr>
            <w:tcW w:w="780" w:type="dxa"/>
            <w:vAlign w:val="bottom"/>
          </w:tcPr>
          <w:p>
            <w:pPr>
              <w:spacing w:after="0"/>
              <w:rPr>
                <w:sz w:val="15"/>
                <w:szCs w:val="15"/>
                <w:color w:val="auto"/>
              </w:rPr>
            </w:pPr>
          </w:p>
        </w:tc>
        <w:tc>
          <w:tcPr>
            <w:tcW w:w="5680" w:type="dxa"/>
            <w:vAlign w:val="bottom"/>
          </w:tcPr>
          <w:p>
            <w:pPr>
              <w:ind w:left="120"/>
              <w:spacing w:after="0"/>
              <w:rPr>
                <w:sz w:val="20"/>
                <w:szCs w:val="20"/>
                <w:color w:val="auto"/>
              </w:rPr>
            </w:pPr>
            <w:r>
              <w:rPr>
                <w:rFonts w:ascii="Courier New" w:cs="Courier New" w:eastAsia="Courier New" w:hAnsi="Courier New"/>
                <w:sz w:val="15"/>
                <w:szCs w:val="15"/>
                <w:color w:val="auto"/>
              </w:rPr>
              <w:t>1997, among the Registrant and Texas Commerce Bank National</w:t>
            </w:r>
          </w:p>
        </w:tc>
      </w:tr>
      <w:tr>
        <w:trPr>
          <w:trHeight w:val="175"/>
        </w:trPr>
        <w:tc>
          <w:tcPr>
            <w:tcW w:w="780" w:type="dxa"/>
            <w:vAlign w:val="bottom"/>
          </w:tcPr>
          <w:p>
            <w:pPr>
              <w:spacing w:after="0"/>
              <w:rPr>
                <w:sz w:val="15"/>
                <w:szCs w:val="15"/>
                <w:color w:val="auto"/>
              </w:rPr>
            </w:pPr>
          </w:p>
        </w:tc>
        <w:tc>
          <w:tcPr>
            <w:tcW w:w="5680" w:type="dxa"/>
            <w:vAlign w:val="bottom"/>
          </w:tcPr>
          <w:p>
            <w:pPr>
              <w:ind w:left="120"/>
              <w:spacing w:after="0"/>
              <w:rPr>
                <w:sz w:val="20"/>
                <w:szCs w:val="20"/>
                <w:color w:val="auto"/>
              </w:rPr>
            </w:pPr>
            <w:r>
              <w:rPr>
                <w:rFonts w:ascii="Courier New" w:cs="Courier New" w:eastAsia="Courier New" w:hAnsi="Courier New"/>
                <w:sz w:val="15"/>
                <w:szCs w:val="15"/>
                <w:color w:val="auto"/>
              </w:rPr>
              <w:t>Association, as trustee.</w:t>
            </w:r>
          </w:p>
        </w:tc>
      </w:tr>
      <w:tr>
        <w:trPr>
          <w:trHeight w:val="350"/>
        </w:trPr>
        <w:tc>
          <w:tcPr>
            <w:tcW w:w="78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4.2</w:t>
            </w:r>
          </w:p>
        </w:tc>
        <w:tc>
          <w:tcPr>
            <w:tcW w:w="5680" w:type="dxa"/>
            <w:vAlign w:val="bottom"/>
          </w:tcPr>
          <w:p>
            <w:pPr>
              <w:ind w:left="120"/>
              <w:spacing w:after="0"/>
              <w:rPr>
                <w:sz w:val="20"/>
                <w:szCs w:val="20"/>
                <w:color w:val="auto"/>
              </w:rPr>
            </w:pPr>
            <w:r>
              <w:rPr>
                <w:rFonts w:ascii="Courier New" w:cs="Courier New" w:eastAsia="Courier New" w:hAnsi="Courier New"/>
                <w:sz w:val="15"/>
                <w:szCs w:val="15"/>
                <w:color w:val="auto"/>
              </w:rPr>
              <w:t>Officers Certificate dated as of February 7, 1997, setting</w:t>
            </w:r>
          </w:p>
        </w:tc>
      </w:tr>
      <w:tr>
        <w:trPr>
          <w:trHeight w:val="175"/>
        </w:trPr>
        <w:tc>
          <w:tcPr>
            <w:tcW w:w="780" w:type="dxa"/>
            <w:vAlign w:val="bottom"/>
          </w:tcPr>
          <w:p>
            <w:pPr>
              <w:spacing w:after="0"/>
              <w:rPr>
                <w:sz w:val="15"/>
                <w:szCs w:val="15"/>
                <w:color w:val="auto"/>
              </w:rPr>
            </w:pPr>
          </w:p>
        </w:tc>
        <w:tc>
          <w:tcPr>
            <w:tcW w:w="5680" w:type="dxa"/>
            <w:vAlign w:val="bottom"/>
          </w:tcPr>
          <w:p>
            <w:pPr>
              <w:ind w:left="120"/>
              <w:spacing w:after="0"/>
              <w:rPr>
                <w:sz w:val="20"/>
                <w:szCs w:val="20"/>
                <w:color w:val="auto"/>
              </w:rPr>
            </w:pPr>
            <w:r>
              <w:rPr>
                <w:rFonts w:ascii="Courier New" w:cs="Courier New" w:eastAsia="Courier New" w:hAnsi="Courier New"/>
                <w:sz w:val="15"/>
                <w:szCs w:val="15"/>
                <w:color w:val="auto"/>
              </w:rPr>
              <w:t>forth the terms of the 4% Convertible Subordinated Notes due</w:t>
            </w:r>
          </w:p>
        </w:tc>
      </w:tr>
      <w:tr>
        <w:trPr>
          <w:trHeight w:val="175"/>
        </w:trPr>
        <w:tc>
          <w:tcPr>
            <w:tcW w:w="780" w:type="dxa"/>
            <w:vAlign w:val="bottom"/>
          </w:tcPr>
          <w:p>
            <w:pPr>
              <w:spacing w:after="0"/>
              <w:rPr>
                <w:sz w:val="15"/>
                <w:szCs w:val="15"/>
                <w:color w:val="auto"/>
              </w:rPr>
            </w:pPr>
          </w:p>
        </w:tc>
        <w:tc>
          <w:tcPr>
            <w:tcW w:w="5680" w:type="dxa"/>
            <w:vAlign w:val="bottom"/>
          </w:tcPr>
          <w:p>
            <w:pPr>
              <w:ind w:left="120"/>
              <w:spacing w:after="0"/>
              <w:rPr>
                <w:sz w:val="20"/>
                <w:szCs w:val="20"/>
                <w:color w:val="auto"/>
              </w:rPr>
            </w:pPr>
            <w:r>
              <w:rPr>
                <w:rFonts w:ascii="Courier New" w:cs="Courier New" w:eastAsia="Courier New" w:hAnsi="Courier New"/>
                <w:sz w:val="15"/>
                <w:szCs w:val="15"/>
                <w:color w:val="auto"/>
              </w:rPr>
              <w:t>2002.</w:t>
            </w:r>
          </w:p>
        </w:tc>
      </w:tr>
      <w:tr>
        <w:trPr>
          <w:trHeight w:val="350"/>
        </w:trPr>
        <w:tc>
          <w:tcPr>
            <w:tcW w:w="78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4.3</w:t>
            </w:r>
          </w:p>
        </w:tc>
        <w:tc>
          <w:tcPr>
            <w:tcW w:w="5680" w:type="dxa"/>
            <w:vAlign w:val="bottom"/>
          </w:tcPr>
          <w:p>
            <w:pPr>
              <w:ind w:left="120"/>
              <w:spacing w:after="0"/>
              <w:rPr>
                <w:sz w:val="20"/>
                <w:szCs w:val="20"/>
                <w:color w:val="auto"/>
              </w:rPr>
            </w:pPr>
            <w:r>
              <w:rPr>
                <w:rFonts w:ascii="Courier New" w:cs="Courier New" w:eastAsia="Courier New" w:hAnsi="Courier New"/>
                <w:sz w:val="15"/>
                <w:szCs w:val="15"/>
                <w:color w:val="auto"/>
              </w:rPr>
              <w:t>Form of 4% Convertible Subordinated Note due 2002.</w:t>
            </w:r>
          </w:p>
        </w:tc>
      </w:tr>
    </w:tbl>
    <w:p>
      <w:pPr>
        <w:sectPr>
          <w:pgSz w:w="11900" w:h="16838" w:orient="portrait"/>
          <w:cols w:equalWidth="0" w:num="1">
            <w:col w:w="9959"/>
          </w:cols>
          <w:pgMar w:left="500" w:top="293"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1</w:t>
      </w:r>
    </w:p>
    <w:p>
      <w:pPr>
        <w:spacing w:after="0" w:line="180"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10,000,000 SHARES</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USA WASTE SERVICES, INC.</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COMMON STOCK</w:t>
      </w:r>
    </w:p>
    <w:p>
      <w:pPr>
        <w:spacing w:after="0" w:line="180"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UNDERWRITING AGREEMENT</w:t>
      </w:r>
    </w:p>
    <w:p>
      <w:pPr>
        <w:spacing w:after="0" w:line="200" w:lineRule="exact"/>
        <w:rPr>
          <w:sz w:val="20"/>
          <w:szCs w:val="20"/>
          <w:color w:val="auto"/>
        </w:rPr>
      </w:pPr>
    </w:p>
    <w:p>
      <w:pPr>
        <w:spacing w:after="0" w:line="329"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February 3, 1997</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DONALDSON, LUFKIN &amp; JENRETTE</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SECURITIES CORPORATION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DEUTSCHE MORGAN GRENFELL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GOLDMAN, SACHS &amp; CO.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MERRILL LYNCH, PIERCE,</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FENNER &amp; SMITH INCORPORATED</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As representatives of the</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several underwriters</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named in Schedule I hereto</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c/o Donaldson, Lufkin &amp; Jenrette</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Securities Corporation</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277 Park Avenue</w:t>
      </w:r>
    </w:p>
    <w:p>
      <w:pPr>
        <w:spacing w:after="0" w:line="5" w:lineRule="exact"/>
        <w:rPr>
          <w:sz w:val="20"/>
          <w:szCs w:val="20"/>
          <w:color w:val="auto"/>
        </w:rPr>
      </w:pPr>
    </w:p>
    <w:p>
      <w:pPr>
        <w:ind w:left="80"/>
        <w:spacing w:after="0"/>
        <w:tabs>
          <w:tab w:leader="none" w:pos="1880" w:val="left"/>
        </w:tabs>
        <w:rPr>
          <w:sz w:val="20"/>
          <w:szCs w:val="20"/>
          <w:color w:val="auto"/>
        </w:rPr>
      </w:pPr>
      <w:r>
        <w:rPr>
          <w:rFonts w:ascii="Courier New" w:cs="Courier New" w:eastAsia="Courier New" w:hAnsi="Courier New"/>
          <w:sz w:val="15"/>
          <w:szCs w:val="15"/>
          <w:color w:val="auto"/>
        </w:rPr>
        <w:t>New York, New York</w:t>
        <w:tab/>
        <w:t>10172</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Sirs:</w:t>
      </w:r>
    </w:p>
    <w:p>
      <w:pPr>
        <w:spacing w:after="0" w:line="180" w:lineRule="exact"/>
        <w:rPr>
          <w:sz w:val="20"/>
          <w:szCs w:val="20"/>
          <w:color w:val="auto"/>
        </w:rPr>
      </w:pPr>
    </w:p>
    <w:p>
      <w:pPr>
        <w:ind w:right="3139" w:firstLine="818"/>
        <w:spacing w:after="0" w:line="246" w:lineRule="auto"/>
        <w:rPr>
          <w:sz w:val="20"/>
          <w:szCs w:val="20"/>
          <w:color w:val="auto"/>
        </w:rPr>
      </w:pPr>
      <w:r>
        <w:rPr>
          <w:rFonts w:ascii="Courier New" w:cs="Courier New" w:eastAsia="Courier New" w:hAnsi="Courier New"/>
          <w:sz w:val="15"/>
          <w:szCs w:val="15"/>
          <w:color w:val="auto"/>
        </w:rPr>
        <w:t>USA Waste Services, Inc., a Delaware corporation (the "Company"), proposes to issue and sell 10,000,000 shares of its common stock, $.01 par value (the "Firm Shares"), to the several underwriters named in Schedule I hereto (the "Underwriters"). The Company also proposes to issue and sell to the several Underwriters not more than 1,500,000 additional shares of common stock, $.01 par value, of the Company (the "Additional Shares"), if requested by the Underwriters as provided in Section 2 hereof. The Firm Shares and the Additional Shares are herein collectively called the Shares. The shares of common stock of the Company to be outstanding after giving effect to the sales contemplated hereby are hereinafter referred to as the Common Stock.</w:t>
      </w:r>
    </w:p>
    <w:p>
      <w:pPr>
        <w:spacing w:after="0" w:line="181" w:lineRule="exact"/>
        <w:rPr>
          <w:sz w:val="20"/>
          <w:szCs w:val="20"/>
          <w:color w:val="auto"/>
        </w:rPr>
      </w:pPr>
    </w:p>
    <w:p>
      <w:pPr>
        <w:ind w:right="3139" w:firstLine="811"/>
        <w:spacing w:after="0" w:line="246" w:lineRule="auto"/>
        <w:tabs>
          <w:tab w:leader="none" w:pos="1545"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Registration Statement and Prospectus. The Company has prepared and filed with the Securities and Exchange Commission (the "Commission") in accordance with the provisions of the Securities Act of 1933, as amended, and the rules and regulations of the Commission thereunder (collectively called the "Act"), a registration statement on Form S-3 (Registration No. 333-17453), including a prospectus relating to the Shares, which may be amended. The registration statement as amended at the time when it became effective, including all documents or information incorporated or</w:t>
      </w:r>
    </w:p>
    <w:p>
      <w:pPr>
        <w:sectPr>
          <w:pgSz w:w="11900" w:h="16838" w:orient="portrait"/>
          <w:cols w:equalWidth="0" w:num="1">
            <w:col w:w="10219"/>
          </w:cols>
          <w:pgMar w:left="240" w:top="141" w:right="1440" w:bottom="1440" w:gutter="0" w:footer="0" w:header="0"/>
        </w:sectPr>
      </w:pPr>
    </w:p>
    <w:bookmarkStart w:id="4" w:name="page5"/>
    <w:bookmarkEnd w:id="4"/>
    <w:p>
      <w:pPr>
        <w:ind w:left="267"/>
        <w:spacing w:after="0"/>
        <w:rPr>
          <w:sz w:val="20"/>
          <w:szCs w:val="20"/>
          <w:color w:val="auto"/>
        </w:rPr>
      </w:pPr>
      <w:r>
        <w:rPr>
          <w:rFonts w:ascii="Courier New" w:cs="Courier New" w:eastAsia="Courier New" w:hAnsi="Courier New"/>
          <w:sz w:val="15"/>
          <w:szCs w:val="15"/>
          <w:color w:val="auto"/>
        </w:rPr>
        <w:t>2</w:t>
      </w:r>
    </w:p>
    <w:p>
      <w:pPr>
        <w:spacing w:after="0" w:line="180" w:lineRule="exact"/>
        <w:rPr>
          <w:sz w:val="20"/>
          <w:szCs w:val="20"/>
          <w:color w:val="auto"/>
        </w:rPr>
      </w:pPr>
    </w:p>
    <w:p>
      <w:pPr>
        <w:ind w:left="7" w:right="3139"/>
        <w:spacing w:after="0" w:line="246" w:lineRule="auto"/>
        <w:rPr>
          <w:sz w:val="20"/>
          <w:szCs w:val="20"/>
          <w:color w:val="auto"/>
        </w:rPr>
      </w:pPr>
      <w:r>
        <w:rPr>
          <w:rFonts w:ascii="Courier New" w:cs="Courier New" w:eastAsia="Courier New" w:hAnsi="Courier New"/>
          <w:sz w:val="15"/>
          <w:szCs w:val="15"/>
          <w:color w:val="auto"/>
        </w:rPr>
        <w:t>deemed to be incorporated by reference therein is referred to as the "Registration Statement"; and the prospectus in the form first used to confirm sales of Shares, (including (a) the information contained in any prospectus supplement relating to the Shares or deemed to be part of the Registration Statement at effectiveness pursuant to Rule 430A or Rule 434 of the Act, and</w:t>
      </w:r>
    </w:p>
    <w:p>
      <w:pPr>
        <w:spacing w:after="0" w:line="3" w:lineRule="exact"/>
        <w:rPr>
          <w:sz w:val="20"/>
          <w:szCs w:val="20"/>
          <w:color w:val="auto"/>
        </w:rPr>
      </w:pPr>
    </w:p>
    <w:p>
      <w:pPr>
        <w:ind w:left="7" w:right="3039" w:hanging="7"/>
        <w:spacing w:after="0" w:line="246" w:lineRule="auto"/>
        <w:tabs>
          <w:tab w:leader="none" w:pos="37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documents or information incorporated or deemed to be incorporated by reference into such prospectus), are hereinafter referred to as the "Prospectus." Any registration statement (including any amendment or supplement thereto or information which is deemed to be a part thereof) filed by the Company under Rule 462(b) of the Act (a "Rule 462(b) Registration Statement") shall be deemed to be a part of the Registration Statement. If the Company elects to rely on Rule 434 under the Act, all references to the Prospectus shall be deemed to also include, without limitation, the form of prospectus and term sheet (a "Term Sheet"), taken together, provided to the Underwriters by the Company in reliance on Rule 434 under the Act (the "Rule</w:t>
      </w:r>
    </w:p>
    <w:p>
      <w:pPr>
        <w:spacing w:after="0" w:line="6" w:lineRule="exact"/>
        <w:rPr>
          <w:rFonts w:ascii="Courier New" w:cs="Courier New" w:eastAsia="Courier New" w:hAnsi="Courier New"/>
          <w:sz w:val="15"/>
          <w:szCs w:val="15"/>
          <w:color w:val="auto"/>
        </w:rPr>
      </w:pPr>
    </w:p>
    <w:p>
      <w:pPr>
        <w:ind w:left="7" w:right="30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434 Prospectus"). All references in this Agreement to financial statements and schedules and other information which is "contained," "included," "described" or "stated" in the Registration Statement or the Prospectus (and all references of like import) shall be deemed to mean and include all such financial statements and schedules and other information which is or is deemed to be incorporated by reference in the Registration Statement or the Prospectus, as the case may be; and all references in this Agreement to amendments or supplements to the Registration Statement or the Prospectus shall be deemed to mean and include, without limitation, even through not specifically stated, any document filed under the Exchange Act of 1934, as amended, and the rules and regulations of the Commission thereunder (the "Exchange Act") which is or is deemed to be incorporated by reference in the Registration Statement or the Prospectus after the effective date, as the case may be.</w:t>
      </w:r>
    </w:p>
    <w:p>
      <w:pPr>
        <w:spacing w:after="0" w:line="182" w:lineRule="exact"/>
        <w:rPr>
          <w:rFonts w:ascii="Courier New" w:cs="Courier New" w:eastAsia="Courier New" w:hAnsi="Courier New"/>
          <w:sz w:val="15"/>
          <w:szCs w:val="15"/>
          <w:color w:val="auto"/>
        </w:rPr>
      </w:pPr>
    </w:p>
    <w:p>
      <w:pPr>
        <w:ind w:left="7" w:right="3139" w:firstLine="811"/>
        <w:spacing w:after="0" w:line="246" w:lineRule="auto"/>
        <w:tabs>
          <w:tab w:leader="none" w:pos="1552"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Agreements to Sell and Purchase. On the basis of the representations and warranties contained in this Agreement, and subject to its terms and conditions, the Company agrees to issue and sell 10,000,000 Firm Shares, and each Underwriter agrees, severally and not jointly, to purchase from the Company at a price per share of $33.725 (the "Purchase Price") the number of Firm Shares set forth opposite the name of such Underwriter in Schedule I hereto.</w:t>
      </w:r>
    </w:p>
    <w:p>
      <w:pPr>
        <w:spacing w:after="0" w:line="179" w:lineRule="exact"/>
        <w:rPr>
          <w:sz w:val="20"/>
          <w:szCs w:val="20"/>
          <w:color w:val="auto"/>
        </w:rPr>
      </w:pPr>
    </w:p>
    <w:p>
      <w:pPr>
        <w:ind w:left="7" w:right="3039" w:firstLine="818"/>
        <w:spacing w:after="0" w:line="246" w:lineRule="auto"/>
        <w:rPr>
          <w:sz w:val="20"/>
          <w:szCs w:val="20"/>
          <w:color w:val="auto"/>
        </w:rPr>
      </w:pPr>
      <w:r>
        <w:rPr>
          <w:rFonts w:ascii="Courier New" w:cs="Courier New" w:eastAsia="Courier New" w:hAnsi="Courier New"/>
          <w:sz w:val="15"/>
          <w:szCs w:val="15"/>
          <w:color w:val="auto"/>
        </w:rPr>
        <w:t>On the basis of the representations and warranties contained in this Agreement, and subject to its terms and conditions, (i) the Company agrees to issue and sell up to 1,500,000 Additional Shares and (ii) the Underwriters shall have the right to purchase, severally and not jointly, up to an aggregate 1,500,000 Additional Shares from the Company at the Purchase Price. Additional Shares may be purchased solely for the purpose of covering over-allotments made in connection with the offering of the Firm Shares. The Underwriters may exercise their right to purchase Additional Shares in whole or in part from time to time by giving written notice thereof to the Company within 30 days after the date of this Agreement. You shall give any such notice on behalf of the Underwriters and such notice shall specify the aggregate number of Additional Shares to be purchased pursuant to such exercise and the date for payment and delivery thereof. The date specified in any such notice shall be a business day (i) no earlier than the Closing Date (as hereinafter defined),</w:t>
      </w:r>
    </w:p>
    <w:p>
      <w:pPr>
        <w:spacing w:after="0" w:line="8" w:lineRule="exact"/>
        <w:rPr>
          <w:sz w:val="20"/>
          <w:szCs w:val="20"/>
          <w:color w:val="auto"/>
        </w:rPr>
      </w:pPr>
    </w:p>
    <w:p>
      <w:pPr>
        <w:ind w:left="7" w:right="3039" w:hanging="7"/>
        <w:spacing w:after="0" w:line="246" w:lineRule="auto"/>
        <w:tabs>
          <w:tab w:leader="none" w:pos="461"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later than ten business days after such notice has been given and (iii) no earlier than two business days after such notice has been given. If any Additional Shares are to be purchased, each Underwriter, severally and not jointly, agrees to purchase from the Company the number of Additional Shares (subject to such adjustments to eliminate fractional shares as you may determine) which bears the same proportion to the total number of Additional Shares</w:t>
      </w:r>
    </w:p>
    <w:p>
      <w:pPr>
        <w:spacing w:after="0" w:line="354" w:lineRule="exact"/>
        <w:rPr>
          <w:sz w:val="20"/>
          <w:szCs w:val="20"/>
          <w:color w:val="auto"/>
        </w:rPr>
      </w:pPr>
    </w:p>
    <w:p>
      <w:pPr>
        <w:jc w:val="center"/>
        <w:ind w:right="3312"/>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jc w:val="center"/>
        <w:ind w:right="3312"/>
        <w:spacing w:after="0"/>
        <w:rPr>
          <w:sz w:val="20"/>
          <w:szCs w:val="20"/>
          <w:color w:val="auto"/>
        </w:rPr>
      </w:pPr>
      <w:r>
        <w:rPr>
          <w:rFonts w:ascii="Courier New" w:cs="Courier New" w:eastAsia="Courier New" w:hAnsi="Courier New"/>
          <w:sz w:val="15"/>
          <w:szCs w:val="15"/>
          <w:color w:val="auto"/>
        </w:rPr>
        <w:t>UNDERWRITING AGREEMENT -- COMMON STOCK</w:t>
      </w:r>
    </w:p>
    <w:p>
      <w:pPr>
        <w:spacing w:after="0" w:line="5" w:lineRule="exact"/>
        <w:rPr>
          <w:sz w:val="20"/>
          <w:szCs w:val="20"/>
          <w:color w:val="auto"/>
        </w:rPr>
      </w:pPr>
    </w:p>
    <w:p>
      <w:pPr>
        <w:jc w:val="center"/>
        <w:ind w:right="3212"/>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6"/>
          </w:cols>
          <w:pgMar w:left="233" w:top="293" w:right="1440" w:bottom="1440" w:gutter="0" w:footer="0" w:header="0"/>
        </w:sectPr>
      </w:pPr>
    </w:p>
    <w:bookmarkStart w:id="5" w:name="page6"/>
    <w:bookmarkEnd w:id="5"/>
    <w:p>
      <w:pPr>
        <w:ind w:left="267"/>
        <w:spacing w:after="0"/>
        <w:rPr>
          <w:sz w:val="20"/>
          <w:szCs w:val="20"/>
          <w:color w:val="auto"/>
        </w:rPr>
      </w:pPr>
      <w:r>
        <w:rPr>
          <w:rFonts w:ascii="Courier New" w:cs="Courier New" w:eastAsia="Courier New" w:hAnsi="Courier New"/>
          <w:sz w:val="15"/>
          <w:szCs w:val="15"/>
          <w:color w:val="auto"/>
        </w:rPr>
        <w:t>3</w:t>
      </w:r>
    </w:p>
    <w:p>
      <w:pPr>
        <w:spacing w:after="0" w:line="5" w:lineRule="exact"/>
        <w:rPr>
          <w:sz w:val="20"/>
          <w:szCs w:val="20"/>
          <w:color w:val="auto"/>
        </w:rPr>
      </w:pPr>
    </w:p>
    <w:p>
      <w:pPr>
        <w:ind w:left="7" w:right="3219"/>
        <w:spacing w:after="0" w:line="247" w:lineRule="auto"/>
        <w:rPr>
          <w:sz w:val="20"/>
          <w:szCs w:val="20"/>
          <w:color w:val="auto"/>
        </w:rPr>
      </w:pPr>
      <w:r>
        <w:rPr>
          <w:rFonts w:ascii="Courier New" w:cs="Courier New" w:eastAsia="Courier New" w:hAnsi="Courier New"/>
          <w:sz w:val="15"/>
          <w:szCs w:val="15"/>
          <w:color w:val="auto"/>
        </w:rPr>
        <w:t>to be purchased from the Company as the number of Firm Shares set forth opposite the name of such Underwriter in Schedule I bears to the total number of Firm Shares.</w:t>
      </w:r>
    </w:p>
    <w:p>
      <w:pPr>
        <w:spacing w:after="0" w:line="174" w:lineRule="exact"/>
        <w:rPr>
          <w:sz w:val="20"/>
          <w:szCs w:val="20"/>
          <w:color w:val="auto"/>
        </w:rPr>
      </w:pPr>
    </w:p>
    <w:p>
      <w:pPr>
        <w:ind w:left="7" w:right="3039" w:firstLine="818"/>
        <w:spacing w:after="0" w:line="246" w:lineRule="auto"/>
        <w:rPr>
          <w:sz w:val="20"/>
          <w:szCs w:val="20"/>
          <w:color w:val="auto"/>
        </w:rPr>
      </w:pPr>
      <w:r>
        <w:rPr>
          <w:rFonts w:ascii="Courier New" w:cs="Courier New" w:eastAsia="Courier New" w:hAnsi="Courier New"/>
          <w:sz w:val="15"/>
          <w:szCs w:val="15"/>
          <w:color w:val="auto"/>
        </w:rPr>
        <w:t>Except pursuant to the concurrent offering of convertible subordinated notes of the Company, the Company hereby agrees and the Company shall, concurrently with the execution of this Agreement, deliver an agreement executed by each of the directors and executive officers of the Company, pursuant to which each such person agrees, not to offer, sell, contract to sell, grant any option to purchase, or otherwise dispose of any common stock of the Company or any securities convertible into or exercisable or exchangeable for such common stock or in any other manner transfer all or a portion of the economic consequences associated with the ownership of any such common stock, except to the Underwriters pursuant to this Agreement, for a period of 90 days after the date of the Prospectus without the prior written consent of Donaldson, Lufkin &amp; Jenrette Securities Corporation. Notwithstanding the foregoing, (i) 250,000 shares of the shares of Common Stock owned by Donald F. Moorehead, Jr. and 500,000 shares of the shares of Common Stock owned by John G. Rangos, Sr. and Alexander Rangos will not be subject to the foregoing restriction and during such 90-day period (ii) the Company may grant stock options pursuant to the Company's existing director and employee benefit plans,</w:t>
      </w:r>
    </w:p>
    <w:p>
      <w:pPr>
        <w:spacing w:after="0" w:line="10" w:lineRule="exact"/>
        <w:rPr>
          <w:sz w:val="20"/>
          <w:szCs w:val="20"/>
          <w:color w:val="auto"/>
        </w:rPr>
      </w:pPr>
    </w:p>
    <w:p>
      <w:pPr>
        <w:ind w:left="7" w:right="3319" w:hanging="7"/>
        <w:spacing w:after="0" w:line="246" w:lineRule="auto"/>
        <w:tabs>
          <w:tab w:leader="none" w:pos="552"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may issue shares of its common stock pursuant to existing contractual obligations or upon the exercise of an option or warrant or the conversion of a security outstanding on the date hereof and (iv) the Company may issue shares of its common stock as consideration in the acquisition of businesses or assets by the Company or its subsidiaries.</w:t>
      </w:r>
    </w:p>
    <w:p>
      <w:pPr>
        <w:spacing w:after="0" w:line="177" w:lineRule="exact"/>
        <w:rPr>
          <w:rFonts w:ascii="Courier New" w:cs="Courier New" w:eastAsia="Courier New" w:hAnsi="Courier New"/>
          <w:sz w:val="15"/>
          <w:szCs w:val="15"/>
          <w:color w:val="auto"/>
        </w:rPr>
      </w:pPr>
    </w:p>
    <w:p>
      <w:pPr>
        <w:ind w:left="7" w:right="3139" w:firstLine="811"/>
        <w:spacing w:after="0" w:line="246" w:lineRule="auto"/>
        <w:tabs>
          <w:tab w:leader="none" w:pos="1552"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Terms of Public Offering. The Company is advised by you that the Underwriters propose (i) to make a public offering of their respective portions of the Shares as soon after the effective date of the Registration Statement as in your judgment is advisable and (ii) initially to offer the Shares upon the terms set forth in the Prospectus.</w:t>
      </w:r>
    </w:p>
    <w:p>
      <w:pPr>
        <w:spacing w:after="0" w:line="177" w:lineRule="exact"/>
        <w:rPr>
          <w:rFonts w:ascii="Courier New" w:cs="Courier New" w:eastAsia="Courier New" w:hAnsi="Courier New"/>
          <w:sz w:val="15"/>
          <w:szCs w:val="15"/>
          <w:color w:val="auto"/>
        </w:rPr>
      </w:pPr>
    </w:p>
    <w:p>
      <w:pPr>
        <w:ind w:left="7" w:right="3039" w:firstLine="811"/>
        <w:spacing w:after="0" w:line="246" w:lineRule="auto"/>
        <w:tabs>
          <w:tab w:leader="none" w:pos="1552"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Delivery and Payment. Delivery to the Underwriters of and payment for the Firm Shares shall be made at 10:00 A.M., New York City time, on the third or fourth business day unless otherwise permitted by the Commission pursuant to Rule 15c6-1 of the Exchange Act (the "Closing Date") following the date of the initial public offering at such place as you shall designate. The Closing Date and the location of delivery of and the form of payment for the Firm Shares may be varied by agreement between you and the Company.</w:t>
      </w:r>
    </w:p>
    <w:p>
      <w:pPr>
        <w:spacing w:after="0" w:line="179" w:lineRule="exact"/>
        <w:rPr>
          <w:sz w:val="20"/>
          <w:szCs w:val="20"/>
          <w:color w:val="auto"/>
        </w:rPr>
      </w:pPr>
    </w:p>
    <w:p>
      <w:pPr>
        <w:ind w:left="7" w:right="3139" w:firstLine="818"/>
        <w:spacing w:after="0" w:line="246" w:lineRule="auto"/>
        <w:rPr>
          <w:sz w:val="20"/>
          <w:szCs w:val="20"/>
          <w:color w:val="auto"/>
        </w:rPr>
      </w:pPr>
      <w:r>
        <w:rPr>
          <w:rFonts w:ascii="Courier New" w:cs="Courier New" w:eastAsia="Courier New" w:hAnsi="Courier New"/>
          <w:sz w:val="15"/>
          <w:szCs w:val="15"/>
          <w:color w:val="auto"/>
        </w:rPr>
        <w:t>Delivery to the Underwriters of and payment for any Additional Shares to be purchased by the Underwriters shall be made at such place as you shall designate at 10:00 A.M., New York City time, on the date specified in the applicable exercise notice given by you pursuant to Section 2 (an "Option Closing Date"). Any such Option Closing Date and the location of delivery of and the form of payment for such Additional Shares may be varied by agreement between you and the Company.</w:t>
      </w:r>
    </w:p>
    <w:p>
      <w:pPr>
        <w:spacing w:after="0" w:line="179" w:lineRule="exact"/>
        <w:rPr>
          <w:sz w:val="20"/>
          <w:szCs w:val="20"/>
          <w:color w:val="auto"/>
        </w:rPr>
      </w:pPr>
    </w:p>
    <w:p>
      <w:pPr>
        <w:ind w:left="7" w:right="3039" w:firstLine="818"/>
        <w:spacing w:after="0" w:line="246" w:lineRule="auto"/>
        <w:rPr>
          <w:sz w:val="20"/>
          <w:szCs w:val="20"/>
          <w:color w:val="auto"/>
        </w:rPr>
      </w:pPr>
      <w:r>
        <w:rPr>
          <w:rFonts w:ascii="Courier New" w:cs="Courier New" w:eastAsia="Courier New" w:hAnsi="Courier New"/>
          <w:sz w:val="15"/>
          <w:szCs w:val="15"/>
          <w:color w:val="auto"/>
        </w:rPr>
        <w:t>Certificates for the Shares shall be registered in such names and issued in such denominations as you shall request in writing not later than two full business days prior to the Closing Date or an Option Closing Date, as the case may be. Such certificates shall be made available to you for inspection not later than 9:30 A.M., New York City time, on the business day next preceding the Closing Date or an Option Closing Date, as the case may be. Certificates in definitive form evidencing the Shares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312"/>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ind w:left="1727"/>
        <w:spacing w:after="0"/>
        <w:rPr>
          <w:sz w:val="20"/>
          <w:szCs w:val="20"/>
          <w:color w:val="auto"/>
        </w:rPr>
      </w:pPr>
      <w:r>
        <w:rPr>
          <w:rFonts w:ascii="Courier New" w:cs="Courier New" w:eastAsia="Courier New" w:hAnsi="Courier New"/>
          <w:sz w:val="15"/>
          <w:szCs w:val="15"/>
          <w:color w:val="auto"/>
        </w:rPr>
        <w:t>UNDERWRITING AGREEMENT -- COMMON STOCK</w:t>
      </w:r>
    </w:p>
    <w:p>
      <w:pPr>
        <w:spacing w:after="0" w:line="5" w:lineRule="exact"/>
        <w:rPr>
          <w:sz w:val="20"/>
          <w:szCs w:val="20"/>
          <w:color w:val="auto"/>
        </w:rPr>
      </w:pPr>
    </w:p>
    <w:p>
      <w:pPr>
        <w:ind w:left="3367"/>
        <w:spacing w:after="0"/>
        <w:rPr>
          <w:sz w:val="20"/>
          <w:szCs w:val="20"/>
          <w:color w:val="auto"/>
        </w:rPr>
      </w:pPr>
      <w:r>
        <w:rPr>
          <w:rFonts w:ascii="Courier New" w:cs="Courier New" w:eastAsia="Courier New" w:hAnsi="Courier New"/>
          <w:sz w:val="15"/>
          <w:szCs w:val="15"/>
          <w:color w:val="auto"/>
        </w:rPr>
        <w:t>- 3 -</w:t>
      </w:r>
    </w:p>
    <w:p>
      <w:pPr>
        <w:sectPr>
          <w:pgSz w:w="11900" w:h="16838" w:orient="portrait"/>
          <w:cols w:equalWidth="0" w:num="1">
            <w:col w:w="10226"/>
          </w:cols>
          <w:pgMar w:left="233" w:top="293"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5"/>
          <w:szCs w:val="15"/>
          <w:color w:val="auto"/>
        </w:rPr>
        <w:t>4</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be delivered to you on the Closing Date or the applicable Option Closing Date, as the case may be, with any transfer taxes thereon duly paid by the Company, for the respective accounts of the several Underwriters, against payment of the Purchase Price therefor by wire transfer in same day funds to an account specified by the Company.</w:t>
      </w:r>
    </w:p>
    <w:p>
      <w:pPr>
        <w:spacing w:after="0" w:line="178" w:lineRule="exact"/>
        <w:rPr>
          <w:sz w:val="20"/>
          <w:szCs w:val="20"/>
          <w:color w:val="auto"/>
        </w:rPr>
      </w:pPr>
    </w:p>
    <w:p>
      <w:pPr>
        <w:ind w:left="1540" w:hanging="729"/>
        <w:spacing w:after="0"/>
        <w:tabs>
          <w:tab w:leader="none" w:pos="15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Agreements of the Company.  The Company agrees with you:</w:t>
      </w:r>
    </w:p>
    <w:p>
      <w:pPr>
        <w:spacing w:after="0" w:line="179" w:lineRule="exact"/>
        <w:rPr>
          <w:rFonts w:ascii="Courier New" w:cs="Courier New" w:eastAsia="Courier New" w:hAnsi="Courier New"/>
          <w:sz w:val="15"/>
          <w:szCs w:val="15"/>
          <w:color w:val="auto"/>
        </w:rPr>
      </w:pPr>
    </w:p>
    <w:p>
      <w:pPr>
        <w:ind w:left="820" w:right="3219" w:firstLine="718"/>
        <w:spacing w:after="0" w:line="246" w:lineRule="auto"/>
        <w:tabs>
          <w:tab w:leader="none" w:pos="2365"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Immediately following the determination of the Purchase Price, to prepare, and file or transmit for filing with the Commission in accordance with Rule 424(b) of the Act, copies of a prospectus supplement relating to the Shares and containing all information required under the Act.</w:t>
      </w:r>
    </w:p>
    <w:p>
      <w:pPr>
        <w:spacing w:after="0" w:line="177" w:lineRule="exact"/>
        <w:rPr>
          <w:rFonts w:ascii="Courier New" w:cs="Courier New" w:eastAsia="Courier New" w:hAnsi="Courier New"/>
          <w:sz w:val="15"/>
          <w:szCs w:val="15"/>
          <w:color w:val="auto"/>
        </w:rPr>
      </w:pPr>
    </w:p>
    <w:p>
      <w:pPr>
        <w:ind w:left="820" w:right="3039" w:firstLine="718"/>
        <w:spacing w:after="0" w:line="246" w:lineRule="auto"/>
        <w:tabs>
          <w:tab w:leader="none" w:pos="2365"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advise you promptly and, if requested by you, to confirm such advice in writing, (i) when the Registration Statement has become effective and when any post-effective amendment to it becomes effective, (ii) of the receipt of comments from the Commission relating to the Registration Statement, (iii) of any request by the Commission for amendments to the Registration Statement or amendments or supplements to the Prospectus or for additional information, (iv) of the issuance by the Commission of any stop order suspending the effectiveness of the Registration Statement or of the suspension of qualification of the Shares for offering or sale in any jurisdiction, or the initiation of any proceeding for such purposes, and (v) of the happening of any event during the period referred to in paragraph (e) below which makes any statement of a material fact made in the Registration Statement or the Prospectus untrue or which requires the making of any additions to or changes in the Registration Statement or the Prospectus in order to make the statements therein not misleading. If at any time the Commission shall issue any stop order suspending the effectiveness of the Registration Statement, the Company will make every reasonable effort to obtain the withdrawal or lifting of such order at the earliest possible time.</w:t>
      </w:r>
    </w:p>
    <w:p>
      <w:pPr>
        <w:spacing w:after="0" w:line="186" w:lineRule="exact"/>
        <w:rPr>
          <w:rFonts w:ascii="Courier New" w:cs="Courier New" w:eastAsia="Courier New" w:hAnsi="Courier New"/>
          <w:sz w:val="15"/>
          <w:szCs w:val="15"/>
          <w:color w:val="auto"/>
        </w:rPr>
      </w:pPr>
    </w:p>
    <w:p>
      <w:pPr>
        <w:ind w:left="820" w:right="3039" w:firstLine="718"/>
        <w:spacing w:after="0" w:line="246" w:lineRule="auto"/>
        <w:tabs>
          <w:tab w:leader="none" w:pos="2365"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furnish to you, without charge, five signed copies of the Registration Statement as first filed with the Commission and of each amendment to it, including all exhibits, and to furnish to you and each Underwriter designated by you such number of conformed copies of the Registration Statement as so filed and of each amendment to it, without exhibits, as you may reasonably request.</w:t>
      </w:r>
    </w:p>
    <w:p>
      <w:pPr>
        <w:spacing w:after="0" w:line="178" w:lineRule="exact"/>
        <w:rPr>
          <w:rFonts w:ascii="Courier New" w:cs="Courier New" w:eastAsia="Courier New" w:hAnsi="Courier New"/>
          <w:sz w:val="15"/>
          <w:szCs w:val="15"/>
          <w:color w:val="auto"/>
        </w:rPr>
      </w:pPr>
    </w:p>
    <w:p>
      <w:pPr>
        <w:ind w:left="820" w:right="3039" w:firstLine="718"/>
        <w:spacing w:after="0" w:line="246" w:lineRule="auto"/>
        <w:tabs>
          <w:tab w:leader="none" w:pos="2365"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the termination of the offering of the Shares, not to (i) file any 462(b) Registration Statement, (ii) file any amendment or supplement to the Registration Statement, (iii) file any document under the Exchange Act which shall be deemed to be incorporated by reference into the Prospectus, or (iv) make any amendment or supplement to the Prospectus (including the issuance or filing of any Term Sheet) of which you shall not previously have been advised or to which you shall reasonably object; and to prepare and file with the Commission, promptly upon your reasonable request, any 462(b) Registration Statement, Term Sheet or amendment or supplement to the Registration Statement or the Prospectus which may be necessary or advisable in connection with the distribution of the Shares by you, and to use its best efforts to cause the same to become promptly effective.</w:t>
      </w:r>
    </w:p>
    <w:p>
      <w:pPr>
        <w:spacing w:after="0" w:line="358"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UNDERWRITING AGREEMENT -- COMMON STOCK</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- 4 -</w:t>
      </w:r>
    </w:p>
    <w:p>
      <w:pPr>
        <w:sectPr>
          <w:pgSz w:w="11900" w:h="16838" w:orient="portrait"/>
          <w:cols w:equalWidth="0" w:num="1">
            <w:col w:w="10219"/>
          </w:cols>
          <w:pgMar w:left="240" w:top="293"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5"/>
          <w:szCs w:val="15"/>
          <w:color w:val="auto"/>
        </w:rPr>
        <w:t>5</w:t>
      </w:r>
    </w:p>
    <w:p>
      <w:pPr>
        <w:spacing w:after="0" w:line="5" w:lineRule="exact"/>
        <w:rPr>
          <w:sz w:val="20"/>
          <w:szCs w:val="20"/>
          <w:color w:val="auto"/>
        </w:rPr>
      </w:pPr>
    </w:p>
    <w:p>
      <w:pPr>
        <w:ind w:left="560" w:right="3139" w:firstLine="718"/>
        <w:spacing w:after="0" w:line="246" w:lineRule="auto"/>
        <w:tabs>
          <w:tab w:leader="none" w:pos="2105"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From time to time for such period as in the opinion of counsel for the Underwriters a prospectus is required by law to be delivered in connection with sales by an Underwriter or a dealer, to furnish to each Underwriter and dealer as many copies of the Prospectus (and of any amendment or supplement to the Prospectus) as such Underwriter or dealer may reasonably request.</w:t>
      </w:r>
    </w:p>
    <w:p>
      <w:pPr>
        <w:spacing w:after="0" w:line="178" w:lineRule="exact"/>
        <w:rPr>
          <w:rFonts w:ascii="Courier New" w:cs="Courier New" w:eastAsia="Courier New" w:hAnsi="Courier New"/>
          <w:sz w:val="15"/>
          <w:szCs w:val="15"/>
          <w:color w:val="auto"/>
        </w:rPr>
      </w:pPr>
    </w:p>
    <w:p>
      <w:pPr>
        <w:ind w:left="560" w:right="3039" w:firstLine="718"/>
        <w:spacing w:after="0" w:line="246" w:lineRule="auto"/>
        <w:tabs>
          <w:tab w:leader="none" w:pos="2105"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during the period specified in paragraph (e) any event shall occur as a result of which, in the opinion of counsel for the Underwriters, it becomes necessary to amend or supplement the Prospectus in order to make the statements therein, in the light of the circumstances when the Prospectus is delivered to a purchaser, not misleading, or if it is necessary to amend or supplement the Prospectus to comply with any law, forthwith to prepare and file with the Commission an appropriate amendment or supplement to the Prospectus so that the statements in the Prospectus, as so amended or supplemented, will not, in the light of the circumstances when it is so delivered, be misleading, or so that the Prospectus will comply with law, and to furnish to each Underwriter and to such dealers as you shall specify, such number of copies thereof as such Underwriter or dealers may reasonably request.</w:t>
      </w:r>
    </w:p>
    <w:p>
      <w:pPr>
        <w:spacing w:after="0" w:line="183" w:lineRule="exact"/>
        <w:rPr>
          <w:rFonts w:ascii="Courier New" w:cs="Courier New" w:eastAsia="Courier New" w:hAnsi="Courier New"/>
          <w:sz w:val="15"/>
          <w:szCs w:val="15"/>
          <w:color w:val="auto"/>
        </w:rPr>
      </w:pPr>
    </w:p>
    <w:p>
      <w:pPr>
        <w:ind w:left="560" w:right="3039" w:firstLine="718"/>
        <w:spacing w:after="0" w:line="246" w:lineRule="auto"/>
        <w:tabs>
          <w:tab w:leader="none" w:pos="2105"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any public offering of the Shares, to cooperate with you and counsel for the Underwriters in connection with the registration or qualification of the Shares for offer and sale by the several Underwriters and by dealers under the state securities or Blue Sky laws of such jurisdictions as you may request, to continue such qualification in effect so long as required for distribution of the Shares and to file such consents to service of process or other documents as may be necessary in order to effect such registration or qualification.</w:t>
      </w:r>
    </w:p>
    <w:p>
      <w:pPr>
        <w:spacing w:after="0" w:line="180" w:lineRule="exact"/>
        <w:rPr>
          <w:rFonts w:ascii="Courier New" w:cs="Courier New" w:eastAsia="Courier New" w:hAnsi="Courier New"/>
          <w:sz w:val="15"/>
          <w:szCs w:val="15"/>
          <w:color w:val="auto"/>
        </w:rPr>
      </w:pPr>
    </w:p>
    <w:p>
      <w:pPr>
        <w:ind w:left="560" w:right="3139" w:firstLine="718"/>
        <w:spacing w:after="0" w:line="246" w:lineRule="auto"/>
        <w:tabs>
          <w:tab w:leader="none" w:pos="2105"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mail and make generally available to its stockholders as soon as reasonably practicable an earnings statement covering a period of at least twelve months after the Closing Date of the Registration Statement (but in no event commencing later than 90 days after such date) which shall satisfy the provisions of Section 11(a) of the Act.</w:t>
      </w:r>
    </w:p>
    <w:p>
      <w:pPr>
        <w:spacing w:after="0" w:line="178" w:lineRule="exact"/>
        <w:rPr>
          <w:rFonts w:ascii="Courier New" w:cs="Courier New" w:eastAsia="Courier New" w:hAnsi="Courier New"/>
          <w:sz w:val="15"/>
          <w:szCs w:val="15"/>
          <w:color w:val="auto"/>
        </w:rPr>
      </w:pPr>
    </w:p>
    <w:p>
      <w:pPr>
        <w:ind w:left="560" w:right="3039" w:firstLine="718"/>
        <w:spacing w:after="0" w:line="246" w:lineRule="auto"/>
        <w:tabs>
          <w:tab w:leader="none" w:pos="2105"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period of five years after the date of this Agreement, (i) to mail as soon as reasonably practicable after the end of each fiscal year to the record holders of its Common Stock a financial report of the Company and its subsidiaries on a consolidated basis (and a similar financial report of all unconsolidated subsidiaries, if any), all such financial reports to include a consolidated balance sheet, a consolidated statement of operations, a consolidated statement of cash flows and a consolidated statement of shareholders' equity as of the end of and for such fiscal year, together with comparable information as of the end of and for the preceding year, certified by independent certified public accountants, and (ii) to make generally available as soon as practicable after the end of each quarterly period (except for the last quarterly period of each fiscal year) to such holders, a consolidated balance sheet, a consolidated statement of operations and a consolidated statement of cash flows (and similar financial reports of all unconsolidated subsidiaries, if any) as of the end of and for such period, and for the period from the beginning of such year to the close of such quarterly period, together with comparable information for the corresponding periods of the preceding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ind w:left="1460"/>
        <w:spacing w:after="0"/>
        <w:rPr>
          <w:sz w:val="20"/>
          <w:szCs w:val="20"/>
          <w:color w:val="auto"/>
        </w:rPr>
      </w:pPr>
      <w:r>
        <w:rPr>
          <w:rFonts w:ascii="Courier New" w:cs="Courier New" w:eastAsia="Courier New" w:hAnsi="Courier New"/>
          <w:sz w:val="15"/>
          <w:szCs w:val="15"/>
          <w:color w:val="auto"/>
        </w:rPr>
        <w:t>UNDERWRITING AGREEMENT -- COMMON STOCK</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- 5 -</w:t>
      </w:r>
    </w:p>
    <w:p>
      <w:pPr>
        <w:sectPr>
          <w:pgSz w:w="11900" w:h="16838" w:orient="portrait"/>
          <w:cols w:equalWidth="0" w:num="1">
            <w:col w:w="9959"/>
          </w:cols>
          <w:pgMar w:left="500" w:top="293"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6</w:t>
      </w:r>
    </w:p>
    <w:p>
      <w:pPr>
        <w:spacing w:after="0" w:line="5" w:lineRule="exact"/>
        <w:rPr>
          <w:sz w:val="20"/>
          <w:szCs w:val="20"/>
          <w:color w:val="auto"/>
        </w:rPr>
      </w:pPr>
    </w:p>
    <w:p>
      <w:pPr>
        <w:ind w:left="820" w:right="3039" w:firstLine="718"/>
        <w:spacing w:after="0" w:line="246" w:lineRule="auto"/>
        <w:tabs>
          <w:tab w:leader="none" w:pos="2365"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period referred to in paragraph (i), to furnish to you as soon as available a copy of each report or other publicly available information of the Company mailed to the holders of Common Stock or filed with the Commission and such other publicly available information concerning the Company and its subsidiaries as you may reasonably request.</w:t>
      </w:r>
    </w:p>
    <w:p>
      <w:pPr>
        <w:spacing w:after="0" w:line="178" w:lineRule="exact"/>
        <w:rPr>
          <w:rFonts w:ascii="Courier New" w:cs="Courier New" w:eastAsia="Courier New" w:hAnsi="Courier New"/>
          <w:sz w:val="15"/>
          <w:szCs w:val="15"/>
          <w:color w:val="auto"/>
        </w:rPr>
      </w:pPr>
    </w:p>
    <w:p>
      <w:pPr>
        <w:ind w:left="820" w:right="3139" w:firstLine="718"/>
        <w:spacing w:after="0" w:line="246" w:lineRule="auto"/>
        <w:tabs>
          <w:tab w:leader="none" w:pos="2365"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pay all costs, expenses, fees and taxes incident to (i) the preparation, printing, filing and distribution under the Act of the Registration Statement (including financial statements and exhibits), each preliminary prospectus related to the Shares and all amendments and supplements to any of them prior to or during the period specified in paragraph (e), (ii) the printing and delivery of the Prospectus and all amendments or supplements to it during the period specified in paragraph (e), (iii) the printing and delivery of this Agreement, the Preliminary and Supplemental Blue Sky Memoranda,</w:t>
      </w:r>
    </w:p>
    <w:p>
      <w:pPr>
        <w:spacing w:after="0" w:line="5" w:lineRule="exact"/>
        <w:rPr>
          <w:rFonts w:ascii="Courier New" w:cs="Courier New" w:eastAsia="Courier New" w:hAnsi="Courier New"/>
          <w:sz w:val="15"/>
          <w:szCs w:val="15"/>
          <w:color w:val="auto"/>
        </w:rPr>
      </w:pPr>
    </w:p>
    <w:p>
      <w:pPr>
        <w:ind w:left="820" w:right="3039" w:hanging="9"/>
        <w:spacing w:after="0" w:line="246" w:lineRule="auto"/>
        <w:tabs>
          <w:tab w:leader="none" w:pos="1274"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registration or qualification of the Shares for offer and sale under the securities or Blue Sky laws of the several states (including in each case the fees and disbursements of counsel for the Underwriters relating to such registration or qualification and memoranda relating thereto), (v) the listing of the Shares on the New York Stock Exchange, and (vi) furnishing such copies of the Registration Statement, the Prospectus and all amendments and supplements thereto as may be requested for use in connection with the offering or sale of the Shares by the Underwriters or by dealers to whom Shares may be sold.</w:t>
      </w:r>
    </w:p>
    <w:p>
      <w:pPr>
        <w:spacing w:after="0" w:line="180" w:lineRule="exact"/>
        <w:rPr>
          <w:rFonts w:ascii="Courier New" w:cs="Courier New" w:eastAsia="Courier New" w:hAnsi="Courier New"/>
          <w:sz w:val="15"/>
          <w:szCs w:val="15"/>
          <w:color w:val="auto"/>
        </w:rPr>
      </w:pPr>
    </w:p>
    <w:p>
      <w:pPr>
        <w:ind w:left="820" w:right="3219" w:firstLine="718"/>
        <w:spacing w:after="0" w:line="247" w:lineRule="auto"/>
        <w:tabs>
          <w:tab w:leader="none" w:pos="2365"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use its best efforts to maintain the listing of the Common Stock on the New York Stock Exchange for a period of five years after the effective date of the Registration Statement.</w:t>
      </w:r>
    </w:p>
    <w:p>
      <w:pPr>
        <w:spacing w:after="0" w:line="174" w:lineRule="exact"/>
        <w:rPr>
          <w:rFonts w:ascii="Courier New" w:cs="Courier New" w:eastAsia="Courier New" w:hAnsi="Courier New"/>
          <w:sz w:val="15"/>
          <w:szCs w:val="15"/>
          <w:color w:val="auto"/>
        </w:rPr>
      </w:pPr>
    </w:p>
    <w:p>
      <w:pPr>
        <w:ind w:left="820" w:right="3039" w:firstLine="718"/>
        <w:spacing w:after="0" w:line="246" w:lineRule="auto"/>
        <w:tabs>
          <w:tab w:leader="none" w:pos="2365"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use its best efforts to do and perform all things required or necessary to be done and performed under this Agreement by the Company prior to the Closing Date or any Option Closing Date, as the case may be, and to satisfy all conditions precedent to the delivery of the Shares.</w:t>
      </w:r>
    </w:p>
    <w:p>
      <w:pPr>
        <w:spacing w:after="0" w:line="177" w:lineRule="exact"/>
        <w:rPr>
          <w:rFonts w:ascii="Courier New" w:cs="Courier New" w:eastAsia="Courier New" w:hAnsi="Courier New"/>
          <w:sz w:val="15"/>
          <w:szCs w:val="15"/>
          <w:color w:val="auto"/>
        </w:rPr>
      </w:pPr>
    </w:p>
    <w:p>
      <w:pPr>
        <w:ind w:left="820" w:right="3139" w:firstLine="718"/>
        <w:spacing w:after="0" w:line="247" w:lineRule="auto"/>
        <w:tabs>
          <w:tab w:leader="none" w:pos="2365"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use the net proceeds received by it from the sale of Shares in the manner specified in the Prospectus under "Use of Proceeds."</w:t>
      </w:r>
    </w:p>
    <w:p>
      <w:pPr>
        <w:spacing w:after="0" w:line="174" w:lineRule="exact"/>
        <w:rPr>
          <w:sz w:val="20"/>
          <w:szCs w:val="20"/>
          <w:color w:val="auto"/>
        </w:rPr>
      </w:pPr>
    </w:p>
    <w:p>
      <w:pPr>
        <w:ind w:right="3319" w:firstLine="811"/>
        <w:spacing w:after="0" w:line="247" w:lineRule="auto"/>
        <w:tabs>
          <w:tab w:leader="none" w:pos="1545"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Warranties of the Company. The Company represents and warrants to each Underwriter that:</w:t>
      </w:r>
    </w:p>
    <w:p>
      <w:pPr>
        <w:spacing w:after="0" w:line="174" w:lineRule="exact"/>
        <w:rPr>
          <w:rFonts w:ascii="Courier New" w:cs="Courier New" w:eastAsia="Courier New" w:hAnsi="Courier New"/>
          <w:sz w:val="15"/>
          <w:szCs w:val="15"/>
          <w:color w:val="auto"/>
        </w:rPr>
      </w:pPr>
    </w:p>
    <w:p>
      <w:pPr>
        <w:ind w:left="820" w:right="3039" w:firstLine="718"/>
        <w:spacing w:after="0" w:line="246" w:lineRule="auto"/>
        <w:tabs>
          <w:tab w:leader="none" w:pos="2365"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meets the requirements for use of Form S-3; the Registration Statement has become effective; no stop order suspending the effectiveness of the Registration Statement is in effect, and no proceedings for such purpose are pending before or have been threatened by the Commission.</w:t>
      </w:r>
    </w:p>
    <w:p>
      <w:pPr>
        <w:spacing w:after="0" w:line="177" w:lineRule="exact"/>
        <w:rPr>
          <w:rFonts w:ascii="Courier New" w:cs="Courier New" w:eastAsia="Courier New" w:hAnsi="Courier New"/>
          <w:sz w:val="15"/>
          <w:szCs w:val="15"/>
          <w:color w:val="auto"/>
        </w:rPr>
      </w:pPr>
    </w:p>
    <w:p>
      <w:pPr>
        <w:ind w:left="820" w:right="3139" w:firstLine="718"/>
        <w:spacing w:after="0" w:line="246" w:lineRule="auto"/>
        <w:tabs>
          <w:tab w:leader="none" w:pos="2365"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time the Registration Statement, any 462(b) Registration Statement or any post-effective amendment to the Registration Statement became or becomes effective, on the date that any amendment or supplement to the Prospectus is filed with the Commission, and at the Closing Date, and if later, the Option Closing Date, (i) each part of the Registration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UNDERWRITING AGREEMENT -- COMMON STOCK</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- 6 -</w:t>
      </w:r>
    </w:p>
    <w:p>
      <w:pPr>
        <w:sectPr>
          <w:pgSz w:w="11900" w:h="16838" w:orient="portrait"/>
          <w:cols w:equalWidth="0" w:num="1">
            <w:col w:w="10219"/>
          </w:cols>
          <w:pgMar w:left="240" w:top="293"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5"/>
          <w:szCs w:val="15"/>
          <w:color w:val="auto"/>
        </w:rPr>
        <w:t>7</w:t>
      </w:r>
    </w:p>
    <w:p>
      <w:pPr>
        <w:spacing w:after="0" w:line="180" w:lineRule="exact"/>
        <w:rPr>
          <w:sz w:val="20"/>
          <w:szCs w:val="20"/>
          <w:color w:val="auto"/>
        </w:rPr>
      </w:pPr>
    </w:p>
    <w:p>
      <w:pPr>
        <w:ind w:left="560" w:right="3039"/>
        <w:spacing w:after="0" w:line="246" w:lineRule="auto"/>
        <w:rPr>
          <w:sz w:val="20"/>
          <w:szCs w:val="20"/>
          <w:color w:val="auto"/>
        </w:rPr>
      </w:pPr>
      <w:r>
        <w:rPr>
          <w:rFonts w:ascii="Courier New" w:cs="Courier New" w:eastAsia="Courier New" w:hAnsi="Courier New"/>
          <w:sz w:val="15"/>
          <w:szCs w:val="15"/>
          <w:color w:val="auto"/>
        </w:rPr>
        <w:t>Statement, when such part became effective, did not contain and each such part, as amended or supplemented, if applicable, will not contain any untrue statement of a material fact or omit to state a material fact required to be stated therein or necessary to make the statements therein not misleading, (ii) the Registration Statement and the Prospectus comply and, as amended or supplemented, if applicable, will comply in all material respects with the Act and (iii) the Prospectus did not and does not contain and, as amended or supplemented, if applicable, will not contain any untrue statement of a material fact or omit to state a material fact necessary to make the statements therein, in the light of the circumstances under which they were made, not misleading, except that the representations and warranties set forth in this paragraph (b) do not apply to statements or omissions in the Registration Statement or the Prospectus based upon information relating to any Underwriter furnished to the Company in writing by such Underwriter through you expressly for use therein.</w:t>
      </w:r>
    </w:p>
    <w:p>
      <w:pPr>
        <w:spacing w:after="0" w:line="184" w:lineRule="exact"/>
        <w:rPr>
          <w:sz w:val="20"/>
          <w:szCs w:val="20"/>
          <w:color w:val="auto"/>
        </w:rPr>
      </w:pPr>
    </w:p>
    <w:p>
      <w:pPr>
        <w:ind w:left="560" w:right="3039" w:firstLine="718"/>
        <w:spacing w:after="0" w:line="246" w:lineRule="auto"/>
        <w:tabs>
          <w:tab w:leader="none" w:pos="2105"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term sheet or prospectus subject to completion provided by the Company to the Underwriters for use in connection with the offering and sale of the Shares pursuant to Rule 434 under the Act together are not materially different from the prospectus included in the Registration Statement (exclusive of any information deemed a part thereof by virtue of Rule 434(d)). The documents incorporated or deemed to be incorporated by reference in the Prospectus pursuant to Item 12 of Form S-3 under the Act, at the time they were, or hereafter are, filed with the Commission, complied and will comply in all material respects with the requirements of the Exchange Act, and, when read together with other information in the Prospectus, at the time the Registration Statement became effective and as of the Closing Date and, if later, the Option Closing Date, and during the period specified in Section 5(e), did not and will not contain an untrue statement of a material fact or omit to state a material fact required to be stated therein or necessary to make the statements therein, in the light of the circumstances under which they were made, not misleading.</w:t>
      </w:r>
    </w:p>
    <w:p>
      <w:pPr>
        <w:spacing w:after="0" w:line="185" w:lineRule="exact"/>
        <w:rPr>
          <w:rFonts w:ascii="Courier New" w:cs="Courier New" w:eastAsia="Courier New" w:hAnsi="Courier New"/>
          <w:sz w:val="15"/>
          <w:szCs w:val="15"/>
          <w:color w:val="auto"/>
        </w:rPr>
      </w:pPr>
    </w:p>
    <w:p>
      <w:pPr>
        <w:ind w:left="560" w:right="3039" w:firstLine="718"/>
        <w:spacing w:after="0" w:line="246" w:lineRule="auto"/>
        <w:tabs>
          <w:tab w:leader="none" w:pos="2105"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preliminary prospectus filed as part of the registration statement as originally filed or as part of any amendment thereto, or filed pursuant to Rule 424 under the Act, and each Rule 462(b) Registration Statement, if any, complied when so filed in all material respects with the Act; and did not contain an untrue statement of a material fact or omit to state a material fact required to be stated therein or necessary to make the statements therein, in the light of the circumstances under which they were made, not misleading.</w:t>
      </w:r>
    </w:p>
    <w:p>
      <w:pPr>
        <w:spacing w:after="0" w:line="180" w:lineRule="exact"/>
        <w:rPr>
          <w:rFonts w:ascii="Courier New" w:cs="Courier New" w:eastAsia="Courier New" w:hAnsi="Courier New"/>
          <w:sz w:val="15"/>
          <w:szCs w:val="15"/>
          <w:color w:val="auto"/>
        </w:rPr>
      </w:pPr>
    </w:p>
    <w:p>
      <w:pPr>
        <w:ind w:left="560" w:right="3139" w:firstLine="718"/>
        <w:spacing w:after="0" w:line="246" w:lineRule="auto"/>
        <w:tabs>
          <w:tab w:leader="none" w:pos="2105"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Annex I is an accurate and complete list of all subsidiaries of the Company (the "Material Subsidiaries") which accounted for more than $70.0 million of revenues during fiscal 1996 or which, as of December 31, 1996, had assets in excess of $125 million. The Company and each of its subsidiaries has been duly incorporated, is validly existing as a corporation in good standing under the laws of its jurisdiction of incorporation and has the corporate power and authority to carry on its business as it is currently being conducted and to own, lease and operate its properties, and each is duly qualified and is in good standing as a foreign corporation authorized to do business in each jurisdiction in which the nature of its business or its ownership or leasing of property requires such qualification, except where the failure to be so qualified would not have a material adverse effect on the Company and its subsidiaries, taken as a whole.</w:t>
      </w:r>
    </w:p>
    <w:p>
      <w:pPr>
        <w:spacing w:after="0" w:line="200" w:lineRule="exact"/>
        <w:rPr>
          <w:sz w:val="20"/>
          <w:szCs w:val="20"/>
          <w:color w:val="auto"/>
        </w:rPr>
      </w:pPr>
    </w:p>
    <w:p>
      <w:pPr>
        <w:spacing w:after="0" w:line="333"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ind w:left="1460"/>
        <w:spacing w:after="0"/>
        <w:rPr>
          <w:sz w:val="20"/>
          <w:szCs w:val="20"/>
          <w:color w:val="auto"/>
        </w:rPr>
      </w:pPr>
      <w:r>
        <w:rPr>
          <w:rFonts w:ascii="Courier New" w:cs="Courier New" w:eastAsia="Courier New" w:hAnsi="Courier New"/>
          <w:sz w:val="15"/>
          <w:szCs w:val="15"/>
          <w:color w:val="auto"/>
        </w:rPr>
        <w:t>UNDERWRITING AGREEMENT -- COMMON STOCK</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- 7 -</w:t>
      </w:r>
    </w:p>
    <w:p>
      <w:pPr>
        <w:sectPr>
          <w:pgSz w:w="11900" w:h="16838" w:orient="portrait"/>
          <w:cols w:equalWidth="0" w:num="1">
            <w:col w:w="9959"/>
          </w:cols>
          <w:pgMar w:left="500" w:top="293"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5"/>
          <w:szCs w:val="15"/>
          <w:color w:val="auto"/>
        </w:rPr>
        <w:t>8</w:t>
      </w:r>
    </w:p>
    <w:p>
      <w:pPr>
        <w:spacing w:after="0" w:line="5" w:lineRule="exact"/>
        <w:rPr>
          <w:sz w:val="20"/>
          <w:szCs w:val="20"/>
          <w:color w:val="auto"/>
        </w:rPr>
      </w:pPr>
    </w:p>
    <w:p>
      <w:pPr>
        <w:ind w:left="560" w:right="3039" w:firstLine="718"/>
        <w:spacing w:after="0" w:line="246" w:lineRule="auto"/>
        <w:tabs>
          <w:tab w:leader="none" w:pos="2105"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of the outstanding shares of capital stock of, or other ownership interests in, each of the Company's subsidiaries have been duly authorized and validly issued and are fully paid and non-assessable, and are owned by the Company, free and clear of any security interest, claim, lien, encumbrance or adverse interest of any nature (other than liens created under the Credit Facility (as defined in the Registration Statement)).</w:t>
      </w:r>
    </w:p>
    <w:p>
      <w:pPr>
        <w:spacing w:after="0" w:line="179" w:lineRule="exact"/>
        <w:rPr>
          <w:rFonts w:ascii="Courier New" w:cs="Courier New" w:eastAsia="Courier New" w:hAnsi="Courier New"/>
          <w:sz w:val="15"/>
          <w:szCs w:val="15"/>
          <w:color w:val="auto"/>
        </w:rPr>
      </w:pPr>
    </w:p>
    <w:p>
      <w:pPr>
        <w:ind w:left="560" w:right="3039" w:firstLine="718"/>
        <w:spacing w:after="0" w:line="246" w:lineRule="auto"/>
        <w:tabs>
          <w:tab w:leader="none" w:pos="2105"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the outstanding shares of capital stock of the Company have been duly authorized and validly issued and are fully paid, non-assessable and not subject to any preemptive or similar rights; and the Shares have been duly authorized and, when issued and delivered to the Underwriters against payment therefor as provided by this Agreement, will be validly issued, fully paid and non-assessable, and the issuance of such Shares will not be subject to any preemptive or similar rights. Upon payment of the Purchase Price and delivery of certificates representing the Shares, each of the Underwriters will receive the Shares free and clear of all liens, security interests or encumbrances.</w:t>
      </w:r>
    </w:p>
    <w:p>
      <w:pPr>
        <w:spacing w:after="0" w:line="181" w:lineRule="exact"/>
        <w:rPr>
          <w:rFonts w:ascii="Courier New" w:cs="Courier New" w:eastAsia="Courier New" w:hAnsi="Courier New"/>
          <w:sz w:val="15"/>
          <w:szCs w:val="15"/>
          <w:color w:val="auto"/>
        </w:rPr>
      </w:pPr>
    </w:p>
    <w:p>
      <w:pPr>
        <w:ind w:left="560" w:right="3679" w:firstLine="718"/>
        <w:spacing w:after="0" w:line="247" w:lineRule="auto"/>
        <w:tabs>
          <w:tab w:leader="none" w:pos="2105"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authorized capital stock of the Company, including the Common Stock, conforms as to legal matters to the description thereof included in the Prospectus.</w:t>
      </w:r>
    </w:p>
    <w:p>
      <w:pPr>
        <w:spacing w:after="0" w:line="174" w:lineRule="exact"/>
        <w:rPr>
          <w:rFonts w:ascii="Courier New" w:cs="Courier New" w:eastAsia="Courier New" w:hAnsi="Courier New"/>
          <w:sz w:val="15"/>
          <w:szCs w:val="15"/>
          <w:color w:val="auto"/>
        </w:rPr>
      </w:pPr>
    </w:p>
    <w:p>
      <w:pPr>
        <w:ind w:left="560" w:right="3039" w:firstLine="718"/>
        <w:spacing w:after="0" w:line="246" w:lineRule="auto"/>
        <w:tabs>
          <w:tab w:leader="none" w:pos="2105"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nor any of its subsidiaries is in violation of its respective charter or by-laws or in default in the performance of any obligation, agreement or condition contained in any bond, debenture, note or any other evidence of indebtedness or in any other agreement, indenture or instrument material to the conduct of the business of the Company and its subsidiaries, taken as a whole, to which the Company or any of its subsidiaries is a party or by which it or any of its subsidiaries or their respective property is bound.</w:t>
      </w:r>
    </w:p>
    <w:p>
      <w:pPr>
        <w:spacing w:after="0" w:line="179" w:lineRule="exact"/>
        <w:rPr>
          <w:rFonts w:ascii="Courier New" w:cs="Courier New" w:eastAsia="Courier New" w:hAnsi="Courier New"/>
          <w:sz w:val="15"/>
          <w:szCs w:val="15"/>
          <w:color w:val="auto"/>
        </w:rPr>
      </w:pPr>
    </w:p>
    <w:p>
      <w:pPr>
        <w:ind w:left="560" w:right="3039" w:firstLine="718"/>
        <w:spacing w:after="0" w:line="246" w:lineRule="auto"/>
        <w:tabs>
          <w:tab w:leader="none" w:pos="2105"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delivery and performance of this Agreement, compliance by the Company with all the provisions hereof and the consummation of the transactions contemplated hereby will not require any consent, approval, authorization or order of any court, regulatory body, administrative agency or other governmental body (except such as may be required under the securities or Blue Sky laws of the various states or jurisdictions outside the United States) and will not conflict with or constitute a breach of any of the terms or provisions of, or a default under, the charter or by-laws of the Company or any of its subsidiaries or any agreement, indenture or other instrument to which it or any of its subsidiaries is a party or by which it or any of its subsidiaries or their respective property is bound, or violate or conflict with any laws, administrative regulations or rulings or court decrees applicable to the Company, any of its subsidiaries or their respective property.</w:t>
      </w:r>
    </w:p>
    <w:p>
      <w:pPr>
        <w:spacing w:after="0" w:line="183" w:lineRule="exact"/>
        <w:rPr>
          <w:rFonts w:ascii="Courier New" w:cs="Courier New" w:eastAsia="Courier New" w:hAnsi="Courier New"/>
          <w:sz w:val="15"/>
          <w:szCs w:val="15"/>
          <w:color w:val="auto"/>
        </w:rPr>
      </w:pPr>
    </w:p>
    <w:p>
      <w:pPr>
        <w:ind w:left="560" w:right="3039" w:firstLine="718"/>
        <w:spacing w:after="0" w:line="246" w:lineRule="auto"/>
        <w:tabs>
          <w:tab w:leader="none" w:pos="2105"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set forth in the Prospectus, there are no material legal or governmental proceedings pending to which the Company or any of its subsidiaries is a party or of which any of their respective property is the subject, and, to the Company's knowledge, no such proceedings are threatened or contemplated. No material development has occurred with respect to the legal proceedings described in the Registration Statement. No contract or document of a character required to be described in the Registration Statement or the Prospectus or to be filed as an exhibit to the Registration Statement is not so described or filed as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ind w:left="1460"/>
        <w:spacing w:after="0"/>
        <w:rPr>
          <w:sz w:val="20"/>
          <w:szCs w:val="20"/>
          <w:color w:val="auto"/>
        </w:rPr>
      </w:pPr>
      <w:r>
        <w:rPr>
          <w:rFonts w:ascii="Courier New" w:cs="Courier New" w:eastAsia="Courier New" w:hAnsi="Courier New"/>
          <w:sz w:val="15"/>
          <w:szCs w:val="15"/>
          <w:color w:val="auto"/>
        </w:rPr>
        <w:t>UNDERWRITING AGREEMENT -- COMMON STOCK</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- 8 -</w:t>
      </w:r>
    </w:p>
    <w:p>
      <w:pPr>
        <w:sectPr>
          <w:pgSz w:w="11900" w:h="16838" w:orient="portrait"/>
          <w:cols w:equalWidth="0" w:num="1">
            <w:col w:w="9959"/>
          </w:cols>
          <w:pgMar w:left="500" w:top="293"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5"/>
          <w:szCs w:val="15"/>
          <w:color w:val="auto"/>
        </w:rPr>
        <w:t>9</w:t>
      </w:r>
    </w:p>
    <w:p>
      <w:pPr>
        <w:spacing w:after="0" w:line="5" w:lineRule="exact"/>
        <w:rPr>
          <w:sz w:val="20"/>
          <w:szCs w:val="20"/>
          <w:color w:val="auto"/>
        </w:rPr>
      </w:pPr>
    </w:p>
    <w:p>
      <w:pPr>
        <w:ind w:left="560" w:right="3039" w:firstLine="718"/>
        <w:spacing w:after="0" w:line="246" w:lineRule="auto"/>
        <w:tabs>
          <w:tab w:leader="none" w:pos="2105"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nor any of its subsidiaries has violated any foreign, federal, state or local law or regulation relating to the protection of human health and safety, the environment or hazardous or toxic substances or wastes, pollutants or contaminants ("Environmental Laws"), nor any federal or state law relating to discrimination in the hiring, promotion or pay of employees nor any applicable federal or state wages and hours laws, nor any provisions of the Employee Retirement Income Security Act or the rules and regulations promulgated thereunder, which in each case might result in any material adverse change in the business, prospects, financial condition or results of operation of the Company and its subsidiaries, taken as a whole.</w:t>
      </w:r>
    </w:p>
    <w:p>
      <w:pPr>
        <w:spacing w:after="0" w:line="182" w:lineRule="exact"/>
        <w:rPr>
          <w:rFonts w:ascii="Courier New" w:cs="Courier New" w:eastAsia="Courier New" w:hAnsi="Courier New"/>
          <w:sz w:val="15"/>
          <w:szCs w:val="15"/>
          <w:color w:val="auto"/>
        </w:rPr>
      </w:pPr>
    </w:p>
    <w:p>
      <w:pPr>
        <w:ind w:left="560" w:right="3039" w:firstLine="718"/>
        <w:spacing w:after="0" w:line="246" w:lineRule="auto"/>
        <w:tabs>
          <w:tab w:leader="none" w:pos="2105"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each of its subsidiaries has such permits, licenses, franchises and authorizations of governmental or regulatory authorities ("permits"), including, without limitation, under any applicable Environmental Laws, as are necessary to own, lease and operate its respective properties and to conduct its business as currently being conducted and as the Company expects it to be conducted except where the failure to have such permits would not have a material adverse effect on the Company and its subsidiaries, taken as a whole; the Company and each of its subsidiaries has fulfilled and performed all of its material obligations with respect to such permits and no event has occurred which allows, or after notice or lapse of time would allow, revocation or termination thereof or results in any other material impairment of the rights of the holder of any such permit; and, except as described in the Prospectus, such permits contain no restrictions that are materially burdensome to the Company or any of its subsidiaries.</w:t>
      </w:r>
    </w:p>
    <w:p>
      <w:pPr>
        <w:spacing w:after="0" w:line="184" w:lineRule="exact"/>
        <w:rPr>
          <w:rFonts w:ascii="Courier New" w:cs="Courier New" w:eastAsia="Courier New" w:hAnsi="Courier New"/>
          <w:sz w:val="15"/>
          <w:szCs w:val="15"/>
          <w:color w:val="auto"/>
        </w:rPr>
      </w:pPr>
    </w:p>
    <w:p>
      <w:pPr>
        <w:ind w:left="560" w:right="3039" w:firstLine="718"/>
        <w:spacing w:after="0" w:line="246" w:lineRule="auto"/>
        <w:tabs>
          <w:tab w:leader="none" w:pos="2105"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ordinary course of its business, the Company conducts a periodic review of the effect of Environmental Laws on the business, operations and properties of the Company and its subsidiaries, in the course of which it identifies and evaluates associated costs and liabilities (including, without limitation, any capital or operating expenditures required for clean-up, closure of properties or compliance with Environmental Laws or any permit, license or approval, any related constraints on operating activities and any potential liabilities to third parties). On the basis of such review, the Company has reasonably concluded that such associated costs and liabilities would not, except to the extent properly accrued for in the Company's financial statements, singly or in the aggregate, have a material adverse effect on the Company and its subsidiaries, taken as a whole.</w:t>
      </w:r>
    </w:p>
    <w:p>
      <w:pPr>
        <w:spacing w:after="0" w:line="183" w:lineRule="exact"/>
        <w:rPr>
          <w:rFonts w:ascii="Courier New" w:cs="Courier New" w:eastAsia="Courier New" w:hAnsi="Courier New"/>
          <w:sz w:val="15"/>
          <w:szCs w:val="15"/>
          <w:color w:val="auto"/>
        </w:rPr>
      </w:pPr>
    </w:p>
    <w:p>
      <w:pPr>
        <w:ind w:left="560" w:right="3039" w:firstLine="718"/>
        <w:spacing w:after="0" w:line="246" w:lineRule="auto"/>
        <w:tabs>
          <w:tab w:leader="none" w:pos="2105"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set forth in the Prospectus or such as are not material to the business, prospects, financial condition or results of operation of the Company and its subsidiaries, taken as a whole, the Company and each of its subsidiaries has good and marketable title, free and clear of all liens, claims, encumbrances and restrictions except liens for taxes not yet due and payable, to all property and assets described in the Registration Statement as being owned by it. All leases to which the Company or any of its subsidiaries is a party are valid and binding and no default has occurred or is continuing thereunder that might result in any material adverse change in the business, prospects, financial condition or results of operations of the Company and its subsidiaries taken as a whole, and the Company and its subsidiaries enjoy peaceful and undisturbed possession under all such leases to which any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ind w:left="1460"/>
        <w:spacing w:after="0"/>
        <w:rPr>
          <w:sz w:val="20"/>
          <w:szCs w:val="20"/>
          <w:color w:val="auto"/>
        </w:rPr>
      </w:pPr>
      <w:r>
        <w:rPr>
          <w:rFonts w:ascii="Courier New" w:cs="Courier New" w:eastAsia="Courier New" w:hAnsi="Courier New"/>
          <w:sz w:val="15"/>
          <w:szCs w:val="15"/>
          <w:color w:val="auto"/>
        </w:rPr>
        <w:t>UNDERWRITING AGREEMENT -- COMMON STOCK</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- 9 -</w:t>
      </w:r>
    </w:p>
    <w:p>
      <w:pPr>
        <w:sectPr>
          <w:pgSz w:w="11900" w:h="16838" w:orient="portrait"/>
          <w:cols w:equalWidth="0" w:num="1">
            <w:col w:w="9959"/>
          </w:cols>
          <w:pgMar w:left="500" w:top="293"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5"/>
          <w:szCs w:val="15"/>
          <w:color w:val="auto"/>
        </w:rPr>
        <w:t>10</w:t>
      </w:r>
    </w:p>
    <w:p>
      <w:pPr>
        <w:spacing w:after="0" w:line="5" w:lineRule="exact"/>
        <w:rPr>
          <w:sz w:val="20"/>
          <w:szCs w:val="20"/>
          <w:color w:val="auto"/>
        </w:rPr>
      </w:pPr>
    </w:p>
    <w:p>
      <w:pPr>
        <w:ind w:left="560" w:right="3319"/>
        <w:spacing w:after="0" w:line="247" w:lineRule="auto"/>
        <w:rPr>
          <w:sz w:val="20"/>
          <w:szCs w:val="20"/>
          <w:color w:val="auto"/>
        </w:rPr>
      </w:pPr>
      <w:r>
        <w:rPr>
          <w:rFonts w:ascii="Courier New" w:cs="Courier New" w:eastAsia="Courier New" w:hAnsi="Courier New"/>
          <w:sz w:val="15"/>
          <w:szCs w:val="15"/>
          <w:color w:val="auto"/>
        </w:rPr>
        <w:t>them is a party as lessee with such exceptions as do not materially interfere with the use made by the Company or such subsidiary.</w:t>
      </w:r>
    </w:p>
    <w:p>
      <w:pPr>
        <w:spacing w:after="0" w:line="175" w:lineRule="exact"/>
        <w:rPr>
          <w:sz w:val="20"/>
          <w:szCs w:val="20"/>
          <w:color w:val="auto"/>
        </w:rPr>
      </w:pPr>
    </w:p>
    <w:p>
      <w:pPr>
        <w:ind w:left="560" w:right="3319" w:firstLine="718"/>
        <w:spacing w:after="0" w:line="247" w:lineRule="auto"/>
        <w:tabs>
          <w:tab w:leader="none" w:pos="2105"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each of its subsidiaries maintains insurance as is customary in the industry.</w:t>
      </w:r>
    </w:p>
    <w:p>
      <w:pPr>
        <w:spacing w:after="0" w:line="174" w:lineRule="exact"/>
        <w:rPr>
          <w:rFonts w:ascii="Courier New" w:cs="Courier New" w:eastAsia="Courier New" w:hAnsi="Courier New"/>
          <w:sz w:val="15"/>
          <w:szCs w:val="15"/>
          <w:color w:val="auto"/>
        </w:rPr>
      </w:pPr>
    </w:p>
    <w:p>
      <w:pPr>
        <w:ind w:left="560" w:right="3039" w:firstLine="718"/>
        <w:spacing w:after="0" w:line="246" w:lineRule="auto"/>
        <w:tabs>
          <w:tab w:leader="none" w:pos="2105"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Coopers &amp; Lybrand LLP, Deloitte &amp; Touche LLP, Arthur Andersen LLP, Ernst &amp; Young LLP, Deloitte &amp; Touche Chartered Accountants, Kaplan Sipos &amp; Associates, Blake, Kuehler, Babione &amp; Pool, Buckno Lisicky &amp; Company and Osborn, Henning and Company are independent public accountants with respect to the Company as required by the Act.</w:t>
      </w:r>
    </w:p>
    <w:p>
      <w:pPr>
        <w:spacing w:after="0" w:line="178" w:lineRule="exact"/>
        <w:rPr>
          <w:rFonts w:ascii="Courier New" w:cs="Courier New" w:eastAsia="Courier New" w:hAnsi="Courier New"/>
          <w:sz w:val="15"/>
          <w:szCs w:val="15"/>
          <w:color w:val="auto"/>
        </w:rPr>
      </w:pPr>
    </w:p>
    <w:p>
      <w:pPr>
        <w:ind w:left="560" w:right="3039" w:firstLine="718"/>
        <w:spacing w:after="0" w:line="246" w:lineRule="auto"/>
        <w:tabs>
          <w:tab w:leader="none" w:pos="2105"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financial statements, together with related schedules and notes, forming part of the Registration Statement and the Prospectus (and any amendment or supplement thereto), present fairly the consolidated financial position, results of operations and changes in financial position of the Company and its subsidiaries on the basis stated in the Registration Statement at the respective dates or for the respective periods to which they apply; such statements and related schedules and notes have been prepared in accordance with generally accepted accounting principles consistently applied throughout the periods involved, except as disclosed therein; and the other financial and statistical information and data set forth in the Registration Statement and the Prospectus (and any amendment or supplement thereto) is, in all material respects, accurately presented and prepared on a basis consistent with such financial statements and the books and records of the Company. No other financial statements or schedules are required by the Act or the Exchange Act to be included in the Registration Statement or the Prospectus.</w:t>
      </w:r>
    </w:p>
    <w:p>
      <w:pPr>
        <w:spacing w:after="0" w:line="185" w:lineRule="exact"/>
        <w:rPr>
          <w:rFonts w:ascii="Courier New" w:cs="Courier New" w:eastAsia="Courier New" w:hAnsi="Courier New"/>
          <w:sz w:val="15"/>
          <w:szCs w:val="15"/>
          <w:color w:val="auto"/>
        </w:rPr>
      </w:pPr>
    </w:p>
    <w:p>
      <w:pPr>
        <w:ind w:left="560" w:right="3139" w:firstLine="718"/>
        <w:spacing w:after="0" w:line="247" w:lineRule="auto"/>
        <w:tabs>
          <w:tab w:leader="none" w:pos="2105"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not an "investment company" or a company "controlled" by an "investment company" within the meaning of the Investment Company Act of 1940, as amended.</w:t>
      </w:r>
    </w:p>
    <w:p>
      <w:pPr>
        <w:spacing w:after="0" w:line="174" w:lineRule="exact"/>
        <w:rPr>
          <w:rFonts w:ascii="Courier New" w:cs="Courier New" w:eastAsia="Courier New" w:hAnsi="Courier New"/>
          <w:sz w:val="15"/>
          <w:szCs w:val="15"/>
          <w:color w:val="auto"/>
        </w:rPr>
      </w:pPr>
    </w:p>
    <w:p>
      <w:pPr>
        <w:ind w:left="560" w:right="3219" w:firstLine="718"/>
        <w:spacing w:after="0" w:line="246" w:lineRule="auto"/>
        <w:tabs>
          <w:tab w:leader="none" w:pos="2105"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holder of any security of the Company has any right to require registration of shares of Common Stock or any other security of the Company because of the filing of the Registration Statement, which has not been waived.</w:t>
      </w:r>
    </w:p>
    <w:p>
      <w:pPr>
        <w:spacing w:after="0" w:line="177" w:lineRule="exact"/>
        <w:rPr>
          <w:rFonts w:ascii="Courier New" w:cs="Courier New" w:eastAsia="Courier New" w:hAnsi="Courier New"/>
          <w:sz w:val="15"/>
          <w:szCs w:val="15"/>
          <w:color w:val="auto"/>
        </w:rPr>
      </w:pPr>
    </w:p>
    <w:p>
      <w:pPr>
        <w:ind w:left="560" w:right="3039" w:firstLine="718"/>
        <w:spacing w:after="0" w:line="247" w:lineRule="auto"/>
        <w:tabs>
          <w:tab w:leader="none" w:pos="2105"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are duly authorized for listing on the New York Stock Exchange, subject to official notice of issuance.</w:t>
      </w:r>
    </w:p>
    <w:p>
      <w:pPr>
        <w:spacing w:after="0" w:line="174" w:lineRule="exact"/>
        <w:rPr>
          <w:rFonts w:ascii="Courier New" w:cs="Courier New" w:eastAsia="Courier New" w:hAnsi="Courier New"/>
          <w:sz w:val="15"/>
          <w:szCs w:val="15"/>
          <w:color w:val="auto"/>
        </w:rPr>
      </w:pPr>
    </w:p>
    <w:p>
      <w:pPr>
        <w:ind w:left="560" w:right="3039" w:firstLine="718"/>
        <w:spacing w:after="0" w:line="246" w:lineRule="auto"/>
        <w:tabs>
          <w:tab w:leader="none" w:pos="2105"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 outstanding subscriptions, rights, warrants, options, calls, convertible securities, commitments of sale or liens related to or entitling any person to purchase or otherwise to acquire any shares of the capital stock of, or other ownership interest in, the Company or any subsidiary thereof except as otherwise disclosed in the Registration Statement or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ind w:left="1460"/>
        <w:spacing w:after="0"/>
        <w:rPr>
          <w:sz w:val="20"/>
          <w:szCs w:val="20"/>
          <w:color w:val="auto"/>
        </w:rPr>
      </w:pPr>
      <w:r>
        <w:rPr>
          <w:rFonts w:ascii="Courier New" w:cs="Courier New" w:eastAsia="Courier New" w:hAnsi="Courier New"/>
          <w:sz w:val="15"/>
          <w:szCs w:val="15"/>
          <w:color w:val="auto"/>
        </w:rPr>
        <w:t>UNDERWRITING AGREEMENT -- COMMON STOCK</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- 10 -</w:t>
      </w:r>
    </w:p>
    <w:p>
      <w:pPr>
        <w:sectPr>
          <w:pgSz w:w="11900" w:h="16838" w:orient="portrait"/>
          <w:cols w:equalWidth="0" w:num="1">
            <w:col w:w="9959"/>
          </w:cols>
          <w:pgMar w:left="500" w:top="293"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5"/>
          <w:szCs w:val="15"/>
          <w:color w:val="auto"/>
        </w:rPr>
        <w:t>11</w:t>
      </w:r>
    </w:p>
    <w:p>
      <w:pPr>
        <w:spacing w:after="0" w:line="180" w:lineRule="exact"/>
        <w:rPr>
          <w:sz w:val="20"/>
          <w:szCs w:val="20"/>
          <w:color w:val="auto"/>
        </w:rPr>
      </w:pPr>
    </w:p>
    <w:p>
      <w:pPr>
        <w:jc w:val="both"/>
        <w:ind w:left="560" w:right="3319" w:firstLine="718"/>
        <w:spacing w:after="0" w:line="247" w:lineRule="auto"/>
        <w:tabs>
          <w:tab w:leader="none" w:pos="2014"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disclosed in the Prospectus, there are no business relationships or related party transactions required to be disclosed therein by Item 404 of Regulation S-K of the Commission.</w:t>
      </w:r>
    </w:p>
    <w:p>
      <w:pPr>
        <w:spacing w:after="0" w:line="174" w:lineRule="exact"/>
        <w:rPr>
          <w:rFonts w:ascii="Courier New" w:cs="Courier New" w:eastAsia="Courier New" w:hAnsi="Courier New"/>
          <w:sz w:val="15"/>
          <w:szCs w:val="15"/>
          <w:color w:val="auto"/>
        </w:rPr>
      </w:pPr>
    </w:p>
    <w:p>
      <w:pPr>
        <w:ind w:left="560" w:right="3139" w:firstLine="718"/>
        <w:spacing w:after="0" w:line="246" w:lineRule="auto"/>
        <w:tabs>
          <w:tab w:leader="none" w:pos="2105"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is (i) no significant unfair labor practice complaint pending against the Company or any of its subsidiaries or, to the knowledge of the Company, threatened against any of them, before the National Labor Relations Board or any state or local labor relations board, and no significant grievance or significant arbitration proceeding arising out of or under any collective bargaining agreement is so pending against the Company or any of its subsidiaries or, to the best knowledge of the Company, threatened against any of them, and (ii) no significant strike, labor dispute, slowdown or stoppage pending against the Company or any of its subsidiaries or, to the best knowledge of the Company, threatened against it or any of its subsidiaries except for such actions specified in clause (i) or (ii) above, which, singly or in the aggregate could not reasonably be expected to have a material adverse effect on the Company and its subsidiaries, taken as a whole.</w:t>
      </w:r>
    </w:p>
    <w:p>
      <w:pPr>
        <w:spacing w:after="0" w:line="183" w:lineRule="exact"/>
        <w:rPr>
          <w:rFonts w:ascii="Courier New" w:cs="Courier New" w:eastAsia="Courier New" w:hAnsi="Courier New"/>
          <w:sz w:val="15"/>
          <w:szCs w:val="15"/>
          <w:color w:val="auto"/>
        </w:rPr>
      </w:pPr>
    </w:p>
    <w:p>
      <w:pPr>
        <w:ind w:left="560" w:right="3139" w:firstLine="718"/>
        <w:spacing w:after="0" w:line="246" w:lineRule="auto"/>
        <w:tabs>
          <w:tab w:leader="none" w:pos="2105"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each of its subsidiaries maintains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generally accepted accounting principles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w:t>
      </w:r>
    </w:p>
    <w:p>
      <w:pPr>
        <w:spacing w:after="0" w:line="181" w:lineRule="exact"/>
        <w:rPr>
          <w:rFonts w:ascii="Courier New" w:cs="Courier New" w:eastAsia="Courier New" w:hAnsi="Courier New"/>
          <w:sz w:val="15"/>
          <w:szCs w:val="15"/>
          <w:color w:val="auto"/>
        </w:rPr>
      </w:pPr>
    </w:p>
    <w:p>
      <w:pPr>
        <w:ind w:left="560" w:right="3039" w:firstLine="718"/>
        <w:spacing w:after="0" w:line="246" w:lineRule="auto"/>
        <w:tabs>
          <w:tab w:leader="none" w:pos="2105"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material tax returns required to be filed by the Company and each of its subsidiaries in any jurisdiction have been filed, other than those filings being contested in good faith, and all material taxes, including withholding taxes, penalties and interest, assessments, fees and other charges due pursuant to such returns or pursuant to any assessment received by the Company or any of its subsidiaries have been paid, other than those being contested in good faith and for which adequate reserves have been provided.</w:t>
      </w:r>
    </w:p>
    <w:p>
      <w:pPr>
        <w:spacing w:after="0" w:line="180" w:lineRule="exact"/>
        <w:rPr>
          <w:sz w:val="20"/>
          <w:szCs w:val="20"/>
          <w:color w:val="auto"/>
        </w:rPr>
      </w:pPr>
    </w:p>
    <w:p>
      <w:pPr>
        <w:ind w:left="560" w:right="3139" w:firstLine="718"/>
        <w:spacing w:after="0" w:line="246" w:lineRule="auto"/>
        <w:tabs>
          <w:tab w:leader="none" w:pos="2105"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 to the respective dates as of which information is given in the Registration Statement and the Prospectus and prior to the Closing Date, or if later, the Option Closing Date</w:t>
      </w:r>
    </w:p>
    <w:p>
      <w:pPr>
        <w:spacing w:after="0" w:line="1" w:lineRule="exact"/>
        <w:rPr>
          <w:rFonts w:ascii="Courier New" w:cs="Courier New" w:eastAsia="Courier New" w:hAnsi="Courier New"/>
          <w:sz w:val="15"/>
          <w:szCs w:val="15"/>
          <w:color w:val="auto"/>
        </w:rPr>
      </w:pPr>
    </w:p>
    <w:p>
      <w:pPr>
        <w:ind w:left="560" w:right="3039" w:hanging="9"/>
        <w:spacing w:after="0" w:line="246" w:lineRule="auto"/>
        <w:tabs>
          <w:tab w:leader="none" w:pos="923"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has not been and will not have been, except as set forth in or as contemplated by the Registration Statement and the Prospectus any change in the capitalization, long term or short term debt or in the capital stock or equity of the Company or any of its subsidiaries,</w:t>
      </w:r>
    </w:p>
    <w:p>
      <w:pPr>
        <w:spacing w:after="0" w:line="2" w:lineRule="exact"/>
        <w:rPr>
          <w:rFonts w:ascii="Courier New" w:cs="Courier New" w:eastAsia="Courier New" w:hAnsi="Courier New"/>
          <w:sz w:val="15"/>
          <w:szCs w:val="15"/>
          <w:color w:val="auto"/>
        </w:rPr>
      </w:pPr>
    </w:p>
    <w:p>
      <w:pPr>
        <w:ind w:left="560" w:right="3039" w:hanging="9"/>
        <w:spacing w:after="0" w:line="246" w:lineRule="auto"/>
        <w:tabs>
          <w:tab w:leader="none" w:pos="1014"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nor any of its subsidiaries has incurred any material liabilities or obligations, direct or contingent, nor has it entered into any material transactions other than pursuant to this Agreement, and the transactions referred to herein, or as contemplated in the Prospectus, and (iii) there has not been any material adverse effect, or any development involving a prospective material adverse effect, in or affecting the general affairs, management, financial position, shareholders' equity (or, with respect to partnership subsidiaries, partnership capital), net worth or results of operations of the Company and its subsidiaries, taken as a whole.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5"/>
          <w:szCs w:val="15"/>
          <w:color w:val="auto"/>
        </w:rPr>
        <w:t>UNDERWRITING AGREEMENT -- COMMON STOCK</w:t>
      </w:r>
    </w:p>
    <w:p>
      <w:pPr>
        <w:spacing w:after="0" w:line="5"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5"/>
          <w:szCs w:val="15"/>
          <w:color w:val="auto"/>
        </w:rPr>
        <w:t>- 11 -</w:t>
      </w:r>
    </w:p>
    <w:p>
      <w:pPr>
        <w:sectPr>
          <w:pgSz w:w="11900" w:h="16838" w:orient="portrait"/>
          <w:cols w:equalWidth="0" w:num="1">
            <w:col w:w="9959"/>
          </w:cols>
          <w:pgMar w:left="500" w:top="293"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12</w:t>
      </w:r>
    </w:p>
    <w:p>
      <w:pPr>
        <w:spacing w:after="0" w:line="5" w:lineRule="exact"/>
        <w:rPr>
          <w:sz w:val="20"/>
          <w:szCs w:val="20"/>
          <w:color w:val="auto"/>
        </w:rPr>
      </w:pPr>
    </w:p>
    <w:p>
      <w:pPr>
        <w:ind w:left="820" w:right="3039" w:firstLine="718"/>
        <w:spacing w:after="0" w:line="246" w:lineRule="auto"/>
        <w:tabs>
          <w:tab w:leader="none" w:pos="2365"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its affiliates have not taken, and will not take, directly or indirectly, any action designed to, or which might reasonably be expected to, cause or result in stabilization or manipulation of the price of any security of the Company to facilitate the sale or resale of the Shares pursuant to the distribution contemplated by this Agreement, and other than as permitted by the Act, the Company has not distributed and will not distribute any prospectus or other offering material in connection with the offering and sale of the Shares.</w:t>
      </w:r>
    </w:p>
    <w:p>
      <w:pPr>
        <w:spacing w:after="0" w:line="180"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Any certificate or other document signed by any officer or authorized representative of the Company and delivered to the Representatives or to counsel for the Underwriters shall be deemed a representation and warranty of the Company to each Underwriter as to the matter covered thereby.</w:t>
      </w:r>
    </w:p>
    <w:p>
      <w:pPr>
        <w:spacing w:after="0" w:line="177" w:lineRule="exact"/>
        <w:rPr>
          <w:sz w:val="20"/>
          <w:szCs w:val="20"/>
          <w:color w:val="auto"/>
        </w:rPr>
      </w:pPr>
    </w:p>
    <w:p>
      <w:pPr>
        <w:ind w:left="1540" w:hanging="729"/>
        <w:spacing w:after="0"/>
        <w:tabs>
          <w:tab w:leader="none" w:pos="154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w:t>
      </w:r>
    </w:p>
    <w:p>
      <w:pPr>
        <w:spacing w:after="0" w:line="179" w:lineRule="exact"/>
        <w:rPr>
          <w:rFonts w:ascii="Courier New" w:cs="Courier New" w:eastAsia="Courier New" w:hAnsi="Courier New"/>
          <w:sz w:val="15"/>
          <w:szCs w:val="15"/>
          <w:color w:val="auto"/>
        </w:rPr>
      </w:pPr>
    </w:p>
    <w:p>
      <w:pPr>
        <w:ind w:left="820" w:right="3039" w:firstLine="718"/>
        <w:spacing w:after="0" w:line="246" w:lineRule="auto"/>
        <w:tabs>
          <w:tab w:leader="none" w:pos="2365" w:val="left"/>
        </w:tabs>
        <w:numPr>
          <w:ilvl w:val="1"/>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agrees to indemnify and hold harmless each Underwriter and each person, if any, who controls any Underwriter within the meaning of Section 15 of the Act or Section 20 of the Securities Exchange Act of 1934, as amended (the "Exchange Act"), from and against any and all losses, claims, damages, liabilities and judgments caused by any untrue statement or alleged untrue statement of a material fact contained in the Registration Statement or the Prospectus (as amended or supplemented if the Company shall have furnished any amendments or supplements thereto) or any preliminary prospectus, or caused by any omission or alleged omission to state therein a material fact required to be stated therein or necessary to make the statements therein not misleading, except insofar as such losses, claims, damages, liabilities or judgments are caused by any such untrue statement or omission or alleged untrue statement or omission based upon information relating to any Underwriters furnished in writing to the Company by or on behalf of any Underwriter through you expressly for use therein.</w:t>
      </w:r>
    </w:p>
    <w:p>
      <w:pPr>
        <w:spacing w:after="0" w:line="185" w:lineRule="exact"/>
        <w:rPr>
          <w:rFonts w:ascii="Courier New" w:cs="Courier New" w:eastAsia="Courier New" w:hAnsi="Courier New"/>
          <w:sz w:val="15"/>
          <w:szCs w:val="15"/>
          <w:color w:val="auto"/>
        </w:rPr>
      </w:pPr>
    </w:p>
    <w:p>
      <w:pPr>
        <w:ind w:left="820" w:right="3039" w:firstLine="718"/>
        <w:spacing w:after="0" w:line="246" w:lineRule="auto"/>
        <w:tabs>
          <w:tab w:leader="none" w:pos="2365" w:val="left"/>
        </w:tabs>
        <w:numPr>
          <w:ilvl w:val="1"/>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indemnity agreement contained in paragraph 7(a), with respect to any preliminary prospectus, shall not inure to the benefit of any Underwriter to the extent that any loss, claim, damages or liability results from the fact that a copy of the Prospectus was not sent or given by or on behalf of such Underwriter to the person asserting any such loss, claim, damages or liability to the extent that the Prospectus would have cured the defect giving rise to such loss, claim, damages, liability or judgment if such Underwriter shall have been provided with the number of copies of the Prospectus requested by such Underwriter and it is judicially determined that such delivery was required under the Securities Act and was not so made.</w:t>
      </w:r>
    </w:p>
    <w:p>
      <w:pPr>
        <w:spacing w:after="0" w:line="182" w:lineRule="exact"/>
        <w:rPr>
          <w:rFonts w:ascii="Courier New" w:cs="Courier New" w:eastAsia="Courier New" w:hAnsi="Courier New"/>
          <w:sz w:val="15"/>
          <w:szCs w:val="15"/>
          <w:color w:val="auto"/>
        </w:rPr>
      </w:pPr>
    </w:p>
    <w:p>
      <w:pPr>
        <w:ind w:left="820" w:right="2959" w:firstLine="718"/>
        <w:spacing w:after="0" w:line="246" w:lineRule="auto"/>
        <w:tabs>
          <w:tab w:leader="none" w:pos="2365" w:val="left"/>
        </w:tabs>
        <w:numPr>
          <w:ilvl w:val="1"/>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any action shall be brought against any Underwriter or any person controlling such Underwriter, based upon any preliminary prospectus, the Registration Statement or the Prospectus or any amendment or supplement thereto and with respect to which indemnity may be sought against the Company, such Underwriter shall promptly notify the Company in writing and the Company shall assume the defense thereof, including the employment of counsel reasonably satisfactory to such indemnified party and payment of all fees and expenses. Any Underwriter or any such controlling person shall have the right to employ separate counsel in any such action and participate in the defense thereof, but the fees and expenses of such counsel shall be at the expense of such Underwriter or such controlling</w:t>
      </w:r>
    </w:p>
    <w:p>
      <w:pPr>
        <w:spacing w:after="0" w:line="200" w:lineRule="exact"/>
        <w:rPr>
          <w:sz w:val="20"/>
          <w:szCs w:val="20"/>
          <w:color w:val="auto"/>
        </w:rPr>
      </w:pPr>
    </w:p>
    <w:p>
      <w:pPr>
        <w:spacing w:after="0" w:line="332"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UNDERWRITING AGREEMENT -- COMMON STOCK</w:t>
      </w:r>
    </w:p>
    <w:p>
      <w:pPr>
        <w:spacing w:after="0" w:line="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- 12 -</w:t>
      </w:r>
    </w:p>
    <w:p>
      <w:pPr>
        <w:sectPr>
          <w:pgSz w:w="11900" w:h="16838" w:orient="portrait"/>
          <w:cols w:equalWidth="0" w:num="1">
            <w:col w:w="10219"/>
          </w:cols>
          <w:pgMar w:left="240" w:top="293"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5"/>
          <w:szCs w:val="15"/>
          <w:color w:val="auto"/>
        </w:rPr>
        <w:t>13</w:t>
      </w:r>
    </w:p>
    <w:p>
      <w:pPr>
        <w:spacing w:after="0" w:line="180" w:lineRule="exact"/>
        <w:rPr>
          <w:sz w:val="20"/>
          <w:szCs w:val="20"/>
          <w:color w:val="auto"/>
        </w:rPr>
      </w:pPr>
    </w:p>
    <w:p>
      <w:pPr>
        <w:ind w:left="560" w:right="3039"/>
        <w:spacing w:after="0" w:line="246" w:lineRule="auto"/>
        <w:rPr>
          <w:sz w:val="20"/>
          <w:szCs w:val="20"/>
          <w:color w:val="auto"/>
        </w:rPr>
      </w:pPr>
      <w:r>
        <w:rPr>
          <w:rFonts w:ascii="Courier New" w:cs="Courier New" w:eastAsia="Courier New" w:hAnsi="Courier New"/>
          <w:sz w:val="15"/>
          <w:szCs w:val="15"/>
          <w:color w:val="auto"/>
        </w:rPr>
        <w:t>person unless (i) the employment of such counsel has been specifically authorized in writing by the Company, (ii) the Company shall have failed to assume the defense and employ counsel or (iii) the named parties to any such action (including any impleaded parties) include both such Underwriter or such controlling person and the Company and such Underwriter or such controlling person shall have been advised by such counsel that there may be one or more legal defenses available to it which are different from or additional to those available to the Company (in which case the Company shall not have the right to assume the defense of such action on behalf of such Underwriter or such controlling person, it being understood, however, that the Company shall not, in connection with any one such action or separate but substantially similar or related actions in the same jurisdiction arising out of the same general allegations or circumstances, be liable for the fees and expenses of more than one separate firm of attorneys (in addition to any local counsel) for all such Underwriters and controlling persons, which firm shall be designated in writing by Donaldson, Lufkin &amp; Jenrette Securities Corporation and that all such fees and expenses shall be reimbursed as they are incurred). The Company shall not be liable for any settlement of any such action effected without its written consent but if settled with the written consent of the Company, the Company agrees to indemnify and hold harmless any Underwriter and any such controlling person from and against any loss or liability by reason of such settlement. Notwithstanding the immediately preceding sentence, if in any case where the fees and expenses of counsel are at the expense of the Company and an indemnified party shall have requested the Company to reimburse the indemnified party for such fees and expenses of counsel as incurred, the Company agrees that it shall be liable for any settlement of any action effected without its written consent if (i) such settlement is entered into more than forty business days after the receipt by the Company of the aforesaid request and (ii) the Company shall have failed to reimburse the indemnified party in accordance with such request for reimbursement prior to the date of such settlement. The Company shall not,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w:t>
      </w:r>
    </w:p>
    <w:p>
      <w:pPr>
        <w:spacing w:after="0" w:line="200" w:lineRule="exact"/>
        <w:rPr>
          <w:sz w:val="20"/>
          <w:szCs w:val="20"/>
          <w:color w:val="auto"/>
        </w:rPr>
      </w:pPr>
    </w:p>
    <w:p>
      <w:pPr>
        <w:ind w:left="560" w:right="3039" w:firstLine="718"/>
        <w:spacing w:after="0" w:line="246" w:lineRule="auto"/>
        <w:tabs>
          <w:tab w:leader="none" w:pos="2105"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Underwriter agrees, severally and not jointly, to indemnify and hold harmless the Company, its directors, its officers who sign the Registration Statement, any person controlling the Company within the meaning of Section 15 of the Act or Section 20 of the Exchange Act, to the same extent as the foregoing indemnity from the Company to each Underwriter but only with reference to information relating to such Underwriter furnished in writing by or on behalf of such Underwriter through you expressly for use in the Registration Statement, the Prospectus or any preliminary prospectus. In case any action shall be brought against the Company, any of its directors, any such officer or any person controlling the Company based on the Registration Statement, the Prospectus or any preliminary prospectus and in respect of which indemnity may be sought against any Underwriter, the Underwriter shall have the rights and duties given to the Company (except that if the Company shall have assumed the defense thereof, such Underwriter shall not be required to do so, but may employ separate counsel therein and participate in the defense thereof but the fees and expenses of such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UNDERWRITING AGREEMENT -- COMMON STOCK</w:t>
      </w:r>
    </w:p>
    <w:p>
      <w:pPr>
        <w:spacing w:after="0" w:line="5"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- 13 -</w:t>
      </w:r>
    </w:p>
    <w:p>
      <w:pPr>
        <w:sectPr>
          <w:pgSz w:w="11900" w:h="16838" w:orient="portrait"/>
          <w:cols w:equalWidth="0" w:num="1">
            <w:col w:w="9959"/>
          </w:cols>
          <w:pgMar w:left="500" w:top="293"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5"/>
          <w:szCs w:val="15"/>
          <w:color w:val="auto"/>
        </w:rPr>
        <w:t>14</w:t>
      </w:r>
    </w:p>
    <w:p>
      <w:pPr>
        <w:spacing w:after="0" w:line="180" w:lineRule="exact"/>
        <w:rPr>
          <w:sz w:val="20"/>
          <w:szCs w:val="20"/>
          <w:color w:val="auto"/>
        </w:rPr>
      </w:pPr>
    </w:p>
    <w:p>
      <w:pPr>
        <w:ind w:left="560" w:right="3139"/>
        <w:spacing w:after="0" w:line="246" w:lineRule="auto"/>
        <w:rPr>
          <w:sz w:val="20"/>
          <w:szCs w:val="20"/>
          <w:color w:val="auto"/>
        </w:rPr>
      </w:pPr>
      <w:r>
        <w:rPr>
          <w:rFonts w:ascii="Courier New" w:cs="Courier New" w:eastAsia="Courier New" w:hAnsi="Courier New"/>
          <w:sz w:val="15"/>
          <w:szCs w:val="15"/>
          <w:color w:val="auto"/>
        </w:rPr>
        <w:t>shall be at the expense of such Underwriter), and the Company, its directors, any such officers and any person controlling the Company shall have the rights and duties given to the Underwriter, by Section 7(c) hereof.</w:t>
      </w:r>
    </w:p>
    <w:p>
      <w:pPr>
        <w:spacing w:after="0" w:line="177" w:lineRule="exact"/>
        <w:rPr>
          <w:sz w:val="20"/>
          <w:szCs w:val="20"/>
          <w:color w:val="auto"/>
        </w:rPr>
      </w:pPr>
    </w:p>
    <w:p>
      <w:pPr>
        <w:ind w:left="560" w:right="3039" w:firstLine="718"/>
        <w:spacing w:after="0" w:line="246" w:lineRule="auto"/>
        <w:tabs>
          <w:tab w:leader="none" w:pos="2105"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indemnification provided for in this Section 7 is unavailable to an indemnified party in respect of any losses, claims, damages, liabilities or judgments referred to therein, then each indemnifying party, in lieu of indemnifying such indemnified party, shall contribute to the amount paid or payable by such indemnified party as a result of such losses, claims, damages, liabilities and judgments (i) in such proportion as is appropriate to reflect the relative benefits received by the Company on the one hand and the Underwriters on the other hand from the offering of the Shares or (ii) if the allocation provided by clause (i) above is not permitted by applicable law, in such proportion as is appropriate to reflect not only the relative benefits referred to in clause (i) above but also the relative fault of the Company and the Underwriters in connection with the statements or omissions which resulted in such losses, claims, damages, liabilities or judgments, as well as any other relevant equitable considerations. The relative benefits received by the Company and the Underwriters shall be deemed to be in the same proportion as the total net proceeds from the offering (before deducting expenses) received by the Company, and the total underwriting discounts and commissions received by the Underwriters, bear to the total price to the public of the Shares, in each case as set forth in the table on the cover page of the Prospectus. The relative fault of the Company and the Underwriters shall be determined by reference to, among other things, whether the untrue or alleged untrue statement of a material fact or the omission to state a material fact relates to information supplied by the Company or the Underwriters and the parties' relative intent, knowledge, access to information and opportunity to correct or prevent such statement or omission.</w:t>
      </w:r>
    </w:p>
    <w:p>
      <w:pPr>
        <w:spacing w:after="0" w:line="192" w:lineRule="exact"/>
        <w:rPr>
          <w:sz w:val="20"/>
          <w:szCs w:val="20"/>
          <w:color w:val="auto"/>
        </w:rPr>
      </w:pPr>
    </w:p>
    <w:p>
      <w:pPr>
        <w:ind w:left="560" w:right="3039" w:firstLine="727"/>
        <w:spacing w:after="0" w:line="246" w:lineRule="auto"/>
        <w:rPr>
          <w:sz w:val="20"/>
          <w:szCs w:val="20"/>
          <w:color w:val="auto"/>
        </w:rPr>
      </w:pPr>
      <w:r>
        <w:rPr>
          <w:rFonts w:ascii="Courier New" w:cs="Courier New" w:eastAsia="Courier New" w:hAnsi="Courier New"/>
          <w:sz w:val="15"/>
          <w:szCs w:val="15"/>
          <w:color w:val="auto"/>
        </w:rPr>
        <w:t>The Company and the Underwriters agree that it would not be just and equitable if contribution pursuant to this Section 7(e) were determined by pro rata allocation (even if the Underwriters were treated as one entity for such purpose) or by any other method of allocation which does not take account of the equitable considerations referred to in the immediately preceding paragraph. The amount paid or payable by an indemnified party as a result of the losses, claims, damages, liabilities or judgments referred to in the immediately preceding paragraph shall be deemed to include, subject to the limitations set forth above, any legal or other expenses reasonably incurred by such indemnified party in connection with investigating or defending any such action or claim. Notwithstanding the provisions of this Section 7, no Underwriter shall be required to contribute any amount in excess of the amount by which the total price at which the Shares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Underwriters' obligations to contribute pursuant to this Section 7(e) are several in proportion to the respective number of Shares purchased by each of the Underwriters hereunder and not joint.</w:t>
      </w:r>
    </w:p>
    <w:p>
      <w:pPr>
        <w:spacing w:after="0" w:line="200" w:lineRule="exact"/>
        <w:rPr>
          <w:sz w:val="20"/>
          <w:szCs w:val="20"/>
          <w:color w:val="auto"/>
        </w:rPr>
      </w:pPr>
    </w:p>
    <w:p>
      <w:pPr>
        <w:spacing w:after="0" w:line="33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UNDERWRITING AGREEMENT -- COMMON STOCK</w:t>
      </w:r>
    </w:p>
    <w:p>
      <w:pPr>
        <w:spacing w:after="0" w:line="5"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- 14 -</w:t>
      </w:r>
    </w:p>
    <w:p>
      <w:pPr>
        <w:sectPr>
          <w:pgSz w:w="11900" w:h="16838" w:orient="portrait"/>
          <w:cols w:equalWidth="0" w:num="1">
            <w:col w:w="9959"/>
          </w:cols>
          <w:pgMar w:left="500" w:top="293" w:right="1440"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15</w:t>
      </w:r>
    </w:p>
    <w:p>
      <w:pPr>
        <w:spacing w:after="0" w:line="180" w:lineRule="exact"/>
        <w:rPr>
          <w:sz w:val="20"/>
          <w:szCs w:val="20"/>
          <w:color w:val="auto"/>
        </w:rPr>
      </w:pPr>
    </w:p>
    <w:p>
      <w:pPr>
        <w:ind w:left="820" w:right="3039" w:firstLine="718"/>
        <w:spacing w:after="0" w:line="246" w:lineRule="auto"/>
        <w:tabs>
          <w:tab w:leader="none" w:pos="2365" w:val="left"/>
        </w:tabs>
        <w:numPr>
          <w:ilvl w:val="1"/>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hereby designates CT Corporation Systems, Inc., 1633 Broadway, New York, New York 10019, (a Delaware corporation) as its authorized agent, upon which process may be served in any action, suit or proceeding which may be instituted in any state or federal court in the State of New York by any Underwriter or person controlling an Underwriter asserting a claim for indemnification or contribution under or pursuant to this Section 7, and the Company will accept the jurisdiction of such court in such action, and waives, to the fullest extent permitted by applicable law, any defense based upon lack of personal jurisdiction or venue. A copy of any such process shall be sent or given to the Company, at the address for notices specified in Section 10 hereof.</w:t>
      </w:r>
    </w:p>
    <w:p>
      <w:pPr>
        <w:spacing w:after="0" w:line="182" w:lineRule="exact"/>
        <w:rPr>
          <w:rFonts w:ascii="Courier New" w:cs="Courier New" w:eastAsia="Courier New" w:hAnsi="Courier New"/>
          <w:sz w:val="15"/>
          <w:szCs w:val="15"/>
          <w:color w:val="auto"/>
        </w:rPr>
      </w:pPr>
    </w:p>
    <w:p>
      <w:pPr>
        <w:ind w:right="3779" w:firstLine="811"/>
        <w:spacing w:after="0" w:line="247" w:lineRule="auto"/>
        <w:tabs>
          <w:tab w:leader="none" w:pos="1545"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Conditions of Underwriters' Obligations. The several obligations of the Underwriters under this Agreement are subject to the satisfaction of each of the following conditions:</w:t>
      </w:r>
    </w:p>
    <w:p>
      <w:pPr>
        <w:spacing w:after="0" w:line="174" w:lineRule="exact"/>
        <w:rPr>
          <w:rFonts w:ascii="Courier New" w:cs="Courier New" w:eastAsia="Courier New" w:hAnsi="Courier New"/>
          <w:sz w:val="15"/>
          <w:szCs w:val="15"/>
          <w:color w:val="auto"/>
        </w:rPr>
      </w:pPr>
    </w:p>
    <w:p>
      <w:pPr>
        <w:ind w:left="820" w:right="3039" w:firstLine="718"/>
        <w:spacing w:after="0" w:line="246" w:lineRule="auto"/>
        <w:tabs>
          <w:tab w:leader="none" w:pos="2365"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the representations and warranties of the Company contained in this Agreement shall be true and correct on the Closing Date and the Option Closing Date with the same force and effect as if made on and as of the Closing Date or the Option Closing Date, as the case may be.</w:t>
      </w:r>
    </w:p>
    <w:p>
      <w:pPr>
        <w:spacing w:after="0" w:line="177" w:lineRule="exact"/>
        <w:rPr>
          <w:rFonts w:ascii="Courier New" w:cs="Courier New" w:eastAsia="Courier New" w:hAnsi="Courier New"/>
          <w:sz w:val="15"/>
          <w:szCs w:val="15"/>
          <w:color w:val="auto"/>
        </w:rPr>
      </w:pPr>
    </w:p>
    <w:p>
      <w:pPr>
        <w:ind w:left="820" w:right="3039" w:firstLine="718"/>
        <w:spacing w:after="0" w:line="246" w:lineRule="auto"/>
        <w:tabs>
          <w:tab w:leader="none" w:pos="2365"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Registration Statement shall have become effective not later than 5:00 P.M., (and in the case of a Registration Statement filed under 462(b) of the Act, not later than 10:00 P.M.) New York City time, on the date of this Agreement or at such later date and time as you may approve in writing, and at the Closing Date and the Option Closing Date, as the case be, no stop order suspending the effectiveness of the Registration Statement shall have been issued and no proceedings for that purpose shall have been commenced or shall be pending before or contemplated by the Commission.</w:t>
      </w:r>
    </w:p>
    <w:p>
      <w:pPr>
        <w:spacing w:after="0" w:line="180" w:lineRule="exact"/>
        <w:rPr>
          <w:rFonts w:ascii="Courier New" w:cs="Courier New" w:eastAsia="Courier New" w:hAnsi="Courier New"/>
          <w:sz w:val="15"/>
          <w:szCs w:val="15"/>
          <w:color w:val="auto"/>
        </w:rPr>
      </w:pPr>
    </w:p>
    <w:p>
      <w:pPr>
        <w:ind w:left="820" w:right="3039" w:firstLine="718"/>
        <w:spacing w:after="0" w:line="246" w:lineRule="auto"/>
        <w:tabs>
          <w:tab w:leader="none" w:pos="2365"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Since the date of the latest balance sheet included in the Registration Statement and the Prospectus, there shall not have been any material adverse change, or any development involving a prospective material adverse change, in the condition, financial or otherwise, or in the earnings, affairs or business prospects, whether or not arising in the ordinary course of business, of the Company, (ii) since the date of the latest balance sheet included in the Registration Statement and the Prospectus there shall not have been any change, or any development involving a prospective material adverse change, in the capital stock or in the long-term debt of the Company from that set forth in the Registration Statement and Prospectus, (iii) the Company and its subsidiaries shall have no liability or obligation, direct or contingent, which is material to the Company and its subsidiaries, taken as a whole, other than those reflected in the Registration Statement and the Prospectus and (iv) on the Closing Date and the Option Closing Date you shall have received a certificate dated the Closing Date, and the Option Closing Date, as the case may be, signed by John E. Drury and Earl E. DeFrates, in their capacities as the Chief Executive Officer and Chief Financial Officer of the Company, confirming the matters set forth in paragraphs (a), (b), and (c) of this Section 8.</w:t>
      </w:r>
    </w:p>
    <w:p>
      <w:pPr>
        <w:spacing w:after="0" w:line="187" w:lineRule="exact"/>
        <w:rPr>
          <w:rFonts w:ascii="Courier New" w:cs="Courier New" w:eastAsia="Courier New" w:hAnsi="Courier New"/>
          <w:sz w:val="15"/>
          <w:szCs w:val="15"/>
          <w:color w:val="auto"/>
        </w:rPr>
      </w:pPr>
    </w:p>
    <w:p>
      <w:pPr>
        <w:ind w:left="820" w:right="3219" w:firstLine="718"/>
        <w:spacing w:after="0" w:line="247" w:lineRule="auto"/>
        <w:tabs>
          <w:tab w:leader="none" w:pos="2365"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shall have received on the Closing Date and the Option Closing Date an opinion (satisfactory to you and counsel for the Underwriters), dated the Closing Date or the</w:t>
      </w:r>
    </w:p>
    <w:p>
      <w:pPr>
        <w:spacing w:after="0" w:line="200" w:lineRule="exact"/>
        <w:rPr>
          <w:sz w:val="20"/>
          <w:szCs w:val="20"/>
          <w:color w:val="auto"/>
        </w:rPr>
      </w:pPr>
    </w:p>
    <w:p>
      <w:pPr>
        <w:spacing w:after="0" w:line="324"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UNDERWRITING AGREEMENT -- COMMON STOCK</w:t>
      </w:r>
    </w:p>
    <w:p>
      <w:pPr>
        <w:spacing w:after="0" w:line="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- 15 -</w:t>
      </w:r>
    </w:p>
    <w:p>
      <w:pPr>
        <w:sectPr>
          <w:pgSz w:w="11900" w:h="16838" w:orient="portrait"/>
          <w:cols w:equalWidth="0" w:num="1">
            <w:col w:w="10219"/>
          </w:cols>
          <w:pgMar w:left="240" w:top="293"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5"/>
          <w:szCs w:val="15"/>
          <w:color w:val="auto"/>
        </w:rPr>
        <w:t>16</w:t>
      </w:r>
    </w:p>
    <w:p>
      <w:pPr>
        <w:spacing w:after="0" w:line="180" w:lineRule="exact"/>
        <w:rPr>
          <w:sz w:val="20"/>
          <w:szCs w:val="20"/>
          <w:color w:val="auto"/>
        </w:rPr>
      </w:pPr>
    </w:p>
    <w:p>
      <w:pPr>
        <w:ind w:left="560" w:right="3139"/>
        <w:spacing w:after="0" w:line="247" w:lineRule="auto"/>
        <w:rPr>
          <w:sz w:val="20"/>
          <w:szCs w:val="20"/>
          <w:color w:val="auto"/>
        </w:rPr>
      </w:pPr>
      <w:r>
        <w:rPr>
          <w:rFonts w:ascii="Courier New" w:cs="Courier New" w:eastAsia="Courier New" w:hAnsi="Courier New"/>
          <w:sz w:val="15"/>
          <w:szCs w:val="15"/>
          <w:color w:val="auto"/>
        </w:rPr>
        <w:t>Option Closing, as applicable, of Vinson &amp; Elkins L.L.P., counsel for the Company, to the effect that:</w:t>
      </w:r>
    </w:p>
    <w:p>
      <w:pPr>
        <w:spacing w:after="0" w:line="175" w:lineRule="exact"/>
        <w:rPr>
          <w:sz w:val="20"/>
          <w:szCs w:val="20"/>
          <w:color w:val="auto"/>
        </w:rPr>
      </w:pPr>
    </w:p>
    <w:p>
      <w:pPr>
        <w:ind w:left="1280" w:right="3139" w:firstLine="816"/>
        <w:spacing w:after="0" w:line="246" w:lineRule="auto"/>
        <w:tabs>
          <w:tab w:leader="none" w:pos="2825"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been duly incorporated, is validly existing as a corporation in good standing under the laws of its jurisdiction of incorporation and has the corporate power and authority required to carry on its business as it is currently being conducted and to own, lease and operate its properties;</w:t>
      </w:r>
    </w:p>
    <w:p>
      <w:pPr>
        <w:spacing w:after="0" w:line="178" w:lineRule="exact"/>
        <w:rPr>
          <w:rFonts w:ascii="Courier New" w:cs="Courier New" w:eastAsia="Courier New" w:hAnsi="Courier New"/>
          <w:sz w:val="15"/>
          <w:szCs w:val="15"/>
          <w:color w:val="auto"/>
        </w:rPr>
      </w:pPr>
    </w:p>
    <w:p>
      <w:pPr>
        <w:ind w:left="1280" w:right="3039" w:firstLine="816"/>
        <w:spacing w:after="0" w:line="246" w:lineRule="auto"/>
        <w:tabs>
          <w:tab w:leader="none" w:pos="2825"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have been duly authorized, and when issued and delivered to the Underwriters against payment therefor as provided by this Agreement, will have been validly issued and will be fully paid and non-assessable, and the issuance of such Shares is not subject to any statutory preemptive rights or, to the knowledge of such counsel, any other similar rights;</w:t>
      </w:r>
    </w:p>
    <w:p>
      <w:pPr>
        <w:spacing w:after="0" w:line="179" w:lineRule="exact"/>
        <w:rPr>
          <w:rFonts w:ascii="Courier New" w:cs="Courier New" w:eastAsia="Courier New" w:hAnsi="Courier New"/>
          <w:sz w:val="15"/>
          <w:szCs w:val="15"/>
          <w:color w:val="auto"/>
        </w:rPr>
      </w:pPr>
    </w:p>
    <w:p>
      <w:pPr>
        <w:ind w:left="1280" w:right="3219" w:firstLine="816"/>
        <w:spacing w:after="0" w:line="246" w:lineRule="auto"/>
        <w:tabs>
          <w:tab w:leader="none" w:pos="2825"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has been duly authorized, executed and delivered by the Company and is a valid and binding agreement of the Company enforceable in accordance with its terms (except as enforcement of rights to indemnity and contribution thereunder may be limited under applicable laws or principles of public policy and subject to the qualifications that the enforceability of the Company's obligations hereunder may be limited by bankruptcy, insolvency, reorganization, or other laws relating to or affecting creditors' rights generally and by general principles of equity (regardless of whether such enforceability is considered in a proceeding in equity or at law));</w:t>
      </w:r>
    </w:p>
    <w:p>
      <w:pPr>
        <w:spacing w:after="0" w:line="182" w:lineRule="exact"/>
        <w:rPr>
          <w:rFonts w:ascii="Courier New" w:cs="Courier New" w:eastAsia="Courier New" w:hAnsi="Courier New"/>
          <w:sz w:val="15"/>
          <w:szCs w:val="15"/>
          <w:color w:val="auto"/>
        </w:rPr>
      </w:pPr>
    </w:p>
    <w:p>
      <w:pPr>
        <w:jc w:val="both"/>
        <w:ind w:left="1280" w:right="3139" w:firstLine="816"/>
        <w:spacing w:after="0" w:line="246" w:lineRule="auto"/>
        <w:tabs>
          <w:tab w:leader="none" w:pos="2825"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authorized capital stock of the Company, including the Common Stock, conforms in all material respects as to legal matters to the description thereof contained in the Prospectus;</w:t>
      </w:r>
    </w:p>
    <w:p>
      <w:pPr>
        <w:spacing w:after="0" w:line="177" w:lineRule="exact"/>
        <w:rPr>
          <w:rFonts w:ascii="Courier New" w:cs="Courier New" w:eastAsia="Courier New" w:hAnsi="Courier New"/>
          <w:sz w:val="15"/>
          <w:szCs w:val="15"/>
          <w:color w:val="auto"/>
        </w:rPr>
      </w:pPr>
    </w:p>
    <w:p>
      <w:pPr>
        <w:ind w:left="1280" w:right="3139" w:firstLine="816"/>
        <w:spacing w:after="0" w:line="246" w:lineRule="auto"/>
        <w:tabs>
          <w:tab w:leader="none" w:pos="2825"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Registration Statement has become effective under the Act, no stop order suspending its effectiveness has been issued and no proceedings for that purpose are, to the knowledge of such counsel, pending before or contemplated by the Commission;</w:t>
      </w:r>
    </w:p>
    <w:p>
      <w:pPr>
        <w:spacing w:after="0" w:line="177" w:lineRule="exact"/>
        <w:rPr>
          <w:rFonts w:ascii="Courier New" w:cs="Courier New" w:eastAsia="Courier New" w:hAnsi="Courier New"/>
          <w:sz w:val="15"/>
          <w:szCs w:val="15"/>
          <w:color w:val="auto"/>
        </w:rPr>
      </w:pPr>
    </w:p>
    <w:p>
      <w:pPr>
        <w:ind w:left="1280" w:right="3039" w:firstLine="816"/>
        <w:spacing w:after="0" w:line="246" w:lineRule="auto"/>
        <w:tabs>
          <w:tab w:leader="none" w:pos="2825"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statements under the captions "Description of Capital Stock" in the Prospectus and Item 15 of Part II of the Registration Statement insofar as such statements constitute a summary of legal matters or documents referred to therein, fairly present the information called for with respect to such legal matters or documents;</w:t>
      </w:r>
    </w:p>
    <w:p>
      <w:pPr>
        <w:spacing w:after="0" w:line="178" w:lineRule="exact"/>
        <w:rPr>
          <w:rFonts w:ascii="Courier New" w:cs="Courier New" w:eastAsia="Courier New" w:hAnsi="Courier New"/>
          <w:sz w:val="15"/>
          <w:szCs w:val="15"/>
          <w:color w:val="auto"/>
        </w:rPr>
      </w:pPr>
    </w:p>
    <w:p>
      <w:pPr>
        <w:ind w:left="1280" w:right="3039" w:firstLine="816"/>
        <w:spacing w:after="0" w:line="246" w:lineRule="auto"/>
        <w:tabs>
          <w:tab w:leader="none" w:pos="2825"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delivery and performance of this Agreement by the Company, compliance by the Company with all the provisions hereof and the consummation of the transactions contemplated hereby will not require any consent, approval, authorization or other order of any court, regulatory body, administrative agency or other governmental body (except such as may be required under the Act or</w:t>
      </w:r>
    </w:p>
    <w:p>
      <w:pPr>
        <w:spacing w:after="0" w:line="354"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5"/>
          <w:szCs w:val="15"/>
          <w:color w:val="auto"/>
        </w:rPr>
        <w:t>UNDERWRITING AGREEMENT -- COMMON STOCK</w:t>
      </w:r>
    </w:p>
    <w:p>
      <w:pPr>
        <w:spacing w:after="0" w:line="5"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5"/>
          <w:szCs w:val="15"/>
          <w:color w:val="auto"/>
        </w:rPr>
        <w:t>- 16 -</w:t>
      </w:r>
    </w:p>
    <w:p>
      <w:pPr>
        <w:sectPr>
          <w:pgSz w:w="11900" w:h="16838" w:orient="portrait"/>
          <w:cols w:equalWidth="0" w:num="1">
            <w:col w:w="9959"/>
          </w:cols>
          <w:pgMar w:left="500" w:top="293"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5"/>
          <w:szCs w:val="15"/>
          <w:color w:val="auto"/>
        </w:rPr>
        <w:t>17</w:t>
      </w:r>
    </w:p>
    <w:p>
      <w:pPr>
        <w:spacing w:after="0" w:line="180" w:lineRule="exact"/>
        <w:rPr>
          <w:sz w:val="20"/>
          <w:szCs w:val="20"/>
          <w:color w:val="auto"/>
        </w:rPr>
      </w:pPr>
    </w:p>
    <w:p>
      <w:pPr>
        <w:jc w:val="both"/>
        <w:ind w:left="1280" w:right="3139"/>
        <w:spacing w:after="0" w:line="247" w:lineRule="auto"/>
        <w:rPr>
          <w:sz w:val="20"/>
          <w:szCs w:val="20"/>
          <w:color w:val="auto"/>
        </w:rPr>
      </w:pPr>
      <w:r>
        <w:rPr>
          <w:rFonts w:ascii="Courier New" w:cs="Courier New" w:eastAsia="Courier New" w:hAnsi="Courier New"/>
          <w:sz w:val="15"/>
          <w:szCs w:val="15"/>
          <w:color w:val="auto"/>
        </w:rPr>
        <w:t>other securities or Blue Sky laws) and will not conflict with or constitute a breach of any of the terms or provisions of, or a default under, the charter or by-laws of the Company;</w:t>
      </w:r>
    </w:p>
    <w:p>
      <w:pPr>
        <w:spacing w:after="0" w:line="174" w:lineRule="exact"/>
        <w:rPr>
          <w:sz w:val="20"/>
          <w:szCs w:val="20"/>
          <w:color w:val="auto"/>
        </w:rPr>
      </w:pPr>
    </w:p>
    <w:p>
      <w:pPr>
        <w:ind w:left="1280" w:right="3039" w:firstLine="816"/>
        <w:spacing w:after="0" w:line="247" w:lineRule="auto"/>
        <w:tabs>
          <w:tab w:leader="none" w:pos="2825"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not an "investment company" or a company "controlled" by an "investment company" within the meaning of the Investment Company Act of 1940, as amended;</w:t>
      </w:r>
    </w:p>
    <w:p>
      <w:pPr>
        <w:spacing w:after="0" w:line="174" w:lineRule="exact"/>
        <w:rPr>
          <w:rFonts w:ascii="Courier New" w:cs="Courier New" w:eastAsia="Courier New" w:hAnsi="Courier New"/>
          <w:sz w:val="15"/>
          <w:szCs w:val="15"/>
          <w:color w:val="auto"/>
        </w:rPr>
      </w:pPr>
    </w:p>
    <w:p>
      <w:pPr>
        <w:ind w:left="1280" w:right="3039" w:firstLine="816"/>
        <w:spacing w:after="0" w:line="246" w:lineRule="auto"/>
        <w:tabs>
          <w:tab w:leader="none" w:pos="2825"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(1) the Registration Statement, the Prospectus, any supplement or amendment thereto and each document filed pursuant to the Exchange Act and incorporated or deemed to be incorporated by reference in the Prospectus (except for financial statements, financial and statistical information contained therein as to which no opinion need be expressed) comply as to form in all material respects with the Act;</w:t>
      </w:r>
    </w:p>
    <w:p>
      <w:pPr>
        <w:spacing w:after="0" w:line="179" w:lineRule="exact"/>
        <w:rPr>
          <w:rFonts w:ascii="Courier New" w:cs="Courier New" w:eastAsia="Courier New" w:hAnsi="Courier New"/>
          <w:sz w:val="15"/>
          <w:szCs w:val="15"/>
          <w:color w:val="auto"/>
        </w:rPr>
      </w:pPr>
    </w:p>
    <w:p>
      <w:pPr>
        <w:ind w:left="560" w:right="3219" w:firstLine="718"/>
        <w:spacing w:after="0" w:line="246" w:lineRule="auto"/>
        <w:tabs>
          <w:tab w:leader="none" w:pos="2105"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shall have received on the Closing Date and the Option Closing Date an opinion (satisfactory to you and counsel for the Underwriters), dated the Closing Date, of Snell &amp; Smith L.L.P., counsel for the Company, to the effect that:</w:t>
      </w:r>
    </w:p>
    <w:p>
      <w:pPr>
        <w:spacing w:after="0" w:line="177" w:lineRule="exact"/>
        <w:rPr>
          <w:rFonts w:ascii="Courier New" w:cs="Courier New" w:eastAsia="Courier New" w:hAnsi="Courier New"/>
          <w:sz w:val="15"/>
          <w:szCs w:val="15"/>
          <w:color w:val="auto"/>
        </w:rPr>
      </w:pPr>
    </w:p>
    <w:p>
      <w:pPr>
        <w:ind w:left="1280" w:right="3039" w:firstLine="816"/>
        <w:spacing w:after="0" w:line="246" w:lineRule="auto"/>
        <w:tabs>
          <w:tab w:leader="none" w:pos="2825" w:val="left"/>
        </w:tabs>
        <w:numPr>
          <w:ilvl w:val="1"/>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Company's Material Subsidiaries has been duly incorporated, is validly existing as a corporation in good standing under the laws of its jurisdiction of incorporation and has the corporate power and authority required to carry on its business as it is currently being conducted and to own, lease and operate its properties;</w:t>
      </w:r>
    </w:p>
    <w:p>
      <w:pPr>
        <w:spacing w:after="0" w:line="178" w:lineRule="exact"/>
        <w:rPr>
          <w:rFonts w:ascii="Courier New" w:cs="Courier New" w:eastAsia="Courier New" w:hAnsi="Courier New"/>
          <w:sz w:val="15"/>
          <w:szCs w:val="15"/>
          <w:color w:val="auto"/>
        </w:rPr>
      </w:pPr>
    </w:p>
    <w:p>
      <w:pPr>
        <w:ind w:left="1280" w:right="3139" w:firstLine="816"/>
        <w:spacing w:after="0" w:line="246" w:lineRule="auto"/>
        <w:tabs>
          <w:tab w:leader="none" w:pos="2825" w:val="left"/>
        </w:tabs>
        <w:numPr>
          <w:ilvl w:val="1"/>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each of its Material Subsidiaries is duly qualified and is in good standing as a foreign corporation authorized to do business in each jurisdiction in which the nature of its business or its ownership or leasing of property requires such qualification, except where the failure to be so qualified would not have a material adverse effect on the Company and its subsidiaries, taken as a whole;</w:t>
      </w:r>
    </w:p>
    <w:p>
      <w:pPr>
        <w:spacing w:after="0" w:line="179" w:lineRule="exact"/>
        <w:rPr>
          <w:rFonts w:ascii="Courier New" w:cs="Courier New" w:eastAsia="Courier New" w:hAnsi="Courier New"/>
          <w:sz w:val="15"/>
          <w:szCs w:val="15"/>
          <w:color w:val="auto"/>
        </w:rPr>
      </w:pPr>
    </w:p>
    <w:p>
      <w:pPr>
        <w:ind w:left="1280" w:right="3039" w:firstLine="816"/>
        <w:spacing w:after="0" w:line="246" w:lineRule="auto"/>
        <w:tabs>
          <w:tab w:leader="none" w:pos="2825" w:val="left"/>
        </w:tabs>
        <w:numPr>
          <w:ilvl w:val="1"/>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of the outstanding shares of capital stock of, or other ownership interests in, each of the Company's subsidiaries have been duly and validly authorized and issued and are fully paid and non-assessable, and are owned by the Company, free and clear of any security interest, claim, lien, encumbrance or adverse interest of any nature (other than liens created under the Credit Facility);</w:t>
      </w:r>
    </w:p>
    <w:p>
      <w:pPr>
        <w:spacing w:after="0" w:line="179" w:lineRule="exact"/>
        <w:rPr>
          <w:rFonts w:ascii="Courier New" w:cs="Courier New" w:eastAsia="Courier New" w:hAnsi="Courier New"/>
          <w:sz w:val="15"/>
          <w:szCs w:val="15"/>
          <w:color w:val="auto"/>
        </w:rPr>
      </w:pPr>
    </w:p>
    <w:p>
      <w:pPr>
        <w:ind w:left="1280" w:right="3319" w:firstLine="816"/>
        <w:spacing w:after="0" w:line="246" w:lineRule="auto"/>
        <w:tabs>
          <w:tab w:leader="none" w:pos="2825" w:val="left"/>
        </w:tabs>
        <w:numPr>
          <w:ilvl w:val="1"/>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the outstanding shares of Common Stock have been duly authorized and validly issued and are fully paid, non-assessable and not subject to any statutory preemptive rights or, to the knowledge of such counsel, any other similar rights;</w:t>
      </w:r>
    </w:p>
    <w:p>
      <w:pPr>
        <w:spacing w:after="0" w:line="177" w:lineRule="exact"/>
        <w:rPr>
          <w:rFonts w:ascii="Courier New" w:cs="Courier New" w:eastAsia="Courier New" w:hAnsi="Courier New"/>
          <w:sz w:val="15"/>
          <w:szCs w:val="15"/>
          <w:color w:val="auto"/>
        </w:rPr>
      </w:pPr>
    </w:p>
    <w:p>
      <w:pPr>
        <w:ind w:left="1280" w:right="3039" w:firstLine="816"/>
        <w:spacing w:after="0" w:line="246" w:lineRule="auto"/>
        <w:tabs>
          <w:tab w:leader="none" w:pos="2825" w:val="left"/>
        </w:tabs>
        <w:numPr>
          <w:ilvl w:val="1"/>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nor any of its Material Subsidiaries is in violation of its respective charter or by-laws and, to the best of such counsel's knowledge after due inquiry, neither the Company nor any of its Material Subsidiaries is in default in the performance of any obligation, agreement or condition contained in any bond, debenture, note or any other evidence of indebtedness or in any other agreement, indenture or instrument material to the conduct of the business of the Company and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5"/>
          <w:szCs w:val="15"/>
          <w:color w:val="auto"/>
        </w:rPr>
        <w:t>UNDERWRITING AGREEMENT -- COMMON STOCK</w:t>
      </w:r>
    </w:p>
    <w:p>
      <w:pPr>
        <w:spacing w:after="0" w:line="5"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5"/>
          <w:szCs w:val="15"/>
          <w:color w:val="auto"/>
        </w:rPr>
        <w:t>- 17 -</w:t>
      </w:r>
    </w:p>
    <w:p>
      <w:pPr>
        <w:sectPr>
          <w:pgSz w:w="11900" w:h="16838" w:orient="portrait"/>
          <w:cols w:equalWidth="0" w:num="1">
            <w:col w:w="9959"/>
          </w:cols>
          <w:pgMar w:left="500" w:top="293"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5"/>
          <w:szCs w:val="15"/>
          <w:color w:val="auto"/>
        </w:rPr>
        <w:t>18</w:t>
      </w:r>
    </w:p>
    <w:p>
      <w:pPr>
        <w:spacing w:after="0" w:line="5" w:lineRule="exact"/>
        <w:rPr>
          <w:sz w:val="20"/>
          <w:szCs w:val="20"/>
          <w:color w:val="auto"/>
        </w:rPr>
      </w:pPr>
    </w:p>
    <w:p>
      <w:pPr>
        <w:ind w:left="1280" w:right="3039"/>
        <w:spacing w:after="0" w:line="247" w:lineRule="auto"/>
        <w:rPr>
          <w:sz w:val="20"/>
          <w:szCs w:val="20"/>
          <w:color w:val="auto"/>
        </w:rPr>
      </w:pPr>
      <w:r>
        <w:rPr>
          <w:rFonts w:ascii="Courier New" w:cs="Courier New" w:eastAsia="Courier New" w:hAnsi="Courier New"/>
          <w:sz w:val="15"/>
          <w:szCs w:val="15"/>
          <w:color w:val="auto"/>
        </w:rPr>
        <w:t>subsidiaries, taken as a whole, to which the Company or any of its Material Subsidiaries is a party or by which it or any of its subsidiaries or their respective property is bound;</w:t>
      </w:r>
    </w:p>
    <w:p>
      <w:pPr>
        <w:spacing w:after="0" w:line="174" w:lineRule="exact"/>
        <w:rPr>
          <w:sz w:val="20"/>
          <w:szCs w:val="20"/>
          <w:color w:val="auto"/>
        </w:rPr>
      </w:pPr>
    </w:p>
    <w:p>
      <w:pPr>
        <w:ind w:left="1280" w:right="3039" w:firstLine="816"/>
        <w:spacing w:after="0" w:line="246" w:lineRule="auto"/>
        <w:tabs>
          <w:tab w:leader="none" w:pos="2825"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delivery and performance of this Agreement by the Company, compliance by the Company with all the provisions hereof and the consummation of the transactions contemplated hereby will not conflict with or constitute a breach of any of the terms or provisions of, or a default under, the charter or by-laws of any of the Company's Material Subsidiaries or any agreement, indenture or other instrument to which the Company or any of its Material Subsidiaries is a party or by which the Company or any of its Material Subsidiaries or their respective properties are bound, or violate or conflict with any laws, administrative regulations or rulings or court decrees applicable to the Company or any of its subsidiaries or their respective properties;</w:t>
      </w:r>
    </w:p>
    <w:p>
      <w:pPr>
        <w:spacing w:after="0" w:line="183" w:lineRule="exact"/>
        <w:rPr>
          <w:rFonts w:ascii="Courier New" w:cs="Courier New" w:eastAsia="Courier New" w:hAnsi="Courier New"/>
          <w:sz w:val="15"/>
          <w:szCs w:val="15"/>
          <w:color w:val="auto"/>
        </w:rPr>
      </w:pPr>
    </w:p>
    <w:p>
      <w:pPr>
        <w:ind w:left="1280" w:right="3039" w:firstLine="816"/>
        <w:spacing w:after="0" w:line="246" w:lineRule="auto"/>
        <w:tabs>
          <w:tab w:leader="none" w:pos="2825"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such counsel's knowledge there are no legal or governmental proceedings pending or threatened to which the Company or any of its subsidiaries is a party or to which any of their respective property is subject which is required to be described in the Registration Statement or the Prospectus and is not so described, or of any contract or other document which is required to be described in the Registration Statement or the Prospectus or is required to be filed as an exhibit to the Registration Statement which is not described or filed as required; such counsel does not have any reason to believe that the description of litigation in the Prospectus is not accurate and complete in all material respects;</w:t>
      </w:r>
    </w:p>
    <w:p>
      <w:pPr>
        <w:spacing w:after="0" w:line="182" w:lineRule="exact"/>
        <w:rPr>
          <w:rFonts w:ascii="Courier New" w:cs="Courier New" w:eastAsia="Courier New" w:hAnsi="Courier New"/>
          <w:sz w:val="15"/>
          <w:szCs w:val="15"/>
          <w:color w:val="auto"/>
        </w:rPr>
      </w:pPr>
    </w:p>
    <w:p>
      <w:pPr>
        <w:ind w:left="1280" w:right="3039" w:firstLine="816"/>
        <w:spacing w:after="0" w:line="246" w:lineRule="auto"/>
        <w:tabs>
          <w:tab w:leader="none" w:pos="2825"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such counsel's knowledge, except as described in the Prospectus, neither the Company nor any of its subsidiaries has violated any Environmental Laws, nor any federal or state law relating to discrimination in the hiring, promotion or pay of employees nor any applicable federal or state wages and hours laws, nor any provisions of the Employee Retirement Income Security Act or the rules and regulations promulgated thereunder, which in each case might result in any material adverse change in the business, prospects, financial condition or results of operation of the Company and its subsidiaries, taken as a whole;</w:t>
      </w:r>
    </w:p>
    <w:p>
      <w:pPr>
        <w:spacing w:after="0" w:line="181" w:lineRule="exact"/>
        <w:rPr>
          <w:rFonts w:ascii="Courier New" w:cs="Courier New" w:eastAsia="Courier New" w:hAnsi="Courier New"/>
          <w:sz w:val="15"/>
          <w:szCs w:val="15"/>
          <w:color w:val="auto"/>
        </w:rPr>
      </w:pPr>
    </w:p>
    <w:p>
      <w:pPr>
        <w:ind w:left="1280" w:right="3039" w:firstLine="816"/>
        <w:spacing w:after="0" w:line="246" w:lineRule="auto"/>
        <w:tabs>
          <w:tab w:leader="none" w:pos="2825"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such counsel's knowledge, the Company and each of its subsidiaries has such permits, licenses, franchises and authorizations of governmental or regulatory authorities ("permits"), including, without limitation, under any applicable Environmental Laws, as are necessary to own, lease and operate its respective properties and to conduct its business in the manner described in the Prospectus except where the failure to have such permits would not have a material adverse effect on the Company and its subsidiaries taken as a whole; to such counsel's knowledge, the Company and each of its subsidiaries has fulfilled and performed all of its material obligations with respect to such permits and no event has occurred which allows, or after notice or lapse of time would allow, revocation or termination thereof or results in any other material impairment of the rights of the holder of any such permit, subject in each case to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5"/>
          <w:szCs w:val="15"/>
          <w:color w:val="auto"/>
        </w:rPr>
        <w:t>UNDERWRITING AGREEMENT -- COMMON STOCK</w:t>
      </w:r>
    </w:p>
    <w:p>
      <w:pPr>
        <w:spacing w:after="0" w:line="5"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5"/>
          <w:szCs w:val="15"/>
          <w:color w:val="auto"/>
        </w:rPr>
        <w:t>- 18 -</w:t>
      </w:r>
    </w:p>
    <w:p>
      <w:pPr>
        <w:sectPr>
          <w:pgSz w:w="11900" w:h="16838" w:orient="portrait"/>
          <w:cols w:equalWidth="0" w:num="1">
            <w:col w:w="9959"/>
          </w:cols>
          <w:pgMar w:left="500" w:top="293"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5"/>
          <w:szCs w:val="15"/>
          <w:color w:val="auto"/>
        </w:rPr>
        <w:t>19</w:t>
      </w:r>
    </w:p>
    <w:p>
      <w:pPr>
        <w:spacing w:after="0" w:line="180" w:lineRule="exact"/>
        <w:rPr>
          <w:sz w:val="20"/>
          <w:szCs w:val="20"/>
          <w:color w:val="auto"/>
        </w:rPr>
      </w:pPr>
    </w:p>
    <w:p>
      <w:pPr>
        <w:ind w:left="1280" w:right="3039"/>
        <w:spacing w:after="0" w:line="246" w:lineRule="auto"/>
        <w:rPr>
          <w:sz w:val="20"/>
          <w:szCs w:val="20"/>
          <w:color w:val="auto"/>
        </w:rPr>
      </w:pPr>
      <w:r>
        <w:rPr>
          <w:rFonts w:ascii="Courier New" w:cs="Courier New" w:eastAsia="Courier New" w:hAnsi="Courier New"/>
          <w:sz w:val="15"/>
          <w:szCs w:val="15"/>
          <w:color w:val="auto"/>
        </w:rPr>
        <w:t>qualification as may be set forth in the Prospectus; and, except as described in the Prospectus, such permits contain no restrictions that are materially burdensome to the Company or any of its subsidiaries;</w:t>
      </w:r>
    </w:p>
    <w:p>
      <w:pPr>
        <w:spacing w:after="0" w:line="177" w:lineRule="exact"/>
        <w:rPr>
          <w:sz w:val="20"/>
          <w:szCs w:val="20"/>
          <w:color w:val="auto"/>
        </w:rPr>
      </w:pPr>
    </w:p>
    <w:p>
      <w:pPr>
        <w:ind w:left="1280" w:right="3039" w:firstLine="816"/>
        <w:spacing w:after="0" w:line="246" w:lineRule="auto"/>
        <w:tabs>
          <w:tab w:leader="none" w:pos="2825"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such counsel's knowledge, no holder of any security of the Company has any right to require registration of shares of Common Stock or any other security of the Company as a result of filing the Registration Statement, which have not been waived;</w:t>
      </w:r>
    </w:p>
    <w:p>
      <w:pPr>
        <w:spacing w:after="0" w:line="177" w:lineRule="exact"/>
        <w:rPr>
          <w:rFonts w:ascii="Courier New" w:cs="Courier New" w:eastAsia="Courier New" w:hAnsi="Courier New"/>
          <w:sz w:val="15"/>
          <w:szCs w:val="15"/>
          <w:color w:val="auto"/>
        </w:rPr>
      </w:pPr>
    </w:p>
    <w:p>
      <w:pPr>
        <w:ind w:left="1280" w:right="3139" w:firstLine="816"/>
        <w:spacing w:after="0" w:line="246" w:lineRule="auto"/>
        <w:tabs>
          <w:tab w:leader="none" w:pos="2825"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counsel believes that (except for financial statements, financial and statistical information contained therein, as aforesaid) the Registration Statement and the prospectus included therein at the time the Registration Statement became effective did not contain any untrue statement of a material fact or omit to state a material fact required to be stated therein or necessary to make the statements therein not misleading, and that the Prospectus, as amended or supplemented, if applicable (except for financial statements, and financial and statistical information, as aforesaid) does not contain any untrue statement of a material fact or omit to state a material fact necessary in order to make the statements therein, in the light of the circumstances under which they were made, not misleading;</w:t>
      </w:r>
    </w:p>
    <w:p>
      <w:pPr>
        <w:spacing w:after="0" w:line="183" w:lineRule="exact"/>
        <w:rPr>
          <w:rFonts w:ascii="Courier New" w:cs="Courier New" w:eastAsia="Courier New" w:hAnsi="Courier New"/>
          <w:sz w:val="15"/>
          <w:szCs w:val="15"/>
          <w:color w:val="auto"/>
        </w:rPr>
      </w:pPr>
    </w:p>
    <w:p>
      <w:pPr>
        <w:ind w:left="1280" w:right="3139" w:firstLine="816"/>
        <w:spacing w:after="0" w:line="246" w:lineRule="auto"/>
        <w:tabs>
          <w:tab w:leader="none" w:pos="2825"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descriptions in the Prospectus of statutes, regulations or legal or governmental proceedings in all material respects are accurate and fairly present the information required to be shown;</w:t>
      </w:r>
    </w:p>
    <w:p>
      <w:pPr>
        <w:spacing w:after="0" w:line="177" w:lineRule="exact"/>
        <w:rPr>
          <w:sz w:val="20"/>
          <w:szCs w:val="20"/>
          <w:color w:val="auto"/>
        </w:rPr>
      </w:pPr>
    </w:p>
    <w:p>
      <w:pPr>
        <w:ind w:left="560" w:right="3039" w:firstLine="727"/>
        <w:spacing w:after="0" w:line="246" w:lineRule="auto"/>
        <w:rPr>
          <w:sz w:val="20"/>
          <w:szCs w:val="20"/>
          <w:color w:val="auto"/>
        </w:rPr>
      </w:pPr>
      <w:r>
        <w:rPr>
          <w:rFonts w:ascii="Courier New" w:cs="Courier New" w:eastAsia="Courier New" w:hAnsi="Courier New"/>
          <w:sz w:val="15"/>
          <w:szCs w:val="15"/>
          <w:color w:val="auto"/>
        </w:rPr>
        <w:t>The opinion of Vinson &amp; Elkins L.L.P. referred to in subsection (d) above shall contain a statement that such counsel believes that (except for financial statements, financial and statistical information contained therein, as aforesaid) the Registration Statement and the prospectus included therein at the time the Registration Statement became effective did not contain any untrue statement of a material fact or omit to state a material fact required to be stated therein or necessary to make the statements therein not misleading, and that the Prospectus, as amended or supplemented, if applicable (except for financial statements, and financial and statistical information, as aforesaid) does not contain any untrue statement of a material fact or omit to state a material fact necessary in order to make the statements therein, in the light of the circumstances under which they were made, not misleading. Vinson &amp; Elkins L.L.P. and Snell &amp; Smith L.L.P., in giving their opinions with respect to the matters covered by clauses (d)(ix) and (e)(xi) may state that their opinions and beliefs are based upon their participation in the preparation of the Registration Statement and Prospectus and any amendments or supplements thereto and review and discussion of the contents thereof, but are without independent check or verification except as specified.</w:t>
      </w:r>
    </w:p>
    <w:p>
      <w:pPr>
        <w:spacing w:after="0" w:line="187" w:lineRule="exact"/>
        <w:rPr>
          <w:sz w:val="20"/>
          <w:szCs w:val="20"/>
          <w:color w:val="auto"/>
        </w:rPr>
      </w:pPr>
    </w:p>
    <w:p>
      <w:pPr>
        <w:ind w:left="560" w:right="3039" w:firstLine="727"/>
        <w:spacing w:after="0" w:line="247" w:lineRule="auto"/>
        <w:rPr>
          <w:sz w:val="20"/>
          <w:szCs w:val="20"/>
          <w:color w:val="auto"/>
        </w:rPr>
      </w:pPr>
      <w:r>
        <w:rPr>
          <w:rFonts w:ascii="Courier New" w:cs="Courier New" w:eastAsia="Courier New" w:hAnsi="Courier New"/>
          <w:sz w:val="15"/>
          <w:szCs w:val="15"/>
          <w:color w:val="auto"/>
        </w:rPr>
        <w:t>In giving the opinions described in clauses (d) and (e) above, such counsel may rely as to factual matters on information set forth in certificates of the Company or public officials.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5"/>
          <w:szCs w:val="15"/>
          <w:color w:val="auto"/>
        </w:rPr>
        <w:t>UNDERWRITING AGREEMENT -- COMMON STOCK</w:t>
      </w:r>
    </w:p>
    <w:p>
      <w:pPr>
        <w:spacing w:after="0" w:line="5"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5"/>
          <w:szCs w:val="15"/>
          <w:color w:val="auto"/>
        </w:rPr>
        <w:t>- 19 -</w:t>
      </w:r>
    </w:p>
    <w:p>
      <w:pPr>
        <w:sectPr>
          <w:pgSz w:w="11900" w:h="16838" w:orient="portrait"/>
          <w:cols w:equalWidth="0" w:num="1">
            <w:col w:w="9959"/>
          </w:cols>
          <w:pgMar w:left="500" w:top="293" w:right="1440" w:bottom="1440" w:gutter="0" w:footer="0" w:header="0"/>
        </w:sectPr>
      </w:pPr>
    </w:p>
    <w:bookmarkStart w:id="22" w:name="page23"/>
    <w:bookmarkEnd w:id="22"/>
    <w:p>
      <w:pPr>
        <w:ind w:left="267"/>
        <w:spacing w:after="0"/>
        <w:rPr>
          <w:sz w:val="20"/>
          <w:szCs w:val="20"/>
          <w:color w:val="auto"/>
        </w:rPr>
      </w:pPr>
      <w:r>
        <w:rPr>
          <w:rFonts w:ascii="Courier New" w:cs="Courier New" w:eastAsia="Courier New" w:hAnsi="Courier New"/>
          <w:sz w:val="15"/>
          <w:szCs w:val="15"/>
          <w:color w:val="auto"/>
        </w:rPr>
        <w:t>20</w:t>
      </w:r>
    </w:p>
    <w:p>
      <w:pPr>
        <w:spacing w:after="0" w:line="180" w:lineRule="exact"/>
        <w:rPr>
          <w:sz w:val="20"/>
          <w:szCs w:val="20"/>
          <w:color w:val="auto"/>
        </w:rPr>
      </w:pPr>
    </w:p>
    <w:p>
      <w:pPr>
        <w:ind w:left="827" w:right="3039" w:firstLine="727"/>
        <w:spacing w:after="0" w:line="247" w:lineRule="auto"/>
        <w:rPr>
          <w:sz w:val="20"/>
          <w:szCs w:val="20"/>
          <w:color w:val="auto"/>
        </w:rPr>
      </w:pPr>
      <w:r>
        <w:rPr>
          <w:rFonts w:ascii="Courier New" w:cs="Courier New" w:eastAsia="Courier New" w:hAnsi="Courier New"/>
          <w:sz w:val="15"/>
          <w:szCs w:val="15"/>
          <w:color w:val="auto"/>
        </w:rPr>
        <w:t>The opinion of Vinson &amp; Elkins L.L.P. and Snell &amp; Smith L.L.P. described in paragraphs (d) and (e) above shall be rendered to you at the request of the Company and shall so state therein.</w:t>
      </w:r>
    </w:p>
    <w:p>
      <w:pPr>
        <w:spacing w:after="0" w:line="174" w:lineRule="exact"/>
        <w:rPr>
          <w:sz w:val="20"/>
          <w:szCs w:val="20"/>
          <w:color w:val="auto"/>
        </w:rPr>
      </w:pPr>
    </w:p>
    <w:p>
      <w:pPr>
        <w:jc w:val="both"/>
        <w:ind w:left="827" w:right="3139" w:firstLine="718"/>
        <w:spacing w:after="0" w:line="246" w:lineRule="auto"/>
        <w:tabs>
          <w:tab w:leader="none" w:pos="2372" w:val="left"/>
        </w:tabs>
        <w:numPr>
          <w:ilvl w:val="2"/>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shall have received on the Closing Date and the Option Closing Date an opinion, dated the Closing Date or the Option Closing Date, as the case may be, of McDermott, Will &amp; Emery, counsel for the Underwriters, in form and substance satisfactory to you.</w:t>
      </w:r>
    </w:p>
    <w:p>
      <w:pPr>
        <w:spacing w:after="0" w:line="177" w:lineRule="exact"/>
        <w:rPr>
          <w:rFonts w:ascii="Courier New" w:cs="Courier New" w:eastAsia="Courier New" w:hAnsi="Courier New"/>
          <w:sz w:val="15"/>
          <w:szCs w:val="15"/>
          <w:color w:val="auto"/>
        </w:rPr>
      </w:pPr>
    </w:p>
    <w:p>
      <w:pPr>
        <w:ind w:left="827" w:right="2959" w:firstLine="718"/>
        <w:spacing w:after="0" w:line="246" w:lineRule="auto"/>
        <w:tabs>
          <w:tab w:leader="none" w:pos="2372" w:val="left"/>
        </w:tabs>
        <w:numPr>
          <w:ilvl w:val="2"/>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shall have received a letter on and as of the Closing Date and the Option Closing Date, in form and substance satisfactory to you, (i) from Coopers &amp; Lybrand LLP, independent public accountants, with respect to the financial statements and certain financial information contained in the Registration Statement and the Prospectus and substantially in the form and substance of the letter delivered to you by Coopers &amp; Lybrand LLP on the date of this Agreement, (ii) from Deloitte &amp; Touche L.L.P., Arthur Andersen L.L.P., Ernst &amp; Young LLP, Deloitte &amp; Touche Chartered Accountants, Kaplan Sipos &amp; Associates, Blake, Kuehler, Babione &amp; Pool, Buckno Lisicky &amp; Company and Osborn, Henning and Company, independent public accountants, each with respect to the financial statements and certain financial information contained in the Registration Statement and the Prospectus and in each case substantially in the form and substance of the letter delivered to you by such firm on the date of this Agreement.</w:t>
      </w:r>
    </w:p>
    <w:p>
      <w:pPr>
        <w:spacing w:after="0" w:line="183" w:lineRule="exact"/>
        <w:rPr>
          <w:rFonts w:ascii="Courier New" w:cs="Courier New" w:eastAsia="Courier New" w:hAnsi="Courier New"/>
          <w:sz w:val="15"/>
          <w:szCs w:val="15"/>
          <w:color w:val="auto"/>
        </w:rPr>
      </w:pPr>
    </w:p>
    <w:p>
      <w:pPr>
        <w:ind w:left="827" w:right="3039" w:firstLine="718"/>
        <w:spacing w:after="0" w:line="246" w:lineRule="auto"/>
        <w:tabs>
          <w:tab w:leader="none" w:pos="2372" w:val="left"/>
        </w:tabs>
        <w:numPr>
          <w:ilvl w:val="2"/>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not have failed at or prior to the Closing Date to perform or comply with any of the agreements herein contained and required to be performed or complied with by the Company at or prior to the Closing Date or the Option Closing Date as the case may be.</w:t>
      </w:r>
    </w:p>
    <w:p>
      <w:pPr>
        <w:spacing w:after="0" w:line="177" w:lineRule="exact"/>
        <w:rPr>
          <w:rFonts w:ascii="Courier New" w:cs="Courier New" w:eastAsia="Courier New" w:hAnsi="Courier New"/>
          <w:sz w:val="15"/>
          <w:szCs w:val="15"/>
          <w:color w:val="auto"/>
        </w:rPr>
      </w:pPr>
    </w:p>
    <w:p>
      <w:pPr>
        <w:ind w:left="7" w:right="3219" w:firstLine="811"/>
        <w:spacing w:after="0" w:line="246" w:lineRule="auto"/>
        <w:tabs>
          <w:tab w:leader="none" w:pos="1552" w:val="left"/>
        </w:tabs>
        <w:numPr>
          <w:ilvl w:val="1"/>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Date of Agreement and Termination. This Agreement shall become effective upon the later of (i) execution of this Agreement and</w:t>
      </w:r>
    </w:p>
    <w:p>
      <w:pPr>
        <w:spacing w:after="0" w:line="1" w:lineRule="exact"/>
        <w:rPr>
          <w:rFonts w:ascii="Courier New" w:cs="Courier New" w:eastAsia="Courier New" w:hAnsi="Courier New"/>
          <w:sz w:val="15"/>
          <w:szCs w:val="15"/>
          <w:color w:val="auto"/>
        </w:rPr>
      </w:pPr>
    </w:p>
    <w:p>
      <w:pPr>
        <w:ind w:left="7" w:right="3219" w:hanging="7"/>
        <w:spacing w:after="0" w:line="247" w:lineRule="auto"/>
        <w:tabs>
          <w:tab w:leader="none" w:pos="461"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 notification of the effectiveness of the Registration Statement has been released by the Commission.</w:t>
      </w:r>
    </w:p>
    <w:p>
      <w:pPr>
        <w:spacing w:after="0" w:line="175" w:lineRule="exact"/>
        <w:rPr>
          <w:sz w:val="20"/>
          <w:szCs w:val="20"/>
          <w:color w:val="auto"/>
        </w:rPr>
      </w:pPr>
    </w:p>
    <w:p>
      <w:pPr>
        <w:ind w:left="7" w:right="3039" w:firstLine="818"/>
        <w:spacing w:after="0" w:line="246" w:lineRule="auto"/>
        <w:rPr>
          <w:sz w:val="20"/>
          <w:szCs w:val="20"/>
          <w:color w:val="auto"/>
        </w:rPr>
      </w:pPr>
      <w:r>
        <w:rPr>
          <w:rFonts w:ascii="Courier New" w:cs="Courier New" w:eastAsia="Courier New" w:hAnsi="Courier New"/>
          <w:sz w:val="15"/>
          <w:szCs w:val="15"/>
          <w:color w:val="auto"/>
        </w:rPr>
        <w:t>This Agreement may be terminated at any time prior to the Closing Date by you by written notice to the Company if any of the following has occurred:</w:t>
      </w:r>
    </w:p>
    <w:p>
      <w:pPr>
        <w:spacing w:after="0" w:line="1" w:lineRule="exact"/>
        <w:rPr>
          <w:sz w:val="20"/>
          <w:szCs w:val="20"/>
          <w:color w:val="auto"/>
        </w:rPr>
      </w:pPr>
    </w:p>
    <w:p>
      <w:pPr>
        <w:ind w:left="7" w:right="3039" w:hanging="7"/>
        <w:spacing w:after="0" w:line="246" w:lineRule="auto"/>
        <w:tabs>
          <w:tab w:leader="none" w:pos="37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since the respective dates as of which information is given in the Registration Statement and the Prospectus, any adverse change or development involving a prospective adverse change in the condition, financial or otherwise, of the Company or any of its subsidiaries or the earnings, affairs, or business prospects of the Company or any of its subsidiaries, whether or not arising in the ordinary course of business, which would, in your judgment, make it impracticable to market the Shares on the terms and in the manner contemplated in the Prospectus, (ii) any outbreak or escalation of hostilities or other national or international calamity or crisis or change in economic conditions or in the financial markets of the United States or elsewhere that, in your judgment, is material and adverse and would, in your judgment, make it impracticable to market the Shares on the terms and in the manner contemplated in the Prospectus, (iii) the suspension or material limitation of trading in securities on the New York Stock Exchange, the American Stock Exchange or the NASDAQ National Market System or limitation on prices for securities on any such exchange or National Market System, (iv) the enactment, publication, decree or other promulgation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312"/>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jc w:val="center"/>
        <w:ind w:right="3312"/>
        <w:spacing w:after="0"/>
        <w:rPr>
          <w:sz w:val="20"/>
          <w:szCs w:val="20"/>
          <w:color w:val="auto"/>
        </w:rPr>
      </w:pPr>
      <w:r>
        <w:rPr>
          <w:rFonts w:ascii="Courier New" w:cs="Courier New" w:eastAsia="Courier New" w:hAnsi="Courier New"/>
          <w:sz w:val="15"/>
          <w:szCs w:val="15"/>
          <w:color w:val="auto"/>
        </w:rPr>
        <w:t>UNDERWRITING AGREEMENT -- COMMON STOCK</w:t>
      </w:r>
    </w:p>
    <w:p>
      <w:pPr>
        <w:spacing w:after="0" w:line="5" w:lineRule="exact"/>
        <w:rPr>
          <w:sz w:val="20"/>
          <w:szCs w:val="20"/>
          <w:color w:val="auto"/>
        </w:rPr>
      </w:pPr>
    </w:p>
    <w:p>
      <w:pPr>
        <w:jc w:val="center"/>
        <w:ind w:right="3312"/>
        <w:spacing w:after="0"/>
        <w:rPr>
          <w:sz w:val="20"/>
          <w:szCs w:val="20"/>
          <w:color w:val="auto"/>
        </w:rPr>
      </w:pPr>
      <w:r>
        <w:rPr>
          <w:rFonts w:ascii="Courier New" w:cs="Courier New" w:eastAsia="Courier New" w:hAnsi="Courier New"/>
          <w:sz w:val="15"/>
          <w:szCs w:val="15"/>
          <w:color w:val="auto"/>
        </w:rPr>
        <w:t>- 20 -</w:t>
      </w:r>
    </w:p>
    <w:p>
      <w:pPr>
        <w:sectPr>
          <w:pgSz w:w="11900" w:h="16838" w:orient="portrait"/>
          <w:cols w:equalWidth="0" w:num="1">
            <w:col w:w="10226"/>
          </w:cols>
          <w:pgMar w:left="233" w:top="293" w:right="1440" w:bottom="1440" w:gutter="0" w:footer="0" w:header="0"/>
        </w:sectPr>
      </w:pPr>
    </w:p>
    <w:bookmarkStart w:id="23" w:name="page24"/>
    <w:bookmarkEnd w:id="23"/>
    <w:p>
      <w:pPr>
        <w:ind w:left="267"/>
        <w:spacing w:after="0"/>
        <w:rPr>
          <w:sz w:val="20"/>
          <w:szCs w:val="20"/>
          <w:color w:val="auto"/>
        </w:rPr>
      </w:pPr>
      <w:r>
        <w:rPr>
          <w:rFonts w:ascii="Courier New" w:cs="Courier New" w:eastAsia="Courier New" w:hAnsi="Courier New"/>
          <w:sz w:val="15"/>
          <w:szCs w:val="15"/>
          <w:color w:val="auto"/>
        </w:rPr>
        <w:t>21</w:t>
      </w:r>
    </w:p>
    <w:p>
      <w:pPr>
        <w:spacing w:after="0" w:line="180" w:lineRule="exact"/>
        <w:rPr>
          <w:sz w:val="20"/>
          <w:szCs w:val="20"/>
          <w:color w:val="auto"/>
        </w:rPr>
      </w:pPr>
    </w:p>
    <w:p>
      <w:pPr>
        <w:ind w:left="7" w:right="3139"/>
        <w:spacing w:after="0" w:line="246" w:lineRule="auto"/>
        <w:rPr>
          <w:sz w:val="20"/>
          <w:szCs w:val="20"/>
          <w:color w:val="auto"/>
        </w:rPr>
      </w:pPr>
      <w:r>
        <w:rPr>
          <w:rFonts w:ascii="Courier New" w:cs="Courier New" w:eastAsia="Courier New" w:hAnsi="Courier New"/>
          <w:sz w:val="15"/>
          <w:szCs w:val="15"/>
          <w:color w:val="auto"/>
        </w:rPr>
        <w:t>any federal or state statute, regulation, rule or order of any court or other governmental authority which in your opinion materially and adversely affects, or will materially and adversely affect, the business or operations of the Company or any Subsidiary, (v) the declaration of a banking moratorium by either federal or New York State authorities or (vi) the taking of any action by any federal, state or local government or agency in respect of its monetary or fiscal affairs which in your opinion has a material adverse effect on the financial markets in the United States.</w:t>
      </w:r>
    </w:p>
    <w:p>
      <w:pPr>
        <w:spacing w:after="0" w:line="180" w:lineRule="exact"/>
        <w:rPr>
          <w:sz w:val="20"/>
          <w:szCs w:val="20"/>
          <w:color w:val="auto"/>
        </w:rPr>
      </w:pPr>
    </w:p>
    <w:p>
      <w:pPr>
        <w:ind w:left="7" w:right="3039" w:firstLine="818"/>
        <w:spacing w:after="0" w:line="246" w:lineRule="auto"/>
        <w:rPr>
          <w:sz w:val="20"/>
          <w:szCs w:val="20"/>
          <w:color w:val="auto"/>
        </w:rPr>
      </w:pPr>
      <w:r>
        <w:rPr>
          <w:rFonts w:ascii="Courier New" w:cs="Courier New" w:eastAsia="Courier New" w:hAnsi="Courier New"/>
          <w:sz w:val="15"/>
          <w:szCs w:val="15"/>
          <w:color w:val="auto"/>
        </w:rPr>
        <w:t>If on the Closing Date or on an Option Closing Date, as the case may be, any one or more of the Underwriters shall fail or refuse to purchase the Firm Shares or Additional Shares, as the case may be, which it or they have agreed to purchase hereunder on such date and the aggregate number of Firm Shares or Additional Shares, as the case may be, which such defaulting Underwriter or Underwriters, as the case may be, agreed but failed or refused to purchase is not more than one-tenth of the total number of Shares to be purchased on such date by all Underwriters, each non-defaulting Underwriter shall be obligated severally, in the proportion which the number of Firm Shares set forth opposite its name in Schedule I bears to the total number of Firm Shares which all the non-defaulting Underwriters, as the case may be, have agreed to purchase, or in such other proportion as you may specify, to purchase the Firm Shares or Additional Shares, as the case may be, which such defaulting Underwriter or Underwriters, as the case may be, agreed but failed or refused to purchase on such date; provided that in no event shall the number of Firm Shares or Additional Shares, as the case may be, which any Underwriter has agreed to purchase pursuant to Section 2 hereof be increased pursuant to this Section 9 by an amount in excess of one-ninth of such number of Firm Shares or Additional Shares, as the case may be, without the written consent of such Underwriter. If on the Closing Date or on an Option Closing Date, as the case may be, any Underwriter or Underwriters shall fail or refuse to purchase Firm Shares, or Additional Shares, as the case may be, and the aggregate number of Firm Shares or Additional Shares, as the case may be, with respect to which such default occurs is more than one-tenth of the aggregate number of Shares to be purchased on such date by all Underwriters and arrangements satisfactory to you and the Company for purchase of such Shares are not made within 48 hours after such default, this Agreement will terminate without liability on the part of any non-defaulting Underwriter and the Company. In any such case which does not result in termination of this Agreement, either you or the Company shall have the right to postpone the Closing Date or the applicable Option Closing Date, as the case may be, but in no event for longer than seven days, in order that the required changes, if any, in the Registration Statement and the Prospectus or any other documents or arrangements may be effected. Any action taken under this paragraph shall not relieve any defaulting Underwriter from liability in respect of any default of any such Underwriter under this Agreement.</w:t>
      </w:r>
    </w:p>
    <w:p>
      <w:pPr>
        <w:spacing w:after="0" w:line="197" w:lineRule="exact"/>
        <w:rPr>
          <w:sz w:val="20"/>
          <w:szCs w:val="20"/>
          <w:color w:val="auto"/>
        </w:rPr>
      </w:pPr>
    </w:p>
    <w:p>
      <w:pPr>
        <w:ind w:left="7" w:right="3139" w:firstLine="811"/>
        <w:spacing w:after="0" w:line="246" w:lineRule="auto"/>
        <w:tabs>
          <w:tab w:leader="none" w:pos="1552" w:val="left"/>
        </w:tabs>
        <w:numPr>
          <w:ilvl w:val="1"/>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 Notices given pursuant to any provision of this Agreement shall be addressed as follows: (a) if to the Company, to USA Waste Services, Inc., 1001 Fannin Street, Suite 4000, Houston, Texas 77002 and</w:t>
      </w:r>
    </w:p>
    <w:p>
      <w:pPr>
        <w:spacing w:after="0" w:line="1" w:lineRule="exact"/>
        <w:rPr>
          <w:rFonts w:ascii="Courier New" w:cs="Courier New" w:eastAsia="Courier New" w:hAnsi="Courier New"/>
          <w:sz w:val="15"/>
          <w:szCs w:val="15"/>
          <w:color w:val="auto"/>
        </w:rPr>
      </w:pPr>
    </w:p>
    <w:p>
      <w:pPr>
        <w:ind w:left="7" w:right="3139" w:hanging="7"/>
        <w:spacing w:after="0" w:line="246" w:lineRule="auto"/>
        <w:tabs>
          <w:tab w:leader="none" w:pos="37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any Underwriter or to you, to you c/o Donaldson, Lufkin &amp; Jenrette Securities Corporation, 277 Park Avenue, New York, New York 10172, Attention: Syndicate Department, or in any case to such other address as the person to be notified may have requested in writing.</w:t>
      </w:r>
    </w:p>
    <w:p>
      <w:pPr>
        <w:spacing w:after="0" w:line="177" w:lineRule="exact"/>
        <w:rPr>
          <w:sz w:val="20"/>
          <w:szCs w:val="20"/>
          <w:color w:val="auto"/>
        </w:rPr>
      </w:pPr>
    </w:p>
    <w:p>
      <w:pPr>
        <w:jc w:val="both"/>
        <w:ind w:left="7" w:right="3139" w:firstLine="818"/>
        <w:spacing w:after="0" w:line="247" w:lineRule="auto"/>
        <w:rPr>
          <w:sz w:val="20"/>
          <w:szCs w:val="20"/>
          <w:color w:val="auto"/>
        </w:rPr>
      </w:pPr>
      <w:r>
        <w:rPr>
          <w:rFonts w:ascii="Courier New" w:cs="Courier New" w:eastAsia="Courier New" w:hAnsi="Courier New"/>
          <w:sz w:val="15"/>
          <w:szCs w:val="15"/>
          <w:color w:val="auto"/>
        </w:rPr>
        <w:t>The respective indemnities, contribution agreements, representations, warranties and other statements of the Company, its officers and directors and of the several Underwriters set forth in or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312"/>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jc w:val="center"/>
        <w:ind w:right="3312"/>
        <w:spacing w:after="0"/>
        <w:rPr>
          <w:sz w:val="20"/>
          <w:szCs w:val="20"/>
          <w:color w:val="auto"/>
        </w:rPr>
      </w:pPr>
      <w:r>
        <w:rPr>
          <w:rFonts w:ascii="Courier New" w:cs="Courier New" w:eastAsia="Courier New" w:hAnsi="Courier New"/>
          <w:sz w:val="15"/>
          <w:szCs w:val="15"/>
          <w:color w:val="auto"/>
        </w:rPr>
        <w:t>UNDERWRITING AGREEMENT -- COMMON STOCK</w:t>
      </w:r>
    </w:p>
    <w:p>
      <w:pPr>
        <w:spacing w:after="0" w:line="5" w:lineRule="exact"/>
        <w:rPr>
          <w:sz w:val="20"/>
          <w:szCs w:val="20"/>
          <w:color w:val="auto"/>
        </w:rPr>
      </w:pPr>
    </w:p>
    <w:p>
      <w:pPr>
        <w:jc w:val="center"/>
        <w:ind w:right="3312"/>
        <w:spacing w:after="0"/>
        <w:rPr>
          <w:sz w:val="20"/>
          <w:szCs w:val="20"/>
          <w:color w:val="auto"/>
        </w:rPr>
      </w:pPr>
      <w:r>
        <w:rPr>
          <w:rFonts w:ascii="Courier New" w:cs="Courier New" w:eastAsia="Courier New" w:hAnsi="Courier New"/>
          <w:sz w:val="15"/>
          <w:szCs w:val="15"/>
          <w:color w:val="auto"/>
        </w:rPr>
        <w:t>- 21 -</w:t>
      </w:r>
    </w:p>
    <w:p>
      <w:pPr>
        <w:sectPr>
          <w:pgSz w:w="11900" w:h="16838" w:orient="portrait"/>
          <w:cols w:equalWidth="0" w:num="1">
            <w:col w:w="10226"/>
          </w:cols>
          <w:pgMar w:left="233" w:top="293" w:right="1440" w:bottom="1440" w:gutter="0" w:footer="0" w:header="0"/>
        </w:sectPr>
      </w:pPr>
    </w:p>
    <w:bookmarkStart w:id="24" w:name="page25"/>
    <w:bookmarkEnd w:id="24"/>
    <w:p>
      <w:pPr>
        <w:ind w:left="260"/>
        <w:spacing w:after="0"/>
        <w:rPr>
          <w:sz w:val="20"/>
          <w:szCs w:val="20"/>
          <w:color w:val="auto"/>
        </w:rPr>
      </w:pPr>
      <w:r>
        <w:rPr>
          <w:rFonts w:ascii="Courier New" w:cs="Courier New" w:eastAsia="Courier New" w:hAnsi="Courier New"/>
          <w:sz w:val="15"/>
          <w:szCs w:val="15"/>
          <w:color w:val="auto"/>
        </w:rPr>
        <w:t>22</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pursuant to this Agreement shall remain operative and in full force and effect, and will survive delivery of and payment for the Shares, regardless of (i) any investigation, or statement as to the results thereof, made by or on behalf of any Underwriter or by or on behalf of the Company, the officers or directors of the Company or any controlling person of the Company, (ii) acceptance of the Shares and payment for them hereunder and (iii) termination of this Agreement.</w:t>
      </w:r>
    </w:p>
    <w:p>
      <w:pPr>
        <w:spacing w:after="0" w:line="178" w:lineRule="exact"/>
        <w:rPr>
          <w:sz w:val="20"/>
          <w:szCs w:val="20"/>
          <w:color w:val="auto"/>
        </w:rPr>
      </w:pPr>
    </w:p>
    <w:p>
      <w:pPr>
        <w:ind w:right="3219" w:firstLine="818"/>
        <w:spacing w:after="0" w:line="246" w:lineRule="auto"/>
        <w:rPr>
          <w:sz w:val="20"/>
          <w:szCs w:val="20"/>
          <w:color w:val="auto"/>
        </w:rPr>
      </w:pPr>
      <w:r>
        <w:rPr>
          <w:rFonts w:ascii="Courier New" w:cs="Courier New" w:eastAsia="Courier New" w:hAnsi="Courier New"/>
          <w:sz w:val="15"/>
          <w:szCs w:val="15"/>
          <w:color w:val="auto"/>
        </w:rPr>
        <w:t>If this Agreement shall be terminated by the Underwriters because of any failure or refusal on the part of the Company to comply with the terms or to fulfill any of the conditions of this Agreement, the Company agrees to reimburse the several Underwriters for all out-of-pocket expenses (including the fees and disbursements of counsel) reasonably incurred by them.</w:t>
      </w:r>
    </w:p>
    <w:p>
      <w:pPr>
        <w:spacing w:after="0" w:line="178" w:lineRule="exact"/>
        <w:rPr>
          <w:sz w:val="20"/>
          <w:szCs w:val="20"/>
          <w:color w:val="auto"/>
        </w:rPr>
      </w:pPr>
    </w:p>
    <w:p>
      <w:pPr>
        <w:ind w:right="3139" w:firstLine="818"/>
        <w:spacing w:after="0" w:line="246" w:lineRule="auto"/>
        <w:rPr>
          <w:sz w:val="20"/>
          <w:szCs w:val="20"/>
          <w:color w:val="auto"/>
        </w:rPr>
      </w:pPr>
      <w:r>
        <w:rPr>
          <w:rFonts w:ascii="Courier New" w:cs="Courier New" w:eastAsia="Courier New" w:hAnsi="Courier New"/>
          <w:sz w:val="15"/>
          <w:szCs w:val="15"/>
          <w:color w:val="auto"/>
        </w:rPr>
        <w:t>Except as otherwise provided, this Agreement has been and is made solely for the benefit of and shall be binding upon the Company, the Underwriters, any controlling persons referred to herein and their respective successors and assigns, all as and to the extent provided in this Agreement, and no other person shall acquire or have any right under or by virtue of this Agreement. The term "successors and assigns" shall not include a purchaser of any of the Shares from any of the several Underwriters merely because of such purchase.</w:t>
      </w:r>
    </w:p>
    <w:p>
      <w:pPr>
        <w:spacing w:after="0" w:line="180" w:lineRule="exact"/>
        <w:rPr>
          <w:sz w:val="20"/>
          <w:szCs w:val="20"/>
          <w:color w:val="auto"/>
        </w:rPr>
      </w:pPr>
    </w:p>
    <w:p>
      <w:pPr>
        <w:ind w:right="3139" w:firstLine="818"/>
        <w:spacing w:after="0" w:line="247" w:lineRule="auto"/>
        <w:rPr>
          <w:sz w:val="20"/>
          <w:szCs w:val="20"/>
          <w:color w:val="auto"/>
        </w:rPr>
      </w:pPr>
      <w:r>
        <w:rPr>
          <w:rFonts w:ascii="Courier New" w:cs="Courier New" w:eastAsia="Courier New" w:hAnsi="Courier New"/>
          <w:sz w:val="15"/>
          <w:szCs w:val="15"/>
          <w:color w:val="auto"/>
        </w:rPr>
        <w:t>This Agreement shall be governed and construed in accordance with the laws of the State of New York.</w:t>
      </w:r>
    </w:p>
    <w:p>
      <w:pPr>
        <w:spacing w:after="0" w:line="175" w:lineRule="exact"/>
        <w:rPr>
          <w:sz w:val="20"/>
          <w:szCs w:val="20"/>
          <w:color w:val="auto"/>
        </w:rPr>
      </w:pPr>
    </w:p>
    <w:p>
      <w:pPr>
        <w:ind w:right="3319" w:firstLine="818"/>
        <w:spacing w:after="0" w:line="247" w:lineRule="auto"/>
        <w:rPr>
          <w:sz w:val="20"/>
          <w:szCs w:val="20"/>
          <w:color w:val="auto"/>
        </w:rPr>
      </w:pPr>
      <w:r>
        <w:rPr>
          <w:rFonts w:ascii="Courier New" w:cs="Courier New" w:eastAsia="Courier New" w:hAnsi="Courier New"/>
          <w:sz w:val="15"/>
          <w:szCs w:val="15"/>
          <w:color w:val="auto"/>
        </w:rPr>
        <w:t>This Agreement may be signed in various counterparts which together shall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UNDERWRITING AGREEMENT -- COMMON STOCK</w:t>
      </w:r>
    </w:p>
    <w:p>
      <w:pPr>
        <w:spacing w:after="0" w:line="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- 22 -</w:t>
      </w:r>
    </w:p>
    <w:p>
      <w:pPr>
        <w:sectPr>
          <w:pgSz w:w="11900" w:h="16838" w:orient="portrait"/>
          <w:cols w:equalWidth="0" w:num="1">
            <w:col w:w="10219"/>
          </w:cols>
          <w:pgMar w:left="240" w:top="293" w:right="1440" w:bottom="1440" w:gutter="0" w:footer="0" w:header="0"/>
        </w:sectPr>
      </w:pPr>
    </w:p>
    <w:bookmarkStart w:id="25" w:name="page26"/>
    <w:bookmarkEnd w:id="25"/>
    <w:p>
      <w:pPr>
        <w:ind w:left="260"/>
        <w:spacing w:after="0"/>
        <w:rPr>
          <w:sz w:val="20"/>
          <w:szCs w:val="20"/>
          <w:color w:val="auto"/>
        </w:rPr>
      </w:pPr>
      <w:r>
        <w:rPr>
          <w:rFonts w:ascii="Courier New" w:cs="Courier New" w:eastAsia="Courier New" w:hAnsi="Courier New"/>
          <w:sz w:val="15"/>
          <w:szCs w:val="15"/>
          <w:color w:val="auto"/>
        </w:rPr>
        <w:t>23</w:t>
      </w:r>
    </w:p>
    <w:p>
      <w:pPr>
        <w:spacing w:after="0" w:line="180" w:lineRule="exact"/>
        <w:rPr>
          <w:sz w:val="20"/>
          <w:szCs w:val="20"/>
          <w:color w:val="auto"/>
        </w:rPr>
      </w:pPr>
    </w:p>
    <w:p>
      <w:pPr>
        <w:ind w:right="3219" w:firstLine="818"/>
        <w:spacing w:after="0" w:line="247" w:lineRule="auto"/>
        <w:rPr>
          <w:sz w:val="20"/>
          <w:szCs w:val="20"/>
          <w:color w:val="auto"/>
        </w:rPr>
      </w:pPr>
      <w:r>
        <w:rPr>
          <w:rFonts w:ascii="Courier New" w:cs="Courier New" w:eastAsia="Courier New" w:hAnsi="Courier New"/>
          <w:sz w:val="15"/>
          <w:szCs w:val="15"/>
          <w:color w:val="auto"/>
        </w:rPr>
        <w:t>Please confirm that the foregoing correctly sets forth the agreement between the Company and the several Underwriters.</w:t>
      </w:r>
    </w:p>
    <w:p>
      <w:pPr>
        <w:spacing w:after="0" w:line="17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Very truly yours,</w:t>
      </w:r>
    </w:p>
    <w:p>
      <w:pPr>
        <w:spacing w:after="0" w:line="18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USA WASTE SERVICES, INC.</w:t>
      </w:r>
    </w:p>
    <w:p>
      <w:pPr>
        <w:spacing w:after="0" w:line="200" w:lineRule="exact"/>
        <w:rPr>
          <w:sz w:val="20"/>
          <w:szCs w:val="20"/>
          <w:color w:val="auto"/>
        </w:rPr>
      </w:pP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By: /s/ EARL E. DeFRATES</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Title: Executive Vice President</w:t>
      </w:r>
    </w:p>
    <w:p>
      <w:pPr>
        <w:spacing w:after="0" w:line="5" w:lineRule="exact"/>
        <w:rPr>
          <w:sz w:val="20"/>
          <w:szCs w:val="20"/>
          <w:color w:val="auto"/>
        </w:rPr>
      </w:pPr>
    </w:p>
    <w:p>
      <w:pPr>
        <w:ind w:left="4360"/>
        <w:spacing w:after="0"/>
        <w:rPr>
          <w:sz w:val="20"/>
          <w:szCs w:val="20"/>
          <w:color w:val="auto"/>
        </w:rPr>
      </w:pPr>
      <w:r>
        <w:rPr>
          <w:rFonts w:ascii="Courier New" w:cs="Courier New" w:eastAsia="Courier New" w:hAnsi="Courier New"/>
          <w:sz w:val="15"/>
          <w:szCs w:val="15"/>
          <w:color w:val="auto"/>
        </w:rPr>
        <w:t>and CFO</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DONALDSON, LUFKIN &amp; JENRETTE</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SECURITIES CORPORATION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DEUTSCHE MORGAN GRENFELL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GOLDMAN, SACHS &amp; CO.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MERRILL LYNCH, PIERCE,</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FENNER &amp; SMITH INCORPORATED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Acting severally on behalf of</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themselves and the several</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Underwriters named in</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Schedule I hereto</w:t>
      </w:r>
    </w:p>
    <w:p>
      <w:pPr>
        <w:spacing w:after="0" w:line="180"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By:</w:t>
        <w:tab/>
        <w:t>DONALDSON, LUFKIN &amp; JENRETTE</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SECURITIES CORPORATION</w:t>
      </w:r>
    </w:p>
    <w:p>
      <w:pPr>
        <w:spacing w:after="0" w:line="354"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By:</w:t>
        <w:tab/>
        <w:t>/s/ MARK A. PYTOSH</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UNDERWRITING AGREEMENT -- COMMON STOCK</w:t>
      </w:r>
    </w:p>
    <w:p>
      <w:pPr>
        <w:spacing w:after="0" w:line="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- 23 -</w:t>
      </w:r>
    </w:p>
    <w:p>
      <w:pPr>
        <w:sectPr>
          <w:pgSz w:w="11900" w:h="16838" w:orient="portrait"/>
          <w:cols w:equalWidth="0" w:num="1">
            <w:col w:w="10219"/>
          </w:cols>
          <w:pgMar w:left="240" w:top="293" w:right="1440" w:bottom="1440" w:gutter="0" w:footer="0" w:header="0"/>
        </w:sectPr>
      </w:pPr>
    </w:p>
    <w:bookmarkStart w:id="26" w:name="page27"/>
    <w:bookmarkEnd w:id="26"/>
    <w:p>
      <w:pPr>
        <w:ind w:left="180"/>
        <w:spacing w:after="0"/>
        <w:rPr>
          <w:sz w:val="20"/>
          <w:szCs w:val="20"/>
          <w:color w:val="auto"/>
        </w:rPr>
      </w:pPr>
      <w:r>
        <w:rPr>
          <w:rFonts w:ascii="Courier New" w:cs="Courier New" w:eastAsia="Courier New" w:hAnsi="Courier New"/>
          <w:sz w:val="15"/>
          <w:szCs w:val="15"/>
          <w:color w:val="auto"/>
        </w:rPr>
        <w:t>24</w:t>
      </w:r>
    </w:p>
    <w:p>
      <w:pPr>
        <w:spacing w:after="0" w:line="180"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SCHEDULE I</w:t>
      </w:r>
    </w:p>
    <w:p>
      <w:pPr>
        <w:sectPr>
          <w:pgSz w:w="11900" w:h="16838" w:orient="portrait"/>
          <w:cols w:equalWidth="0" w:num="1">
            <w:col w:w="10139"/>
          </w:cols>
          <w:pgMar w:left="320" w:top="29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Underwriters</w:t>
      </w:r>
    </w:p>
    <w:p>
      <w:pPr>
        <w:spacing w:after="0" w:line="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 of Firm</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Shares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Be Purchased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sectPr>
          <w:pgSz w:w="11900" w:h="16838" w:orient="portrait"/>
          <w:cols w:equalWidth="0" w:num="2">
            <w:col w:w="7380" w:space="720"/>
            <w:col w:w="2039"/>
          </w:cols>
          <w:pgMar w:left="320" w:top="293" w:right="1440" w:bottom="1440" w:gutter="0" w:footer="0" w:header="0"/>
          <w:type w:val="continuous"/>
        </w:sectPr>
      </w:pPr>
    </w:p>
    <w:tbl>
      <w:tblPr>
        <w:tblLayout w:type="fixed"/>
        <w:tblInd w:w="0" w:type="dxa"/>
        <w:tblCellMar>
          <w:top w:w="0" w:type="dxa"/>
          <w:left w:w="0" w:type="dxa"/>
          <w:bottom w:w="0" w:type="dxa"/>
          <w:right w:w="0" w:type="dxa"/>
        </w:tblCellMar>
      </w:tblPr>
      <w:tr>
        <w:trPr>
          <w:trHeight w:val="170"/>
        </w:trPr>
        <w:tc>
          <w:tcPr>
            <w:tcW w:w="7600" w:type="dxa"/>
            <w:vAlign w:val="bottom"/>
            <w:gridSpan w:val="2"/>
          </w:tcPr>
          <w:p>
            <w:pPr>
              <w:spacing w:after="0"/>
              <w:rPr>
                <w:sz w:val="20"/>
                <w:szCs w:val="20"/>
                <w:color w:val="auto"/>
              </w:rPr>
            </w:pPr>
            <w:r>
              <w:rPr>
                <w:rFonts w:ascii="Courier New" w:cs="Courier New" w:eastAsia="Courier New" w:hAnsi="Courier New"/>
                <w:sz w:val="15"/>
                <w:szCs w:val="15"/>
                <w:color w:val="auto"/>
              </w:rPr>
              <w:t>Donaldson, Lufkin &amp; Jenrette Securities Corporation . . . . . . . . . . . . . . .</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2,005,000</w:t>
            </w:r>
          </w:p>
        </w:tc>
      </w:tr>
      <w:tr>
        <w:trPr>
          <w:trHeight w:val="175"/>
        </w:trPr>
        <w:tc>
          <w:tcPr>
            <w:tcW w:w="4140" w:type="dxa"/>
            <w:vAlign w:val="bottom"/>
          </w:tcPr>
          <w:p>
            <w:pPr>
              <w:spacing w:after="0"/>
              <w:rPr>
                <w:sz w:val="20"/>
                <w:szCs w:val="20"/>
                <w:color w:val="auto"/>
              </w:rPr>
            </w:pPr>
            <w:r>
              <w:rPr>
                <w:rFonts w:ascii="Courier New" w:cs="Courier New" w:eastAsia="Courier New" w:hAnsi="Courier New"/>
                <w:sz w:val="15"/>
                <w:szCs w:val="15"/>
                <w:color w:val="auto"/>
              </w:rPr>
              <w:t>Deutsche Morgan Grenfell Inc. . . . . . . . .</w:t>
            </w:r>
          </w:p>
        </w:tc>
        <w:tc>
          <w:tcPr>
            <w:tcW w:w="3460" w:type="dxa"/>
            <w:vAlign w:val="bottom"/>
          </w:tcPr>
          <w:p>
            <w:pPr>
              <w:ind w:left="40"/>
              <w:spacing w:after="0"/>
              <w:rPr>
                <w:sz w:val="20"/>
                <w:szCs w:val="20"/>
                <w:color w:val="auto"/>
              </w:rPr>
            </w:pPr>
            <w:r>
              <w:rPr>
                <w:rFonts w:ascii="Courier New" w:cs="Courier New" w:eastAsia="Courier New" w:hAnsi="Courier New"/>
                <w:sz w:val="15"/>
                <w:szCs w:val="15"/>
                <w:color w:val="auto"/>
              </w:rPr>
              <w:t>. . . . . . . . . . . . . . . . . .</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2,005,000</w:t>
            </w:r>
          </w:p>
        </w:tc>
      </w:tr>
      <w:tr>
        <w:trPr>
          <w:trHeight w:val="175"/>
        </w:trPr>
        <w:tc>
          <w:tcPr>
            <w:tcW w:w="7600" w:type="dxa"/>
            <w:vAlign w:val="bottom"/>
            <w:gridSpan w:val="2"/>
          </w:tcPr>
          <w:p>
            <w:pPr>
              <w:spacing w:after="0"/>
              <w:rPr>
                <w:sz w:val="20"/>
                <w:szCs w:val="20"/>
                <w:color w:val="auto"/>
              </w:rPr>
            </w:pPr>
            <w:r>
              <w:rPr>
                <w:rFonts w:ascii="Courier New" w:cs="Courier New" w:eastAsia="Courier New" w:hAnsi="Courier New"/>
                <w:sz w:val="15"/>
                <w:szCs w:val="15"/>
                <w:color w:val="auto"/>
              </w:rPr>
              <w:t>Goldman, Sachs &amp; Co.  . . . . . . . . . . . . . . . . . . . . . . . . . . . . . .</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2,005,000</w:t>
            </w:r>
          </w:p>
        </w:tc>
      </w:tr>
      <w:tr>
        <w:trPr>
          <w:trHeight w:val="175"/>
        </w:trPr>
        <w:tc>
          <w:tcPr>
            <w:tcW w:w="7600" w:type="dxa"/>
            <w:vAlign w:val="bottom"/>
            <w:gridSpan w:val="2"/>
          </w:tcPr>
          <w:p>
            <w:pPr>
              <w:spacing w:after="0"/>
              <w:rPr>
                <w:sz w:val="20"/>
                <w:szCs w:val="20"/>
                <w:color w:val="auto"/>
              </w:rPr>
            </w:pPr>
            <w:r>
              <w:rPr>
                <w:rFonts w:ascii="Courier New" w:cs="Courier New" w:eastAsia="Courier New" w:hAnsi="Courier New"/>
                <w:sz w:val="15"/>
                <w:szCs w:val="15"/>
                <w:color w:val="auto"/>
              </w:rPr>
              <w:t>Merrill Lynch, Pierce, Fenner &amp; Smith Incorporated  . . . . . . . . . . . . . . .</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2,005,000</w:t>
            </w:r>
          </w:p>
        </w:tc>
      </w:tr>
      <w:tr>
        <w:trPr>
          <w:trHeight w:val="175"/>
        </w:trPr>
        <w:tc>
          <w:tcPr>
            <w:tcW w:w="4140" w:type="dxa"/>
            <w:vAlign w:val="bottom"/>
          </w:tcPr>
          <w:p>
            <w:pPr>
              <w:spacing w:after="0"/>
              <w:rPr>
                <w:sz w:val="20"/>
                <w:szCs w:val="20"/>
                <w:color w:val="auto"/>
              </w:rPr>
            </w:pPr>
            <w:r>
              <w:rPr>
                <w:rFonts w:ascii="Courier New" w:cs="Courier New" w:eastAsia="Courier New" w:hAnsi="Courier New"/>
                <w:sz w:val="15"/>
                <w:szCs w:val="15"/>
                <w:color w:val="auto"/>
              </w:rPr>
              <w:t>ABN Amro Chicago Corporation  . . . . . . . .</w:t>
            </w:r>
          </w:p>
        </w:tc>
        <w:tc>
          <w:tcPr>
            <w:tcW w:w="3460" w:type="dxa"/>
            <w:vAlign w:val="bottom"/>
          </w:tcPr>
          <w:p>
            <w:pPr>
              <w:ind w:left="40"/>
              <w:spacing w:after="0"/>
              <w:rPr>
                <w:sz w:val="20"/>
                <w:szCs w:val="20"/>
                <w:color w:val="auto"/>
              </w:rPr>
            </w:pPr>
            <w:r>
              <w:rPr>
                <w:rFonts w:ascii="Courier New" w:cs="Courier New" w:eastAsia="Courier New" w:hAnsi="Courier New"/>
                <w:sz w:val="15"/>
                <w:szCs w:val="15"/>
                <w:color w:val="auto"/>
              </w:rPr>
              <w:t>. . . . . . . . . . . . . . . . . .</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90,000</w:t>
            </w:r>
          </w:p>
        </w:tc>
      </w:tr>
      <w:tr>
        <w:trPr>
          <w:trHeight w:val="175"/>
        </w:trPr>
        <w:tc>
          <w:tcPr>
            <w:tcW w:w="7600" w:type="dxa"/>
            <w:vAlign w:val="bottom"/>
            <w:gridSpan w:val="2"/>
          </w:tcPr>
          <w:p>
            <w:pPr>
              <w:spacing w:after="0"/>
              <w:rPr>
                <w:sz w:val="20"/>
                <w:szCs w:val="20"/>
                <w:color w:val="auto"/>
              </w:rPr>
            </w:pPr>
            <w:r>
              <w:rPr>
                <w:rFonts w:ascii="Courier New" w:cs="Courier New" w:eastAsia="Courier New" w:hAnsi="Courier New"/>
                <w:sz w:val="15"/>
                <w:szCs w:val="15"/>
                <w:color w:val="auto"/>
              </w:rPr>
              <w:t>Bear, Stearns &amp; Co. Inc.  . . . . . . . . . . . . . . . . . . . . . . . . . . . .</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90,000</w:t>
            </w:r>
          </w:p>
        </w:tc>
      </w:tr>
      <w:tr>
        <w:trPr>
          <w:trHeight w:val="175"/>
        </w:trPr>
        <w:tc>
          <w:tcPr>
            <w:tcW w:w="4140" w:type="dxa"/>
            <w:vAlign w:val="bottom"/>
          </w:tcPr>
          <w:p>
            <w:pPr>
              <w:spacing w:after="0"/>
              <w:rPr>
                <w:sz w:val="20"/>
                <w:szCs w:val="20"/>
                <w:color w:val="auto"/>
              </w:rPr>
            </w:pPr>
            <w:r>
              <w:rPr>
                <w:rFonts w:ascii="Courier New" w:cs="Courier New" w:eastAsia="Courier New" w:hAnsi="Courier New"/>
                <w:sz w:val="15"/>
                <w:szCs w:val="15"/>
                <w:color w:val="auto"/>
              </w:rPr>
              <w:t>Alex. Brown &amp; Sons Incorporated . . . . . . .</w:t>
            </w:r>
          </w:p>
        </w:tc>
        <w:tc>
          <w:tcPr>
            <w:tcW w:w="3460" w:type="dxa"/>
            <w:vAlign w:val="bottom"/>
          </w:tcPr>
          <w:p>
            <w:pPr>
              <w:ind w:left="40"/>
              <w:spacing w:after="0"/>
              <w:rPr>
                <w:sz w:val="20"/>
                <w:szCs w:val="20"/>
                <w:color w:val="auto"/>
              </w:rPr>
            </w:pPr>
            <w:r>
              <w:rPr>
                <w:rFonts w:ascii="Courier New" w:cs="Courier New" w:eastAsia="Courier New" w:hAnsi="Courier New"/>
                <w:sz w:val="15"/>
                <w:szCs w:val="15"/>
                <w:color w:val="auto"/>
              </w:rPr>
              <w:t>. . . . . . . . . . . . . . . . . .</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90,000</w:t>
            </w:r>
          </w:p>
        </w:tc>
      </w:tr>
      <w:tr>
        <w:trPr>
          <w:trHeight w:val="175"/>
        </w:trPr>
        <w:tc>
          <w:tcPr>
            <w:tcW w:w="4140" w:type="dxa"/>
            <w:vAlign w:val="bottom"/>
          </w:tcPr>
          <w:p>
            <w:pPr>
              <w:spacing w:after="0"/>
              <w:rPr>
                <w:sz w:val="20"/>
                <w:szCs w:val="20"/>
                <w:color w:val="auto"/>
              </w:rPr>
            </w:pPr>
            <w:r>
              <w:rPr>
                <w:rFonts w:ascii="Courier New" w:cs="Courier New" w:eastAsia="Courier New" w:hAnsi="Courier New"/>
                <w:sz w:val="15"/>
                <w:szCs w:val="15"/>
                <w:color w:val="auto"/>
              </w:rPr>
              <w:t>BT Securities Corporation . . . . . . . . . .</w:t>
            </w:r>
          </w:p>
        </w:tc>
        <w:tc>
          <w:tcPr>
            <w:tcW w:w="3460" w:type="dxa"/>
            <w:vAlign w:val="bottom"/>
          </w:tcPr>
          <w:p>
            <w:pPr>
              <w:ind w:left="40"/>
              <w:spacing w:after="0"/>
              <w:rPr>
                <w:sz w:val="20"/>
                <w:szCs w:val="20"/>
                <w:color w:val="auto"/>
              </w:rPr>
            </w:pPr>
            <w:r>
              <w:rPr>
                <w:rFonts w:ascii="Courier New" w:cs="Courier New" w:eastAsia="Courier New" w:hAnsi="Courier New"/>
                <w:sz w:val="15"/>
                <w:szCs w:val="15"/>
                <w:color w:val="auto"/>
              </w:rPr>
              <w:t>. . . . . . . . . . . . . . . . . .</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90,000</w:t>
            </w:r>
          </w:p>
        </w:tc>
      </w:tr>
      <w:tr>
        <w:trPr>
          <w:trHeight w:val="175"/>
        </w:trPr>
        <w:tc>
          <w:tcPr>
            <w:tcW w:w="4140" w:type="dxa"/>
            <w:vAlign w:val="bottom"/>
          </w:tcPr>
          <w:p>
            <w:pPr>
              <w:spacing w:after="0"/>
              <w:rPr>
                <w:sz w:val="20"/>
                <w:szCs w:val="20"/>
                <w:color w:val="auto"/>
              </w:rPr>
            </w:pPr>
            <w:r>
              <w:rPr>
                <w:rFonts w:ascii="Courier New" w:cs="Courier New" w:eastAsia="Courier New" w:hAnsi="Courier New"/>
                <w:sz w:val="15"/>
                <w:szCs w:val="15"/>
                <w:color w:val="auto"/>
              </w:rPr>
              <w:t>Credit Suisse First Boston Corporation  . . .</w:t>
            </w:r>
          </w:p>
        </w:tc>
        <w:tc>
          <w:tcPr>
            <w:tcW w:w="3460" w:type="dxa"/>
            <w:vAlign w:val="bottom"/>
          </w:tcPr>
          <w:p>
            <w:pPr>
              <w:ind w:left="40"/>
              <w:spacing w:after="0"/>
              <w:rPr>
                <w:sz w:val="20"/>
                <w:szCs w:val="20"/>
                <w:color w:val="auto"/>
              </w:rPr>
            </w:pPr>
            <w:r>
              <w:rPr>
                <w:rFonts w:ascii="Courier New" w:cs="Courier New" w:eastAsia="Courier New" w:hAnsi="Courier New"/>
                <w:sz w:val="15"/>
                <w:szCs w:val="15"/>
                <w:color w:val="auto"/>
              </w:rPr>
              <w:t>. . . . . . . . . . . . . . . . . .</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90,000</w:t>
            </w:r>
          </w:p>
        </w:tc>
      </w:tr>
      <w:tr>
        <w:trPr>
          <w:trHeight w:val="175"/>
        </w:trPr>
        <w:tc>
          <w:tcPr>
            <w:tcW w:w="4140" w:type="dxa"/>
            <w:vAlign w:val="bottom"/>
          </w:tcPr>
          <w:p>
            <w:pPr>
              <w:spacing w:after="0"/>
              <w:rPr>
                <w:sz w:val="20"/>
                <w:szCs w:val="20"/>
                <w:color w:val="auto"/>
              </w:rPr>
            </w:pPr>
            <w:r>
              <w:rPr>
                <w:rFonts w:ascii="Courier New" w:cs="Courier New" w:eastAsia="Courier New" w:hAnsi="Courier New"/>
                <w:sz w:val="15"/>
                <w:szCs w:val="15"/>
                <w:color w:val="auto"/>
              </w:rPr>
              <w:t>Dillon, Read &amp; Co. Inc. . . . . . . . . . . .</w:t>
            </w:r>
          </w:p>
        </w:tc>
        <w:tc>
          <w:tcPr>
            <w:tcW w:w="3460" w:type="dxa"/>
            <w:vAlign w:val="bottom"/>
          </w:tcPr>
          <w:p>
            <w:pPr>
              <w:ind w:left="40"/>
              <w:spacing w:after="0"/>
              <w:rPr>
                <w:sz w:val="20"/>
                <w:szCs w:val="20"/>
                <w:color w:val="auto"/>
              </w:rPr>
            </w:pPr>
            <w:r>
              <w:rPr>
                <w:rFonts w:ascii="Courier New" w:cs="Courier New" w:eastAsia="Courier New" w:hAnsi="Courier New"/>
                <w:sz w:val="15"/>
                <w:szCs w:val="15"/>
                <w:color w:val="auto"/>
              </w:rPr>
              <w:t>. . . . . . . . . . . . . . . . . .</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90,000</w:t>
            </w:r>
          </w:p>
        </w:tc>
      </w:tr>
      <w:tr>
        <w:trPr>
          <w:trHeight w:val="175"/>
        </w:trPr>
        <w:tc>
          <w:tcPr>
            <w:tcW w:w="4140" w:type="dxa"/>
            <w:vAlign w:val="bottom"/>
          </w:tcPr>
          <w:p>
            <w:pPr>
              <w:spacing w:after="0"/>
              <w:rPr>
                <w:sz w:val="20"/>
                <w:szCs w:val="20"/>
                <w:color w:val="auto"/>
              </w:rPr>
            </w:pPr>
            <w:r>
              <w:rPr>
                <w:rFonts w:ascii="Courier New" w:cs="Courier New" w:eastAsia="Courier New" w:hAnsi="Courier New"/>
                <w:sz w:val="15"/>
                <w:szCs w:val="15"/>
                <w:color w:val="auto"/>
              </w:rPr>
              <w:t>Morgan Stanley &amp; Co. Incorporated . . . . . .</w:t>
            </w:r>
          </w:p>
        </w:tc>
        <w:tc>
          <w:tcPr>
            <w:tcW w:w="3460" w:type="dxa"/>
            <w:vAlign w:val="bottom"/>
          </w:tcPr>
          <w:p>
            <w:pPr>
              <w:ind w:left="40"/>
              <w:spacing w:after="0"/>
              <w:rPr>
                <w:sz w:val="20"/>
                <w:szCs w:val="20"/>
                <w:color w:val="auto"/>
              </w:rPr>
            </w:pPr>
            <w:r>
              <w:rPr>
                <w:rFonts w:ascii="Courier New" w:cs="Courier New" w:eastAsia="Courier New" w:hAnsi="Courier New"/>
                <w:sz w:val="15"/>
                <w:szCs w:val="15"/>
                <w:color w:val="auto"/>
              </w:rPr>
              <w:t>. . . . . . . . . . . . . . . . . .</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90,000</w:t>
            </w:r>
          </w:p>
        </w:tc>
      </w:tr>
      <w:tr>
        <w:trPr>
          <w:trHeight w:val="175"/>
        </w:trPr>
        <w:tc>
          <w:tcPr>
            <w:tcW w:w="4140" w:type="dxa"/>
            <w:vAlign w:val="bottom"/>
          </w:tcPr>
          <w:p>
            <w:pPr>
              <w:spacing w:after="0"/>
              <w:rPr>
                <w:sz w:val="20"/>
                <w:szCs w:val="20"/>
                <w:color w:val="auto"/>
              </w:rPr>
            </w:pPr>
            <w:r>
              <w:rPr>
                <w:rFonts w:ascii="Courier New" w:cs="Courier New" w:eastAsia="Courier New" w:hAnsi="Courier New"/>
                <w:sz w:val="15"/>
                <w:szCs w:val="15"/>
                <w:color w:val="auto"/>
              </w:rPr>
              <w:t>NatWest Securities Limited  . . . . . . . . .</w:t>
            </w:r>
          </w:p>
        </w:tc>
        <w:tc>
          <w:tcPr>
            <w:tcW w:w="3460" w:type="dxa"/>
            <w:vAlign w:val="bottom"/>
          </w:tcPr>
          <w:p>
            <w:pPr>
              <w:ind w:left="40"/>
              <w:spacing w:after="0"/>
              <w:rPr>
                <w:sz w:val="20"/>
                <w:szCs w:val="20"/>
                <w:color w:val="auto"/>
              </w:rPr>
            </w:pPr>
            <w:r>
              <w:rPr>
                <w:rFonts w:ascii="Courier New" w:cs="Courier New" w:eastAsia="Courier New" w:hAnsi="Courier New"/>
                <w:sz w:val="15"/>
                <w:szCs w:val="15"/>
                <w:color w:val="auto"/>
              </w:rPr>
              <w:t>. . . . . . . . . . . . . . . . . .</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90,000</w:t>
            </w:r>
          </w:p>
        </w:tc>
      </w:tr>
      <w:tr>
        <w:trPr>
          <w:trHeight w:val="175"/>
        </w:trPr>
        <w:tc>
          <w:tcPr>
            <w:tcW w:w="4140" w:type="dxa"/>
            <w:vAlign w:val="bottom"/>
          </w:tcPr>
          <w:p>
            <w:pPr>
              <w:spacing w:after="0"/>
              <w:rPr>
                <w:sz w:val="20"/>
                <w:szCs w:val="20"/>
                <w:color w:val="auto"/>
              </w:rPr>
            </w:pPr>
            <w:r>
              <w:rPr>
                <w:rFonts w:ascii="Courier New" w:cs="Courier New" w:eastAsia="Courier New" w:hAnsi="Courier New"/>
                <w:sz w:val="15"/>
                <w:szCs w:val="15"/>
                <w:color w:val="auto"/>
              </w:rPr>
              <w:t>Oppenheimer &amp; Co., Inc. . . . . . . . . . . .</w:t>
            </w:r>
          </w:p>
        </w:tc>
        <w:tc>
          <w:tcPr>
            <w:tcW w:w="3460" w:type="dxa"/>
            <w:vAlign w:val="bottom"/>
          </w:tcPr>
          <w:p>
            <w:pPr>
              <w:ind w:left="40"/>
              <w:spacing w:after="0"/>
              <w:rPr>
                <w:sz w:val="20"/>
                <w:szCs w:val="20"/>
                <w:color w:val="auto"/>
              </w:rPr>
            </w:pPr>
            <w:r>
              <w:rPr>
                <w:rFonts w:ascii="Courier New" w:cs="Courier New" w:eastAsia="Courier New" w:hAnsi="Courier New"/>
                <w:sz w:val="15"/>
                <w:szCs w:val="15"/>
                <w:color w:val="auto"/>
              </w:rPr>
              <w:t>. . . . . . . . . . . . . . . . . .</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90,000</w:t>
            </w:r>
          </w:p>
        </w:tc>
      </w:tr>
      <w:tr>
        <w:trPr>
          <w:trHeight w:val="175"/>
        </w:trPr>
        <w:tc>
          <w:tcPr>
            <w:tcW w:w="4140" w:type="dxa"/>
            <w:vAlign w:val="bottom"/>
          </w:tcPr>
          <w:p>
            <w:pPr>
              <w:spacing w:after="0"/>
              <w:rPr>
                <w:sz w:val="20"/>
                <w:szCs w:val="20"/>
                <w:color w:val="auto"/>
              </w:rPr>
            </w:pPr>
            <w:r>
              <w:rPr>
                <w:rFonts w:ascii="Courier New" w:cs="Courier New" w:eastAsia="Courier New" w:hAnsi="Courier New"/>
                <w:sz w:val="15"/>
                <w:szCs w:val="15"/>
                <w:color w:val="auto"/>
              </w:rPr>
              <w:t>Robertson, Stephens &amp; Company LLC . . . . . .</w:t>
            </w:r>
          </w:p>
        </w:tc>
        <w:tc>
          <w:tcPr>
            <w:tcW w:w="3460" w:type="dxa"/>
            <w:vAlign w:val="bottom"/>
          </w:tcPr>
          <w:p>
            <w:pPr>
              <w:ind w:left="40"/>
              <w:spacing w:after="0"/>
              <w:rPr>
                <w:sz w:val="20"/>
                <w:szCs w:val="20"/>
                <w:color w:val="auto"/>
              </w:rPr>
            </w:pPr>
            <w:r>
              <w:rPr>
                <w:rFonts w:ascii="Courier New" w:cs="Courier New" w:eastAsia="Courier New" w:hAnsi="Courier New"/>
                <w:sz w:val="15"/>
                <w:szCs w:val="15"/>
                <w:color w:val="auto"/>
              </w:rPr>
              <w:t>. . . . . . . . . . . . . . . . . .</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90,000</w:t>
            </w:r>
          </w:p>
        </w:tc>
      </w:tr>
      <w:tr>
        <w:trPr>
          <w:trHeight w:val="175"/>
        </w:trPr>
        <w:tc>
          <w:tcPr>
            <w:tcW w:w="4140" w:type="dxa"/>
            <w:vAlign w:val="bottom"/>
          </w:tcPr>
          <w:p>
            <w:pPr>
              <w:spacing w:after="0"/>
              <w:rPr>
                <w:sz w:val="20"/>
                <w:szCs w:val="20"/>
                <w:color w:val="auto"/>
              </w:rPr>
            </w:pPr>
            <w:r>
              <w:rPr>
                <w:rFonts w:ascii="Courier New" w:cs="Courier New" w:eastAsia="Courier New" w:hAnsi="Courier New"/>
                <w:sz w:val="15"/>
                <w:szCs w:val="15"/>
                <w:color w:val="auto"/>
              </w:rPr>
              <w:t>Salomon Brothers Inc  . . . . . . . . . . . .</w:t>
            </w:r>
          </w:p>
        </w:tc>
        <w:tc>
          <w:tcPr>
            <w:tcW w:w="3460" w:type="dxa"/>
            <w:vAlign w:val="bottom"/>
          </w:tcPr>
          <w:p>
            <w:pPr>
              <w:ind w:left="40"/>
              <w:spacing w:after="0"/>
              <w:rPr>
                <w:sz w:val="20"/>
                <w:szCs w:val="20"/>
                <w:color w:val="auto"/>
              </w:rPr>
            </w:pPr>
            <w:r>
              <w:rPr>
                <w:rFonts w:ascii="Courier New" w:cs="Courier New" w:eastAsia="Courier New" w:hAnsi="Courier New"/>
                <w:sz w:val="15"/>
                <w:szCs w:val="15"/>
                <w:color w:val="auto"/>
              </w:rPr>
              <w:t>. . . . . . . . . . . . . . . . . .</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90,000</w:t>
            </w:r>
          </w:p>
        </w:tc>
      </w:tr>
      <w:tr>
        <w:trPr>
          <w:trHeight w:val="175"/>
        </w:trPr>
        <w:tc>
          <w:tcPr>
            <w:tcW w:w="4140" w:type="dxa"/>
            <w:vAlign w:val="bottom"/>
          </w:tcPr>
          <w:p>
            <w:pPr>
              <w:spacing w:after="0"/>
              <w:rPr>
                <w:sz w:val="20"/>
                <w:szCs w:val="20"/>
                <w:color w:val="auto"/>
              </w:rPr>
            </w:pPr>
            <w:r>
              <w:rPr>
                <w:rFonts w:ascii="Courier New" w:cs="Courier New" w:eastAsia="Courier New" w:hAnsi="Courier New"/>
                <w:sz w:val="15"/>
                <w:szCs w:val="15"/>
                <w:color w:val="auto"/>
              </w:rPr>
              <w:t>Smith Barney Inc. . . . . . . . . . . . . . .</w:t>
            </w:r>
          </w:p>
        </w:tc>
        <w:tc>
          <w:tcPr>
            <w:tcW w:w="3460" w:type="dxa"/>
            <w:vAlign w:val="bottom"/>
          </w:tcPr>
          <w:p>
            <w:pPr>
              <w:ind w:left="40"/>
              <w:spacing w:after="0"/>
              <w:rPr>
                <w:sz w:val="20"/>
                <w:szCs w:val="20"/>
                <w:color w:val="auto"/>
              </w:rPr>
            </w:pPr>
            <w:r>
              <w:rPr>
                <w:rFonts w:ascii="Courier New" w:cs="Courier New" w:eastAsia="Courier New" w:hAnsi="Courier New"/>
                <w:sz w:val="15"/>
                <w:szCs w:val="15"/>
                <w:color w:val="auto"/>
              </w:rPr>
              <w:t>. . . . . . . . . . . . . . . . . .</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90,000</w:t>
            </w:r>
          </w:p>
        </w:tc>
      </w:tr>
      <w:tr>
        <w:trPr>
          <w:trHeight w:val="175"/>
        </w:trPr>
        <w:tc>
          <w:tcPr>
            <w:tcW w:w="4140" w:type="dxa"/>
            <w:vAlign w:val="bottom"/>
          </w:tcPr>
          <w:p>
            <w:pPr>
              <w:spacing w:after="0"/>
              <w:rPr>
                <w:sz w:val="20"/>
                <w:szCs w:val="20"/>
                <w:color w:val="auto"/>
              </w:rPr>
            </w:pPr>
            <w:r>
              <w:rPr>
                <w:rFonts w:ascii="Courier New" w:cs="Courier New" w:eastAsia="Courier New" w:hAnsi="Courier New"/>
                <w:sz w:val="15"/>
                <w:szCs w:val="15"/>
                <w:color w:val="auto"/>
              </w:rPr>
              <w:t>Robert W. Baird &amp; Co. Incorporated  . . . . .</w:t>
            </w:r>
          </w:p>
        </w:tc>
        <w:tc>
          <w:tcPr>
            <w:tcW w:w="3460" w:type="dxa"/>
            <w:vAlign w:val="bottom"/>
          </w:tcPr>
          <w:p>
            <w:pPr>
              <w:ind w:left="40"/>
              <w:spacing w:after="0"/>
              <w:rPr>
                <w:sz w:val="20"/>
                <w:szCs w:val="20"/>
                <w:color w:val="auto"/>
              </w:rPr>
            </w:pPr>
            <w:r>
              <w:rPr>
                <w:rFonts w:ascii="Courier New" w:cs="Courier New" w:eastAsia="Courier New" w:hAnsi="Courier New"/>
                <w:sz w:val="15"/>
                <w:szCs w:val="15"/>
                <w:color w:val="auto"/>
              </w:rPr>
              <w:t>. . . . . . . . . . . . . . . . . .</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45,000</w:t>
            </w:r>
          </w:p>
        </w:tc>
      </w:tr>
      <w:tr>
        <w:trPr>
          <w:trHeight w:val="175"/>
        </w:trPr>
        <w:tc>
          <w:tcPr>
            <w:tcW w:w="7600" w:type="dxa"/>
            <w:vAlign w:val="bottom"/>
            <w:gridSpan w:val="2"/>
          </w:tcPr>
          <w:p>
            <w:pPr>
              <w:spacing w:after="0"/>
              <w:rPr>
                <w:sz w:val="20"/>
                <w:szCs w:val="20"/>
                <w:color w:val="auto"/>
              </w:rPr>
            </w:pPr>
            <w:r>
              <w:rPr>
                <w:rFonts w:ascii="Courier New" w:cs="Courier New" w:eastAsia="Courier New" w:hAnsi="Courier New"/>
                <w:sz w:val="15"/>
                <w:szCs w:val="15"/>
                <w:color w:val="auto"/>
              </w:rPr>
              <w:t>CIBC Wood Gundy Securities Corp.  . . . . . . . . . . . . . . . . . . . . . . . .</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45,000</w:t>
            </w:r>
          </w:p>
        </w:tc>
      </w:tr>
      <w:tr>
        <w:trPr>
          <w:trHeight w:val="175"/>
        </w:trPr>
        <w:tc>
          <w:tcPr>
            <w:tcW w:w="4140" w:type="dxa"/>
            <w:vAlign w:val="bottom"/>
          </w:tcPr>
          <w:p>
            <w:pPr>
              <w:spacing w:after="0"/>
              <w:rPr>
                <w:sz w:val="20"/>
                <w:szCs w:val="20"/>
                <w:color w:val="auto"/>
              </w:rPr>
            </w:pPr>
            <w:r>
              <w:rPr>
                <w:rFonts w:ascii="Courier New" w:cs="Courier New" w:eastAsia="Courier New" w:hAnsi="Courier New"/>
                <w:sz w:val="15"/>
                <w:szCs w:val="15"/>
                <w:color w:val="auto"/>
              </w:rPr>
              <w:t>Cleary Gull Reiland &amp; McDevitt Inc. . . . . .</w:t>
            </w:r>
          </w:p>
        </w:tc>
        <w:tc>
          <w:tcPr>
            <w:tcW w:w="3460" w:type="dxa"/>
            <w:vAlign w:val="bottom"/>
          </w:tcPr>
          <w:p>
            <w:pPr>
              <w:ind w:left="40"/>
              <w:spacing w:after="0"/>
              <w:rPr>
                <w:sz w:val="20"/>
                <w:szCs w:val="20"/>
                <w:color w:val="auto"/>
              </w:rPr>
            </w:pPr>
            <w:r>
              <w:rPr>
                <w:rFonts w:ascii="Courier New" w:cs="Courier New" w:eastAsia="Courier New" w:hAnsi="Courier New"/>
                <w:sz w:val="15"/>
                <w:szCs w:val="15"/>
                <w:color w:val="auto"/>
              </w:rPr>
              <w:t>. . . . . . . . . . . . . . . . . .</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45,000</w:t>
            </w:r>
          </w:p>
        </w:tc>
      </w:tr>
      <w:tr>
        <w:trPr>
          <w:trHeight w:val="175"/>
        </w:trPr>
        <w:tc>
          <w:tcPr>
            <w:tcW w:w="4140" w:type="dxa"/>
            <w:vAlign w:val="bottom"/>
          </w:tcPr>
          <w:p>
            <w:pPr>
              <w:spacing w:after="0"/>
              <w:rPr>
                <w:sz w:val="20"/>
                <w:szCs w:val="20"/>
                <w:color w:val="auto"/>
              </w:rPr>
            </w:pPr>
            <w:r>
              <w:rPr>
                <w:rFonts w:ascii="Courier New" w:cs="Courier New" w:eastAsia="Courier New" w:hAnsi="Courier New"/>
                <w:sz w:val="15"/>
                <w:szCs w:val="15"/>
                <w:color w:val="auto"/>
              </w:rPr>
              <w:t>Fahnestock &amp; Co. Inc. . . . . . . . . . . . .</w:t>
            </w:r>
          </w:p>
        </w:tc>
        <w:tc>
          <w:tcPr>
            <w:tcW w:w="3460" w:type="dxa"/>
            <w:vAlign w:val="bottom"/>
          </w:tcPr>
          <w:p>
            <w:pPr>
              <w:ind w:left="40"/>
              <w:spacing w:after="0"/>
              <w:rPr>
                <w:sz w:val="20"/>
                <w:szCs w:val="20"/>
                <w:color w:val="auto"/>
              </w:rPr>
            </w:pPr>
            <w:r>
              <w:rPr>
                <w:rFonts w:ascii="Courier New" w:cs="Courier New" w:eastAsia="Courier New" w:hAnsi="Courier New"/>
                <w:sz w:val="15"/>
                <w:szCs w:val="15"/>
                <w:color w:val="auto"/>
              </w:rPr>
              <w:t>. . . . . . . . . . . . . . . . . .</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45,000</w:t>
            </w:r>
          </w:p>
        </w:tc>
      </w:tr>
      <w:tr>
        <w:trPr>
          <w:trHeight w:val="175"/>
        </w:trPr>
        <w:tc>
          <w:tcPr>
            <w:tcW w:w="4140" w:type="dxa"/>
            <w:vAlign w:val="bottom"/>
          </w:tcPr>
          <w:p>
            <w:pPr>
              <w:spacing w:after="0"/>
              <w:rPr>
                <w:sz w:val="20"/>
                <w:szCs w:val="20"/>
                <w:color w:val="auto"/>
              </w:rPr>
            </w:pPr>
            <w:r>
              <w:rPr>
                <w:rFonts w:ascii="Courier New" w:cs="Courier New" w:eastAsia="Courier New" w:hAnsi="Courier New"/>
                <w:sz w:val="15"/>
                <w:szCs w:val="15"/>
                <w:color w:val="auto"/>
              </w:rPr>
              <w:t>First Analysis Securities Corporation . . . .</w:t>
            </w:r>
          </w:p>
        </w:tc>
        <w:tc>
          <w:tcPr>
            <w:tcW w:w="3460" w:type="dxa"/>
            <w:vAlign w:val="bottom"/>
          </w:tcPr>
          <w:p>
            <w:pPr>
              <w:ind w:left="40"/>
              <w:spacing w:after="0"/>
              <w:rPr>
                <w:sz w:val="20"/>
                <w:szCs w:val="20"/>
                <w:color w:val="auto"/>
              </w:rPr>
            </w:pPr>
            <w:r>
              <w:rPr>
                <w:rFonts w:ascii="Courier New" w:cs="Courier New" w:eastAsia="Courier New" w:hAnsi="Courier New"/>
                <w:sz w:val="15"/>
                <w:szCs w:val="15"/>
                <w:color w:val="auto"/>
              </w:rPr>
              <w:t>. . . . . . . . . . . . . . . . . .</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45,000</w:t>
            </w:r>
          </w:p>
        </w:tc>
      </w:tr>
      <w:tr>
        <w:trPr>
          <w:trHeight w:val="175"/>
        </w:trPr>
        <w:tc>
          <w:tcPr>
            <w:tcW w:w="4140" w:type="dxa"/>
            <w:vAlign w:val="bottom"/>
          </w:tcPr>
          <w:p>
            <w:pPr>
              <w:spacing w:after="0"/>
              <w:rPr>
                <w:sz w:val="20"/>
                <w:szCs w:val="20"/>
                <w:color w:val="auto"/>
              </w:rPr>
            </w:pPr>
            <w:r>
              <w:rPr>
                <w:rFonts w:ascii="Courier New" w:cs="Courier New" w:eastAsia="Courier New" w:hAnsi="Courier New"/>
                <w:sz w:val="15"/>
                <w:szCs w:val="15"/>
                <w:color w:val="auto"/>
              </w:rPr>
              <w:t>Interstate/Johnson Lane Corporation . . . . .</w:t>
            </w:r>
          </w:p>
        </w:tc>
        <w:tc>
          <w:tcPr>
            <w:tcW w:w="3460" w:type="dxa"/>
            <w:vAlign w:val="bottom"/>
          </w:tcPr>
          <w:p>
            <w:pPr>
              <w:ind w:left="40"/>
              <w:spacing w:after="0"/>
              <w:rPr>
                <w:sz w:val="20"/>
                <w:szCs w:val="20"/>
                <w:color w:val="auto"/>
              </w:rPr>
            </w:pPr>
            <w:r>
              <w:rPr>
                <w:rFonts w:ascii="Courier New" w:cs="Courier New" w:eastAsia="Courier New" w:hAnsi="Courier New"/>
                <w:sz w:val="15"/>
                <w:szCs w:val="15"/>
                <w:color w:val="auto"/>
              </w:rPr>
              <w:t>. . . . . . . . . . . . . . . . . .</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45,000</w:t>
            </w:r>
          </w:p>
        </w:tc>
      </w:tr>
      <w:tr>
        <w:trPr>
          <w:trHeight w:val="175"/>
        </w:trPr>
        <w:tc>
          <w:tcPr>
            <w:tcW w:w="4140" w:type="dxa"/>
            <w:vAlign w:val="bottom"/>
          </w:tcPr>
          <w:p>
            <w:pPr>
              <w:spacing w:after="0"/>
              <w:rPr>
                <w:sz w:val="20"/>
                <w:szCs w:val="20"/>
                <w:color w:val="auto"/>
              </w:rPr>
            </w:pPr>
            <w:r>
              <w:rPr>
                <w:rFonts w:ascii="Courier New" w:cs="Courier New" w:eastAsia="Courier New" w:hAnsi="Courier New"/>
                <w:sz w:val="15"/>
                <w:szCs w:val="15"/>
                <w:color w:val="auto"/>
              </w:rPr>
              <w:t>McDonald &amp; Company Securities, Inc. . . . . .</w:t>
            </w:r>
          </w:p>
        </w:tc>
        <w:tc>
          <w:tcPr>
            <w:tcW w:w="3460" w:type="dxa"/>
            <w:vAlign w:val="bottom"/>
          </w:tcPr>
          <w:p>
            <w:pPr>
              <w:ind w:left="40"/>
              <w:spacing w:after="0"/>
              <w:rPr>
                <w:sz w:val="20"/>
                <w:szCs w:val="20"/>
                <w:color w:val="auto"/>
              </w:rPr>
            </w:pPr>
            <w:r>
              <w:rPr>
                <w:rFonts w:ascii="Courier New" w:cs="Courier New" w:eastAsia="Courier New" w:hAnsi="Courier New"/>
                <w:sz w:val="15"/>
                <w:szCs w:val="15"/>
                <w:color w:val="auto"/>
              </w:rPr>
              <w:t>. . . . . . . . . . . . . . . . . .</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45,000</w:t>
            </w:r>
          </w:p>
        </w:tc>
      </w:tr>
      <w:tr>
        <w:trPr>
          <w:trHeight w:val="175"/>
        </w:trPr>
        <w:tc>
          <w:tcPr>
            <w:tcW w:w="4140" w:type="dxa"/>
            <w:vAlign w:val="bottom"/>
          </w:tcPr>
          <w:p>
            <w:pPr>
              <w:spacing w:after="0"/>
              <w:rPr>
                <w:sz w:val="20"/>
                <w:szCs w:val="20"/>
                <w:color w:val="auto"/>
              </w:rPr>
            </w:pPr>
            <w:r>
              <w:rPr>
                <w:rFonts w:ascii="Courier New" w:cs="Courier New" w:eastAsia="Courier New" w:hAnsi="Courier New"/>
                <w:sz w:val="15"/>
                <w:szCs w:val="15"/>
                <w:color w:val="auto"/>
              </w:rPr>
              <w:t>Morgan Keegan &amp; Company, Inc. . . . . . . . .</w:t>
            </w:r>
          </w:p>
        </w:tc>
        <w:tc>
          <w:tcPr>
            <w:tcW w:w="3460" w:type="dxa"/>
            <w:vAlign w:val="bottom"/>
          </w:tcPr>
          <w:p>
            <w:pPr>
              <w:ind w:left="40"/>
              <w:spacing w:after="0"/>
              <w:rPr>
                <w:sz w:val="20"/>
                <w:szCs w:val="20"/>
                <w:color w:val="auto"/>
              </w:rPr>
            </w:pPr>
            <w:r>
              <w:rPr>
                <w:rFonts w:ascii="Courier New" w:cs="Courier New" w:eastAsia="Courier New" w:hAnsi="Courier New"/>
                <w:sz w:val="15"/>
                <w:szCs w:val="15"/>
                <w:color w:val="auto"/>
              </w:rPr>
              <w:t>. . . . . . . . . . . . . . . . . .</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45,000</w:t>
            </w:r>
          </w:p>
        </w:tc>
      </w:tr>
      <w:tr>
        <w:trPr>
          <w:trHeight w:val="175"/>
        </w:trPr>
        <w:tc>
          <w:tcPr>
            <w:tcW w:w="4140" w:type="dxa"/>
            <w:vAlign w:val="bottom"/>
          </w:tcPr>
          <w:p>
            <w:pPr>
              <w:spacing w:after="0"/>
              <w:rPr>
                <w:sz w:val="20"/>
                <w:szCs w:val="20"/>
                <w:color w:val="auto"/>
              </w:rPr>
            </w:pPr>
            <w:r>
              <w:rPr>
                <w:rFonts w:ascii="Courier New" w:cs="Courier New" w:eastAsia="Courier New" w:hAnsi="Courier New"/>
                <w:sz w:val="15"/>
                <w:szCs w:val="15"/>
                <w:color w:val="auto"/>
              </w:rPr>
              <w:t>Ohio Company  . . . . . . . . . . . . . . . .</w:t>
            </w:r>
          </w:p>
        </w:tc>
        <w:tc>
          <w:tcPr>
            <w:tcW w:w="3460" w:type="dxa"/>
            <w:vAlign w:val="bottom"/>
          </w:tcPr>
          <w:p>
            <w:pPr>
              <w:ind w:left="40"/>
              <w:spacing w:after="0"/>
              <w:rPr>
                <w:sz w:val="20"/>
                <w:szCs w:val="20"/>
                <w:color w:val="auto"/>
              </w:rPr>
            </w:pPr>
            <w:r>
              <w:rPr>
                <w:rFonts w:ascii="Courier New" w:cs="Courier New" w:eastAsia="Courier New" w:hAnsi="Courier New"/>
                <w:sz w:val="15"/>
                <w:szCs w:val="15"/>
                <w:color w:val="auto"/>
              </w:rPr>
              <w:t>. . . . . . . . . . . . . . . . . .</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45,000</w:t>
            </w:r>
          </w:p>
        </w:tc>
      </w:tr>
      <w:tr>
        <w:trPr>
          <w:trHeight w:val="175"/>
        </w:trPr>
        <w:tc>
          <w:tcPr>
            <w:tcW w:w="4140" w:type="dxa"/>
            <w:vAlign w:val="bottom"/>
          </w:tcPr>
          <w:p>
            <w:pPr>
              <w:spacing w:after="0"/>
              <w:rPr>
                <w:sz w:val="20"/>
                <w:szCs w:val="20"/>
                <w:color w:val="auto"/>
              </w:rPr>
            </w:pPr>
            <w:r>
              <w:rPr>
                <w:rFonts w:ascii="Courier New" w:cs="Courier New" w:eastAsia="Courier New" w:hAnsi="Courier New"/>
                <w:sz w:val="15"/>
                <w:szCs w:val="15"/>
                <w:color w:val="auto"/>
              </w:rPr>
              <w:t>Parker/Hunter Incorporated  . . . . . . . . .</w:t>
            </w:r>
          </w:p>
        </w:tc>
        <w:tc>
          <w:tcPr>
            <w:tcW w:w="3460" w:type="dxa"/>
            <w:vAlign w:val="bottom"/>
          </w:tcPr>
          <w:p>
            <w:pPr>
              <w:ind w:left="40"/>
              <w:spacing w:after="0"/>
              <w:rPr>
                <w:sz w:val="20"/>
                <w:szCs w:val="20"/>
                <w:color w:val="auto"/>
              </w:rPr>
            </w:pPr>
            <w:r>
              <w:rPr>
                <w:rFonts w:ascii="Courier New" w:cs="Courier New" w:eastAsia="Courier New" w:hAnsi="Courier New"/>
                <w:sz w:val="15"/>
                <w:szCs w:val="15"/>
                <w:color w:val="auto"/>
              </w:rPr>
              <w:t>. . . . . . . . . . . . . . . . . .</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45,000</w:t>
            </w:r>
          </w:p>
        </w:tc>
      </w:tr>
      <w:tr>
        <w:trPr>
          <w:trHeight w:val="175"/>
        </w:trPr>
        <w:tc>
          <w:tcPr>
            <w:tcW w:w="4140" w:type="dxa"/>
            <w:vAlign w:val="bottom"/>
          </w:tcPr>
          <w:p>
            <w:pPr>
              <w:spacing w:after="0"/>
              <w:rPr>
                <w:sz w:val="20"/>
                <w:szCs w:val="20"/>
                <w:color w:val="auto"/>
              </w:rPr>
            </w:pPr>
            <w:r>
              <w:rPr>
                <w:rFonts w:ascii="Courier New" w:cs="Courier New" w:eastAsia="Courier New" w:hAnsi="Courier New"/>
                <w:sz w:val="15"/>
                <w:szCs w:val="15"/>
                <w:color w:val="auto"/>
              </w:rPr>
              <w:t>Pennsylvania Merchant Group Ltd . . . . . . .</w:t>
            </w:r>
          </w:p>
        </w:tc>
        <w:tc>
          <w:tcPr>
            <w:tcW w:w="3460" w:type="dxa"/>
            <w:vAlign w:val="bottom"/>
          </w:tcPr>
          <w:p>
            <w:pPr>
              <w:ind w:left="40"/>
              <w:spacing w:after="0"/>
              <w:rPr>
                <w:sz w:val="20"/>
                <w:szCs w:val="20"/>
                <w:color w:val="auto"/>
              </w:rPr>
            </w:pPr>
            <w:r>
              <w:rPr>
                <w:rFonts w:ascii="Courier New" w:cs="Courier New" w:eastAsia="Courier New" w:hAnsi="Courier New"/>
                <w:sz w:val="15"/>
                <w:szCs w:val="15"/>
                <w:color w:val="auto"/>
              </w:rPr>
              <w:t>. . . . . . . . . . . . . . . . . .</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45,000</w:t>
            </w:r>
          </w:p>
        </w:tc>
      </w:tr>
      <w:tr>
        <w:trPr>
          <w:trHeight w:val="175"/>
        </w:trPr>
        <w:tc>
          <w:tcPr>
            <w:tcW w:w="7600" w:type="dxa"/>
            <w:vAlign w:val="bottom"/>
            <w:gridSpan w:val="2"/>
          </w:tcPr>
          <w:p>
            <w:pPr>
              <w:spacing w:after="0"/>
              <w:rPr>
                <w:sz w:val="20"/>
                <w:szCs w:val="20"/>
                <w:color w:val="auto"/>
              </w:rPr>
            </w:pPr>
            <w:r>
              <w:rPr>
                <w:rFonts w:ascii="Courier New" w:cs="Courier New" w:eastAsia="Courier New" w:hAnsi="Courier New"/>
                <w:sz w:val="15"/>
                <w:szCs w:val="15"/>
                <w:color w:val="auto"/>
              </w:rPr>
              <w:t>Principal Financial Securities, Inc.  . . . . . . . . . . . . . . . . . . . . . .</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45,000</w:t>
            </w:r>
          </w:p>
        </w:tc>
      </w:tr>
      <w:tr>
        <w:trPr>
          <w:trHeight w:val="175"/>
        </w:trPr>
        <w:tc>
          <w:tcPr>
            <w:tcW w:w="7600" w:type="dxa"/>
            <w:vAlign w:val="bottom"/>
            <w:gridSpan w:val="2"/>
          </w:tcPr>
          <w:p>
            <w:pPr>
              <w:spacing w:after="0"/>
              <w:rPr>
                <w:sz w:val="20"/>
                <w:szCs w:val="20"/>
                <w:color w:val="auto"/>
              </w:rPr>
            </w:pPr>
            <w:r>
              <w:rPr>
                <w:rFonts w:ascii="Courier New" w:cs="Courier New" w:eastAsia="Courier New" w:hAnsi="Courier New"/>
                <w:sz w:val="15"/>
                <w:szCs w:val="15"/>
                <w:color w:val="auto"/>
              </w:rPr>
              <w:t>Raymond James &amp; Associates, Inc.  . . . . . . . . . . . . . . . . . . . . . . . .</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45,000</w:t>
            </w:r>
          </w:p>
        </w:tc>
      </w:tr>
      <w:tr>
        <w:trPr>
          <w:trHeight w:val="175"/>
        </w:trPr>
        <w:tc>
          <w:tcPr>
            <w:tcW w:w="4140" w:type="dxa"/>
            <w:vAlign w:val="bottom"/>
          </w:tcPr>
          <w:p>
            <w:pPr>
              <w:spacing w:after="0"/>
              <w:rPr>
                <w:sz w:val="20"/>
                <w:szCs w:val="20"/>
                <w:color w:val="auto"/>
              </w:rPr>
            </w:pPr>
            <w:r>
              <w:rPr>
                <w:rFonts w:ascii="Courier New" w:cs="Courier New" w:eastAsia="Courier New" w:hAnsi="Courier New"/>
                <w:sz w:val="15"/>
                <w:szCs w:val="15"/>
                <w:color w:val="auto"/>
              </w:rPr>
              <w:t>Sanders Morris Mundy  . . . . . . . . . . . .</w:t>
            </w:r>
          </w:p>
        </w:tc>
        <w:tc>
          <w:tcPr>
            <w:tcW w:w="3460" w:type="dxa"/>
            <w:vAlign w:val="bottom"/>
          </w:tcPr>
          <w:p>
            <w:pPr>
              <w:ind w:left="40"/>
              <w:spacing w:after="0"/>
              <w:rPr>
                <w:sz w:val="20"/>
                <w:szCs w:val="20"/>
                <w:color w:val="auto"/>
              </w:rPr>
            </w:pPr>
            <w:r>
              <w:rPr>
                <w:rFonts w:ascii="Courier New" w:cs="Courier New" w:eastAsia="Courier New" w:hAnsi="Courier New"/>
                <w:sz w:val="15"/>
                <w:szCs w:val="15"/>
                <w:color w:val="auto"/>
              </w:rPr>
              <w:t>. . . . . . . . . . . . . . . . . .</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45,000</w:t>
            </w:r>
          </w:p>
        </w:tc>
      </w:tr>
      <w:tr>
        <w:trPr>
          <w:trHeight w:val="175"/>
        </w:trPr>
        <w:tc>
          <w:tcPr>
            <w:tcW w:w="7600" w:type="dxa"/>
            <w:vAlign w:val="bottom"/>
            <w:gridSpan w:val="2"/>
          </w:tcPr>
          <w:p>
            <w:pPr>
              <w:spacing w:after="0"/>
              <w:rPr>
                <w:sz w:val="20"/>
                <w:szCs w:val="20"/>
                <w:color w:val="auto"/>
              </w:rPr>
            </w:pPr>
            <w:r>
              <w:rPr>
                <w:rFonts w:ascii="Courier New" w:cs="Courier New" w:eastAsia="Courier New" w:hAnsi="Courier New"/>
                <w:sz w:val="15"/>
                <w:szCs w:val="15"/>
                <w:color w:val="auto"/>
              </w:rPr>
              <w:t>Sands Brothers &amp; Co., Ltd.  . . . . . . . . . . . . . . . . . . . . . . . . . . .</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45,000</w:t>
            </w:r>
          </w:p>
        </w:tc>
      </w:tr>
      <w:tr>
        <w:trPr>
          <w:trHeight w:val="175"/>
        </w:trPr>
        <w:tc>
          <w:tcPr>
            <w:tcW w:w="7600" w:type="dxa"/>
            <w:vAlign w:val="bottom"/>
            <w:gridSpan w:val="2"/>
          </w:tcPr>
          <w:p>
            <w:pPr>
              <w:spacing w:after="0"/>
              <w:rPr>
                <w:sz w:val="20"/>
                <w:szCs w:val="20"/>
                <w:color w:val="auto"/>
              </w:rPr>
            </w:pPr>
            <w:r>
              <w:rPr>
                <w:rFonts w:ascii="Courier New" w:cs="Courier New" w:eastAsia="Courier New" w:hAnsi="Courier New"/>
                <w:sz w:val="15"/>
                <w:szCs w:val="15"/>
                <w:color w:val="auto"/>
              </w:rPr>
              <w:t>Southwest Securities, Inc.  . . . . . . . . . . . . . . . . . . . . . . . . . . .</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45,000</w:t>
            </w:r>
          </w:p>
        </w:tc>
      </w:tr>
      <w:tr>
        <w:trPr>
          <w:trHeight w:val="175"/>
        </w:trPr>
        <w:tc>
          <w:tcPr>
            <w:tcW w:w="4140" w:type="dxa"/>
            <w:vAlign w:val="bottom"/>
          </w:tcPr>
          <w:p>
            <w:pPr>
              <w:spacing w:after="0"/>
              <w:rPr>
                <w:sz w:val="20"/>
                <w:szCs w:val="20"/>
                <w:color w:val="auto"/>
              </w:rPr>
            </w:pPr>
            <w:r>
              <w:rPr>
                <w:rFonts w:ascii="Courier New" w:cs="Courier New" w:eastAsia="Courier New" w:hAnsi="Courier New"/>
                <w:sz w:val="15"/>
                <w:szCs w:val="15"/>
                <w:color w:val="auto"/>
              </w:rPr>
              <w:t>Sutro &amp; Co. Incorporated  . . . . . . . . . .</w:t>
            </w:r>
          </w:p>
        </w:tc>
        <w:tc>
          <w:tcPr>
            <w:tcW w:w="3460" w:type="dxa"/>
            <w:vAlign w:val="bottom"/>
          </w:tcPr>
          <w:p>
            <w:pPr>
              <w:ind w:left="40"/>
              <w:spacing w:after="0"/>
              <w:rPr>
                <w:sz w:val="20"/>
                <w:szCs w:val="20"/>
                <w:color w:val="auto"/>
              </w:rPr>
            </w:pPr>
            <w:r>
              <w:rPr>
                <w:rFonts w:ascii="Courier New" w:cs="Courier New" w:eastAsia="Courier New" w:hAnsi="Courier New"/>
                <w:sz w:val="15"/>
                <w:szCs w:val="15"/>
                <w:color w:val="auto"/>
              </w:rPr>
              <w:t>. . . . . . . . . . . . . . . . . .</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45,000</w:t>
            </w:r>
          </w:p>
        </w:tc>
      </w:tr>
      <w:tr>
        <w:trPr>
          <w:trHeight w:val="175"/>
        </w:trPr>
        <w:tc>
          <w:tcPr>
            <w:tcW w:w="7600" w:type="dxa"/>
            <w:vAlign w:val="bottom"/>
            <w:gridSpan w:val="2"/>
          </w:tcPr>
          <w:p>
            <w:pPr>
              <w:spacing w:after="0"/>
              <w:rPr>
                <w:sz w:val="20"/>
                <w:szCs w:val="20"/>
                <w:color w:val="auto"/>
              </w:rPr>
            </w:pPr>
            <w:r>
              <w:rPr>
                <w:rFonts w:ascii="Courier New" w:cs="Courier New" w:eastAsia="Courier New" w:hAnsi="Courier New"/>
                <w:sz w:val="15"/>
                <w:szCs w:val="15"/>
                <w:color w:val="auto"/>
              </w:rPr>
              <w:t>Toronto Dominion Securities (USA) Inc.  . . . . . . . . . . . . . . . . . . . . .</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45,000</w:t>
            </w:r>
          </w:p>
        </w:tc>
      </w:tr>
      <w:tr>
        <w:trPr>
          <w:trHeight w:val="175"/>
        </w:trPr>
        <w:tc>
          <w:tcPr>
            <w:tcW w:w="4140" w:type="dxa"/>
            <w:vAlign w:val="bottom"/>
          </w:tcPr>
          <w:p>
            <w:pPr>
              <w:spacing w:after="0"/>
              <w:rPr>
                <w:sz w:val="20"/>
                <w:szCs w:val="20"/>
                <w:color w:val="auto"/>
              </w:rPr>
            </w:pPr>
            <w:r>
              <w:rPr>
                <w:rFonts w:ascii="Courier New" w:cs="Courier New" w:eastAsia="Courier New" w:hAnsi="Courier New"/>
                <w:sz w:val="15"/>
                <w:szCs w:val="15"/>
                <w:color w:val="auto"/>
              </w:rPr>
              <w:t>Tucker Anthony Incorporated . . . . . . . . .</w:t>
            </w:r>
          </w:p>
        </w:tc>
        <w:tc>
          <w:tcPr>
            <w:tcW w:w="3460" w:type="dxa"/>
            <w:vAlign w:val="bottom"/>
          </w:tcPr>
          <w:p>
            <w:pPr>
              <w:ind w:left="40"/>
              <w:spacing w:after="0"/>
              <w:rPr>
                <w:sz w:val="20"/>
                <w:szCs w:val="20"/>
                <w:color w:val="auto"/>
              </w:rPr>
            </w:pPr>
            <w:r>
              <w:rPr>
                <w:rFonts w:ascii="Courier New" w:cs="Courier New" w:eastAsia="Courier New" w:hAnsi="Courier New"/>
                <w:sz w:val="15"/>
                <w:szCs w:val="15"/>
                <w:color w:val="auto"/>
              </w:rPr>
              <w:t>. . . . . . . . . . . . . . . . . .</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45,000</w:t>
            </w:r>
          </w:p>
        </w:tc>
      </w:tr>
      <w:tr>
        <w:trPr>
          <w:trHeight w:val="175"/>
        </w:trPr>
        <w:tc>
          <w:tcPr>
            <w:tcW w:w="4140" w:type="dxa"/>
            <w:vAlign w:val="bottom"/>
          </w:tcPr>
          <w:p>
            <w:pPr>
              <w:spacing w:after="0"/>
              <w:rPr>
                <w:sz w:val="20"/>
                <w:szCs w:val="20"/>
                <w:color w:val="auto"/>
              </w:rPr>
            </w:pPr>
            <w:r>
              <w:rPr>
                <w:rFonts w:ascii="Courier New" w:cs="Courier New" w:eastAsia="Courier New" w:hAnsi="Courier New"/>
                <w:sz w:val="15"/>
                <w:szCs w:val="15"/>
                <w:color w:val="auto"/>
              </w:rPr>
              <w:t>Van Kasper &amp; Company  . . . . . . . . . . . .</w:t>
            </w:r>
          </w:p>
        </w:tc>
        <w:tc>
          <w:tcPr>
            <w:tcW w:w="3460" w:type="dxa"/>
            <w:vAlign w:val="bottom"/>
          </w:tcPr>
          <w:p>
            <w:pPr>
              <w:ind w:left="40"/>
              <w:spacing w:after="0"/>
              <w:rPr>
                <w:sz w:val="20"/>
                <w:szCs w:val="20"/>
                <w:color w:val="auto"/>
              </w:rPr>
            </w:pPr>
            <w:r>
              <w:rPr>
                <w:rFonts w:ascii="Courier New" w:cs="Courier New" w:eastAsia="Courier New" w:hAnsi="Courier New"/>
                <w:sz w:val="15"/>
                <w:szCs w:val="15"/>
                <w:color w:val="auto"/>
              </w:rPr>
              <w:t>. . . . . . . . . . . . . . . . . .</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45,000</w:t>
            </w:r>
          </w:p>
        </w:tc>
      </w:tr>
      <w:tr>
        <w:trPr>
          <w:trHeight w:val="175"/>
        </w:trPr>
        <w:tc>
          <w:tcPr>
            <w:tcW w:w="414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4140" w:type="dxa"/>
            <w:vAlign w:val="bottom"/>
          </w:tcPr>
          <w:p>
            <w:pPr>
              <w:ind w:left="820"/>
              <w:spacing w:after="0"/>
              <w:rPr>
                <w:sz w:val="20"/>
                <w:szCs w:val="20"/>
                <w:color w:val="auto"/>
              </w:rPr>
            </w:pPr>
            <w:r>
              <w:rPr>
                <w:rFonts w:ascii="Courier New" w:cs="Courier New" w:eastAsia="Courier New" w:hAnsi="Courier New"/>
                <w:sz w:val="15"/>
                <w:szCs w:val="15"/>
                <w:color w:val="auto"/>
              </w:rPr>
              <w:t>TOTAL</w:t>
            </w:r>
          </w:p>
        </w:tc>
        <w:tc>
          <w:tcPr>
            <w:tcW w:w="34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10,000,000</w:t>
            </w:r>
          </w:p>
        </w:tc>
      </w:tr>
      <w:tr>
        <w:trPr>
          <w:trHeight w:val="175"/>
        </w:trPr>
        <w:tc>
          <w:tcPr>
            <w:tcW w:w="414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874"/>
        </w:trPr>
        <w:tc>
          <w:tcPr>
            <w:tcW w:w="4140" w:type="dxa"/>
            <w:vAlign w:val="bottom"/>
          </w:tcPr>
          <w:p>
            <w:pPr>
              <w:jc w:val="right"/>
              <w:spacing w:after="0"/>
              <w:rPr>
                <w:sz w:val="20"/>
                <w:szCs w:val="20"/>
                <w:color w:val="auto"/>
              </w:rPr>
            </w:pPr>
            <w:r>
              <w:rPr>
                <w:rFonts w:ascii="Courier New" w:cs="Courier New" w:eastAsia="Courier New" w:hAnsi="Courier New"/>
                <w:sz w:val="15"/>
                <w:szCs w:val="15"/>
                <w:color w:val="auto"/>
              </w:rPr>
              <w:t>USA WASTE SERVICES,</w:t>
            </w:r>
          </w:p>
        </w:tc>
        <w:tc>
          <w:tcPr>
            <w:tcW w:w="3460" w:type="dxa"/>
            <w:vAlign w:val="bottom"/>
          </w:tcPr>
          <w:p>
            <w:pPr>
              <w:ind w:left="40"/>
              <w:spacing w:after="0"/>
              <w:rPr>
                <w:sz w:val="20"/>
                <w:szCs w:val="20"/>
                <w:color w:val="auto"/>
              </w:rPr>
            </w:pPr>
            <w:r>
              <w:rPr>
                <w:rFonts w:ascii="Courier New" w:cs="Courier New" w:eastAsia="Courier New" w:hAnsi="Courier New"/>
                <w:sz w:val="15"/>
                <w:szCs w:val="15"/>
                <w:color w:val="auto"/>
              </w:rPr>
              <w:t>INC.</w:t>
            </w:r>
          </w:p>
        </w:tc>
        <w:tc>
          <w:tcPr>
            <w:tcW w:w="1120" w:type="dxa"/>
            <w:vAlign w:val="bottom"/>
          </w:tcPr>
          <w:p>
            <w:pPr>
              <w:spacing w:after="0"/>
              <w:rPr>
                <w:sz w:val="24"/>
                <w:szCs w:val="24"/>
                <w:color w:val="auto"/>
              </w:rPr>
            </w:pPr>
          </w:p>
        </w:tc>
      </w:tr>
      <w:tr>
        <w:trPr>
          <w:trHeight w:val="175"/>
        </w:trPr>
        <w:tc>
          <w:tcPr>
            <w:tcW w:w="4140" w:type="dxa"/>
            <w:vAlign w:val="bottom"/>
          </w:tcPr>
          <w:p>
            <w:pPr>
              <w:jc w:val="right"/>
              <w:spacing w:after="0"/>
              <w:rPr>
                <w:sz w:val="20"/>
                <w:szCs w:val="20"/>
                <w:color w:val="auto"/>
              </w:rPr>
            </w:pPr>
            <w:r>
              <w:rPr>
                <w:rFonts w:ascii="Courier New" w:cs="Courier New" w:eastAsia="Courier New" w:hAnsi="Courier New"/>
                <w:sz w:val="15"/>
                <w:szCs w:val="15"/>
                <w:color w:val="auto"/>
              </w:rPr>
              <w:t>UNDERWRITING AGREEMENT --</w:t>
            </w:r>
          </w:p>
        </w:tc>
        <w:tc>
          <w:tcPr>
            <w:tcW w:w="3460" w:type="dxa"/>
            <w:vAlign w:val="bottom"/>
          </w:tcPr>
          <w:p>
            <w:pPr>
              <w:ind w:left="40"/>
              <w:spacing w:after="0"/>
              <w:rPr>
                <w:sz w:val="20"/>
                <w:szCs w:val="20"/>
                <w:color w:val="auto"/>
              </w:rPr>
            </w:pPr>
            <w:r>
              <w:rPr>
                <w:rFonts w:ascii="Courier New" w:cs="Courier New" w:eastAsia="Courier New" w:hAnsi="Courier New"/>
                <w:sz w:val="15"/>
                <w:szCs w:val="15"/>
                <w:color w:val="auto"/>
              </w:rPr>
              <w:t>COMMON STOCK</w:t>
            </w:r>
          </w:p>
        </w:tc>
        <w:tc>
          <w:tcPr>
            <w:tcW w:w="1120" w:type="dxa"/>
            <w:vAlign w:val="bottom"/>
          </w:tcPr>
          <w:p>
            <w:pPr>
              <w:spacing w:after="0"/>
              <w:rPr>
                <w:sz w:val="15"/>
                <w:szCs w:val="15"/>
                <w:color w:val="auto"/>
              </w:rPr>
            </w:pPr>
          </w:p>
        </w:tc>
      </w:tr>
      <w:tr>
        <w:trPr>
          <w:trHeight w:val="175"/>
        </w:trPr>
        <w:tc>
          <w:tcPr>
            <w:tcW w:w="4140" w:type="dxa"/>
            <w:vAlign w:val="bottom"/>
          </w:tcPr>
          <w:p>
            <w:pPr>
              <w:jc w:val="right"/>
              <w:spacing w:after="0"/>
              <w:rPr>
                <w:sz w:val="20"/>
                <w:szCs w:val="20"/>
                <w:color w:val="auto"/>
              </w:rPr>
            </w:pPr>
            <w:r>
              <w:rPr>
                <w:rFonts w:ascii="Courier New" w:cs="Courier New" w:eastAsia="Courier New" w:hAnsi="Courier New"/>
                <w:sz w:val="15"/>
                <w:szCs w:val="15"/>
                <w:color w:val="auto"/>
              </w:rPr>
              <w:t>SCHEDULE I-1</w:t>
            </w:r>
          </w:p>
        </w:tc>
        <w:tc>
          <w:tcPr>
            <w:tcW w:w="3460" w:type="dxa"/>
            <w:vAlign w:val="bottom"/>
          </w:tcPr>
          <w:p>
            <w:pPr>
              <w:spacing w:after="0"/>
              <w:rPr>
                <w:sz w:val="15"/>
                <w:szCs w:val="15"/>
                <w:color w:val="auto"/>
              </w:rPr>
            </w:pPr>
          </w:p>
        </w:tc>
        <w:tc>
          <w:tcPr>
            <w:tcW w:w="1120" w:type="dxa"/>
            <w:vAlign w:val="bottom"/>
          </w:tcPr>
          <w:p>
            <w:pPr>
              <w:spacing w:after="0"/>
              <w:rPr>
                <w:sz w:val="15"/>
                <w:szCs w:val="15"/>
                <w:color w:val="auto"/>
              </w:rPr>
            </w:pPr>
          </w:p>
        </w:tc>
      </w:tr>
    </w:tbl>
    <w:p>
      <w:pPr>
        <w:sectPr>
          <w:pgSz w:w="11900" w:h="16838" w:orient="portrait"/>
          <w:cols w:equalWidth="0" w:num="1">
            <w:col w:w="10139"/>
          </w:cols>
          <w:pgMar w:left="320" w:top="293" w:right="1440" w:bottom="1440" w:gutter="0" w:footer="0" w:header="0"/>
          <w:type w:val="continuous"/>
        </w:sectPr>
      </w:pPr>
    </w:p>
    <w:bookmarkStart w:id="27" w:name="page28"/>
    <w:bookmarkEnd w:id="27"/>
    <w:p>
      <w:pPr>
        <w:spacing w:after="0"/>
        <w:rPr>
          <w:sz w:val="20"/>
          <w:szCs w:val="20"/>
          <w:color w:val="auto"/>
        </w:rPr>
      </w:pPr>
      <w:r>
        <w:rPr>
          <w:rFonts w:ascii="Courier New" w:cs="Courier New" w:eastAsia="Courier New" w:hAnsi="Courier New"/>
          <w:sz w:val="15"/>
          <w:szCs w:val="15"/>
          <w:color w:val="auto"/>
        </w:rPr>
        <w:t>25</w:t>
      </w:r>
    </w:p>
    <w:p>
      <w:pPr>
        <w:spacing w:after="0" w:line="180"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ANNEX I</w:t>
      </w:r>
    </w:p>
    <w:p>
      <w:pPr>
        <w:spacing w:after="0" w:line="180"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MATERIAL SUBSIDIARIES</w:t>
      </w:r>
    </w:p>
    <w:p>
      <w:pPr>
        <w:sectPr>
          <w:pgSz w:w="11900" w:h="16838" w:orient="portrait"/>
          <w:cols w:equalWidth="0" w:num="1">
            <w:col w:w="9959"/>
          </w:cols>
          <w:pgMar w:left="500" w:top="293" w:right="1440" w:bottom="1440" w:gutter="0" w:footer="0" w:header="0"/>
        </w:sectPr>
      </w:pPr>
    </w:p>
    <w:p>
      <w:pPr>
        <w:spacing w:after="0" w:line="200" w:lineRule="exact"/>
        <w:rPr>
          <w:sz w:val="20"/>
          <w:szCs w:val="20"/>
          <w:color w:val="auto"/>
        </w:rPr>
      </w:pPr>
    </w:p>
    <w:p>
      <w:pPr>
        <w:spacing w:after="0" w:line="329"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SUBSIDIARY</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[S]</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Chambers Development Company, Inc.</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Empire Sanitary Landfill, Inc.</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Envirofil, Inc.</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Sanifill, Inc.</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Western Waste Industries</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Canadian Waste Services, Inc.</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Quebec Waste Services, Inc.</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Pennsylvania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California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Ontario, Canada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Quebec, Canada</w:t>
      </w:r>
    </w:p>
    <w:p>
      <w:pPr>
        <w:spacing w:after="0" w:line="200" w:lineRule="exact"/>
        <w:rPr>
          <w:sz w:val="20"/>
          <w:szCs w:val="20"/>
          <w:color w:val="auto"/>
        </w:rPr>
      </w:pPr>
    </w:p>
    <w:p>
      <w:pPr>
        <w:sectPr>
          <w:pgSz w:w="11900" w:h="16838" w:orient="portrait"/>
          <w:cols w:equalWidth="0" w:num="2">
            <w:col w:w="4100" w:space="720"/>
            <w:col w:w="5139"/>
          </w:cols>
          <w:pgMar w:left="500" w:top="29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UNDERWRITING AGREEMENT -- COMMON STOCK</w:t>
      </w:r>
    </w:p>
    <w:p>
      <w:pPr>
        <w:spacing w:after="0" w:line="5"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5"/>
          <w:szCs w:val="15"/>
          <w:color w:val="auto"/>
        </w:rPr>
        <w:t>ANNEX I-1</w:t>
      </w:r>
    </w:p>
    <w:p>
      <w:pPr>
        <w:sectPr>
          <w:pgSz w:w="11900" w:h="16838" w:orient="portrait"/>
          <w:cols w:equalWidth="0" w:num="1">
            <w:col w:w="9959"/>
          </w:cols>
          <w:pgMar w:left="500" w:top="293" w:right="1440" w:bottom="1440" w:gutter="0" w:footer="0" w:header="0"/>
          <w:type w:val="continuous"/>
        </w:sectPr>
      </w:pPr>
    </w:p>
    <w:bookmarkStart w:id="28" w:name="page29"/>
    <w:bookmarkEnd w:id="28"/>
    <w:p>
      <w:pPr>
        <w:ind w:left="260"/>
        <w:spacing w:after="0"/>
        <w:rPr>
          <w:sz w:val="20"/>
          <w:szCs w:val="20"/>
          <w:color w:val="auto"/>
        </w:rPr>
      </w:pPr>
      <w:r>
        <w:rPr>
          <w:rFonts w:ascii="Courier New" w:cs="Courier New" w:eastAsia="Courier New" w:hAnsi="Courier New"/>
          <w:sz w:val="15"/>
          <w:szCs w:val="15"/>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$500,000,000</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USA WASTE SERVICES, INC.</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4% CONVERTIBLE SUBORDINATED NOTES DUE 2002</w:t>
      </w:r>
    </w:p>
    <w:p>
      <w:pPr>
        <w:spacing w:after="0" w:line="180"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UNDERWRITING AGREEMENT</w:t>
      </w:r>
    </w:p>
    <w:p>
      <w:pPr>
        <w:spacing w:after="0" w:line="200" w:lineRule="exact"/>
        <w:rPr>
          <w:sz w:val="20"/>
          <w:szCs w:val="20"/>
          <w:color w:val="auto"/>
        </w:rPr>
      </w:pPr>
    </w:p>
    <w:p>
      <w:pPr>
        <w:spacing w:after="0" w:line="329"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February 3, 1997</w:t>
      </w:r>
    </w:p>
    <w:p>
      <w:pPr>
        <w:spacing w:after="0" w:line="200" w:lineRule="exact"/>
        <w:rPr>
          <w:sz w:val="20"/>
          <w:szCs w:val="20"/>
          <w:color w:val="auto"/>
        </w:rPr>
      </w:pPr>
    </w:p>
    <w:p>
      <w:pPr>
        <w:spacing w:after="0" w:line="329" w:lineRule="exact"/>
        <w:rPr>
          <w:sz w:val="20"/>
          <w:szCs w:val="20"/>
          <w:color w:val="auto"/>
        </w:rPr>
      </w:pPr>
    </w:p>
    <w:p>
      <w:pPr>
        <w:jc w:val="center"/>
        <w:ind w:right="7679"/>
        <w:spacing w:after="0"/>
        <w:rPr>
          <w:sz w:val="20"/>
          <w:szCs w:val="20"/>
          <w:color w:val="auto"/>
        </w:rPr>
      </w:pPr>
      <w:r>
        <w:rPr>
          <w:rFonts w:ascii="Courier New" w:cs="Courier New" w:eastAsia="Courier New" w:hAnsi="Courier New"/>
          <w:sz w:val="15"/>
          <w:szCs w:val="15"/>
          <w:color w:val="auto"/>
        </w:rPr>
        <w:t>DONALDSON, LUFKIN &amp; JENRETTE</w:t>
      </w:r>
    </w:p>
    <w:p>
      <w:pPr>
        <w:spacing w:after="0" w:line="5" w:lineRule="exact"/>
        <w:rPr>
          <w:sz w:val="20"/>
          <w:szCs w:val="20"/>
          <w:color w:val="auto"/>
        </w:rPr>
      </w:pPr>
    </w:p>
    <w:p>
      <w:pPr>
        <w:jc w:val="center"/>
        <w:ind w:right="7679"/>
        <w:spacing w:after="0"/>
        <w:rPr>
          <w:sz w:val="20"/>
          <w:szCs w:val="20"/>
          <w:color w:val="auto"/>
        </w:rPr>
      </w:pPr>
      <w:r>
        <w:rPr>
          <w:rFonts w:ascii="Courier New" w:cs="Courier New" w:eastAsia="Courier New" w:hAnsi="Courier New"/>
          <w:sz w:val="15"/>
          <w:szCs w:val="15"/>
          <w:color w:val="auto"/>
        </w:rPr>
        <w:t>SECURITIES CORPORATION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DEUTSCHE MORGAN GRENFELL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GOLDMAN, SACHS &amp; CO.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MERRILL LYNCH, PIERCE,</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FENNER &amp; SMITH INCORPORATED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 Donaldson, Lufkin &amp; Jenrette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Securities Corporation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277 Park Avenue</w:t>
      </w:r>
    </w:p>
    <w:p>
      <w:pPr>
        <w:spacing w:after="0" w:line="5" w:lineRule="exact"/>
        <w:rPr>
          <w:sz w:val="20"/>
          <w:szCs w:val="20"/>
          <w:color w:val="auto"/>
        </w:rPr>
      </w:pPr>
    </w:p>
    <w:p>
      <w:pPr>
        <w:spacing w:after="0"/>
        <w:tabs>
          <w:tab w:leader="none" w:pos="1800" w:val="left"/>
        </w:tabs>
        <w:rPr>
          <w:sz w:val="20"/>
          <w:szCs w:val="20"/>
          <w:color w:val="auto"/>
        </w:rPr>
      </w:pPr>
      <w:r>
        <w:rPr>
          <w:rFonts w:ascii="Courier New" w:cs="Courier New" w:eastAsia="Courier New" w:hAnsi="Courier New"/>
          <w:sz w:val="15"/>
          <w:szCs w:val="15"/>
          <w:color w:val="auto"/>
        </w:rPr>
        <w:t>New York, New York</w:t>
      </w:r>
      <w:r>
        <w:rPr>
          <w:sz w:val="20"/>
          <w:szCs w:val="20"/>
          <w:color w:val="auto"/>
        </w:rPr>
        <w:tab/>
      </w:r>
      <w:r>
        <w:rPr>
          <w:rFonts w:ascii="Courier New" w:cs="Courier New" w:eastAsia="Courier New" w:hAnsi="Courier New"/>
          <w:sz w:val="14"/>
          <w:szCs w:val="14"/>
          <w:color w:val="auto"/>
        </w:rPr>
        <w:t>10172</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Sirs:</w:t>
      </w:r>
    </w:p>
    <w:p>
      <w:pPr>
        <w:spacing w:after="0" w:line="180"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USA Waste Services, Inc., a Delaware corporation (the "Company"),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proposes to issue and sell $500,000,000 principal amount of its 4% Convertible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Subordinated Notes due 2002 (the "Firm Securities"), to the several</w:t>
      </w:r>
    </w:p>
    <w:p>
      <w:pPr>
        <w:spacing w:after="0" w:line="5" w:lineRule="exact"/>
        <w:rPr>
          <w:sz w:val="20"/>
          <w:szCs w:val="20"/>
          <w:color w:val="auto"/>
        </w:rPr>
      </w:pPr>
    </w:p>
    <w:p>
      <w:pPr>
        <w:spacing w:after="0"/>
        <w:tabs>
          <w:tab w:leader="none" w:pos="5700" w:val="left"/>
        </w:tabs>
        <w:rPr>
          <w:sz w:val="20"/>
          <w:szCs w:val="20"/>
          <w:color w:val="auto"/>
        </w:rPr>
      </w:pPr>
      <w:r>
        <w:rPr>
          <w:rFonts w:ascii="Courier New" w:cs="Courier New" w:eastAsia="Courier New" w:hAnsi="Courier New"/>
          <w:sz w:val="15"/>
          <w:szCs w:val="15"/>
          <w:color w:val="auto"/>
        </w:rPr>
        <w:t>underwriters named in Schedule I hereto (the "Underwriters").</w:t>
        <w:tab/>
        <w:t>The Company also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proposes to issue and sell to the several Underwriters not more than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$35,275,000 additional principal amount of 4% Convertible Subordinated Notes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due 2002 (the "Additional Securities") if requested by the Underwriters as</w:t>
      </w:r>
    </w:p>
    <w:p>
      <w:pPr>
        <w:spacing w:after="0" w:line="5" w:lineRule="exact"/>
        <w:rPr>
          <w:sz w:val="20"/>
          <w:szCs w:val="20"/>
          <w:color w:val="auto"/>
        </w:rPr>
      </w:pPr>
    </w:p>
    <w:p>
      <w:pPr>
        <w:spacing w:after="0"/>
        <w:tabs>
          <w:tab w:leader="none" w:pos="2800" w:val="left"/>
        </w:tabs>
        <w:rPr>
          <w:sz w:val="20"/>
          <w:szCs w:val="20"/>
          <w:color w:val="auto"/>
        </w:rPr>
      </w:pPr>
      <w:r>
        <w:rPr>
          <w:rFonts w:ascii="Courier New" w:cs="Courier New" w:eastAsia="Courier New" w:hAnsi="Courier New"/>
          <w:sz w:val="15"/>
          <w:szCs w:val="15"/>
          <w:color w:val="auto"/>
        </w:rPr>
        <w:t>provided in Section 2 hereof.</w:t>
        <w:tab/>
        <w:t>The Firm Securities and the Additional</w:t>
      </w:r>
    </w:p>
    <w:p>
      <w:pPr>
        <w:spacing w:after="0" w:line="5" w:lineRule="exact"/>
        <w:rPr>
          <w:sz w:val="20"/>
          <w:szCs w:val="20"/>
          <w:color w:val="auto"/>
        </w:rPr>
      </w:pPr>
    </w:p>
    <w:p>
      <w:pPr>
        <w:spacing w:after="0"/>
        <w:tabs>
          <w:tab w:leader="none" w:pos="5340" w:val="left"/>
        </w:tabs>
        <w:rPr>
          <w:sz w:val="20"/>
          <w:szCs w:val="20"/>
          <w:color w:val="auto"/>
        </w:rPr>
      </w:pPr>
      <w:r>
        <w:rPr>
          <w:rFonts w:ascii="Courier New" w:cs="Courier New" w:eastAsia="Courier New" w:hAnsi="Courier New"/>
          <w:sz w:val="15"/>
          <w:szCs w:val="15"/>
          <w:color w:val="auto"/>
        </w:rPr>
        <w:t>Securities are herein collectively called the Securities.</w:t>
        <w:tab/>
        <w:t>The Securities 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be issued pursuant to the provisions of an indenture (the "Indenture") to be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 as of February 1, 1997 between the Company and Texas Commerce Bank,</w:t>
      </w:r>
    </w:p>
    <w:p>
      <w:pPr>
        <w:spacing w:after="0" w:line="5" w:lineRule="exact"/>
        <w:rPr>
          <w:sz w:val="20"/>
          <w:szCs w:val="20"/>
          <w:color w:val="auto"/>
        </w:rPr>
      </w:pPr>
    </w:p>
    <w:p>
      <w:pPr>
        <w:spacing w:after="0"/>
        <w:tabs>
          <w:tab w:leader="none" w:pos="4600" w:val="left"/>
        </w:tabs>
        <w:rPr>
          <w:sz w:val="20"/>
          <w:szCs w:val="20"/>
          <w:color w:val="auto"/>
        </w:rPr>
      </w:pPr>
      <w:r>
        <w:rPr>
          <w:rFonts w:ascii="Courier New" w:cs="Courier New" w:eastAsia="Courier New" w:hAnsi="Courier New"/>
          <w:sz w:val="15"/>
          <w:szCs w:val="15"/>
          <w:color w:val="auto"/>
        </w:rPr>
        <w:t>National Association, as trustee (the "Trustee").</w:t>
        <w:tab/>
        <w:t>The terms of the Securities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are set forth in resolutions of the Pricing Committee of the Board of Directors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the Company dated February 3, 1997 (the "Resolutions").</w:t>
      </w:r>
    </w:p>
    <w:p>
      <w:pPr>
        <w:spacing w:after="0" w:line="180" w:lineRule="exact"/>
        <w:rPr>
          <w:sz w:val="20"/>
          <w:szCs w:val="20"/>
          <w:color w:val="auto"/>
        </w:rPr>
      </w:pPr>
    </w:p>
    <w:p>
      <w:pPr>
        <w:ind w:right="3139" w:firstLine="811"/>
        <w:spacing w:after="0" w:line="246" w:lineRule="auto"/>
        <w:tabs>
          <w:tab w:leader="none" w:pos="1545"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Registration Statement and Prospectus. The Company has prepared and filed with the Securities and Exchange Commission (the "Commission") in accordance with the provisions of the Securities Act of 1933, as amended, and the rules and regulations of the Commission thereunder (collectively called the "Act"), a registration statement on Form S-3 (Registration No. 333-17453), including a prospectus relating to the Securities, which may be amended. The registration statement as</w:t>
      </w:r>
    </w:p>
    <w:p>
      <w:pPr>
        <w:sectPr>
          <w:pgSz w:w="11900" w:h="16838" w:orient="portrait"/>
          <w:cols w:equalWidth="0" w:num="1">
            <w:col w:w="10219"/>
          </w:cols>
          <w:pgMar w:left="240" w:top="141" w:right="1440" w:bottom="1440" w:gutter="0" w:footer="0" w:header="0"/>
        </w:sectPr>
      </w:pPr>
    </w:p>
    <w:bookmarkStart w:id="29" w:name="page30"/>
    <w:bookmarkEnd w:id="29"/>
    <w:p>
      <w:pPr>
        <w:ind w:left="260"/>
        <w:spacing w:after="0"/>
        <w:rPr>
          <w:sz w:val="20"/>
          <w:szCs w:val="20"/>
          <w:color w:val="auto"/>
        </w:rPr>
      </w:pPr>
      <w:r>
        <w:rPr>
          <w:rFonts w:ascii="Courier New" w:cs="Courier New" w:eastAsia="Courier New" w:hAnsi="Courier New"/>
          <w:sz w:val="15"/>
          <w:szCs w:val="15"/>
          <w:color w:val="auto"/>
        </w:rPr>
        <w:t>2</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amended at the time when it became effective, including all documents or information incorporated or deemed to be incorporated by reference therein is referred to as the "Registration Statement"; and the prospectus in the form first used to confirm sales of Securities, (including (a) the information contained in any prospectus supplement relating to the Securities or deemed to be part of the Registration Statement at effectiveness pursuant to Rule 430A or Rule 434 of the Act, and (b) any documents or information incorporated or deemed to be incorporated by reference into such prospectus), are hereinafter referred to as the "Prospectus". Any registration statement (including any amendment or supplement thereto or information which is deemed to be a part thereof) filed by the Company under Rule 462(b) of the Act (a "Rule 462(b) Registration Statement") shall be deemed to be a part of the Registration Statement. If the Company elects to rely on Rule 434 under the Act, all references to the Prospectus shall be deemed to also include, without limitation, the form of prospectus and term sheet (a "Term Sheet"), taken together, provided to the Underwriters by the Company in reliance on Rule 434 under the Act (the "Rule 434 Prospectus"). All references in this Agreement to financial statements and schedules and other information which is "contained," "included," "described" or "stated" in the Registration Statement or the Prospectus (and all references of like import) shall be deemed to mean and include all such financial statements and schedules and other information which is or is deemed to be incorporated by reference in the Registration Statement or the Prospectus, as the case may be; and all references in this Agreement to amendments or supplements to the Registration Statement or the Prospectus shall be deemed to mean and include, without limitation, even through not specifically stated, any document filed under the Exchange Act of 1934, as amended, and the rules and regulations of the Commission thereunder (the "Exchange Act") which is or is deemed to be incorporated by reference in the Registration Statement or the Prospectus after the effective date, as the case may be.</w:t>
      </w:r>
    </w:p>
    <w:p>
      <w:pPr>
        <w:spacing w:after="0" w:line="193" w:lineRule="exact"/>
        <w:rPr>
          <w:sz w:val="20"/>
          <w:szCs w:val="20"/>
          <w:color w:val="auto"/>
        </w:rPr>
      </w:pPr>
    </w:p>
    <w:p>
      <w:pPr>
        <w:ind w:right="3039" w:firstLine="811"/>
        <w:spacing w:after="0" w:line="246" w:lineRule="auto"/>
        <w:tabs>
          <w:tab w:leader="none" w:pos="1545"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Agreements to Sell and Purchase. On the basis of the representations and warranties contained in this Agreement, and subject to its terms and conditions, the Company agrees to issue and sell, and each Underwriter agrees, severally and not jointly, to purchase from the Company the principal amount of Securities set forth opposite the name of such Underwriter in Schedule I hereto at 97.5% of the principal amount thereof (the "Purchase Price") plus accrued interest thereon, if any, from February 7, 1997 to the date of payment and delivery.</w:t>
      </w:r>
    </w:p>
    <w:p>
      <w:pPr>
        <w:spacing w:after="0" w:line="180"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On the basis of the representations and warranties contained in this Agreement, and subject to its terms and conditions, the Company agrees to issue and sell and the Underwriters shall have the right to purchase, severally and not jointly, up to an aggregate $45,000,000 principal amount of Additional Securities from the Company at the Purchase Price. Additional Securities may be purchased solely for the purpose of covering over-allotments made in connection with the offering of the Firm Securities. The Underwriters may exercise their right to purchase Additional Securities in whole or in part from time to time by giving written notice thereof to the Company within 30 days after the date of this Agreement. You shall give any such notice on behalf of the Underwriters and such notice shall specify the aggregate number of Additional Securities to be purchased pursuant to such exercise and the date for payment and delivery thereof. The date specified in any such notice shall be a business day (i) no earlier than the Closing Date (as hereinafter defined), (ii) no later than ten business days after such notice has been given and (iii) no earlier than two business days after such notice has been given. If any Additional Securities are to be purchased, each Underwriter, severally and not jointly, agrees to purchase from the Company the principal amount of Additional Securities which bears the same proportion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UNDERWRITING AGREEMENT -- CONVERTIBLE SUBORDINATED NOTES</w:t>
      </w:r>
    </w:p>
    <w:p>
      <w:pPr>
        <w:spacing w:after="0" w:line="5"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- 2 -</w:t>
      </w:r>
    </w:p>
    <w:p>
      <w:pPr>
        <w:sectPr>
          <w:pgSz w:w="11900" w:h="16838" w:orient="portrait"/>
          <w:cols w:equalWidth="0" w:num="1">
            <w:col w:w="10219"/>
          </w:cols>
          <w:pgMar w:left="240" w:top="293" w:right="1440" w:bottom="1440" w:gutter="0" w:footer="0" w:header="0"/>
        </w:sectPr>
      </w:pPr>
    </w:p>
    <w:bookmarkStart w:id="30" w:name="page31"/>
    <w:bookmarkEnd w:id="30"/>
    <w:p>
      <w:pPr>
        <w:ind w:left="260"/>
        <w:spacing w:after="0"/>
        <w:rPr>
          <w:sz w:val="20"/>
          <w:szCs w:val="20"/>
          <w:color w:val="auto"/>
        </w:rPr>
      </w:pPr>
      <w:r>
        <w:rPr>
          <w:rFonts w:ascii="Courier New" w:cs="Courier New" w:eastAsia="Courier New" w:hAnsi="Courier New"/>
          <w:sz w:val="15"/>
          <w:szCs w:val="15"/>
          <w:color w:val="auto"/>
        </w:rPr>
        <w:t>3</w:t>
      </w:r>
    </w:p>
    <w:p>
      <w:pPr>
        <w:spacing w:after="0" w:line="5"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total principal amount of Additional Securities to be purchased from the Company as the principal amount of Firm Securities set forth opposite the name of such Underwriter in Schedule I bears to the total principal amount of Firm Securities.</w:t>
      </w:r>
    </w:p>
    <w:p>
      <w:pPr>
        <w:spacing w:after="0" w:line="177"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Except pursuant to the concurrent offering of common stock of the Company, the Company hereby agrees and the Company shall, concurrently with the execution of this Agreement, deliver an agreement executed by each of the directors and executive officers of the Company, pursuant to which each such person agrees, not to offer, sell, contract to sell, grant any option to purchase, or otherwise dispose of any Common Stock $.01 par value per share, of the Company (the "Common Stock") or any securities convertible into or exercisable or exchangeable for such Common Stock or in any other manner transfer all or a portion of the economic consequences associated with the ownership of any such Common Stock, except to the Underwriters pursuant to this Agreement, for a period of 90 days after the date of the Prospectus without the prior written consent of Donaldson, Lufkin &amp; Jenrette Securities Corporation. Notwithstanding the foregoing, (i) 250,000 shares of the shares of Common Stock owned by Donald F. Moorehead, Jr. and 500,000 shares of the shares of Common Stock owned by John G. Rangos, Sr. and Alexander Rangos will not be subject to the foregoing restriction and during such 90-day period (ii) the Company may grant stock options pursuant to the Company's existing director and employee benefit plans, (iii) the Company may issue shares of its Common Stock pursuant to existing contractual obligations or upon the exercise of an option or warrant or the conversion of a security outstanding on the date hereof and (iv) the Company may issue shares of its Common Stock as consideration in the acquisition of businesses or assets by the Company or its subsidiaries.</w:t>
      </w:r>
    </w:p>
    <w:p>
      <w:pPr>
        <w:spacing w:after="0" w:line="188" w:lineRule="exact"/>
        <w:rPr>
          <w:sz w:val="20"/>
          <w:szCs w:val="20"/>
          <w:color w:val="auto"/>
        </w:rPr>
      </w:pPr>
    </w:p>
    <w:p>
      <w:pPr>
        <w:ind w:right="3039" w:firstLine="811"/>
        <w:spacing w:after="0" w:line="246" w:lineRule="auto"/>
        <w:tabs>
          <w:tab w:leader="none" w:pos="1545"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Terms of Public Offering. The Company is advised by you that the Underwriters propose (i) to make a public offering of their respective portions of the Securities as soon after the effective date of the Registration Statement as in your judgment is advisable and (ii) initially to offer the Securities upon the terms set forth in the Prospectus.</w:t>
      </w:r>
    </w:p>
    <w:p>
      <w:pPr>
        <w:spacing w:after="0" w:line="177" w:lineRule="exact"/>
        <w:rPr>
          <w:rFonts w:ascii="Courier New" w:cs="Courier New" w:eastAsia="Courier New" w:hAnsi="Courier New"/>
          <w:sz w:val="15"/>
          <w:szCs w:val="15"/>
          <w:color w:val="auto"/>
        </w:rPr>
      </w:pPr>
    </w:p>
    <w:p>
      <w:pPr>
        <w:ind w:right="3139" w:firstLine="811"/>
        <w:spacing w:after="0" w:line="246" w:lineRule="auto"/>
        <w:tabs>
          <w:tab w:leader="none" w:pos="1545"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Delivery and Payment. Delivery to the Underwriters of and payment for the Firm Securities shall be made at 10:00 A.M., New York City time, on the third or fourth business day unless otherwise permitted by the Commission pursuant to Rule 15c6-1 of the Exchange Act (the "Closing Date") following the date of the initial public offering at such place as you shall designate. The Closing Date and the location of delivery of and the form of payment for the Firm Securities may be varied by agreement between you and the Company.</w:t>
      </w:r>
    </w:p>
    <w:p>
      <w:pPr>
        <w:spacing w:after="0" w:line="180"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Delivery to the Underwriters of and payment for any Additional Securities to be purchased by the Underwriters shall be made at such place as you shall designate at 10:00 A.M., New York City time, on the date specified in the applicable exercise notice given by you pursuant to Section 2 (an "Option Closing Date"). Any such Option Closing Date and the location of delivery of and the form of payment for such Additional Securities may be varied by agreement between you and the Company.</w:t>
      </w:r>
    </w:p>
    <w:p>
      <w:pPr>
        <w:spacing w:after="0" w:line="179" w:lineRule="exact"/>
        <w:rPr>
          <w:sz w:val="20"/>
          <w:szCs w:val="20"/>
          <w:color w:val="auto"/>
        </w:rPr>
      </w:pPr>
    </w:p>
    <w:p>
      <w:pPr>
        <w:ind w:right="3139" w:firstLine="818"/>
        <w:spacing w:after="0" w:line="246" w:lineRule="auto"/>
        <w:rPr>
          <w:sz w:val="20"/>
          <w:szCs w:val="20"/>
          <w:color w:val="auto"/>
        </w:rPr>
      </w:pPr>
      <w:r>
        <w:rPr>
          <w:rFonts w:ascii="Courier New" w:cs="Courier New" w:eastAsia="Courier New" w:hAnsi="Courier New"/>
          <w:sz w:val="15"/>
          <w:szCs w:val="15"/>
          <w:color w:val="auto"/>
        </w:rPr>
        <w:t>The Securities shall be registered in such names and issued in such denominations as you shall request in writing not later than two full business days prior to the Closing Date or an Option Closing Date, as the case may be. A global certificate for the Securities shall be made available to you for inspection not later than 9:30 A.M., New York City time, on the business day next preceding the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UNDERWRITING AGREEMENT -- CONVERTIBLE SUBORDINATED NOTES</w:t>
      </w:r>
    </w:p>
    <w:p>
      <w:pPr>
        <w:spacing w:after="0" w:line="5"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- 3 -</w:t>
      </w:r>
    </w:p>
    <w:p>
      <w:pPr>
        <w:sectPr>
          <w:pgSz w:w="11900" w:h="16838" w:orient="portrait"/>
          <w:cols w:equalWidth="0" w:num="1">
            <w:col w:w="10219"/>
          </w:cols>
          <w:pgMar w:left="240" w:top="293" w:right="1440" w:bottom="1440" w:gutter="0" w:footer="0" w:header="0"/>
        </w:sectPr>
      </w:pPr>
    </w:p>
    <w:bookmarkStart w:id="31" w:name="page32"/>
    <w:bookmarkEnd w:id="31"/>
    <w:p>
      <w:pPr>
        <w:ind w:left="260"/>
        <w:spacing w:after="0"/>
        <w:rPr>
          <w:sz w:val="20"/>
          <w:szCs w:val="20"/>
          <w:color w:val="auto"/>
        </w:rPr>
      </w:pPr>
      <w:r>
        <w:rPr>
          <w:rFonts w:ascii="Courier New" w:cs="Courier New" w:eastAsia="Courier New" w:hAnsi="Courier New"/>
          <w:sz w:val="15"/>
          <w:szCs w:val="15"/>
          <w:color w:val="auto"/>
        </w:rPr>
        <w:t>4</w:t>
      </w:r>
    </w:p>
    <w:p>
      <w:pPr>
        <w:spacing w:after="0" w:line="5"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Date or an Option Closing Date, as the case may be. A global certificate for the Securities in definitive form evidencing the Securities shall be delivered to you on the Closing Date or the applicable Option Closing Date, as the case may be, with any transfer taxes thereon duly paid by the Company, for the respective accounts of the several Underwriters, against payment of the Purchase Price therefor by wire transfer in same day funds to an account specified by the Company.</w:t>
      </w:r>
    </w:p>
    <w:p>
      <w:pPr>
        <w:spacing w:after="0" w:line="179" w:lineRule="exact"/>
        <w:rPr>
          <w:sz w:val="20"/>
          <w:szCs w:val="20"/>
          <w:color w:val="auto"/>
        </w:rPr>
      </w:pPr>
    </w:p>
    <w:p>
      <w:pPr>
        <w:ind w:left="1540" w:hanging="729"/>
        <w:spacing w:after="0"/>
        <w:tabs>
          <w:tab w:leader="none" w:pos="154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Agreements of the Company.  The Company agrees with you:</w:t>
      </w:r>
    </w:p>
    <w:p>
      <w:pPr>
        <w:spacing w:after="0" w:line="179" w:lineRule="exact"/>
        <w:rPr>
          <w:rFonts w:ascii="Courier New" w:cs="Courier New" w:eastAsia="Courier New" w:hAnsi="Courier New"/>
          <w:sz w:val="15"/>
          <w:szCs w:val="15"/>
          <w:color w:val="auto"/>
        </w:rPr>
      </w:pPr>
    </w:p>
    <w:p>
      <w:pPr>
        <w:ind w:left="820" w:right="3219" w:firstLine="718"/>
        <w:spacing w:after="0" w:line="246" w:lineRule="auto"/>
        <w:tabs>
          <w:tab w:leader="none" w:pos="2365"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Immediately following the determination of the Purchase Price, to prepare, and file or transmit for filing with the Commission in accordance with Rule 424(b) of the Act, copies of a prospectus supplement relating to the Securities and containing all information required under the Act.</w:t>
      </w:r>
    </w:p>
    <w:p>
      <w:pPr>
        <w:spacing w:after="0" w:line="177" w:lineRule="exact"/>
        <w:rPr>
          <w:rFonts w:ascii="Courier New" w:cs="Courier New" w:eastAsia="Courier New" w:hAnsi="Courier New"/>
          <w:sz w:val="15"/>
          <w:szCs w:val="15"/>
          <w:color w:val="auto"/>
        </w:rPr>
      </w:pPr>
    </w:p>
    <w:p>
      <w:pPr>
        <w:ind w:left="820" w:right="3039" w:firstLine="718"/>
        <w:spacing w:after="0" w:line="246" w:lineRule="auto"/>
        <w:tabs>
          <w:tab w:leader="none" w:pos="2365"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advise you promptly and, if requested by you, to confirm such advice in writing, (i) when the Registration Statement has become effective and when any post-effective amendment to it becomes effective, (ii) of the receipt of comments from the Commission relating to the Registration Statement, (iii) of any request by the Commission for amendments to the Registration Statement or amendments or supplements to the Prospectus or for additional information, (iv) of the issuance by the Commission of any stop order suspending the effectiveness of the Registration Statement or of the suspension of qualification of the Securities for offering or sale in any jurisdiction, or the initiation of any proceeding for such purposes, and (v) of the happening of any event during the period referred to in paragraph (e) below which makes any statement of a material fact made in the Registration Statement or the Prospectus untrue or which requires the making of any additions to or changes in the Registration Statement or the Prospectus in order to make the statements therein not misleading. If at any time the Commission shall issue any stop order suspending the effectiveness of the Registration Statement, the Company will make every reasonable effort to obtain the withdrawal or lifting of such order at the earliest possible time.</w:t>
      </w:r>
    </w:p>
    <w:p>
      <w:pPr>
        <w:spacing w:after="0" w:line="186" w:lineRule="exact"/>
        <w:rPr>
          <w:rFonts w:ascii="Courier New" w:cs="Courier New" w:eastAsia="Courier New" w:hAnsi="Courier New"/>
          <w:sz w:val="15"/>
          <w:szCs w:val="15"/>
          <w:color w:val="auto"/>
        </w:rPr>
      </w:pPr>
    </w:p>
    <w:p>
      <w:pPr>
        <w:ind w:left="820" w:right="3039" w:firstLine="718"/>
        <w:spacing w:after="0" w:line="246" w:lineRule="auto"/>
        <w:tabs>
          <w:tab w:leader="none" w:pos="2365"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furnish to you, without charge, five signed copies of the Registration Statement as first filed with the Commission and of each amendment to it, including all exhibits, and to furnish to you and each Underwriter designated by you such number of conformed copies of the Registration Statement as so filed and of each amendment to it, without exhibits, as you may reasonably request.</w:t>
      </w:r>
    </w:p>
    <w:p>
      <w:pPr>
        <w:spacing w:after="0" w:line="178" w:lineRule="exact"/>
        <w:rPr>
          <w:rFonts w:ascii="Courier New" w:cs="Courier New" w:eastAsia="Courier New" w:hAnsi="Courier New"/>
          <w:sz w:val="15"/>
          <w:szCs w:val="15"/>
          <w:color w:val="auto"/>
        </w:rPr>
      </w:pPr>
    </w:p>
    <w:p>
      <w:pPr>
        <w:ind w:left="820" w:right="3139" w:firstLine="718"/>
        <w:spacing w:after="0" w:line="246" w:lineRule="auto"/>
        <w:tabs>
          <w:tab w:leader="none" w:pos="2365"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the termination of the offering of Securities, not to (i) file any 462(b) Registration Statement, (ii) file any amendment or supplement to the Registration Statement, (iii) file any document under the Exchange Act which shall be deemed to be incorporated by reference into the Prospectus, or (iv) make any amendment or supplement to the Prospectus (including the issuance or filing of any Term Sheet) of which you shall not previously have been advised or to which you shall reasonably object; and to prepare and file with the Commission, promptly upon your reasonable request, any 462(b) Registration Statement, Term Sheet or amendment or supplement to the Registration Statement or the Prospectus which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UNDERWRITING AGREEMENT -- CONVERTIBLE SUBORDINATED NOTES</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- 4 -</w:t>
      </w:r>
    </w:p>
    <w:p>
      <w:pPr>
        <w:sectPr>
          <w:pgSz w:w="11900" w:h="16838" w:orient="portrait"/>
          <w:cols w:equalWidth="0" w:num="1">
            <w:col w:w="10219"/>
          </w:cols>
          <w:pgMar w:left="240" w:top="293" w:right="1440"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5"/>
          <w:szCs w:val="15"/>
          <w:color w:val="auto"/>
        </w:rPr>
        <w:t>5</w:t>
      </w:r>
    </w:p>
    <w:p>
      <w:pPr>
        <w:spacing w:after="0" w:line="5" w:lineRule="exact"/>
        <w:rPr>
          <w:sz w:val="20"/>
          <w:szCs w:val="20"/>
          <w:color w:val="auto"/>
        </w:rPr>
      </w:pPr>
    </w:p>
    <w:p>
      <w:pPr>
        <w:ind w:left="560" w:right="3319"/>
        <w:spacing w:after="0" w:line="247" w:lineRule="auto"/>
        <w:rPr>
          <w:sz w:val="20"/>
          <w:szCs w:val="20"/>
          <w:color w:val="auto"/>
        </w:rPr>
      </w:pPr>
      <w:r>
        <w:rPr>
          <w:rFonts w:ascii="Courier New" w:cs="Courier New" w:eastAsia="Courier New" w:hAnsi="Courier New"/>
          <w:sz w:val="15"/>
          <w:szCs w:val="15"/>
          <w:color w:val="auto"/>
        </w:rPr>
        <w:t>necessary or advisable in connection with the distribution of the Securities by you, and to use its best efforts to cause the same to become promptly effective.</w:t>
      </w:r>
    </w:p>
    <w:p>
      <w:pPr>
        <w:spacing w:after="0" w:line="174" w:lineRule="exact"/>
        <w:rPr>
          <w:sz w:val="20"/>
          <w:szCs w:val="20"/>
          <w:color w:val="auto"/>
        </w:rPr>
      </w:pPr>
    </w:p>
    <w:p>
      <w:pPr>
        <w:ind w:left="560" w:right="3139" w:firstLine="718"/>
        <w:spacing w:after="0" w:line="246" w:lineRule="auto"/>
        <w:tabs>
          <w:tab w:leader="none" w:pos="2105"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From time to time for such period as in the opinion of counsel for the Underwriters a prospectus is required by law to be delivered in connection with sales by an Underwriter or a dealer, to furnish to each Underwriter and dealer as many copies of the Prospectus (and of any amendment or supplement to the Prospectus) as such Underwriter or dealer may reasonably request.</w:t>
      </w:r>
    </w:p>
    <w:p>
      <w:pPr>
        <w:spacing w:after="0" w:line="178" w:lineRule="exact"/>
        <w:rPr>
          <w:rFonts w:ascii="Courier New" w:cs="Courier New" w:eastAsia="Courier New" w:hAnsi="Courier New"/>
          <w:sz w:val="15"/>
          <w:szCs w:val="15"/>
          <w:color w:val="auto"/>
        </w:rPr>
      </w:pPr>
    </w:p>
    <w:p>
      <w:pPr>
        <w:ind w:left="560" w:right="3039" w:firstLine="718"/>
        <w:spacing w:after="0" w:line="246" w:lineRule="auto"/>
        <w:tabs>
          <w:tab w:leader="none" w:pos="2105"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during the period specified in paragraph (e) any event shall occur as a result of which, in the opinion of counsel for the Underwriters, it becomes necessary to amend or supplement the Prospectus in order to make the statements therein, in the light of the circumstances when the Prospectus is delivered to a purchaser, not misleading, or if it is necessary to amend or supplement the Prospectus to comply with any law, forthwith to prepare and file with the Commission an appropriate amendment or supplement to the Prospectus so that the statements in the Prospectus, as so amended or supplemented, will not, in the light of the circumstances when it is so delivered, be misleading, or so that the Prospectus will comply with law, and to furnish to each Underwriter and to such dealers as you shall specify, such number of copies thereof as such Underwriter or dealers may reasonably request.</w:t>
      </w:r>
    </w:p>
    <w:p>
      <w:pPr>
        <w:spacing w:after="0" w:line="183" w:lineRule="exact"/>
        <w:rPr>
          <w:rFonts w:ascii="Courier New" w:cs="Courier New" w:eastAsia="Courier New" w:hAnsi="Courier New"/>
          <w:sz w:val="15"/>
          <w:szCs w:val="15"/>
          <w:color w:val="auto"/>
        </w:rPr>
      </w:pPr>
    </w:p>
    <w:p>
      <w:pPr>
        <w:ind w:left="560" w:right="3039" w:firstLine="718"/>
        <w:spacing w:after="0" w:line="246" w:lineRule="auto"/>
        <w:tabs>
          <w:tab w:leader="none" w:pos="2105"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any public offering of the Securities, to cooperate with you and counsel for the Underwriters in connection with the registration or qualification of the Securities for offer and sale by the several Underwriters and by dealers under the state securities or Blue Sky laws of such jurisdictions as you may request, to continue such qualification in effect so long as required for distribution of the Securities and to file such consents to service of process or other documents as may be necessary in order to effect such registration or qualification.</w:t>
      </w:r>
    </w:p>
    <w:p>
      <w:pPr>
        <w:spacing w:after="0" w:line="180" w:lineRule="exact"/>
        <w:rPr>
          <w:rFonts w:ascii="Courier New" w:cs="Courier New" w:eastAsia="Courier New" w:hAnsi="Courier New"/>
          <w:sz w:val="15"/>
          <w:szCs w:val="15"/>
          <w:color w:val="auto"/>
        </w:rPr>
      </w:pPr>
    </w:p>
    <w:p>
      <w:pPr>
        <w:ind w:left="560" w:right="3039" w:firstLine="718"/>
        <w:spacing w:after="0" w:line="246" w:lineRule="auto"/>
        <w:tabs>
          <w:tab w:leader="none" w:pos="2105"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mail and make generally available to its securityholders as soon as reasonably practicable an earnings statement covering a period of at least twelve months after the Closing Date (but in no event commencing later than 90 days after such date) which shall satisfy the provisions of Section 11(a) of the Act.</w:t>
      </w:r>
    </w:p>
    <w:p>
      <w:pPr>
        <w:spacing w:after="0" w:line="177" w:lineRule="exact"/>
        <w:rPr>
          <w:rFonts w:ascii="Courier New" w:cs="Courier New" w:eastAsia="Courier New" w:hAnsi="Courier New"/>
          <w:sz w:val="15"/>
          <w:szCs w:val="15"/>
          <w:color w:val="auto"/>
        </w:rPr>
      </w:pPr>
    </w:p>
    <w:p>
      <w:pPr>
        <w:ind w:left="560" w:right="3039" w:firstLine="718"/>
        <w:spacing w:after="0" w:line="246" w:lineRule="auto"/>
        <w:tabs>
          <w:tab w:leader="none" w:pos="2105"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period of five years after the date of this Agreement, (i) to mail as soon as reasonably practicable after the end of each fiscal year to the record holders of its Securities a financial report of the Company and its subsidiaries on a consolidated basis (and a similar financial report of all unconsolidated subsidiaries, if any), all such financial reports to include a consolidated balance sheet, a consolidated statement of operations, a consolidated statement of cash flows and a consolidated statement of shareholders' equity as of the end of and for such fiscal year, together with comparable information as of the end of and for the preceding year, certified by independent certified public accountants, and (ii) to make generally available as soon as practicable after the end of each quarterly period (except for the last quarterly period of each fiscal year) to such holders, a consolidated balance sheet, a consolidated statement of operations and a consolidated statement of cash flows (and similar financial reports of all unconsolidated subsidiaries, if any) as of the end of and for such period, and for the period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ind w:left="3100" w:right="4219" w:hanging="2453"/>
        <w:spacing w:after="0" w:line="247" w:lineRule="auto"/>
        <w:rPr>
          <w:sz w:val="20"/>
          <w:szCs w:val="20"/>
          <w:color w:val="auto"/>
        </w:rPr>
      </w:pPr>
      <w:r>
        <w:rPr>
          <w:rFonts w:ascii="Courier New" w:cs="Courier New" w:eastAsia="Courier New" w:hAnsi="Courier New"/>
          <w:sz w:val="15"/>
          <w:szCs w:val="15"/>
          <w:color w:val="auto"/>
        </w:rPr>
        <w:t>UNDERWRITING AGREEMENT -- CONVERTIBLE SUBORDINATED NOTES - 5 -</w:t>
      </w:r>
    </w:p>
    <w:p>
      <w:pPr>
        <w:sectPr>
          <w:pgSz w:w="11900" w:h="16838" w:orient="portrait"/>
          <w:cols w:equalWidth="0" w:num="1">
            <w:col w:w="9959"/>
          </w:cols>
          <w:pgMar w:left="500" w:top="293" w:right="1440" w:bottom="1440" w:gutter="0" w:footer="0" w:header="0"/>
        </w:sectPr>
      </w:pPr>
    </w:p>
    <w:bookmarkStart w:id="33" w:name="page34"/>
    <w:bookmarkEnd w:id="33"/>
    <w:p>
      <w:pPr>
        <w:spacing w:after="0"/>
        <w:rPr>
          <w:sz w:val="20"/>
          <w:szCs w:val="20"/>
          <w:color w:val="auto"/>
        </w:rPr>
      </w:pPr>
      <w:r>
        <w:rPr>
          <w:rFonts w:ascii="Courier New" w:cs="Courier New" w:eastAsia="Courier New" w:hAnsi="Courier New"/>
          <w:sz w:val="15"/>
          <w:szCs w:val="15"/>
          <w:color w:val="auto"/>
        </w:rPr>
        <w:t>6</w:t>
      </w:r>
    </w:p>
    <w:p>
      <w:pPr>
        <w:spacing w:after="0" w:line="5" w:lineRule="exact"/>
        <w:rPr>
          <w:sz w:val="20"/>
          <w:szCs w:val="20"/>
          <w:color w:val="auto"/>
        </w:rPr>
      </w:pPr>
    </w:p>
    <w:p>
      <w:pPr>
        <w:ind w:left="560" w:right="3139"/>
        <w:spacing w:after="0" w:line="247" w:lineRule="auto"/>
        <w:rPr>
          <w:sz w:val="20"/>
          <w:szCs w:val="20"/>
          <w:color w:val="auto"/>
        </w:rPr>
      </w:pPr>
      <w:r>
        <w:rPr>
          <w:rFonts w:ascii="Courier New" w:cs="Courier New" w:eastAsia="Courier New" w:hAnsi="Courier New"/>
          <w:sz w:val="15"/>
          <w:szCs w:val="15"/>
          <w:color w:val="auto"/>
        </w:rPr>
        <w:t>the beginning of such year to the close of such quarterly period, together with comparable information for the corresponding periods of the preceding year.</w:t>
      </w:r>
    </w:p>
    <w:p>
      <w:pPr>
        <w:spacing w:after="0" w:line="174" w:lineRule="exact"/>
        <w:rPr>
          <w:sz w:val="20"/>
          <w:szCs w:val="20"/>
          <w:color w:val="auto"/>
        </w:rPr>
      </w:pPr>
    </w:p>
    <w:p>
      <w:pPr>
        <w:ind w:left="560" w:right="3219" w:firstLine="718"/>
        <w:spacing w:after="0" w:line="246" w:lineRule="auto"/>
        <w:tabs>
          <w:tab w:leader="none" w:pos="2105"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period referred to in paragraph (i), to furnish to you as soon as available a copy of each report or other publicly available information of the Company mailed to the securityholders of the Company or filed with the Commission and such other publicly available information concerning the Company and its subsidiaries as you may reasonably request.</w:t>
      </w:r>
    </w:p>
    <w:p>
      <w:pPr>
        <w:spacing w:after="0" w:line="178" w:lineRule="exact"/>
        <w:rPr>
          <w:rFonts w:ascii="Courier New" w:cs="Courier New" w:eastAsia="Courier New" w:hAnsi="Courier New"/>
          <w:sz w:val="15"/>
          <w:szCs w:val="15"/>
          <w:color w:val="auto"/>
        </w:rPr>
      </w:pPr>
    </w:p>
    <w:p>
      <w:pPr>
        <w:ind w:left="560" w:right="3039" w:firstLine="718"/>
        <w:spacing w:after="0" w:line="246" w:lineRule="auto"/>
        <w:tabs>
          <w:tab w:leader="none" w:pos="2105"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pay all costs, expenses, fees and taxes incident to (i) the preparation, printing, filing and distribution under the Act of the Registration Statement (including financial statements and exhibits), each preliminary prospectus relating to the Securities and all amendments and supplements to any of them prior to or during the period specified in paragraph (e), (ii) the printing and delivery of the Prospectus and all amendments or supplements to it during the period specified in paragraph (e), (iii) the printing and delivery of this Agreement, the Indenture, the Preliminary and Supplemental Blue Sky Memoranda, (iv) the registration or qualification of the Securities for offer and sale under the securities or Blue Sky laws of the several states (including in each case the fees and disbursements of counsel for the Underwriters relating to such registration or qualification and memoranda relating thereto), (v) the listing of the Securities on the New York Stock Exchange, and (vi) furnishing such copies of the Registration Statement, the Prospectus and all amendments and supplements thereto as may be requested for use in connection with the offering or sale of the Securities by the Underwriters or by dealers to whom Securities may be sold.</w:t>
      </w:r>
    </w:p>
    <w:p>
      <w:pPr>
        <w:spacing w:after="0" w:line="186" w:lineRule="exact"/>
        <w:rPr>
          <w:rFonts w:ascii="Courier New" w:cs="Courier New" w:eastAsia="Courier New" w:hAnsi="Courier New"/>
          <w:sz w:val="15"/>
          <w:szCs w:val="15"/>
          <w:color w:val="auto"/>
        </w:rPr>
      </w:pPr>
    </w:p>
    <w:p>
      <w:pPr>
        <w:ind w:left="560" w:right="3039" w:firstLine="718"/>
        <w:spacing w:after="0" w:line="246" w:lineRule="auto"/>
        <w:tabs>
          <w:tab w:leader="none" w:pos="2105"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use its best efforts to maintain the listing of the Common Stock and the Securities on the New York Stock Exchange for a period of five years after the effective date of the Registration Statement.</w:t>
      </w:r>
    </w:p>
    <w:p>
      <w:pPr>
        <w:spacing w:after="0" w:line="177" w:lineRule="exact"/>
        <w:rPr>
          <w:rFonts w:ascii="Courier New" w:cs="Courier New" w:eastAsia="Courier New" w:hAnsi="Courier New"/>
          <w:sz w:val="15"/>
          <w:szCs w:val="15"/>
          <w:color w:val="auto"/>
        </w:rPr>
      </w:pPr>
    </w:p>
    <w:p>
      <w:pPr>
        <w:ind w:left="560" w:right="3039" w:firstLine="718"/>
        <w:spacing w:after="0" w:line="246" w:lineRule="auto"/>
        <w:tabs>
          <w:tab w:leader="none" w:pos="2105"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use its best efforts to do and perform all things required or necessary to be done and performed under this Agreement by the Company prior to the Closing Date or any Option Closing Date, as the case may be, and to satisfy all conditions precedent to the delivery of the Securities.</w:t>
      </w:r>
    </w:p>
    <w:p>
      <w:pPr>
        <w:spacing w:after="0" w:line="177" w:lineRule="exact"/>
        <w:rPr>
          <w:rFonts w:ascii="Courier New" w:cs="Courier New" w:eastAsia="Courier New" w:hAnsi="Courier New"/>
          <w:sz w:val="15"/>
          <w:szCs w:val="15"/>
          <w:color w:val="auto"/>
        </w:rPr>
      </w:pPr>
    </w:p>
    <w:p>
      <w:pPr>
        <w:ind w:left="560" w:right="3139" w:firstLine="718"/>
        <w:spacing w:after="0" w:line="247" w:lineRule="auto"/>
        <w:tabs>
          <w:tab w:leader="none" w:pos="2105"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use the net proceeds received by it from the sale of Shares in the manner specified in the Prospectus under "Use of Proceeds."</w:t>
      </w:r>
    </w:p>
    <w:p>
      <w:pPr>
        <w:spacing w:after="0" w:line="174" w:lineRule="exact"/>
        <w:rPr>
          <w:rFonts w:ascii="Courier New" w:cs="Courier New" w:eastAsia="Courier New" w:hAnsi="Courier New"/>
          <w:sz w:val="15"/>
          <w:szCs w:val="15"/>
          <w:color w:val="auto"/>
        </w:rPr>
      </w:pPr>
    </w:p>
    <w:p>
      <w:pPr>
        <w:ind w:left="560" w:right="3039" w:firstLine="718"/>
        <w:spacing w:after="0" w:line="246" w:lineRule="auto"/>
        <w:tabs>
          <w:tab w:leader="none" w:pos="2105"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period beginning on the date hereof and continuing to and including the Closing Date and any Option Closing Date, not to offer, sell, contract to sell or otherwise dispose of any debt securities of the Company or warrants to purchase debt securities of the Company (other than (i) the Securities and (ii) commercial paper issued in the ordinary course of business), without your prior written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ind w:left="3100" w:right="4219" w:hanging="2453"/>
        <w:spacing w:after="0" w:line="247" w:lineRule="auto"/>
        <w:rPr>
          <w:sz w:val="20"/>
          <w:szCs w:val="20"/>
          <w:color w:val="auto"/>
        </w:rPr>
      </w:pPr>
      <w:r>
        <w:rPr>
          <w:rFonts w:ascii="Courier New" w:cs="Courier New" w:eastAsia="Courier New" w:hAnsi="Courier New"/>
          <w:sz w:val="15"/>
          <w:szCs w:val="15"/>
          <w:color w:val="auto"/>
        </w:rPr>
        <w:t>UNDERWRITING AGREEMENT -- CONVERTIBLE SUBORDINATED NOTES - 6 -</w:t>
      </w:r>
    </w:p>
    <w:p>
      <w:pPr>
        <w:sectPr>
          <w:pgSz w:w="11900" w:h="16838" w:orient="portrait"/>
          <w:cols w:equalWidth="0" w:num="1">
            <w:col w:w="9959"/>
          </w:cols>
          <w:pgMar w:left="500" w:top="293" w:right="1440" w:bottom="1440" w:gutter="0" w:footer="0" w:header="0"/>
        </w:sectPr>
      </w:pPr>
    </w:p>
    <w:bookmarkStart w:id="34" w:name="page35"/>
    <w:bookmarkEnd w:id="34"/>
    <w:p>
      <w:pPr>
        <w:ind w:left="260"/>
        <w:spacing w:after="0"/>
        <w:rPr>
          <w:sz w:val="20"/>
          <w:szCs w:val="20"/>
          <w:color w:val="auto"/>
        </w:rPr>
      </w:pPr>
      <w:r>
        <w:rPr>
          <w:rFonts w:ascii="Courier New" w:cs="Courier New" w:eastAsia="Courier New" w:hAnsi="Courier New"/>
          <w:sz w:val="15"/>
          <w:szCs w:val="15"/>
          <w:color w:val="auto"/>
        </w:rPr>
        <w:t>7</w:t>
      </w:r>
    </w:p>
    <w:p>
      <w:pPr>
        <w:spacing w:after="0" w:line="5" w:lineRule="exact"/>
        <w:rPr>
          <w:sz w:val="20"/>
          <w:szCs w:val="20"/>
          <w:color w:val="auto"/>
        </w:rPr>
      </w:pPr>
    </w:p>
    <w:p>
      <w:pPr>
        <w:ind w:right="3319" w:firstLine="811"/>
        <w:spacing w:after="0" w:line="247" w:lineRule="auto"/>
        <w:tabs>
          <w:tab w:leader="none" w:pos="1545"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Warranties of the Company. The Company represents and warrants to each Underwriter that:</w:t>
      </w:r>
    </w:p>
    <w:p>
      <w:pPr>
        <w:spacing w:after="0" w:line="174" w:lineRule="exact"/>
        <w:rPr>
          <w:rFonts w:ascii="Courier New" w:cs="Courier New" w:eastAsia="Courier New" w:hAnsi="Courier New"/>
          <w:sz w:val="15"/>
          <w:szCs w:val="15"/>
          <w:color w:val="auto"/>
        </w:rPr>
      </w:pPr>
    </w:p>
    <w:p>
      <w:pPr>
        <w:ind w:left="820" w:right="3039" w:firstLine="718"/>
        <w:spacing w:after="0" w:line="246" w:lineRule="auto"/>
        <w:tabs>
          <w:tab w:leader="none" w:pos="2365" w:val="left"/>
        </w:tabs>
        <w:numPr>
          <w:ilvl w:val="1"/>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meets the requirements for use of Form S-3; the Registration Statement has become effective; no stop order suspending the effectiveness of the Registration Statement is in effect, and no proceedings for such purpose are pending before or have been threatened by the Commission.</w:t>
      </w:r>
    </w:p>
    <w:p>
      <w:pPr>
        <w:spacing w:after="0" w:line="177" w:lineRule="exact"/>
        <w:rPr>
          <w:rFonts w:ascii="Courier New" w:cs="Courier New" w:eastAsia="Courier New" w:hAnsi="Courier New"/>
          <w:sz w:val="15"/>
          <w:szCs w:val="15"/>
          <w:color w:val="auto"/>
        </w:rPr>
      </w:pPr>
    </w:p>
    <w:p>
      <w:pPr>
        <w:ind w:left="820" w:right="3039" w:firstLine="718"/>
        <w:spacing w:after="0" w:line="246" w:lineRule="auto"/>
        <w:tabs>
          <w:tab w:leader="none" w:pos="2365" w:val="left"/>
        </w:tabs>
        <w:numPr>
          <w:ilvl w:val="1"/>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time the Registration Statement, any 462(b) Registration Statement or any post-effective amendment to the Registration Statement became or becomes effective, on the date that any amendment or supplement to the Prospectus is filed with the Commission, and at the Closing Date, and if later, the Option Closing Date, (i) each part of the Registration Statement, when such part became effective, did not contain and each such part, as amended or supplemented, if applicable, will not contain any untrue statement of a material fact or omit to state a material fact required to be stated therein or necessary to make the statements therein not misleading, (ii) the Registration Statement and the Prospectus comply and, as amended or supplemented, if applicable, will comply in all material respects with the Act and (iii) the Prospectus did not and does not contain and, as amended or supplemented, if applicable, will not contain any untrue statement of a material fact or omit to state a material fact necessary to make the statements therein, in the light of the circumstances under which they were made, not misleading, except that the representations and warranties set forth in this paragraph (b) do not apply to statements or omissions in the Registration Statement or the Prospectus based upon information relating to any Underwriter furnished to the Company in writing by such Underwriter through you expressly for use therein.</w:t>
      </w:r>
    </w:p>
    <w:p>
      <w:pPr>
        <w:spacing w:after="0" w:line="188" w:lineRule="exact"/>
        <w:rPr>
          <w:rFonts w:ascii="Courier New" w:cs="Courier New" w:eastAsia="Courier New" w:hAnsi="Courier New"/>
          <w:sz w:val="15"/>
          <w:szCs w:val="15"/>
          <w:color w:val="auto"/>
        </w:rPr>
      </w:pPr>
    </w:p>
    <w:p>
      <w:pPr>
        <w:ind w:left="820" w:right="3039" w:firstLine="718"/>
        <w:spacing w:after="0" w:line="246" w:lineRule="auto"/>
        <w:tabs>
          <w:tab w:leader="none" w:pos="2365" w:val="left"/>
        </w:tabs>
        <w:numPr>
          <w:ilvl w:val="1"/>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term sheet or prospectus subject to completion provided by the Company to the Underwriters for use in connection with the offering and sale of the Securities pursuant to Rule 434 under the Act together are not materially different from the prospectus included in the Registration Statement (exclusive of any information deemed a part thereof by virtue of Rule 434(d)). The documents incorporated or deemed to be incorporated by reference in the Prospectus pursuant to Item 12 of Form S-3 under the Act, at the time they were, or hereafter are, filed with the Commission, complied and will comply in all material respects with the requirements of the Exchange Act, and, when read together with other information in the Prospectus, at the time the Registration Statement became effective and as of the Closing Date and, if later, the Option Closing Date, and during the period specified in Section 5(e), did not and will not contain an untrue statement of a material fact or omit to state a material fact required to be stated therein or necessary to make the statements therein, in the light of the circumstances under which they were made, not misleading.</w:t>
      </w:r>
    </w:p>
    <w:p>
      <w:pPr>
        <w:spacing w:after="0" w:line="185" w:lineRule="exact"/>
        <w:rPr>
          <w:rFonts w:ascii="Courier New" w:cs="Courier New" w:eastAsia="Courier New" w:hAnsi="Courier New"/>
          <w:sz w:val="15"/>
          <w:szCs w:val="15"/>
          <w:color w:val="auto"/>
        </w:rPr>
      </w:pPr>
    </w:p>
    <w:p>
      <w:pPr>
        <w:ind w:left="820" w:right="3039" w:firstLine="718"/>
        <w:spacing w:after="0" w:line="246" w:lineRule="auto"/>
        <w:tabs>
          <w:tab w:leader="none" w:pos="2365" w:val="left"/>
        </w:tabs>
        <w:numPr>
          <w:ilvl w:val="1"/>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preliminary prospectus filed as part of the registration statement as originally filed or as part of any amendment thereto, or filed pursuant to Rule 424 under the Act, and each Rule 462(b) Registration Statement, if any, complied when so filed in all material respects with the Act; and did not contain an untrue statement of a material fact or omit to 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UNDERWRITING AGREEMENT -- CONVERTIBLE SUBORDINATED NOTES</w:t>
      </w:r>
    </w:p>
    <w:p>
      <w:pPr>
        <w:spacing w:after="0" w:line="5"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- 7 -</w:t>
      </w:r>
    </w:p>
    <w:p>
      <w:pPr>
        <w:sectPr>
          <w:pgSz w:w="11900" w:h="16838" w:orient="portrait"/>
          <w:cols w:equalWidth="0" w:num="1">
            <w:col w:w="10219"/>
          </w:cols>
          <w:pgMar w:left="240" w:top="293" w:right="1440" w:bottom="1440" w:gutter="0" w:footer="0" w:header="0"/>
        </w:sectPr>
      </w:pPr>
    </w:p>
    <w:bookmarkStart w:id="35" w:name="page36"/>
    <w:bookmarkEnd w:id="35"/>
    <w:p>
      <w:pPr>
        <w:spacing w:after="0"/>
        <w:rPr>
          <w:sz w:val="20"/>
          <w:szCs w:val="20"/>
          <w:color w:val="auto"/>
        </w:rPr>
      </w:pPr>
      <w:r>
        <w:rPr>
          <w:rFonts w:ascii="Courier New" w:cs="Courier New" w:eastAsia="Courier New" w:hAnsi="Courier New"/>
          <w:sz w:val="15"/>
          <w:szCs w:val="15"/>
          <w:color w:val="auto"/>
        </w:rPr>
        <w:t>8</w:t>
      </w:r>
    </w:p>
    <w:p>
      <w:pPr>
        <w:spacing w:after="0" w:line="5" w:lineRule="exact"/>
        <w:rPr>
          <w:sz w:val="20"/>
          <w:szCs w:val="20"/>
          <w:color w:val="auto"/>
        </w:rPr>
      </w:pPr>
    </w:p>
    <w:p>
      <w:pPr>
        <w:jc w:val="both"/>
        <w:ind w:left="560" w:right="3039"/>
        <w:spacing w:after="0" w:line="247" w:lineRule="auto"/>
        <w:rPr>
          <w:sz w:val="20"/>
          <w:szCs w:val="20"/>
          <w:color w:val="auto"/>
        </w:rPr>
      </w:pPr>
      <w:r>
        <w:rPr>
          <w:rFonts w:ascii="Courier New" w:cs="Courier New" w:eastAsia="Courier New" w:hAnsi="Courier New"/>
          <w:sz w:val="15"/>
          <w:szCs w:val="15"/>
          <w:color w:val="auto"/>
        </w:rPr>
        <w:t>a material fact required to be stated therein or necessary to make the statements therein, in the light of the circumstances under which they were made, not misleading.</w:t>
      </w:r>
    </w:p>
    <w:p>
      <w:pPr>
        <w:spacing w:after="0" w:line="174" w:lineRule="exact"/>
        <w:rPr>
          <w:sz w:val="20"/>
          <w:szCs w:val="20"/>
          <w:color w:val="auto"/>
        </w:rPr>
      </w:pPr>
    </w:p>
    <w:p>
      <w:pPr>
        <w:ind w:left="560" w:right="3139" w:firstLine="718"/>
        <w:spacing w:after="0" w:line="246" w:lineRule="auto"/>
        <w:tabs>
          <w:tab w:leader="none" w:pos="2105"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Annex I is an accurate and complete list of all subsidiaries of the Company (the "Material Subsidiaries") which accounted for more than $70.0 million of revenues during fiscal 1996 or which, as of December 31, 1996, had assets in excess of $125.0 million. The Company and each of its subsidiaries has been duly incorporated, is validly existing as a corporation in good standing under the laws of its jurisdiction of incorporation and has the corporate power and authority to carry on its business as it is currently being conducted and to own, lease and operate its properties, and each is duly qualified and is in good standing as a foreign corporation authorized to do business in each jurisdiction in which the nature of its business or its ownership or leasing of property requires such qualification, except where the failure to be so qualified would not have a material adverse effect on the Company and its subsidiaries, taken as a whole.</w:t>
      </w:r>
    </w:p>
    <w:p>
      <w:pPr>
        <w:spacing w:after="0" w:line="183" w:lineRule="exact"/>
        <w:rPr>
          <w:rFonts w:ascii="Courier New" w:cs="Courier New" w:eastAsia="Courier New" w:hAnsi="Courier New"/>
          <w:sz w:val="15"/>
          <w:szCs w:val="15"/>
          <w:color w:val="auto"/>
        </w:rPr>
      </w:pPr>
    </w:p>
    <w:p>
      <w:pPr>
        <w:ind w:left="560" w:right="3039" w:firstLine="718"/>
        <w:spacing w:after="0" w:line="246" w:lineRule="auto"/>
        <w:tabs>
          <w:tab w:leader="none" w:pos="2105"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of the outstanding shares of capital stock of, or other ownership interests in, each of the Company's subsidiaries have been duly authorized and validly issued and are fully paid and non-assessable, and are owned by the Company, free and clear of any security interest, claim, lien, encumbrance or adverse interest of any nature (other than liens created under the Credit Facility (as defined in the Registration Statement)).</w:t>
      </w:r>
    </w:p>
    <w:p>
      <w:pPr>
        <w:spacing w:after="0" w:line="179" w:lineRule="exact"/>
        <w:rPr>
          <w:rFonts w:ascii="Courier New" w:cs="Courier New" w:eastAsia="Courier New" w:hAnsi="Courier New"/>
          <w:sz w:val="15"/>
          <w:szCs w:val="15"/>
          <w:color w:val="auto"/>
        </w:rPr>
      </w:pPr>
    </w:p>
    <w:p>
      <w:pPr>
        <w:ind w:left="560" w:right="3039" w:firstLine="718"/>
        <w:spacing w:after="0" w:line="246" w:lineRule="auto"/>
        <w:tabs>
          <w:tab w:leader="none" w:pos="2105"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the outstanding shares of capital stock of the Company have been duly authorized and validly issued and are fully paid, non-assessable and not subject to any preemptive or similar rights; and the shares of Common Stock issuable upon conversion of the Securities have been duly authorized and, when issued and delivered upon conversion of the Securities in accordance with their terms, will be validly issued, fully paid and non-assessable, and the issuance of such shares of Common Stock will not be subject to any preemptive or similar rights. Upon payment of the Purchase Price and delivery of certificates representing the Securities, each of the Underwriters will receive the Securities free and clear of all liens, security interests or encumbrances.</w:t>
      </w:r>
    </w:p>
    <w:p>
      <w:pPr>
        <w:spacing w:after="0" w:line="182" w:lineRule="exact"/>
        <w:rPr>
          <w:rFonts w:ascii="Courier New" w:cs="Courier New" w:eastAsia="Courier New" w:hAnsi="Courier New"/>
          <w:sz w:val="15"/>
          <w:szCs w:val="15"/>
          <w:color w:val="auto"/>
        </w:rPr>
      </w:pPr>
    </w:p>
    <w:p>
      <w:pPr>
        <w:ind w:left="560" w:right="3039" w:firstLine="718"/>
        <w:spacing w:after="0" w:line="246" w:lineRule="auto"/>
        <w:tabs>
          <w:tab w:leader="none" w:pos="2105"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Securities have been duly authorized and, when executed and authenticated in accordance with the provisions of the Indenture and delivered to the Underwriters against payment therefor as provided by this Agreement, will be entitled to the benefits of the Indenture, and will be valid and binding obligations of the Company, enforceable in accordance with their terms except as (i) the enforceability thereof may be limited by bankruptcy, insolvency or similar laws affecting creditors' rights generally and (ii) rights of acceleration and the availability of equitable remedies may be limited by equitable principles of general applicability.</w:t>
      </w:r>
    </w:p>
    <w:p>
      <w:pPr>
        <w:spacing w:after="0" w:line="180" w:lineRule="exact"/>
        <w:rPr>
          <w:rFonts w:ascii="Courier New" w:cs="Courier New" w:eastAsia="Courier New" w:hAnsi="Courier New"/>
          <w:sz w:val="15"/>
          <w:szCs w:val="15"/>
          <w:color w:val="auto"/>
        </w:rPr>
      </w:pPr>
    </w:p>
    <w:p>
      <w:pPr>
        <w:ind w:left="560" w:right="3039" w:firstLine="718"/>
        <w:spacing w:after="0" w:line="246" w:lineRule="auto"/>
        <w:tabs>
          <w:tab w:leader="none" w:pos="2105"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has been duly authorized, executed and delivered by the Company and is a valid and binding agreement of the Company enforceable in accordance with its terms (except as enforcement of rights to indemnity and contribution hereunder may be limited by applicable laws or principles of public policy and subject to the qualifications that the enforceability of the Company's obligations hereunder may be limited by bankruptcy, insolvency, reorganization, or other laws relating to or affecting creditors' rights generally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UNDERWRITING AGREEMENT -- CONVERTIBLE SUBORDINATED NOTES</w:t>
      </w:r>
    </w:p>
    <w:p>
      <w:pPr>
        <w:spacing w:after="0" w:line="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- 8 -</w:t>
      </w:r>
    </w:p>
    <w:p>
      <w:pPr>
        <w:sectPr>
          <w:pgSz w:w="11900" w:h="16838" w:orient="portrait"/>
          <w:cols w:equalWidth="0" w:num="1">
            <w:col w:w="9959"/>
          </w:cols>
          <w:pgMar w:left="500" w:top="293" w:right="1440" w:bottom="1440" w:gutter="0" w:footer="0" w:header="0"/>
        </w:sectPr>
      </w:pPr>
    </w:p>
    <w:bookmarkStart w:id="36" w:name="page37"/>
    <w:bookmarkEnd w:id="36"/>
    <w:p>
      <w:pPr>
        <w:spacing w:after="0"/>
        <w:rPr>
          <w:sz w:val="20"/>
          <w:szCs w:val="20"/>
          <w:color w:val="auto"/>
        </w:rPr>
      </w:pPr>
      <w:r>
        <w:rPr>
          <w:rFonts w:ascii="Courier New" w:cs="Courier New" w:eastAsia="Courier New" w:hAnsi="Courier New"/>
          <w:sz w:val="15"/>
          <w:szCs w:val="15"/>
          <w:color w:val="auto"/>
        </w:rPr>
        <w:t>9</w:t>
      </w:r>
    </w:p>
    <w:p>
      <w:pPr>
        <w:spacing w:after="0" w:line="5" w:lineRule="exact"/>
        <w:rPr>
          <w:sz w:val="20"/>
          <w:szCs w:val="20"/>
          <w:color w:val="auto"/>
        </w:rPr>
      </w:pPr>
    </w:p>
    <w:p>
      <w:pPr>
        <w:ind w:left="560" w:right="3419"/>
        <w:spacing w:after="0" w:line="247" w:lineRule="auto"/>
        <w:rPr>
          <w:sz w:val="20"/>
          <w:szCs w:val="20"/>
          <w:color w:val="auto"/>
        </w:rPr>
      </w:pPr>
      <w:r>
        <w:rPr>
          <w:rFonts w:ascii="Courier New" w:cs="Courier New" w:eastAsia="Courier New" w:hAnsi="Courier New"/>
          <w:sz w:val="15"/>
          <w:szCs w:val="15"/>
          <w:color w:val="auto"/>
        </w:rPr>
        <w:t>by general principles of equity, regardless of whether such enforceability is considered in a proceeding in equity or at law).</w:t>
      </w:r>
    </w:p>
    <w:p>
      <w:pPr>
        <w:spacing w:after="0" w:line="175" w:lineRule="exact"/>
        <w:rPr>
          <w:sz w:val="20"/>
          <w:szCs w:val="20"/>
          <w:color w:val="auto"/>
        </w:rPr>
      </w:pPr>
    </w:p>
    <w:p>
      <w:pPr>
        <w:ind w:left="560" w:right="3039" w:firstLine="718"/>
        <w:spacing w:after="0" w:line="246" w:lineRule="auto"/>
        <w:tabs>
          <w:tab w:leader="none" w:pos="2105"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Indenture has been duly qualified under the Trust Indenture Act of 1939, as amended, and has been duly authorized, executed and delivered by the Company and is a valid and binding agreement of the Company, enforceable in accordance with its terms except as (i) the enforceability thereof may be limited by bankruptcy, insolvency or similar laws creditors' rights generally and (ii) rights of acceleration and the availability of equitable remedies may be limited by equitable principles of general applicability.</w:t>
      </w:r>
    </w:p>
    <w:p>
      <w:pPr>
        <w:spacing w:after="0" w:line="179" w:lineRule="exact"/>
        <w:rPr>
          <w:rFonts w:ascii="Courier New" w:cs="Courier New" w:eastAsia="Courier New" w:hAnsi="Courier New"/>
          <w:sz w:val="15"/>
          <w:szCs w:val="15"/>
          <w:color w:val="auto"/>
        </w:rPr>
      </w:pPr>
    </w:p>
    <w:p>
      <w:pPr>
        <w:ind w:left="560" w:right="3419" w:firstLine="718"/>
        <w:spacing w:after="0" w:line="247" w:lineRule="auto"/>
        <w:tabs>
          <w:tab w:leader="none" w:pos="2105"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Securities conform as to legal matters to the description thereof contained in the Prospectus.</w:t>
      </w:r>
    </w:p>
    <w:p>
      <w:pPr>
        <w:spacing w:after="0" w:line="174" w:lineRule="exact"/>
        <w:rPr>
          <w:rFonts w:ascii="Courier New" w:cs="Courier New" w:eastAsia="Courier New" w:hAnsi="Courier New"/>
          <w:sz w:val="15"/>
          <w:szCs w:val="15"/>
          <w:color w:val="auto"/>
        </w:rPr>
      </w:pPr>
    </w:p>
    <w:p>
      <w:pPr>
        <w:ind w:left="560" w:right="3679" w:firstLine="718"/>
        <w:spacing w:after="0" w:line="247" w:lineRule="auto"/>
        <w:tabs>
          <w:tab w:leader="none" w:pos="2105"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authorized capital stock of the Company, including the Common Stock, conforms as to legal matters to the description thereof included in the Prospectus.</w:t>
      </w:r>
    </w:p>
    <w:p>
      <w:pPr>
        <w:spacing w:after="0" w:line="174" w:lineRule="exact"/>
        <w:rPr>
          <w:rFonts w:ascii="Courier New" w:cs="Courier New" w:eastAsia="Courier New" w:hAnsi="Courier New"/>
          <w:sz w:val="15"/>
          <w:szCs w:val="15"/>
          <w:color w:val="auto"/>
        </w:rPr>
      </w:pPr>
    </w:p>
    <w:p>
      <w:pPr>
        <w:ind w:left="560" w:right="3039" w:firstLine="718"/>
        <w:spacing w:after="0" w:line="246" w:lineRule="auto"/>
        <w:tabs>
          <w:tab w:leader="none" w:pos="2105"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nor any of its subsidiaries is in violation of its respective charter or by-laws or in default in the performance of any obligation, agreement or condition contained in any bond, debenture, note or any other evidence of indebtedness or in any other agreement, indenture or instrument material to the conduct of the business of the Company and its subsidiaries, taken as a whole, to which the Company or any of its subsidiaries is a party or by which it or any of its subsidiaries or their respective property is bound.</w:t>
      </w:r>
    </w:p>
    <w:p>
      <w:pPr>
        <w:spacing w:after="0" w:line="179" w:lineRule="exact"/>
        <w:rPr>
          <w:rFonts w:ascii="Courier New" w:cs="Courier New" w:eastAsia="Courier New" w:hAnsi="Courier New"/>
          <w:sz w:val="15"/>
          <w:szCs w:val="15"/>
          <w:color w:val="auto"/>
        </w:rPr>
      </w:pPr>
    </w:p>
    <w:p>
      <w:pPr>
        <w:ind w:left="560" w:right="3039" w:firstLine="718"/>
        <w:spacing w:after="0" w:line="246" w:lineRule="auto"/>
        <w:tabs>
          <w:tab w:leader="none" w:pos="2105"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delivery and performance of this Agreement, the Indenture and the Securities and compliance by the Company with all the provisions hereof and thereof and the consummation of the transactions contemplated hereby and thereby will not require any consent, approval, authorization or order of any court, regulatory body, administrative agency or other governmental body (except such as may be required under the securities or Blue Sky laws of the various states or jurisdictions outside the United States) and will not conflict with or constitute a breach of any of the terms or provisions of, or a default under, the charter or by-laws of the Company or any of its subsidiaries or any agreement, indenture or other instrument to which it or any of its subsidiaries is a party or by which it or any of its subsidiaries or their respective property is bound, or violate or conflict with any laws, administrative regulations or rulings or court decrees applicable to the Company, any of its subsidiaries or their respective property.</w:t>
      </w:r>
    </w:p>
    <w:p>
      <w:pPr>
        <w:spacing w:after="0" w:line="184" w:lineRule="exact"/>
        <w:rPr>
          <w:rFonts w:ascii="Courier New" w:cs="Courier New" w:eastAsia="Courier New" w:hAnsi="Courier New"/>
          <w:sz w:val="15"/>
          <w:szCs w:val="15"/>
          <w:color w:val="auto"/>
        </w:rPr>
      </w:pPr>
    </w:p>
    <w:p>
      <w:pPr>
        <w:ind w:left="560" w:right="3039" w:firstLine="718"/>
        <w:spacing w:after="0" w:line="246" w:lineRule="auto"/>
        <w:tabs>
          <w:tab w:leader="none" w:pos="2105"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set forth in the Prospectus, there are no material legal or governmental proceedings pending to which the Company or any of its subsidiaries is a party or of which any of their respective property is the subject, and, to the Company's knowledge, no such proceedings are threatened or contemplated. No material development has occurred with respect to the legal proceedings described in the Registration Statement. No contract or document of a character required to be described in the Registration Statement or the Prospectus or to be filed as an exhibit to the Registration Statement is not so described or filed as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UNDERWRITING AGREEMEN -- CONVERTIBLE SUBORDINATED NOTES</w:t>
      </w:r>
    </w:p>
    <w:p>
      <w:pPr>
        <w:spacing w:after="0" w:line="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- 9 -</w:t>
      </w:r>
    </w:p>
    <w:p>
      <w:pPr>
        <w:sectPr>
          <w:pgSz w:w="11900" w:h="16838" w:orient="portrait"/>
          <w:cols w:equalWidth="0" w:num="1">
            <w:col w:w="9959"/>
          </w:cols>
          <w:pgMar w:left="500" w:top="293" w:right="1440" w:bottom="1440" w:gutter="0" w:footer="0" w:header="0"/>
        </w:sectPr>
      </w:pPr>
    </w:p>
    <w:bookmarkStart w:id="37" w:name="page38"/>
    <w:bookmarkEnd w:id="37"/>
    <w:p>
      <w:pPr>
        <w:spacing w:after="0"/>
        <w:rPr>
          <w:sz w:val="20"/>
          <w:szCs w:val="20"/>
          <w:color w:val="auto"/>
        </w:rPr>
      </w:pPr>
      <w:r>
        <w:rPr>
          <w:rFonts w:ascii="Courier New" w:cs="Courier New" w:eastAsia="Courier New" w:hAnsi="Courier New"/>
          <w:sz w:val="15"/>
          <w:szCs w:val="15"/>
          <w:color w:val="auto"/>
        </w:rPr>
        <w:t>10</w:t>
      </w:r>
    </w:p>
    <w:p>
      <w:pPr>
        <w:spacing w:after="0" w:line="5" w:lineRule="exact"/>
        <w:rPr>
          <w:sz w:val="20"/>
          <w:szCs w:val="20"/>
          <w:color w:val="auto"/>
        </w:rPr>
      </w:pPr>
    </w:p>
    <w:p>
      <w:pPr>
        <w:ind w:left="560" w:right="3039" w:firstLine="718"/>
        <w:spacing w:after="0" w:line="246" w:lineRule="auto"/>
        <w:tabs>
          <w:tab w:leader="none" w:pos="2105"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nor any of its subsidiaries has violated any foreign, federal, state or local law or regulation relating to the protection of human health and safety, the environment or hazardous or toxic substances or wastes, pollutants or contaminants ("Environmental Laws"), nor any federal or state law relating to discrimination in the hiring, promotion or pay of employees nor any applicable federal or state wages and hours laws, nor any provisions of the Employee Retirement Income Security Act or the rules and regulations promulgated thereunder, which in each case might result in any material adverse change in the business, prospects, financial condition or results of operation of the Company and its subsidiaries, taken as a whole.</w:t>
      </w:r>
    </w:p>
    <w:p>
      <w:pPr>
        <w:spacing w:after="0" w:line="182" w:lineRule="exact"/>
        <w:rPr>
          <w:rFonts w:ascii="Courier New" w:cs="Courier New" w:eastAsia="Courier New" w:hAnsi="Courier New"/>
          <w:sz w:val="15"/>
          <w:szCs w:val="15"/>
          <w:color w:val="auto"/>
        </w:rPr>
      </w:pPr>
    </w:p>
    <w:p>
      <w:pPr>
        <w:ind w:left="560" w:right="3039" w:firstLine="718"/>
        <w:spacing w:after="0" w:line="246" w:lineRule="auto"/>
        <w:tabs>
          <w:tab w:leader="none" w:pos="2105"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each of its subsidiaries has such permits, licenses, franchises and authorizations of governmental or regulatory authorities ("permits"), including, without limitation, under any applicable Environmental Laws, as are necessary to own, lease and operate its respective properties and to conduct its business as currently being conducted and as the Company expects it to be conducted except where the failure to have such permits would not have a material adverse effect on the Company and its subsidiaries, taken as a whole; the Company and each of its subsidiaries has fulfilled and performed all of its material obligations with respect to such permits and no event has occurred which allows, or after notice or lapse of time would allow, revocation or termination thereof or results in any other material impairment of the rights of the holder of any such permit; and, except as described in the Prospectus, such permits contain no restrictions that are materially burdensome to the Company or any of its subsidiaries.</w:t>
      </w:r>
    </w:p>
    <w:p>
      <w:pPr>
        <w:spacing w:after="0" w:line="184" w:lineRule="exact"/>
        <w:rPr>
          <w:rFonts w:ascii="Courier New" w:cs="Courier New" w:eastAsia="Courier New" w:hAnsi="Courier New"/>
          <w:sz w:val="15"/>
          <w:szCs w:val="15"/>
          <w:color w:val="auto"/>
        </w:rPr>
      </w:pPr>
    </w:p>
    <w:p>
      <w:pPr>
        <w:ind w:left="560" w:right="3039" w:firstLine="718"/>
        <w:spacing w:after="0" w:line="246" w:lineRule="auto"/>
        <w:tabs>
          <w:tab w:leader="none" w:pos="2105"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ordinary course of its business, the Company conducts a periodic review of the effect of Environmental Laws on the business, operations and properties of the Company and its subsidiaries, in the course of which it identifies and evaluates associated costs and liabilities (including, without limitation, any capital or operating expenditures required for clean-up, closure of properties or compliance with Environmental Laws or any permit, license or approval, any related constraints on operating activities and any potential liabilities to third parties). On the basis of such review, the Company has reasonably concluded that such associated costs and liabilities would not, except to the extent properly accrued for in the Company's financial statements, singly or in the aggregate, have a material adverse effect on the Company and its subsidiaries, taken as a whole.</w:t>
      </w:r>
    </w:p>
    <w:p>
      <w:pPr>
        <w:spacing w:after="0" w:line="183" w:lineRule="exact"/>
        <w:rPr>
          <w:rFonts w:ascii="Courier New" w:cs="Courier New" w:eastAsia="Courier New" w:hAnsi="Courier New"/>
          <w:sz w:val="15"/>
          <w:szCs w:val="15"/>
          <w:color w:val="auto"/>
        </w:rPr>
      </w:pPr>
    </w:p>
    <w:p>
      <w:pPr>
        <w:ind w:left="560" w:right="3039" w:firstLine="718"/>
        <w:spacing w:after="0" w:line="246" w:lineRule="auto"/>
        <w:tabs>
          <w:tab w:leader="none" w:pos="2105"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set forth in the Prospectus or such as are not material to the business, prospects, financial condition or results of operation of the Company and its subsidiaries, taken as a whole, the Company and each of its subsidiaries has good and marketable title, free and clear of all liens, claims, encumbrances and restrictions except liens for taxes not yet due and payable, to all property and assets described in the Registration Statement as being owned by it. All leases to which the Company or any of its subsidiaries is a party are valid and binding and no default has occurred or is continuing thereunder that might result in any material adverse change in the business, prospects, financial condition or results of operations of the Company and its subsidiaries taken as a whole, and the Company and its subsidiaries enjoy peaceful and undisturbed possession under all such leases to which any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UNDERWRITING AGREEMENT -- CONVERTIBLE SUBORDINATED NOTES</w:t>
      </w:r>
    </w:p>
    <w:p>
      <w:pPr>
        <w:spacing w:after="0" w:line="5"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- 10 -</w:t>
      </w:r>
    </w:p>
    <w:p>
      <w:pPr>
        <w:sectPr>
          <w:pgSz w:w="11900" w:h="16838" w:orient="portrait"/>
          <w:cols w:equalWidth="0" w:num="1">
            <w:col w:w="9959"/>
          </w:cols>
          <w:pgMar w:left="500" w:top="293" w:right="1440" w:bottom="1440" w:gutter="0" w:footer="0" w:header="0"/>
        </w:sectPr>
      </w:pPr>
    </w:p>
    <w:bookmarkStart w:id="38" w:name="page39"/>
    <w:bookmarkEnd w:id="38"/>
    <w:p>
      <w:pPr>
        <w:spacing w:after="0"/>
        <w:rPr>
          <w:sz w:val="20"/>
          <w:szCs w:val="20"/>
          <w:color w:val="auto"/>
        </w:rPr>
      </w:pPr>
      <w:r>
        <w:rPr>
          <w:rFonts w:ascii="Courier New" w:cs="Courier New" w:eastAsia="Courier New" w:hAnsi="Courier New"/>
          <w:sz w:val="15"/>
          <w:szCs w:val="15"/>
          <w:color w:val="auto"/>
        </w:rPr>
        <w:t>11</w:t>
      </w:r>
    </w:p>
    <w:p>
      <w:pPr>
        <w:spacing w:after="0" w:line="5" w:lineRule="exact"/>
        <w:rPr>
          <w:sz w:val="20"/>
          <w:szCs w:val="20"/>
          <w:color w:val="auto"/>
        </w:rPr>
      </w:pPr>
    </w:p>
    <w:p>
      <w:pPr>
        <w:ind w:left="560" w:right="3319"/>
        <w:spacing w:after="0" w:line="247" w:lineRule="auto"/>
        <w:rPr>
          <w:sz w:val="20"/>
          <w:szCs w:val="20"/>
          <w:color w:val="auto"/>
        </w:rPr>
      </w:pPr>
      <w:r>
        <w:rPr>
          <w:rFonts w:ascii="Courier New" w:cs="Courier New" w:eastAsia="Courier New" w:hAnsi="Courier New"/>
          <w:sz w:val="15"/>
          <w:szCs w:val="15"/>
          <w:color w:val="auto"/>
        </w:rPr>
        <w:t>them is a party as lessee with such exceptions as do not materially interfere with the use made by the Company or such subsidiary.</w:t>
      </w:r>
    </w:p>
    <w:p>
      <w:pPr>
        <w:spacing w:after="0" w:line="175" w:lineRule="exact"/>
        <w:rPr>
          <w:sz w:val="20"/>
          <w:szCs w:val="20"/>
          <w:color w:val="auto"/>
        </w:rPr>
      </w:pPr>
    </w:p>
    <w:p>
      <w:pPr>
        <w:ind w:left="560" w:right="3319" w:firstLine="718"/>
        <w:spacing w:after="0" w:line="247" w:lineRule="auto"/>
        <w:tabs>
          <w:tab w:leader="none" w:pos="2105"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each of its subsidiaries maintains insurance as is customary in the industry.</w:t>
      </w:r>
    </w:p>
    <w:p>
      <w:pPr>
        <w:spacing w:after="0" w:line="174" w:lineRule="exact"/>
        <w:rPr>
          <w:rFonts w:ascii="Courier New" w:cs="Courier New" w:eastAsia="Courier New" w:hAnsi="Courier New"/>
          <w:sz w:val="15"/>
          <w:szCs w:val="15"/>
          <w:color w:val="auto"/>
        </w:rPr>
      </w:pPr>
    </w:p>
    <w:p>
      <w:pPr>
        <w:ind w:left="560" w:right="3039" w:firstLine="718"/>
        <w:spacing w:after="0" w:line="246" w:lineRule="auto"/>
        <w:tabs>
          <w:tab w:leader="none" w:pos="2105"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Coopers &amp; Lybrand LLP, Deloitte &amp; Touche LLP, Arthur Andersen LLP, Ernst &amp; Young LLP, Deloitte &amp; Touche Chartered Accountants, Kaplan Sipos &amp; Associates, Blake, Kuehler, Babione &amp; Pool, Buckno Lisicky &amp; Company and Osborn, Henning and Company are independent public accountants with respect to the Company as required by the Act.</w:t>
      </w:r>
    </w:p>
    <w:p>
      <w:pPr>
        <w:spacing w:after="0" w:line="178" w:lineRule="exact"/>
        <w:rPr>
          <w:rFonts w:ascii="Courier New" w:cs="Courier New" w:eastAsia="Courier New" w:hAnsi="Courier New"/>
          <w:sz w:val="15"/>
          <w:szCs w:val="15"/>
          <w:color w:val="auto"/>
        </w:rPr>
      </w:pPr>
    </w:p>
    <w:p>
      <w:pPr>
        <w:ind w:left="560" w:right="3039" w:firstLine="718"/>
        <w:spacing w:after="0" w:line="246" w:lineRule="auto"/>
        <w:tabs>
          <w:tab w:leader="none" w:pos="2105"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financial statements, together with related schedules and notes, forming part of the Registration Statement and the Prospectus (and any amendment or supplement thereto), present fairly the consolidated financial position, results of operations and changes in financial position of the Company and its subsidiaries on the basis stated in the Registration Statement at the respective dates or for the respective periods to which they apply; such statements and related schedules and notes have been prepared in accordance with generally accepted accounting principles consistently applied throughout the periods involved, except as disclosed therein; and the other financial and statistical information and data set forth in the Registration Statement and the Prospectus (and any amendment or supplement thereto) is, in all material respects, accurately presented and prepared on a basis consistent with such financial statements and the books and records of the Company. No other financial statements or schedules are required by the Act or the Exchange Act to be included in the Registration Statement or the Prospectus.</w:t>
      </w:r>
    </w:p>
    <w:p>
      <w:pPr>
        <w:spacing w:after="0" w:line="185" w:lineRule="exact"/>
        <w:rPr>
          <w:rFonts w:ascii="Courier New" w:cs="Courier New" w:eastAsia="Courier New" w:hAnsi="Courier New"/>
          <w:sz w:val="15"/>
          <w:szCs w:val="15"/>
          <w:color w:val="auto"/>
        </w:rPr>
      </w:pPr>
    </w:p>
    <w:p>
      <w:pPr>
        <w:ind w:left="560" w:right="3139" w:firstLine="718"/>
        <w:spacing w:after="0" w:line="247" w:lineRule="auto"/>
        <w:tabs>
          <w:tab w:leader="none" w:pos="2105"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not an "investment company" or a company "controlled" by an "investment company" within the meaning of the Investment Company Act of 1940, as amended.</w:t>
      </w:r>
    </w:p>
    <w:p>
      <w:pPr>
        <w:spacing w:after="0" w:line="174" w:lineRule="exact"/>
        <w:rPr>
          <w:rFonts w:ascii="Courier New" w:cs="Courier New" w:eastAsia="Courier New" w:hAnsi="Courier New"/>
          <w:sz w:val="15"/>
          <w:szCs w:val="15"/>
          <w:color w:val="auto"/>
        </w:rPr>
      </w:pPr>
    </w:p>
    <w:p>
      <w:pPr>
        <w:ind w:left="560" w:right="3219" w:firstLine="718"/>
        <w:spacing w:after="0" w:line="246" w:lineRule="auto"/>
        <w:tabs>
          <w:tab w:leader="none" w:pos="2105"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holder of any security of the Company has any right to require registration of shares of Common Stock or any other security of the Company because of the filing of the Registration Statement, which has not been waived.</w:t>
      </w:r>
    </w:p>
    <w:p>
      <w:pPr>
        <w:spacing w:after="0" w:line="177" w:lineRule="exact"/>
        <w:rPr>
          <w:rFonts w:ascii="Courier New" w:cs="Courier New" w:eastAsia="Courier New" w:hAnsi="Courier New"/>
          <w:sz w:val="15"/>
          <w:szCs w:val="15"/>
          <w:color w:val="auto"/>
        </w:rPr>
      </w:pPr>
    </w:p>
    <w:p>
      <w:pPr>
        <w:ind w:left="560" w:right="3039" w:firstLine="718"/>
        <w:spacing w:after="0" w:line="247" w:lineRule="auto"/>
        <w:tabs>
          <w:tab w:leader="none" w:pos="2105"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are duly authorized for listing on the New York Stock Exchange, subject to official notice of issuance.</w:t>
      </w:r>
    </w:p>
    <w:p>
      <w:pPr>
        <w:spacing w:after="0" w:line="174" w:lineRule="exact"/>
        <w:rPr>
          <w:rFonts w:ascii="Courier New" w:cs="Courier New" w:eastAsia="Courier New" w:hAnsi="Courier New"/>
          <w:sz w:val="15"/>
          <w:szCs w:val="15"/>
          <w:color w:val="auto"/>
        </w:rPr>
      </w:pPr>
    </w:p>
    <w:p>
      <w:pPr>
        <w:ind w:left="560" w:right="3039" w:firstLine="718"/>
        <w:spacing w:after="0" w:line="246" w:lineRule="auto"/>
        <w:tabs>
          <w:tab w:leader="none" w:pos="2105"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filed a registration statement pursuant to Section 12(b) of the Exchange Act, to register the Securities and has filed an application to list the Securities and the shares of common stock into which the Securities are convertible on the New York Stock Exchange and has received notification that the listings have been approved, subject to notice of issuance.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UNDERWRITING AGREEMENT -- CONVERTIBLE SUBORDINATED NOTES</w:t>
      </w:r>
    </w:p>
    <w:p>
      <w:pPr>
        <w:spacing w:after="0" w:line="5"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- 11 -</w:t>
      </w:r>
    </w:p>
    <w:p>
      <w:pPr>
        <w:sectPr>
          <w:pgSz w:w="11900" w:h="16838" w:orient="portrait"/>
          <w:cols w:equalWidth="0" w:num="1">
            <w:col w:w="9959"/>
          </w:cols>
          <w:pgMar w:left="500" w:top="293" w:right="1440" w:bottom="1440" w:gutter="0" w:footer="0" w:header="0"/>
        </w:sectPr>
      </w:pPr>
    </w:p>
    <w:bookmarkStart w:id="39" w:name="page40"/>
    <w:bookmarkEnd w:id="39"/>
    <w:p>
      <w:pPr>
        <w:spacing w:after="0"/>
        <w:rPr>
          <w:sz w:val="20"/>
          <w:szCs w:val="20"/>
          <w:color w:val="auto"/>
        </w:rPr>
      </w:pPr>
      <w:r>
        <w:rPr>
          <w:rFonts w:ascii="Courier New" w:cs="Courier New" w:eastAsia="Courier New" w:hAnsi="Courier New"/>
          <w:sz w:val="15"/>
          <w:szCs w:val="15"/>
          <w:color w:val="auto"/>
        </w:rPr>
        <w:t>12</w:t>
      </w:r>
    </w:p>
    <w:p>
      <w:pPr>
        <w:spacing w:after="0" w:line="5" w:lineRule="exact"/>
        <w:rPr>
          <w:sz w:val="20"/>
          <w:szCs w:val="20"/>
          <w:color w:val="auto"/>
        </w:rPr>
      </w:pPr>
    </w:p>
    <w:p>
      <w:pPr>
        <w:ind w:left="560" w:right="3039" w:firstLine="718"/>
        <w:spacing w:after="0" w:line="246" w:lineRule="auto"/>
        <w:tabs>
          <w:tab w:leader="none" w:pos="2105" w:val="left"/>
        </w:tabs>
        <w:numPr>
          <w:ilvl w:val="1"/>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 outstanding subscriptions, rights, warrants, options, calls, convertible securities, commitments of sale or liens related to or entitling any person to purchase or otherwise to acquire any shares of the capital stock of, or other ownership interest in, the Company or any subsidiary thereof except as otherwise disclosed in the Registration Statement or Prospectus.</w:t>
      </w:r>
    </w:p>
    <w:p>
      <w:pPr>
        <w:spacing w:after="0" w:line="178" w:lineRule="exact"/>
        <w:rPr>
          <w:rFonts w:ascii="Courier New" w:cs="Courier New" w:eastAsia="Courier New" w:hAnsi="Courier New"/>
          <w:sz w:val="15"/>
          <w:szCs w:val="15"/>
          <w:color w:val="auto"/>
        </w:rPr>
      </w:pPr>
    </w:p>
    <w:p>
      <w:pPr>
        <w:ind w:left="560" w:right="3219" w:firstLine="718"/>
        <w:spacing w:after="0" w:line="247" w:lineRule="auto"/>
        <w:tabs>
          <w:tab w:leader="none" w:pos="2105" w:val="left"/>
        </w:tabs>
        <w:numPr>
          <w:ilvl w:val="1"/>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disclosed in the Prospectus, there are no business relationships or related party transactions required to be disclosed therein by Item 404 of Regulation S-K of the Commission.</w:t>
      </w:r>
    </w:p>
    <w:p>
      <w:pPr>
        <w:spacing w:after="0" w:line="174" w:lineRule="exact"/>
        <w:rPr>
          <w:rFonts w:ascii="Courier New" w:cs="Courier New" w:eastAsia="Courier New" w:hAnsi="Courier New"/>
          <w:sz w:val="15"/>
          <w:szCs w:val="15"/>
          <w:color w:val="auto"/>
        </w:rPr>
      </w:pPr>
    </w:p>
    <w:p>
      <w:pPr>
        <w:ind w:left="560" w:right="3139" w:firstLine="718"/>
        <w:spacing w:after="0" w:line="246" w:lineRule="auto"/>
        <w:tabs>
          <w:tab w:leader="none" w:pos="2105" w:val="left"/>
        </w:tabs>
        <w:numPr>
          <w:ilvl w:val="1"/>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is (i) no significant unfair labor practice complaint pending against the Company or any of its subsidiaries or, to the knowledge of the Company, threatened against any of them, before the National Labor Relations Board or any state or local labor relations board, and no significant grievance or significant arbitration proceeding arising out of or under any collective bargaining agreement is so pending against the Company or any of its subsidiaries or, to the best knowledge of the Company, threatened against any of them, and (ii) no significant strike, labor dispute, slowdown or stoppage pending against the Company or any of its subsidiaries or, to the best knowledge of the Company, threatened against it or any of its subsidiaries except for such actions specified in clause (i) or (ii) above, which, singly or in the aggregate could not reasonably be expected to have a material adverse effect on the Company and its subsidiaries, taken as a whole.</w:t>
      </w:r>
    </w:p>
    <w:p>
      <w:pPr>
        <w:spacing w:after="0" w:line="183" w:lineRule="exact"/>
        <w:rPr>
          <w:rFonts w:ascii="Courier New" w:cs="Courier New" w:eastAsia="Courier New" w:hAnsi="Courier New"/>
          <w:sz w:val="15"/>
          <w:szCs w:val="15"/>
          <w:color w:val="auto"/>
        </w:rPr>
      </w:pPr>
    </w:p>
    <w:p>
      <w:pPr>
        <w:ind w:left="560" w:right="3139" w:firstLine="718"/>
        <w:spacing w:after="0" w:line="246" w:lineRule="auto"/>
        <w:tabs>
          <w:tab w:leader="none" w:pos="2105" w:val="left"/>
        </w:tabs>
        <w:numPr>
          <w:ilvl w:val="1"/>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each of its subsidiaries maintains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generally accepted accounting principles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w:t>
      </w:r>
    </w:p>
    <w:p>
      <w:pPr>
        <w:spacing w:after="0" w:line="181" w:lineRule="exact"/>
        <w:rPr>
          <w:rFonts w:ascii="Courier New" w:cs="Courier New" w:eastAsia="Courier New" w:hAnsi="Courier New"/>
          <w:sz w:val="15"/>
          <w:szCs w:val="15"/>
          <w:color w:val="auto"/>
        </w:rPr>
      </w:pPr>
    </w:p>
    <w:p>
      <w:pPr>
        <w:ind w:left="560" w:right="3039" w:firstLine="718"/>
        <w:spacing w:after="0" w:line="246" w:lineRule="auto"/>
        <w:tabs>
          <w:tab w:leader="none" w:pos="2105" w:val="left"/>
        </w:tabs>
        <w:numPr>
          <w:ilvl w:val="1"/>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material tax returns required to be filed by the Company and each of its subsidiaries in any jurisdiction have been filed, other than those filings being contested in good faith, and all material taxes, including withholding taxes, penalties and interest, assessments, fees and other charges due pursuant to such returns or pursuant to any assessment received by the Company or any of its subsidiaries have been paid, other than those being contested in good faith and for which adequate reserves have been provided.</w:t>
      </w:r>
    </w:p>
    <w:p>
      <w:pPr>
        <w:spacing w:after="0" w:line="179" w:lineRule="exact"/>
        <w:rPr>
          <w:rFonts w:ascii="Courier New" w:cs="Courier New" w:eastAsia="Courier New" w:hAnsi="Courier New"/>
          <w:sz w:val="15"/>
          <w:szCs w:val="15"/>
          <w:color w:val="auto"/>
        </w:rPr>
      </w:pPr>
    </w:p>
    <w:p>
      <w:pPr>
        <w:ind w:left="560" w:right="3139" w:firstLine="718"/>
        <w:spacing w:after="0" w:line="246" w:lineRule="auto"/>
        <w:tabs>
          <w:tab w:leader="none" w:pos="2105" w:val="left"/>
        </w:tabs>
        <w:numPr>
          <w:ilvl w:val="1"/>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 to the respective dates as of which information is given in the Registration Statement and the Prospectus and prior to the Closing Date, or if later, the Option Closing Date</w:t>
      </w:r>
    </w:p>
    <w:p>
      <w:pPr>
        <w:spacing w:after="0" w:line="1" w:lineRule="exact"/>
        <w:rPr>
          <w:rFonts w:ascii="Courier New" w:cs="Courier New" w:eastAsia="Courier New" w:hAnsi="Courier New"/>
          <w:sz w:val="15"/>
          <w:szCs w:val="15"/>
          <w:color w:val="auto"/>
        </w:rPr>
      </w:pPr>
    </w:p>
    <w:p>
      <w:pPr>
        <w:ind w:left="560" w:right="3039" w:hanging="9"/>
        <w:spacing w:after="0" w:line="246" w:lineRule="auto"/>
        <w:tabs>
          <w:tab w:leader="none" w:pos="923"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has not been and will not have been, except as set forth in or as contemplated by the Registration Statement and the Prospectus any change in the capitalization, long term or short term debt or in the capital stock or equity of the Company or any of its subsidiaries,</w:t>
      </w:r>
    </w:p>
    <w:p>
      <w:pPr>
        <w:spacing w:after="0" w:line="2" w:lineRule="exact"/>
        <w:rPr>
          <w:rFonts w:ascii="Courier New" w:cs="Courier New" w:eastAsia="Courier New" w:hAnsi="Courier New"/>
          <w:sz w:val="15"/>
          <w:szCs w:val="15"/>
          <w:color w:val="auto"/>
        </w:rPr>
      </w:pPr>
    </w:p>
    <w:p>
      <w:pPr>
        <w:ind w:left="560" w:right="3139" w:hanging="9"/>
        <w:spacing w:after="0" w:line="247" w:lineRule="auto"/>
        <w:tabs>
          <w:tab w:leader="none" w:pos="1014"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nor any of its subsidiaries has incurred any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ind w:left="3100" w:right="4219" w:hanging="2453"/>
        <w:spacing w:after="0" w:line="247" w:lineRule="auto"/>
        <w:rPr>
          <w:sz w:val="20"/>
          <w:szCs w:val="20"/>
          <w:color w:val="auto"/>
        </w:rPr>
      </w:pPr>
      <w:r>
        <w:rPr>
          <w:rFonts w:ascii="Courier New" w:cs="Courier New" w:eastAsia="Courier New" w:hAnsi="Courier New"/>
          <w:sz w:val="15"/>
          <w:szCs w:val="15"/>
          <w:color w:val="auto"/>
        </w:rPr>
        <w:t>UNDERWRITING AGREEMENT -- CONVERTIBLE SUBORDINATED NOTES - 12 -</w:t>
      </w:r>
    </w:p>
    <w:p>
      <w:pPr>
        <w:sectPr>
          <w:pgSz w:w="11900" w:h="16838" w:orient="portrait"/>
          <w:cols w:equalWidth="0" w:num="1">
            <w:col w:w="9959"/>
          </w:cols>
          <w:pgMar w:left="500" w:top="293" w:right="1440" w:bottom="1440" w:gutter="0" w:footer="0" w:header="0"/>
        </w:sectPr>
      </w:pPr>
    </w:p>
    <w:bookmarkStart w:id="40" w:name="page41"/>
    <w:bookmarkEnd w:id="40"/>
    <w:p>
      <w:pPr>
        <w:ind w:left="260"/>
        <w:spacing w:after="0"/>
        <w:rPr>
          <w:sz w:val="20"/>
          <w:szCs w:val="20"/>
          <w:color w:val="auto"/>
        </w:rPr>
      </w:pPr>
      <w:r>
        <w:rPr>
          <w:rFonts w:ascii="Courier New" w:cs="Courier New" w:eastAsia="Courier New" w:hAnsi="Courier New"/>
          <w:sz w:val="15"/>
          <w:szCs w:val="15"/>
          <w:color w:val="auto"/>
        </w:rPr>
        <w:t>13</w:t>
      </w:r>
    </w:p>
    <w:p>
      <w:pPr>
        <w:spacing w:after="0" w:line="5" w:lineRule="exact"/>
        <w:rPr>
          <w:sz w:val="20"/>
          <w:szCs w:val="20"/>
          <w:color w:val="auto"/>
        </w:rPr>
      </w:pPr>
    </w:p>
    <w:p>
      <w:pPr>
        <w:ind w:left="820" w:right="3039"/>
        <w:spacing w:after="0" w:line="246" w:lineRule="auto"/>
        <w:rPr>
          <w:sz w:val="20"/>
          <w:szCs w:val="20"/>
          <w:color w:val="auto"/>
        </w:rPr>
      </w:pPr>
      <w:r>
        <w:rPr>
          <w:rFonts w:ascii="Courier New" w:cs="Courier New" w:eastAsia="Courier New" w:hAnsi="Courier New"/>
          <w:sz w:val="15"/>
          <w:szCs w:val="15"/>
          <w:color w:val="auto"/>
        </w:rPr>
        <w:t>liabilities or obligations, direct or contingent, nor has it entered into any material transactions other than pursuant to this Agreement, and the transactions referred to herein, or as contemplated in the Prospectus, and (iii) there has not been any material adverse effect, or any development involving a prospective material adverse effect, in or affecting the general affairs, management, financial position, shareholders' equity (or, with respect to partnership subsidiaries, partnership capital), net worth or results of operations of the Company and its subsidiaries, taken as a whole.</w:t>
      </w:r>
    </w:p>
    <w:p>
      <w:pPr>
        <w:spacing w:after="0" w:line="180" w:lineRule="exact"/>
        <w:rPr>
          <w:sz w:val="20"/>
          <w:szCs w:val="20"/>
          <w:color w:val="auto"/>
        </w:rPr>
      </w:pPr>
    </w:p>
    <w:p>
      <w:pPr>
        <w:ind w:left="820" w:right="3039" w:firstLine="718"/>
        <w:spacing w:after="0" w:line="246" w:lineRule="auto"/>
        <w:tabs>
          <w:tab w:leader="none" w:pos="2365"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its affiliates have not taken, and will not take, directly or indirectly, any action designed to, or which might reasonably be expected to, cause or result in stabilization or manipulation of the price of any security of the Company to facilitate the sale or resale of the Securities pursuant to the distribution contemplated by this Agreement, and other than as permitted by the Act, the Company has not distributed and will not distribute any prospectus or other offering material in connection with the offering and sale of the Securities.</w:t>
      </w:r>
    </w:p>
    <w:p>
      <w:pPr>
        <w:spacing w:after="0" w:line="180"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Any certificate or other document signed by any officer or authorized representative of the Company and delivered to the Underwriters or to counsel for the Underwriters shall be deemed a representation and warranty of the Company to each Underwriter as to the matter covered thereby.</w:t>
      </w:r>
    </w:p>
    <w:p>
      <w:pPr>
        <w:spacing w:after="0" w:line="177" w:lineRule="exact"/>
        <w:rPr>
          <w:sz w:val="20"/>
          <w:szCs w:val="20"/>
          <w:color w:val="auto"/>
        </w:rPr>
      </w:pPr>
    </w:p>
    <w:p>
      <w:pPr>
        <w:ind w:left="1540" w:hanging="729"/>
        <w:spacing w:after="0"/>
        <w:tabs>
          <w:tab w:leader="none" w:pos="154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w:t>
      </w:r>
    </w:p>
    <w:p>
      <w:pPr>
        <w:spacing w:after="0" w:line="179" w:lineRule="exact"/>
        <w:rPr>
          <w:rFonts w:ascii="Courier New" w:cs="Courier New" w:eastAsia="Courier New" w:hAnsi="Courier New"/>
          <w:sz w:val="15"/>
          <w:szCs w:val="15"/>
          <w:color w:val="auto"/>
        </w:rPr>
      </w:pPr>
    </w:p>
    <w:p>
      <w:pPr>
        <w:ind w:left="820" w:right="3039" w:firstLine="718"/>
        <w:spacing w:after="0" w:line="246" w:lineRule="auto"/>
        <w:tabs>
          <w:tab w:leader="none" w:pos="2365" w:val="left"/>
        </w:tabs>
        <w:numPr>
          <w:ilvl w:val="1"/>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agrees to indemnify and hold harmless each Underwriter and each person, if any, who controls any Underwriter within the meaning of Section 15 of the Act or Section 20 of the Securities Exchange Act of 1934, as amended (the "Exchange Act"), from and against any and all losses, claims, damages, liabilities and judgments caused by any untrue statement or alleged untrue statement of a material fact contained in the Registration Statement or the Prospectus (as amended or supplemented if the Company shall have furnished any amendments or supplements thereto) or any preliminary prospectus, or caused by any omission or alleged omission to state therein a material fact required to be stated therein or necessary to make the statements therein not misleading, except insofar as such losses, claims, damages, liabilities or judgments are caused by any such untrue statement or omission or alleged untrue statement or omission based upon information relating to any Underwriters furnished in writing to the Company by or on behalf of any Underwriter through you expressly for use therein.</w:t>
      </w:r>
    </w:p>
    <w:p>
      <w:pPr>
        <w:spacing w:after="0" w:line="185" w:lineRule="exact"/>
        <w:rPr>
          <w:rFonts w:ascii="Courier New" w:cs="Courier New" w:eastAsia="Courier New" w:hAnsi="Courier New"/>
          <w:sz w:val="15"/>
          <w:szCs w:val="15"/>
          <w:color w:val="auto"/>
        </w:rPr>
      </w:pPr>
    </w:p>
    <w:p>
      <w:pPr>
        <w:ind w:left="820" w:right="3039" w:firstLine="718"/>
        <w:spacing w:after="0" w:line="246" w:lineRule="auto"/>
        <w:tabs>
          <w:tab w:leader="none" w:pos="2365" w:val="left"/>
        </w:tabs>
        <w:numPr>
          <w:ilvl w:val="1"/>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indemnity agreement contained in paragraph 7(a), with respect to any preliminary prospectus, shall not inure to the benefit of any Underwriter to the extent that any loss, claim, damages or liability results from the fact that a copy of the Prospectus was not sent or given by or on behalf of such Underwriter to the person asserting any such loss, claim, damages or liability to the extent that the Prospectus would have cured the defect giving rise to such loss, claim, damages, liability or judgment if such Underwriter shall have been provided with the number of copies of the Prospectus requested by such Underwriter and it is judicially determined that such delivery was required under the Securities Act and was not so made.</w:t>
      </w:r>
    </w:p>
    <w:p>
      <w:pPr>
        <w:spacing w:after="0" w:line="182" w:lineRule="exact"/>
        <w:rPr>
          <w:rFonts w:ascii="Courier New" w:cs="Courier New" w:eastAsia="Courier New" w:hAnsi="Courier New"/>
          <w:sz w:val="15"/>
          <w:szCs w:val="15"/>
          <w:color w:val="auto"/>
        </w:rPr>
      </w:pPr>
    </w:p>
    <w:p>
      <w:pPr>
        <w:ind w:left="820" w:right="3039" w:firstLine="718"/>
        <w:spacing w:after="0" w:line="247" w:lineRule="auto"/>
        <w:tabs>
          <w:tab w:leader="none" w:pos="2365" w:val="left"/>
        </w:tabs>
        <w:numPr>
          <w:ilvl w:val="1"/>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any action shall be brought against any Underwriter or any person controlling such Underwriter, based upon any preliminary prospectus, the Registration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UNDERWRITING AGREEMENT -- CONVERTIBLE SUBORDINATED NOTES</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- 13 -</w:t>
      </w:r>
    </w:p>
    <w:p>
      <w:pPr>
        <w:sectPr>
          <w:pgSz w:w="11900" w:h="16838" w:orient="portrait"/>
          <w:cols w:equalWidth="0" w:num="1">
            <w:col w:w="10219"/>
          </w:cols>
          <w:pgMar w:left="240" w:top="293" w:right="1440" w:bottom="1440" w:gutter="0" w:footer="0" w:header="0"/>
        </w:sectPr>
      </w:pPr>
    </w:p>
    <w:bookmarkStart w:id="41" w:name="page42"/>
    <w:bookmarkEnd w:id="41"/>
    <w:p>
      <w:pPr>
        <w:spacing w:after="0"/>
        <w:rPr>
          <w:sz w:val="20"/>
          <w:szCs w:val="20"/>
          <w:color w:val="auto"/>
        </w:rPr>
      </w:pPr>
      <w:r>
        <w:rPr>
          <w:rFonts w:ascii="Courier New" w:cs="Courier New" w:eastAsia="Courier New" w:hAnsi="Courier New"/>
          <w:sz w:val="15"/>
          <w:szCs w:val="15"/>
          <w:color w:val="auto"/>
        </w:rPr>
        <w:t>14</w:t>
      </w:r>
    </w:p>
    <w:p>
      <w:pPr>
        <w:spacing w:after="0" w:line="5" w:lineRule="exact"/>
        <w:rPr>
          <w:sz w:val="20"/>
          <w:szCs w:val="20"/>
          <w:color w:val="auto"/>
        </w:rPr>
      </w:pPr>
    </w:p>
    <w:p>
      <w:pPr>
        <w:ind w:left="560" w:right="3039"/>
        <w:spacing w:after="0" w:line="246" w:lineRule="auto"/>
        <w:rPr>
          <w:sz w:val="20"/>
          <w:szCs w:val="20"/>
          <w:color w:val="auto"/>
        </w:rPr>
      </w:pPr>
      <w:r>
        <w:rPr>
          <w:rFonts w:ascii="Courier New" w:cs="Courier New" w:eastAsia="Courier New" w:hAnsi="Courier New"/>
          <w:sz w:val="15"/>
          <w:szCs w:val="15"/>
          <w:color w:val="auto"/>
        </w:rPr>
        <w:t>Statement or the Prospectus or any amendment or supplement thereto and with respect to which indemnity may be sought against the Company, such Underwriter shall promptly notify the Company in writing and the Company shall assume the defense thereof, including the employment of counsel reasonably satisfactory to such indemnified party and payment of all fees and expenses. Any Underwriter or any such controlling person shall have the right to employ separate counsel in any such action and participate in the defense thereof, but the fees and expenses of such counsel shall be at the expense of such Underwriter or such controlling person unless (i) the employment of such counsel has been specifically authorized in writing by the Company, (ii) the Company shall have failed to assume the defense and employ counsel or</w:t>
      </w:r>
    </w:p>
    <w:p>
      <w:pPr>
        <w:spacing w:after="0" w:line="7" w:lineRule="exact"/>
        <w:rPr>
          <w:sz w:val="20"/>
          <w:szCs w:val="20"/>
          <w:color w:val="auto"/>
        </w:rPr>
      </w:pPr>
    </w:p>
    <w:p>
      <w:pPr>
        <w:ind w:left="560" w:right="3039" w:hanging="9"/>
        <w:spacing w:after="0" w:line="246" w:lineRule="auto"/>
        <w:tabs>
          <w:tab w:leader="none" w:pos="1105"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named parties to any such action (including any impleaded parties) include both such Underwriter or such controlling person and the Company and such Underwriter or such controlling person shall have been advised by such counsel that there may be one or more legal defenses available to it which are different from or additional to those available to the Company (in which case the Company shall not have the right to assume the defense of such action on behalf of such Underwriter or such controlling person, it being understood, however, that the Company shall not, in connection with any one such action or separate but substantially similar or related actions in the same jurisdiction arising out of the same general allegations or circumstances, be liable for the fees and expenses of more than one separate firm of attorneys (in addition to any local counsel) for all such Underwriters and controlling persons, which firm shall be designated in writing by Donaldson, Lufkin &amp; Jenrette Securities Corporation and that all such fees and expenses shall be reimbursed as they are incurred). The Company shall not be liable for any settlement of any such action effected without its written consent but if settled with the written consent of the Company, the Company agrees to indemnify and hold harmless any Underwriter and any such controlling person from and against any loss or liability by reason of such settlement. Notwithstanding the immediately preceding sentence, if in any case where the fees and expenses of counsel are at the expense of the Company and an indemnified party shall have requested the Company to reimburse the indemnified party for such fees and expenses of counsel as incurred, the Company agrees that it shall be liable for any settlement of any action effected without its written consent if (i) such settlement is entered into more than forty business days after the receipt by the Company of the aforesaid request and (ii) the Company shall have failed to reimburse the indemnified party in accordance with such request for reimbursement prior to the date of such settlement. The Company shall not,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w:t>
      </w:r>
    </w:p>
    <w:p>
      <w:pPr>
        <w:spacing w:after="0" w:line="372" w:lineRule="exact"/>
        <w:rPr>
          <w:rFonts w:ascii="Courier New" w:cs="Courier New" w:eastAsia="Courier New" w:hAnsi="Courier New"/>
          <w:sz w:val="15"/>
          <w:szCs w:val="15"/>
          <w:color w:val="auto"/>
        </w:rPr>
      </w:pPr>
    </w:p>
    <w:p>
      <w:pPr>
        <w:ind w:left="560" w:right="3039" w:firstLine="718"/>
        <w:spacing w:after="0" w:line="246" w:lineRule="auto"/>
        <w:tabs>
          <w:tab w:leader="none" w:pos="2105" w:val="left"/>
        </w:tabs>
        <w:numPr>
          <w:ilvl w:val="1"/>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Underwriter agrees, severally and not jointly, to indemnify and hold harmless the Company, its directors, its officers who sign the Registration Statement, any person controlling the Company within the meaning of Section 15 of the Act or Section 20 of the Exchange Act, to the same extent as the foregoing indemnity from the Company to each Underwriter but only with reference to information relating to such Underwriter furnished in writing by or on behalf of such Underwriter through you expressly for use in the Registration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UNDERWRITING AGREEMENT -- CONVERTIBLE SUBORDINATED NOTES</w:t>
      </w:r>
    </w:p>
    <w:p>
      <w:pPr>
        <w:spacing w:after="0" w:line="5"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- 14 -</w:t>
      </w:r>
    </w:p>
    <w:p>
      <w:pPr>
        <w:sectPr>
          <w:pgSz w:w="11900" w:h="16838" w:orient="portrait"/>
          <w:cols w:equalWidth="0" w:num="1">
            <w:col w:w="9959"/>
          </w:cols>
          <w:pgMar w:left="500" w:top="293" w:right="1440" w:bottom="1440" w:gutter="0" w:footer="0" w:header="0"/>
        </w:sectPr>
      </w:pPr>
    </w:p>
    <w:bookmarkStart w:id="42" w:name="page43"/>
    <w:bookmarkEnd w:id="42"/>
    <w:p>
      <w:pPr>
        <w:spacing w:after="0"/>
        <w:rPr>
          <w:sz w:val="20"/>
          <w:szCs w:val="20"/>
          <w:color w:val="auto"/>
        </w:rPr>
      </w:pPr>
      <w:r>
        <w:rPr>
          <w:rFonts w:ascii="Courier New" w:cs="Courier New" w:eastAsia="Courier New" w:hAnsi="Courier New"/>
          <w:sz w:val="15"/>
          <w:szCs w:val="15"/>
          <w:color w:val="auto"/>
        </w:rPr>
        <w:t>15</w:t>
      </w:r>
    </w:p>
    <w:p>
      <w:pPr>
        <w:spacing w:after="0" w:line="5" w:lineRule="exact"/>
        <w:rPr>
          <w:sz w:val="20"/>
          <w:szCs w:val="20"/>
          <w:color w:val="auto"/>
        </w:rPr>
      </w:pPr>
    </w:p>
    <w:p>
      <w:pPr>
        <w:ind w:left="560" w:right="3039"/>
        <w:spacing w:after="0" w:line="246" w:lineRule="auto"/>
        <w:rPr>
          <w:sz w:val="20"/>
          <w:szCs w:val="20"/>
          <w:color w:val="auto"/>
        </w:rPr>
      </w:pPr>
      <w:r>
        <w:rPr>
          <w:rFonts w:ascii="Courier New" w:cs="Courier New" w:eastAsia="Courier New" w:hAnsi="Courier New"/>
          <w:sz w:val="15"/>
          <w:szCs w:val="15"/>
          <w:color w:val="auto"/>
        </w:rPr>
        <w:t>Statement, the Prospectus or any preliminary prospectus. In case any action shall be brought against the Company, any of its directors, any such officer or any person controlling the Company based on the Registration Statement, the Prospectus or any preliminary prospectus and in respect of which indemnity may be sought against any Underwriter, the Underwriter shall have the rights and duties given to the Company (except that if the Company shall have assumed the defense thereof, such Underwriter shall not be required to do so, but may employ separate counsel therein and participate in the defense thereof but the fees and expenses of such counsel shall be at the expense of such Underwriter), and the Company, its directors, any such officers and any person controlling the Company shall have the rights and duties given to the Underwriter, by Section 7(c) hereof.</w:t>
      </w:r>
    </w:p>
    <w:p>
      <w:pPr>
        <w:spacing w:after="0" w:line="183" w:lineRule="exact"/>
        <w:rPr>
          <w:sz w:val="20"/>
          <w:szCs w:val="20"/>
          <w:color w:val="auto"/>
        </w:rPr>
      </w:pPr>
    </w:p>
    <w:p>
      <w:pPr>
        <w:ind w:left="560" w:right="3039" w:firstLine="718"/>
        <w:spacing w:after="0" w:line="246" w:lineRule="auto"/>
        <w:tabs>
          <w:tab w:leader="none" w:pos="2105"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indemnification provided for in this Section 7 is unavailable to an indemnified party in respect of any losses, claims, damages, liabilities or judgments referred to therein, then each indemnifying party, in lieu of indemnifying such indemnified party, shall contribute to the amount paid or payable by such indemnified party as a result of such losses, claims, damages, liabilities and judgments (i) in such proportion as is appropriate to reflect the relative benefits received by the Company on the one hand and the Underwriters on the other hand from the offering of the Securities or (ii) if the allocation provided by clause (i) above is not permitted by applicable law, in such proportion as is appropriate to reflect not only the relative benefits referred to in clause (i) above but also the relative fault of the Company and the Underwriters in connection with the statements or omissions which resulted in such losses, claims, damages, liabilities or judgments, as well as any other relevant equitable considerations. The relative benefits received by the Company and the Underwriters shall be deemed to be in the same proportion as the total net proceeds from the offering (before deducting expenses) received by the Company, and the total underwriting discounts and commissions received by the Underwriters, bear to the total price to the public of the Securities, in each case as set forth in the table on the cover page of the Prospectus. The relative fault of the Company and the Underwriters shall be determined by reference to, among other things, whether the untrue or alleged untrue statement of a material fact or the omission to state a material fact relates to information supplied by the Company or the Underwriters and the parties' relative intent, knowledge, access to information and opportunity to correct or prevent such statement or omission.</w:t>
      </w:r>
    </w:p>
    <w:p>
      <w:pPr>
        <w:spacing w:after="0" w:line="192" w:lineRule="exact"/>
        <w:rPr>
          <w:sz w:val="20"/>
          <w:szCs w:val="20"/>
          <w:color w:val="auto"/>
        </w:rPr>
      </w:pPr>
    </w:p>
    <w:p>
      <w:pPr>
        <w:ind w:left="560" w:right="3039" w:firstLine="727"/>
        <w:spacing w:after="0" w:line="246" w:lineRule="auto"/>
        <w:rPr>
          <w:sz w:val="20"/>
          <w:szCs w:val="20"/>
          <w:color w:val="auto"/>
        </w:rPr>
      </w:pPr>
      <w:r>
        <w:rPr>
          <w:rFonts w:ascii="Courier New" w:cs="Courier New" w:eastAsia="Courier New" w:hAnsi="Courier New"/>
          <w:sz w:val="15"/>
          <w:szCs w:val="15"/>
          <w:color w:val="auto"/>
        </w:rPr>
        <w:t>The Company and the Underwriters agree that it would not be just and equitable if contribution pursuant to this Section 7(e) were determined by pro rata allocation (even if the Underwriters were treated as one entity for such purpose) or by any other method of allocation which does not take account of the equitable considerations referred to in the immediately preceding paragraph. The amount paid or payable by an indemnified party as a result of the losses, claims, damages, liabilities or judgments referred to in the immediately preceding paragraph shall be deemed to include, subject to the limitations set forth above, any legal or other expenses reasonably incurred by such indemnified party in connection with investigating or defending any such action or claim. Notwithstanding the provisions of this Section 7, no Underwriter shall be required to contribute any amount in excess of the amount by which the total price at which the Securities underwritten by it and distributed to the public were offered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ind w:left="3100" w:right="4219" w:hanging="2453"/>
        <w:spacing w:after="0" w:line="247" w:lineRule="auto"/>
        <w:rPr>
          <w:sz w:val="20"/>
          <w:szCs w:val="20"/>
          <w:color w:val="auto"/>
        </w:rPr>
      </w:pPr>
      <w:r>
        <w:rPr>
          <w:rFonts w:ascii="Courier New" w:cs="Courier New" w:eastAsia="Courier New" w:hAnsi="Courier New"/>
          <w:sz w:val="15"/>
          <w:szCs w:val="15"/>
          <w:color w:val="auto"/>
        </w:rPr>
        <w:t>UNDERWRITING AGREEMENT -- CONVERTIBLE SUBORDINATED NOTES - 15 -</w:t>
      </w:r>
    </w:p>
    <w:p>
      <w:pPr>
        <w:sectPr>
          <w:pgSz w:w="11900" w:h="16838" w:orient="portrait"/>
          <w:cols w:equalWidth="0" w:num="1">
            <w:col w:w="9959"/>
          </w:cols>
          <w:pgMar w:left="500" w:top="293" w:right="1440" w:bottom="1440" w:gutter="0" w:footer="0" w:header="0"/>
        </w:sectPr>
      </w:pPr>
    </w:p>
    <w:bookmarkStart w:id="43" w:name="page44"/>
    <w:bookmarkEnd w:id="43"/>
    <w:p>
      <w:pPr>
        <w:spacing w:after="0"/>
        <w:rPr>
          <w:sz w:val="20"/>
          <w:szCs w:val="20"/>
          <w:color w:val="auto"/>
        </w:rPr>
      </w:pPr>
      <w:r>
        <w:rPr>
          <w:rFonts w:ascii="Courier New" w:cs="Courier New" w:eastAsia="Courier New" w:hAnsi="Courier New"/>
          <w:sz w:val="15"/>
          <w:szCs w:val="15"/>
          <w:color w:val="auto"/>
        </w:rPr>
        <w:t>16</w:t>
      </w:r>
    </w:p>
    <w:p>
      <w:pPr>
        <w:spacing w:after="0" w:line="5" w:lineRule="exact"/>
        <w:rPr>
          <w:sz w:val="20"/>
          <w:szCs w:val="20"/>
          <w:color w:val="auto"/>
        </w:rPr>
      </w:pPr>
    </w:p>
    <w:p>
      <w:pPr>
        <w:ind w:left="560" w:right="3039"/>
        <w:spacing w:after="0" w:line="246" w:lineRule="auto"/>
        <w:rPr>
          <w:sz w:val="20"/>
          <w:szCs w:val="20"/>
          <w:color w:val="auto"/>
        </w:rPr>
      </w:pPr>
      <w:r>
        <w:rPr>
          <w:rFonts w:ascii="Courier New" w:cs="Courier New" w:eastAsia="Courier New" w:hAnsi="Courier New"/>
          <w:sz w:val="15"/>
          <w:szCs w:val="15"/>
          <w:color w:val="auto"/>
        </w:rPr>
        <w:t>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Underwriters' obligations to contribute pursuant to this Section 7(e) are several in proportion to the respective number of Securities purchased by each of the Underwriters hereunder and not joint.</w:t>
      </w:r>
    </w:p>
    <w:p>
      <w:pPr>
        <w:spacing w:after="0" w:line="180" w:lineRule="exact"/>
        <w:rPr>
          <w:sz w:val="20"/>
          <w:szCs w:val="20"/>
          <w:color w:val="auto"/>
        </w:rPr>
      </w:pPr>
    </w:p>
    <w:p>
      <w:pPr>
        <w:ind w:left="560" w:right="3039" w:firstLine="718"/>
        <w:spacing w:after="0" w:line="246" w:lineRule="auto"/>
        <w:tabs>
          <w:tab w:leader="none" w:pos="2105" w:val="left"/>
        </w:tabs>
        <w:numPr>
          <w:ilvl w:val="1"/>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hereby designates CT Corporation Systems, Inc., 1633 Broadway, New York, New York 10019, (a Delaware corporation) as its authorized agent, upon which process may be served in any action, suit or proceeding which may be instituted in any state or federal court in the State of New York by any Underwriter or person controlling an Underwriter asserting a claim for indemnification or contribution under or pursuant to this Section 7, and the Company will accept the jurisdiction of such court in such action, and waives, to the fullest extent permitted by applicable law, any defense based upon lack of personal jurisdiction or venue. A copy of any such process shall be sent or given to the Company, at the address for notices specified in Section 10 hereof.</w:t>
      </w:r>
    </w:p>
    <w:p>
      <w:pPr>
        <w:spacing w:after="0" w:line="182" w:lineRule="exact"/>
        <w:rPr>
          <w:rFonts w:ascii="Courier New" w:cs="Courier New" w:eastAsia="Courier New" w:hAnsi="Courier New"/>
          <w:sz w:val="15"/>
          <w:szCs w:val="15"/>
          <w:color w:val="auto"/>
        </w:rPr>
      </w:pPr>
    </w:p>
    <w:p>
      <w:pPr>
        <w:ind w:left="-260" w:right="3779" w:firstLine="811"/>
        <w:spacing w:after="0" w:line="247" w:lineRule="auto"/>
        <w:tabs>
          <w:tab w:leader="none" w:pos="1285"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Conditions of Underwriters' Obligations. The several obligations of the Underwriters under this Agreement are subject to the satisfaction of each of the following conditions:</w:t>
      </w:r>
    </w:p>
    <w:p>
      <w:pPr>
        <w:spacing w:after="0" w:line="174" w:lineRule="exact"/>
        <w:rPr>
          <w:rFonts w:ascii="Courier New" w:cs="Courier New" w:eastAsia="Courier New" w:hAnsi="Courier New"/>
          <w:sz w:val="15"/>
          <w:szCs w:val="15"/>
          <w:color w:val="auto"/>
        </w:rPr>
      </w:pPr>
    </w:p>
    <w:p>
      <w:pPr>
        <w:ind w:left="560" w:right="3039" w:firstLine="718"/>
        <w:spacing w:after="0" w:line="246" w:lineRule="auto"/>
        <w:tabs>
          <w:tab w:leader="none" w:pos="2105" w:val="left"/>
        </w:tabs>
        <w:numPr>
          <w:ilvl w:val="1"/>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the representations and warranties of the Company contained in this Agreement shall be true and correct on the Closing Date and the Option Closing Date with the same force and effect as if made on and as of the Closing Date or the Option Closing Date, as the case may be.</w:t>
      </w:r>
    </w:p>
    <w:p>
      <w:pPr>
        <w:spacing w:after="0" w:line="177" w:lineRule="exact"/>
        <w:rPr>
          <w:rFonts w:ascii="Courier New" w:cs="Courier New" w:eastAsia="Courier New" w:hAnsi="Courier New"/>
          <w:sz w:val="15"/>
          <w:szCs w:val="15"/>
          <w:color w:val="auto"/>
        </w:rPr>
      </w:pPr>
    </w:p>
    <w:p>
      <w:pPr>
        <w:ind w:left="560" w:right="3039" w:firstLine="718"/>
        <w:spacing w:after="0" w:line="246" w:lineRule="auto"/>
        <w:tabs>
          <w:tab w:leader="none" w:pos="2105" w:val="left"/>
        </w:tabs>
        <w:numPr>
          <w:ilvl w:val="1"/>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Registration Statement shall have become effective not later than 5:00 P.M., (and in the case of a Registration Statement filed under 462(b) of the Act, not later than 10:00 P.M.) New York City time, on the date of this Agreement or at such later date and time as you may approve in writing, and at the Closing Date and the Option Closing Date, as the case be, no stop order suspending the effectiveness of the Registration Statement shall have been issued and no proceedings for that purpose shall have been commenced or shall be pending before or contemplated by the Commission.</w:t>
      </w:r>
    </w:p>
    <w:p>
      <w:pPr>
        <w:spacing w:after="0" w:line="180" w:lineRule="exact"/>
        <w:rPr>
          <w:rFonts w:ascii="Courier New" w:cs="Courier New" w:eastAsia="Courier New" w:hAnsi="Courier New"/>
          <w:sz w:val="15"/>
          <w:szCs w:val="15"/>
          <w:color w:val="auto"/>
        </w:rPr>
      </w:pPr>
    </w:p>
    <w:p>
      <w:pPr>
        <w:ind w:left="560" w:right="3039" w:firstLine="718"/>
        <w:spacing w:after="0" w:line="246" w:lineRule="auto"/>
        <w:tabs>
          <w:tab w:leader="none" w:pos="2105" w:val="left"/>
        </w:tabs>
        <w:numPr>
          <w:ilvl w:val="1"/>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Since the date of the latest balance sheet included in the Registration Statement and the Prospectus, there shall not have been any material adverse change, or any development involving a prospective material adverse change, in the condition, financial or otherwise, or in the earnings, affairs or business prospects, whether or not arising in the ordinary course of business, of the Company, (ii) since the date of the latest balance sheet included in the Registration Statement and the Prospectus there shall not have been any change, or any development involving a prospective material adverse change, in the capital stock or in the long-term debt of the Company from that set forth in the Registration Statement and Prospectus, (iii) the Company and its subsidiaries shall have no liability or obligation, direct or contingent, which is material to the Company and its subsidiaries, taken as a whole, other than those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UNDERWRITING AGREEMENT -- CONVERTIBLE SUBORDINATED NOTES</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- 16 -</w:t>
      </w:r>
    </w:p>
    <w:p>
      <w:pPr>
        <w:sectPr>
          <w:pgSz w:w="11900" w:h="16838" w:orient="portrait"/>
          <w:cols w:equalWidth="0" w:num="1">
            <w:col w:w="9959"/>
          </w:cols>
          <w:pgMar w:left="500" w:top="293" w:right="1440" w:bottom="1440" w:gutter="0" w:footer="0" w:header="0"/>
        </w:sectPr>
      </w:pPr>
    </w:p>
    <w:bookmarkStart w:id="44" w:name="page45"/>
    <w:bookmarkEnd w:id="44"/>
    <w:p>
      <w:pPr>
        <w:spacing w:after="0"/>
        <w:rPr>
          <w:sz w:val="20"/>
          <w:szCs w:val="20"/>
          <w:color w:val="auto"/>
        </w:rPr>
      </w:pPr>
      <w:r>
        <w:rPr>
          <w:rFonts w:ascii="Courier New" w:cs="Courier New" w:eastAsia="Courier New" w:hAnsi="Courier New"/>
          <w:sz w:val="15"/>
          <w:szCs w:val="15"/>
          <w:color w:val="auto"/>
        </w:rPr>
        <w:t>17</w:t>
      </w:r>
    </w:p>
    <w:p>
      <w:pPr>
        <w:spacing w:after="0" w:line="5" w:lineRule="exact"/>
        <w:rPr>
          <w:sz w:val="20"/>
          <w:szCs w:val="20"/>
          <w:color w:val="auto"/>
        </w:rPr>
      </w:pPr>
    </w:p>
    <w:p>
      <w:pPr>
        <w:ind w:left="560" w:right="3039"/>
        <w:spacing w:after="0" w:line="246" w:lineRule="auto"/>
        <w:rPr>
          <w:sz w:val="20"/>
          <w:szCs w:val="20"/>
          <w:color w:val="auto"/>
        </w:rPr>
      </w:pPr>
      <w:r>
        <w:rPr>
          <w:rFonts w:ascii="Courier New" w:cs="Courier New" w:eastAsia="Courier New" w:hAnsi="Courier New"/>
          <w:sz w:val="15"/>
          <w:szCs w:val="15"/>
          <w:color w:val="auto"/>
        </w:rPr>
        <w:t>reflected in the Registration Statement and the Prospectus and (iv) on the Closing Date and the Option Closing Date you shall have received a certificate dated the Closing Date, and the Option Closing Date, as the case may be, signed by John E. Drury and Earl E. DeFrates, in their capacities as the Chief Executive Officer and Chief Financial Officer of the Company, confirming the matters set forth in paragraphs (a), (b), and (c) of this Section 8.</w:t>
      </w:r>
    </w:p>
    <w:p>
      <w:pPr>
        <w:spacing w:after="0" w:line="179" w:lineRule="exact"/>
        <w:rPr>
          <w:sz w:val="20"/>
          <w:szCs w:val="20"/>
          <w:color w:val="auto"/>
        </w:rPr>
      </w:pPr>
    </w:p>
    <w:p>
      <w:pPr>
        <w:ind w:left="560" w:right="3039" w:firstLine="718"/>
        <w:spacing w:after="0" w:line="246" w:lineRule="auto"/>
        <w:tabs>
          <w:tab w:leader="none" w:pos="2105"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shall have received on the Closing Date and the Option Closing Date an opinion (satisfactory to you and counsel for the Underwriters), dated the Closing Date or the Option Closing, as applicable, of Vinson &amp; Elkins L.L.P., counsel for the Company, to the effect that:</w:t>
      </w:r>
    </w:p>
    <w:p>
      <w:pPr>
        <w:spacing w:after="0" w:line="177" w:lineRule="exact"/>
        <w:rPr>
          <w:rFonts w:ascii="Courier New" w:cs="Courier New" w:eastAsia="Courier New" w:hAnsi="Courier New"/>
          <w:sz w:val="15"/>
          <w:szCs w:val="15"/>
          <w:color w:val="auto"/>
        </w:rPr>
      </w:pPr>
    </w:p>
    <w:p>
      <w:pPr>
        <w:ind w:left="1280" w:right="3139" w:firstLine="816"/>
        <w:spacing w:after="0" w:line="246" w:lineRule="auto"/>
        <w:tabs>
          <w:tab w:leader="none" w:pos="2825" w:val="left"/>
        </w:tabs>
        <w:numPr>
          <w:ilvl w:val="1"/>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been duly incorporated, is validly existing as a corporation in good standing under the laws of its jurisdiction of incorporation and has the corporate power and authority required to carry on its business as it is currently being conducted and to own, lease and operate its properties;</w:t>
      </w:r>
    </w:p>
    <w:p>
      <w:pPr>
        <w:spacing w:after="0" w:line="178" w:lineRule="exact"/>
        <w:rPr>
          <w:rFonts w:ascii="Courier New" w:cs="Courier New" w:eastAsia="Courier New" w:hAnsi="Courier New"/>
          <w:sz w:val="15"/>
          <w:szCs w:val="15"/>
          <w:color w:val="auto"/>
        </w:rPr>
      </w:pPr>
    </w:p>
    <w:p>
      <w:pPr>
        <w:ind w:left="1280" w:right="3039" w:firstLine="816"/>
        <w:spacing w:after="0" w:line="246" w:lineRule="auto"/>
        <w:tabs>
          <w:tab w:leader="none" w:pos="2825" w:val="left"/>
        </w:tabs>
        <w:numPr>
          <w:ilvl w:val="1"/>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Securities have been duly authorized, and when executed and authenticated in accordance with the provisions of the Indenture and delivered to the Underwriters against payment therefor as provided by this Agreement, will be entitled to the benefits of the Indenture and will be valid and binding obligations of the Company enforceable in accordance with their terms except as (a) the enforceability thereof may be limited by bankruptcy, insolvency or similar laws affecting creditors' rights generally and (b) rights of acceleration and the availability of equitable remedies may be limited by equitable principles of general applicability; the shares of Common Stock into which the Securities are convertible have been duly authorized, and when issued upon conversion of the Securities will be validly issued, fully paid and non-assessable and not subject to any statutory preemptive rights or, to the knowledge of such counsel, any other similar rights;</w:t>
      </w:r>
    </w:p>
    <w:p>
      <w:pPr>
        <w:spacing w:after="0" w:line="185" w:lineRule="exact"/>
        <w:rPr>
          <w:rFonts w:ascii="Courier New" w:cs="Courier New" w:eastAsia="Courier New" w:hAnsi="Courier New"/>
          <w:sz w:val="15"/>
          <w:szCs w:val="15"/>
          <w:color w:val="auto"/>
        </w:rPr>
      </w:pPr>
    </w:p>
    <w:p>
      <w:pPr>
        <w:ind w:left="1280" w:right="3219" w:firstLine="816"/>
        <w:spacing w:after="0" w:line="246" w:lineRule="auto"/>
        <w:tabs>
          <w:tab w:leader="none" w:pos="2825" w:val="left"/>
        </w:tabs>
        <w:numPr>
          <w:ilvl w:val="1"/>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has been duly authorized, executed and delivered by the Company and is a valid and binding agreement of the Company enforceable in accordance with its terms (except as enforcement of rights to indemnity and contribution thereunder may be limited under applicable laws or principles of public policy and subject to the qualifications that the enforceability of the Company's obligations thereunder may be limited by bankruptcy, insolvency, reorganization, or other laws relating to or affecting creditors' rights generally and by general principles of equity (regardless of whether such enforceability is considered in a proceeding in equity or at law));</w:t>
      </w:r>
    </w:p>
    <w:p>
      <w:pPr>
        <w:spacing w:after="0" w:line="182" w:lineRule="exact"/>
        <w:rPr>
          <w:rFonts w:ascii="Courier New" w:cs="Courier New" w:eastAsia="Courier New" w:hAnsi="Courier New"/>
          <w:sz w:val="15"/>
          <w:szCs w:val="15"/>
          <w:color w:val="auto"/>
        </w:rPr>
      </w:pPr>
    </w:p>
    <w:p>
      <w:pPr>
        <w:ind w:left="1280" w:right="3039" w:firstLine="816"/>
        <w:spacing w:after="0" w:line="246" w:lineRule="auto"/>
        <w:tabs>
          <w:tab w:leader="none" w:pos="2825" w:val="left"/>
        </w:tabs>
        <w:numPr>
          <w:ilvl w:val="1"/>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Indenture has been duly qualified under the Trust Indenture Act of 1939, as amended, and has been duly authorized, executed and delivered by the Company and is a valid and binding agreement of the Company, enforceable in accordance with its terms except as (a) the enforceability thereof may be limited by bankruptcy, insolvency or similar laws affecting creditors' rights generally and (b)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ind w:left="3100" w:right="4219" w:hanging="2453"/>
        <w:spacing w:after="0" w:line="247" w:lineRule="auto"/>
        <w:rPr>
          <w:sz w:val="20"/>
          <w:szCs w:val="20"/>
          <w:color w:val="auto"/>
        </w:rPr>
      </w:pPr>
      <w:r>
        <w:rPr>
          <w:rFonts w:ascii="Courier New" w:cs="Courier New" w:eastAsia="Courier New" w:hAnsi="Courier New"/>
          <w:sz w:val="15"/>
          <w:szCs w:val="15"/>
          <w:color w:val="auto"/>
        </w:rPr>
        <w:t>UNDERWRITING AGREEMENT -- CONVERTIBLE SUBORDINATED NOTES - 17 -</w:t>
      </w:r>
    </w:p>
    <w:p>
      <w:pPr>
        <w:sectPr>
          <w:pgSz w:w="11900" w:h="16838" w:orient="portrait"/>
          <w:cols w:equalWidth="0" w:num="1">
            <w:col w:w="9959"/>
          </w:cols>
          <w:pgMar w:left="500" w:top="293" w:right="1440" w:bottom="1440" w:gutter="0" w:footer="0" w:header="0"/>
        </w:sectPr>
      </w:pPr>
    </w:p>
    <w:bookmarkStart w:id="45" w:name="page46"/>
    <w:bookmarkEnd w:id="45"/>
    <w:p>
      <w:pPr>
        <w:spacing w:after="0"/>
        <w:rPr>
          <w:sz w:val="20"/>
          <w:szCs w:val="20"/>
          <w:color w:val="auto"/>
        </w:rPr>
      </w:pPr>
      <w:r>
        <w:rPr>
          <w:rFonts w:ascii="Courier New" w:cs="Courier New" w:eastAsia="Courier New" w:hAnsi="Courier New"/>
          <w:sz w:val="15"/>
          <w:szCs w:val="15"/>
          <w:color w:val="auto"/>
        </w:rPr>
        <w:t>18</w:t>
      </w:r>
    </w:p>
    <w:p>
      <w:pPr>
        <w:spacing w:after="0" w:line="5" w:lineRule="exact"/>
        <w:rPr>
          <w:sz w:val="20"/>
          <w:szCs w:val="20"/>
          <w:color w:val="auto"/>
        </w:rPr>
      </w:pPr>
    </w:p>
    <w:p>
      <w:pPr>
        <w:ind w:left="1280" w:right="3419"/>
        <w:spacing w:after="0" w:line="247" w:lineRule="auto"/>
        <w:rPr>
          <w:sz w:val="20"/>
          <w:szCs w:val="20"/>
          <w:color w:val="auto"/>
        </w:rPr>
      </w:pPr>
      <w:r>
        <w:rPr>
          <w:rFonts w:ascii="Courier New" w:cs="Courier New" w:eastAsia="Courier New" w:hAnsi="Courier New"/>
          <w:sz w:val="15"/>
          <w:szCs w:val="15"/>
          <w:color w:val="auto"/>
        </w:rPr>
        <w:t>of acceleration and the availability of equitable remedies may be limited by equitable principles of general applicability;</w:t>
      </w:r>
    </w:p>
    <w:p>
      <w:pPr>
        <w:spacing w:after="0" w:line="174" w:lineRule="exact"/>
        <w:rPr>
          <w:sz w:val="20"/>
          <w:szCs w:val="20"/>
          <w:color w:val="auto"/>
        </w:rPr>
      </w:pPr>
    </w:p>
    <w:p>
      <w:pPr>
        <w:jc w:val="both"/>
        <w:ind w:left="1280" w:right="3139" w:firstLine="816"/>
        <w:spacing w:after="0" w:line="246" w:lineRule="auto"/>
        <w:tabs>
          <w:tab w:leader="none" w:pos="2825" w:val="left"/>
        </w:tabs>
        <w:numPr>
          <w:ilvl w:val="1"/>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authorized capital stock of the Company, including the Common Stock, conforms in all material respects as to legal matters to the description thereof contained in the Prospectus;</w:t>
      </w:r>
    </w:p>
    <w:p>
      <w:pPr>
        <w:spacing w:after="0" w:line="177" w:lineRule="exact"/>
        <w:rPr>
          <w:rFonts w:ascii="Courier New" w:cs="Courier New" w:eastAsia="Courier New" w:hAnsi="Courier New"/>
          <w:sz w:val="15"/>
          <w:szCs w:val="15"/>
          <w:color w:val="auto"/>
        </w:rPr>
      </w:pPr>
    </w:p>
    <w:p>
      <w:pPr>
        <w:ind w:left="1280" w:right="3139" w:firstLine="816"/>
        <w:spacing w:after="0" w:line="246" w:lineRule="auto"/>
        <w:tabs>
          <w:tab w:leader="none" w:pos="2825" w:val="left"/>
        </w:tabs>
        <w:numPr>
          <w:ilvl w:val="1"/>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Registration Statement has become effective under the Act, no stop order suspending its effectiveness has been issued and no proceedings for that purpose are, to the knowledge of such counsel, pending before or contemplated by the Commission;</w:t>
      </w:r>
    </w:p>
    <w:p>
      <w:pPr>
        <w:spacing w:after="0" w:line="177" w:lineRule="exact"/>
        <w:rPr>
          <w:rFonts w:ascii="Courier New" w:cs="Courier New" w:eastAsia="Courier New" w:hAnsi="Courier New"/>
          <w:sz w:val="15"/>
          <w:szCs w:val="15"/>
          <w:color w:val="auto"/>
        </w:rPr>
      </w:pPr>
    </w:p>
    <w:p>
      <w:pPr>
        <w:ind w:left="1280" w:right="3039" w:firstLine="816"/>
        <w:spacing w:after="0" w:line="246" w:lineRule="auto"/>
        <w:tabs>
          <w:tab w:leader="none" w:pos="2825" w:val="left"/>
        </w:tabs>
        <w:numPr>
          <w:ilvl w:val="1"/>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statements under the captions "Description of Notes", "Certain United States Tax Considerations", "Description of Debt Securities" and "Description of Capital Stock" in the Prospectus and Item 15 of Part II of the Registration Statement insofar as such statements constitute a summary of legal matters or documents referred to therein, fairly present the information called for with respect to such legal matters or documents;</w:t>
      </w:r>
    </w:p>
    <w:p>
      <w:pPr>
        <w:spacing w:after="0" w:line="179" w:lineRule="exact"/>
        <w:rPr>
          <w:rFonts w:ascii="Courier New" w:cs="Courier New" w:eastAsia="Courier New" w:hAnsi="Courier New"/>
          <w:sz w:val="15"/>
          <w:szCs w:val="15"/>
          <w:color w:val="auto"/>
        </w:rPr>
      </w:pPr>
    </w:p>
    <w:p>
      <w:pPr>
        <w:ind w:left="1280" w:right="3039" w:firstLine="816"/>
        <w:spacing w:after="0" w:line="246" w:lineRule="auto"/>
        <w:tabs>
          <w:tab w:leader="none" w:pos="2825" w:val="left"/>
        </w:tabs>
        <w:numPr>
          <w:ilvl w:val="1"/>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delivery and performance of this Agreement, the Indenture and the Securities by the Company, compliance by the Company with all the provisions hereof and thereof and the consummation of the transactions contemplated hereby and thereby will not require any consent, approval, authorization or other order of any court, regulatory body, administrative agency or other governmental body (except such as may be required under the Act or other securities or Blue Sky laws) and will not conflict with or constitute a breach of any of the terms or provisions of, or a default under, the charter or by-laws of the Company;</w:t>
      </w:r>
    </w:p>
    <w:p>
      <w:pPr>
        <w:spacing w:after="0" w:line="181" w:lineRule="exact"/>
        <w:rPr>
          <w:rFonts w:ascii="Courier New" w:cs="Courier New" w:eastAsia="Courier New" w:hAnsi="Courier New"/>
          <w:sz w:val="15"/>
          <w:szCs w:val="15"/>
          <w:color w:val="auto"/>
        </w:rPr>
      </w:pPr>
    </w:p>
    <w:p>
      <w:pPr>
        <w:ind w:left="1280" w:right="3039" w:firstLine="816"/>
        <w:spacing w:after="0" w:line="247" w:lineRule="auto"/>
        <w:tabs>
          <w:tab w:leader="none" w:pos="2825" w:val="left"/>
        </w:tabs>
        <w:numPr>
          <w:ilvl w:val="1"/>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not an "investment company" or a company "controlled" by an "investment company" within the meaning of the Investment Company Act of 1940, as amended;</w:t>
      </w:r>
    </w:p>
    <w:p>
      <w:pPr>
        <w:spacing w:after="0" w:line="174" w:lineRule="exact"/>
        <w:rPr>
          <w:rFonts w:ascii="Courier New" w:cs="Courier New" w:eastAsia="Courier New" w:hAnsi="Courier New"/>
          <w:sz w:val="15"/>
          <w:szCs w:val="15"/>
          <w:color w:val="auto"/>
        </w:rPr>
      </w:pPr>
    </w:p>
    <w:p>
      <w:pPr>
        <w:ind w:left="1280" w:right="3139" w:firstLine="816"/>
        <w:spacing w:after="0" w:line="246" w:lineRule="auto"/>
        <w:tabs>
          <w:tab w:leader="none" w:pos="2825" w:val="left"/>
        </w:tabs>
        <w:numPr>
          <w:ilvl w:val="1"/>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Registration Statement, the Prospectus, any supplement or amendment thereto and each document filed pursuant to the Exchange Act and incorporated or deemed to be incorporated by reference in the Prospectus (except for financial statements, financial and statistical information contained therein as to which no opinion need be expressed) comply as to form in all material respects with the Act;</w:t>
      </w:r>
    </w:p>
    <w:p>
      <w:pPr>
        <w:spacing w:after="0" w:line="179" w:lineRule="exact"/>
        <w:rPr>
          <w:rFonts w:ascii="Courier New" w:cs="Courier New" w:eastAsia="Courier New" w:hAnsi="Courier New"/>
          <w:sz w:val="15"/>
          <w:szCs w:val="15"/>
          <w:color w:val="auto"/>
        </w:rPr>
      </w:pPr>
    </w:p>
    <w:p>
      <w:pPr>
        <w:ind w:left="560" w:right="3219" w:firstLine="718"/>
        <w:spacing w:after="0" w:line="246" w:lineRule="auto"/>
        <w:tabs>
          <w:tab w:leader="none" w:pos="2105"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shall have received on the Closing Date and the Option Closing Date an opinion (satisfactory to you and counsel for the Underwriters), dated the Closing Date, of Snell &amp; Smith L.L.P., counsel for the Company, to the effect that:</w:t>
      </w:r>
    </w:p>
    <w:p>
      <w:pPr>
        <w:spacing w:after="0" w:line="177" w:lineRule="exact"/>
        <w:rPr>
          <w:rFonts w:ascii="Courier New" w:cs="Courier New" w:eastAsia="Courier New" w:hAnsi="Courier New"/>
          <w:sz w:val="15"/>
          <w:szCs w:val="15"/>
          <w:color w:val="auto"/>
        </w:rPr>
      </w:pPr>
    </w:p>
    <w:p>
      <w:pPr>
        <w:ind w:left="1280" w:right="3219" w:firstLine="816"/>
        <w:spacing w:after="0" w:line="246" w:lineRule="auto"/>
        <w:tabs>
          <w:tab w:leader="none" w:pos="2825" w:val="left"/>
        </w:tabs>
        <w:numPr>
          <w:ilvl w:val="1"/>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Company's Material Subsidiaries has been duly incorporated, is validly existing as a corporation in good standing under the laws of its jurisdiction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ind w:left="3100" w:right="4219" w:hanging="2453"/>
        <w:spacing w:after="0" w:line="247" w:lineRule="auto"/>
        <w:rPr>
          <w:sz w:val="20"/>
          <w:szCs w:val="20"/>
          <w:color w:val="auto"/>
        </w:rPr>
      </w:pPr>
      <w:r>
        <w:rPr>
          <w:rFonts w:ascii="Courier New" w:cs="Courier New" w:eastAsia="Courier New" w:hAnsi="Courier New"/>
          <w:sz w:val="15"/>
          <w:szCs w:val="15"/>
          <w:color w:val="auto"/>
        </w:rPr>
        <w:t>UNDERWRITING AGREEMENT -- CONVERTIBLE SUBORDINATED NOTES - 18 -</w:t>
      </w:r>
    </w:p>
    <w:p>
      <w:pPr>
        <w:sectPr>
          <w:pgSz w:w="11900" w:h="16838" w:orient="portrait"/>
          <w:cols w:equalWidth="0" w:num="1">
            <w:col w:w="9959"/>
          </w:cols>
          <w:pgMar w:left="500" w:top="293" w:right="1440" w:bottom="1440" w:gutter="0" w:footer="0" w:header="0"/>
        </w:sectPr>
      </w:pPr>
    </w:p>
    <w:bookmarkStart w:id="46" w:name="page47"/>
    <w:bookmarkEnd w:id="46"/>
    <w:p>
      <w:pPr>
        <w:spacing w:after="0"/>
        <w:rPr>
          <w:sz w:val="20"/>
          <w:szCs w:val="20"/>
          <w:color w:val="auto"/>
        </w:rPr>
      </w:pPr>
      <w:r>
        <w:rPr>
          <w:rFonts w:ascii="Courier New" w:cs="Courier New" w:eastAsia="Courier New" w:hAnsi="Courier New"/>
          <w:sz w:val="15"/>
          <w:szCs w:val="15"/>
          <w:color w:val="auto"/>
        </w:rPr>
        <w:t>19</w:t>
      </w:r>
    </w:p>
    <w:p>
      <w:pPr>
        <w:spacing w:after="0" w:line="5" w:lineRule="exact"/>
        <w:rPr>
          <w:sz w:val="20"/>
          <w:szCs w:val="20"/>
          <w:color w:val="auto"/>
        </w:rPr>
      </w:pPr>
    </w:p>
    <w:p>
      <w:pPr>
        <w:ind w:left="1280" w:right="3419"/>
        <w:spacing w:after="0" w:line="247" w:lineRule="auto"/>
        <w:rPr>
          <w:sz w:val="20"/>
          <w:szCs w:val="20"/>
          <w:color w:val="auto"/>
        </w:rPr>
      </w:pPr>
      <w:r>
        <w:rPr>
          <w:rFonts w:ascii="Courier New" w:cs="Courier New" w:eastAsia="Courier New" w:hAnsi="Courier New"/>
          <w:sz w:val="15"/>
          <w:szCs w:val="15"/>
          <w:color w:val="auto"/>
        </w:rPr>
        <w:t>incorporation and has the corporate power and authority required to carry on its business as it is currently being conducted and to own, lease and operate its properties;</w:t>
      </w:r>
    </w:p>
    <w:p>
      <w:pPr>
        <w:spacing w:after="0" w:line="174" w:lineRule="exact"/>
        <w:rPr>
          <w:sz w:val="20"/>
          <w:szCs w:val="20"/>
          <w:color w:val="auto"/>
        </w:rPr>
      </w:pPr>
    </w:p>
    <w:p>
      <w:pPr>
        <w:ind w:left="1280" w:right="3139" w:firstLine="816"/>
        <w:spacing w:after="0" w:line="246" w:lineRule="auto"/>
        <w:tabs>
          <w:tab w:leader="none" w:pos="2825"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each of its Material Subsidiaries is duly qualified and is in good standing as a foreign corporation authorized to do business in each jurisdiction in which the nature of its business or its ownership or leasing of property requires such qualification, except where the failure to be so qualified would not have a material adverse effect on the Company and its subsidiaries, taken as a whole;</w:t>
      </w:r>
    </w:p>
    <w:p>
      <w:pPr>
        <w:spacing w:after="0" w:line="179" w:lineRule="exact"/>
        <w:rPr>
          <w:rFonts w:ascii="Courier New" w:cs="Courier New" w:eastAsia="Courier New" w:hAnsi="Courier New"/>
          <w:sz w:val="15"/>
          <w:szCs w:val="15"/>
          <w:color w:val="auto"/>
        </w:rPr>
      </w:pPr>
    </w:p>
    <w:p>
      <w:pPr>
        <w:ind w:left="1280" w:right="3039" w:firstLine="816"/>
        <w:spacing w:after="0" w:line="246" w:lineRule="auto"/>
        <w:tabs>
          <w:tab w:leader="none" w:pos="2825"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of the outstanding shares of capital stock of, or other ownership interests in, each of the Company's subsidiaries have been duly and validly authorized and issued and are fully paid and non-assessable, and are owned by the Company, free and clear of any security interest, claim, lien, encumbrance or adverse interest of any nature (other than liens created under the Credit Facility);</w:t>
      </w:r>
    </w:p>
    <w:p>
      <w:pPr>
        <w:spacing w:after="0" w:line="179" w:lineRule="exact"/>
        <w:rPr>
          <w:rFonts w:ascii="Courier New" w:cs="Courier New" w:eastAsia="Courier New" w:hAnsi="Courier New"/>
          <w:sz w:val="15"/>
          <w:szCs w:val="15"/>
          <w:color w:val="auto"/>
        </w:rPr>
      </w:pPr>
    </w:p>
    <w:p>
      <w:pPr>
        <w:ind w:left="1280" w:right="3319" w:firstLine="816"/>
        <w:spacing w:after="0" w:line="246" w:lineRule="auto"/>
        <w:tabs>
          <w:tab w:leader="none" w:pos="2825"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the outstanding shares of Common Stock have been duly authorized and validly issued and are fully paid, non-assessable and not subject to any statutory preemptive rights or, to the knowledge of such counsel, any other similar rights;</w:t>
      </w:r>
    </w:p>
    <w:p>
      <w:pPr>
        <w:spacing w:after="0" w:line="177" w:lineRule="exact"/>
        <w:rPr>
          <w:rFonts w:ascii="Courier New" w:cs="Courier New" w:eastAsia="Courier New" w:hAnsi="Courier New"/>
          <w:sz w:val="15"/>
          <w:szCs w:val="15"/>
          <w:color w:val="auto"/>
        </w:rPr>
      </w:pPr>
    </w:p>
    <w:p>
      <w:pPr>
        <w:ind w:left="1280" w:right="3039" w:firstLine="816"/>
        <w:spacing w:after="0" w:line="246" w:lineRule="auto"/>
        <w:tabs>
          <w:tab w:leader="none" w:pos="2825"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nor any of its Material Subsidiaries is in violation of its respective charter or by-laws and, to the best of such counsel's knowledge after due inquiry, neither the Company nor any of its Material Subsidiaries is in default in the performance of any obligation, agreement or condition contained in any bond, debenture, note or any other evidence of indebtedness or in any other agreement, indenture or instrument material to the conduct of the business of the Company and its subsidiaries, taken as a whole, to which the Company or any of its Material Subsidiaries is a party or by which it or any of its subsidiaries or their respective property is bound;</w:t>
      </w:r>
    </w:p>
    <w:p>
      <w:pPr>
        <w:spacing w:after="0" w:line="182" w:lineRule="exact"/>
        <w:rPr>
          <w:rFonts w:ascii="Courier New" w:cs="Courier New" w:eastAsia="Courier New" w:hAnsi="Courier New"/>
          <w:sz w:val="15"/>
          <w:szCs w:val="15"/>
          <w:color w:val="auto"/>
        </w:rPr>
      </w:pPr>
    </w:p>
    <w:p>
      <w:pPr>
        <w:ind w:left="1280" w:right="3039" w:firstLine="816"/>
        <w:spacing w:after="0" w:line="246" w:lineRule="auto"/>
        <w:tabs>
          <w:tab w:leader="none" w:pos="2825"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delivery and performance of this Agreement, the Indenture and the Securities by the Company, compliance by the Company with all the provisions hereof and thereof and the consummation of the transactions contemplated hereby and thereby will not conflict with or constitute a breach of any of the terms or provisions of, or a default under, the charter or by-laws of any of the Company's Material Subsidiaries or any agreement, indenture or other instrument to which the Company or any of its Material Subsidiaries is a party or by which the Company or any of its Material Subsidiaries or their respective properties are bound, or violate or conflict with any laws, administrative regulations or rulings or court decrees applicable to the Company or any of its subsidiaries or their respective properties;</w:t>
      </w:r>
    </w:p>
    <w:p>
      <w:pPr>
        <w:spacing w:after="0" w:line="183" w:lineRule="exact"/>
        <w:rPr>
          <w:rFonts w:ascii="Courier New" w:cs="Courier New" w:eastAsia="Courier New" w:hAnsi="Courier New"/>
          <w:sz w:val="15"/>
          <w:szCs w:val="15"/>
          <w:color w:val="auto"/>
        </w:rPr>
      </w:pPr>
    </w:p>
    <w:p>
      <w:pPr>
        <w:ind w:left="1280" w:right="3139" w:firstLine="816"/>
        <w:spacing w:after="0" w:line="246" w:lineRule="auto"/>
        <w:tabs>
          <w:tab w:leader="none" w:pos="2825"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such counsel's knowledge there are no legal or governmental proceedings pending or threatened to which the Company or any of its subsidiaries is a party or to which any of their respective property is subject which is required to be described in the Registration Statement or the Prospectus and is not so described, or of any contract or other document which is required to be described in the Registration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ind w:left="3100" w:right="4219" w:hanging="2362"/>
        <w:spacing w:after="0" w:line="247" w:lineRule="auto"/>
        <w:rPr>
          <w:sz w:val="20"/>
          <w:szCs w:val="20"/>
          <w:color w:val="auto"/>
        </w:rPr>
      </w:pPr>
      <w:r>
        <w:rPr>
          <w:rFonts w:ascii="Courier New" w:cs="Courier New" w:eastAsia="Courier New" w:hAnsi="Courier New"/>
          <w:sz w:val="15"/>
          <w:szCs w:val="15"/>
          <w:color w:val="auto"/>
        </w:rPr>
        <w:t>UNDERWRITING AGREEMEN -- CONVERTIBLE SUBORDINATED NOTES - 19 -</w:t>
      </w:r>
    </w:p>
    <w:p>
      <w:pPr>
        <w:sectPr>
          <w:pgSz w:w="11900" w:h="16838" w:orient="portrait"/>
          <w:cols w:equalWidth="0" w:num="1">
            <w:col w:w="9959"/>
          </w:cols>
          <w:pgMar w:left="500" w:top="293" w:right="1440" w:bottom="1440" w:gutter="0" w:footer="0" w:header="0"/>
        </w:sectPr>
      </w:pPr>
    </w:p>
    <w:bookmarkStart w:id="47" w:name="page48"/>
    <w:bookmarkEnd w:id="47"/>
    <w:p>
      <w:pPr>
        <w:spacing w:after="0"/>
        <w:rPr>
          <w:sz w:val="20"/>
          <w:szCs w:val="20"/>
          <w:color w:val="auto"/>
        </w:rPr>
      </w:pPr>
      <w:r>
        <w:rPr>
          <w:rFonts w:ascii="Courier New" w:cs="Courier New" w:eastAsia="Courier New" w:hAnsi="Courier New"/>
          <w:sz w:val="15"/>
          <w:szCs w:val="15"/>
          <w:color w:val="auto"/>
        </w:rPr>
        <w:t>20</w:t>
      </w:r>
    </w:p>
    <w:p>
      <w:pPr>
        <w:spacing w:after="0" w:line="5" w:lineRule="exact"/>
        <w:rPr>
          <w:sz w:val="20"/>
          <w:szCs w:val="20"/>
          <w:color w:val="auto"/>
        </w:rPr>
      </w:pPr>
    </w:p>
    <w:p>
      <w:pPr>
        <w:ind w:left="1280" w:right="3219"/>
        <w:spacing w:after="0" w:line="246" w:lineRule="auto"/>
        <w:rPr>
          <w:sz w:val="20"/>
          <w:szCs w:val="20"/>
          <w:color w:val="auto"/>
        </w:rPr>
      </w:pPr>
      <w:r>
        <w:rPr>
          <w:rFonts w:ascii="Courier New" w:cs="Courier New" w:eastAsia="Courier New" w:hAnsi="Courier New"/>
          <w:sz w:val="15"/>
          <w:szCs w:val="15"/>
          <w:color w:val="auto"/>
        </w:rPr>
        <w:t>Statement or the Prospectus or is required to be filed as an exhibit to the Registration Statement which is not described or filed as required; such counsel does not have any reason to believe that the description of litigation in the Prospectus is not accurate and complete in all material respects;</w:t>
      </w:r>
    </w:p>
    <w:p>
      <w:pPr>
        <w:spacing w:after="0" w:line="178" w:lineRule="exact"/>
        <w:rPr>
          <w:sz w:val="20"/>
          <w:szCs w:val="20"/>
          <w:color w:val="auto"/>
        </w:rPr>
      </w:pPr>
    </w:p>
    <w:p>
      <w:pPr>
        <w:ind w:left="1280" w:right="3039" w:firstLine="816"/>
        <w:spacing w:after="0" w:line="246" w:lineRule="auto"/>
        <w:tabs>
          <w:tab w:leader="none" w:pos="2825"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such counsel's knowledge, except as described in the Prospectus, neither the Company nor any of its subsidiaries has violated any Environmental Laws, nor any federal or state law relating to discrimination in the hiring, promotion or pay of employees nor any applicable federal or state wages and hours laws, nor any provisions of the Employee Retirement Income Security Act or the rules and regulations promulgated thereunder, which in each case might result in any material adverse change in the business, prospects, financial condition or results of operation of the Company and its subsidiaries, taken as a whole;</w:t>
      </w:r>
    </w:p>
    <w:p>
      <w:pPr>
        <w:spacing w:after="0" w:line="181" w:lineRule="exact"/>
        <w:rPr>
          <w:rFonts w:ascii="Courier New" w:cs="Courier New" w:eastAsia="Courier New" w:hAnsi="Courier New"/>
          <w:sz w:val="15"/>
          <w:szCs w:val="15"/>
          <w:color w:val="auto"/>
        </w:rPr>
      </w:pPr>
    </w:p>
    <w:p>
      <w:pPr>
        <w:ind w:left="1280" w:right="3039" w:firstLine="816"/>
        <w:spacing w:after="0" w:line="246" w:lineRule="auto"/>
        <w:tabs>
          <w:tab w:leader="none" w:pos="2825"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such counsel's knowledge, the Company and each of its subsidiaries has such permits, licenses, franchises and authorizations of governmental or regulatory authorities ("permits"), including, without limitation, under any applicable Environmental Laws, as are necessary to own, lease and operate its respective properties and to conduct its business in the manner described in the Prospectus except where the failure to have such permits would not have a material adverse effect on the Company and its subsidiaries taken as a whole; to such counsel's knowledge, the Company and each of its subsidiaries has fulfilled and performed all of its material obligations with respect to such permits and no event has occurred which allows, or after notice or lapse of time would allow, revocation or termination thereof or results in any other material impairment of the rights of the holder of any such permit, subject in each case to such qualification as may be set forth in the Prospectus; and, except as described in the Prospectus, such permits contain no restrictions that are materially burdensome to the Company or any of its subsidiaries;</w:t>
      </w:r>
    </w:p>
    <w:p>
      <w:pPr>
        <w:spacing w:after="0" w:line="186" w:lineRule="exact"/>
        <w:rPr>
          <w:rFonts w:ascii="Courier New" w:cs="Courier New" w:eastAsia="Courier New" w:hAnsi="Courier New"/>
          <w:sz w:val="15"/>
          <w:szCs w:val="15"/>
          <w:color w:val="auto"/>
        </w:rPr>
      </w:pPr>
    </w:p>
    <w:p>
      <w:pPr>
        <w:ind w:left="1280" w:right="3039" w:firstLine="816"/>
        <w:spacing w:after="0" w:line="246" w:lineRule="auto"/>
        <w:tabs>
          <w:tab w:leader="none" w:pos="2825"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such counsel's knowledge, no holder of any security of the Company has any right to require registration of shares of Common Stock or any other security of the Company as a result of filing the Registration Statement, which have not been waived;</w:t>
      </w:r>
    </w:p>
    <w:p>
      <w:pPr>
        <w:spacing w:after="0" w:line="177" w:lineRule="exact"/>
        <w:rPr>
          <w:rFonts w:ascii="Courier New" w:cs="Courier New" w:eastAsia="Courier New" w:hAnsi="Courier New"/>
          <w:sz w:val="15"/>
          <w:szCs w:val="15"/>
          <w:color w:val="auto"/>
        </w:rPr>
      </w:pPr>
    </w:p>
    <w:p>
      <w:pPr>
        <w:ind w:left="1280" w:right="3039" w:firstLine="816"/>
        <w:spacing w:after="0" w:line="246" w:lineRule="auto"/>
        <w:tabs>
          <w:tab w:leader="none" w:pos="2825"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counsel believes that (except for financial statements, financial and statistical information contained therein, as aforesaid and except for that part of the Registration Statement that constitutes the Form T-1) the Registration Statement and the prospectus included therein at the time the Registration Statement became effective did not contain any untrue statement of a material fact or omit to state a material fact required to be stated therein or necessary to make the statements therein not misleading, and that the Prospectus, as amended or supplemented, if applicable (except for financial statements, and financial and statistical information, as aforesaid) does not contain any untrue statement of a material fact or omit to state a material fact necessary in order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ind w:left="3100" w:right="4219" w:hanging="2453"/>
        <w:spacing w:after="0" w:line="247" w:lineRule="auto"/>
        <w:rPr>
          <w:sz w:val="20"/>
          <w:szCs w:val="20"/>
          <w:color w:val="auto"/>
        </w:rPr>
      </w:pPr>
      <w:r>
        <w:rPr>
          <w:rFonts w:ascii="Courier New" w:cs="Courier New" w:eastAsia="Courier New" w:hAnsi="Courier New"/>
          <w:sz w:val="15"/>
          <w:szCs w:val="15"/>
          <w:color w:val="auto"/>
        </w:rPr>
        <w:t>UNDERWRITING AGREEMENT -- CONVERTIBLE SUBORDINATED NOTES - 20 -</w:t>
      </w:r>
    </w:p>
    <w:p>
      <w:pPr>
        <w:sectPr>
          <w:pgSz w:w="11900" w:h="16838" w:orient="portrait"/>
          <w:cols w:equalWidth="0" w:num="1">
            <w:col w:w="9959"/>
          </w:cols>
          <w:pgMar w:left="500" w:top="293" w:right="1440" w:bottom="1440" w:gutter="0" w:footer="0" w:header="0"/>
        </w:sectPr>
      </w:pPr>
    </w:p>
    <w:bookmarkStart w:id="48" w:name="page49"/>
    <w:bookmarkEnd w:id="48"/>
    <w:p>
      <w:pPr>
        <w:spacing w:after="0"/>
        <w:rPr>
          <w:sz w:val="20"/>
          <w:szCs w:val="20"/>
          <w:color w:val="auto"/>
        </w:rPr>
      </w:pPr>
      <w:r>
        <w:rPr>
          <w:rFonts w:ascii="Courier New" w:cs="Courier New" w:eastAsia="Courier New" w:hAnsi="Courier New"/>
          <w:sz w:val="15"/>
          <w:szCs w:val="15"/>
          <w:color w:val="auto"/>
        </w:rPr>
        <w:t>21</w:t>
      </w:r>
    </w:p>
    <w:p>
      <w:pPr>
        <w:spacing w:after="0" w:line="5" w:lineRule="exact"/>
        <w:rPr>
          <w:sz w:val="20"/>
          <w:szCs w:val="20"/>
          <w:color w:val="auto"/>
        </w:rPr>
      </w:pPr>
    </w:p>
    <w:p>
      <w:pPr>
        <w:ind w:left="1280" w:right="3039"/>
        <w:spacing w:after="0" w:line="247" w:lineRule="auto"/>
        <w:rPr>
          <w:sz w:val="20"/>
          <w:szCs w:val="20"/>
          <w:color w:val="auto"/>
        </w:rPr>
      </w:pPr>
      <w:r>
        <w:rPr>
          <w:rFonts w:ascii="Courier New" w:cs="Courier New" w:eastAsia="Courier New" w:hAnsi="Courier New"/>
          <w:sz w:val="15"/>
          <w:szCs w:val="15"/>
          <w:color w:val="auto"/>
        </w:rPr>
        <w:t>make the statements therein, in the light of the circumstances under which they were made, not misleading;</w:t>
      </w:r>
    </w:p>
    <w:p>
      <w:pPr>
        <w:spacing w:after="0" w:line="175" w:lineRule="exact"/>
        <w:rPr>
          <w:sz w:val="20"/>
          <w:szCs w:val="20"/>
          <w:color w:val="auto"/>
        </w:rPr>
      </w:pPr>
    </w:p>
    <w:p>
      <w:pPr>
        <w:ind w:left="1280" w:right="3139" w:firstLine="816"/>
        <w:spacing w:after="0" w:line="246" w:lineRule="auto"/>
        <w:tabs>
          <w:tab w:leader="none" w:pos="2825"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descriptions in the Prospectus of statutes, regulations or legal or governmental proceedings in all material respects are accurate and fairly present the information required to be shown;</w:t>
      </w:r>
    </w:p>
    <w:p>
      <w:pPr>
        <w:spacing w:after="0" w:line="177" w:lineRule="exact"/>
        <w:rPr>
          <w:sz w:val="20"/>
          <w:szCs w:val="20"/>
          <w:color w:val="auto"/>
        </w:rPr>
      </w:pPr>
    </w:p>
    <w:p>
      <w:pPr>
        <w:ind w:left="560" w:right="3039" w:firstLine="727"/>
        <w:spacing w:after="0" w:line="246" w:lineRule="auto"/>
        <w:rPr>
          <w:sz w:val="20"/>
          <w:szCs w:val="20"/>
          <w:color w:val="auto"/>
        </w:rPr>
      </w:pPr>
      <w:r>
        <w:rPr>
          <w:rFonts w:ascii="Courier New" w:cs="Courier New" w:eastAsia="Courier New" w:hAnsi="Courier New"/>
          <w:sz w:val="15"/>
          <w:szCs w:val="15"/>
          <w:color w:val="auto"/>
        </w:rPr>
        <w:t>The opinion of Vinson &amp; Elkins L.L.P. referred to in subsection (d) above shall contain a statement that such counsel believes that (except for financial statements, financial and statistical information contained therein, as aforesaid and except for that part of the Registration Statement that constitutes the Form T-1), the Registration Statement and the prospectus included therein at the time the Registration Statement became effective did not contain any untrue statement of a material fact or omit to state a material fact required to be stated therein or necessary to make the statements therein not misleading, and that the Prospectus, as amended or supplemented, if applicable (except for financial statements, and financial and statistical information, as aforesaid) does not contain any untrue statement of a material fact or omit to state a material fact necessary in order to make the statements therein, in the light of the circumstances under which they were made, not misleading. Vinson &amp; Elkins L.L.P. and Snell &amp; Smith L.L.P., in giving their opinions with respect to the matters covered by clauses (d)(ix) and (e)(xi) may state that their opinions and beliefs are based upon their participation in the preparation of the Registration Statement and Prospectus and any amendments or supplements thereto and review and discussion of the contents thereof, but are without independent check or verification except as specified.</w:t>
      </w:r>
    </w:p>
    <w:p>
      <w:pPr>
        <w:spacing w:after="0" w:line="188" w:lineRule="exact"/>
        <w:rPr>
          <w:sz w:val="20"/>
          <w:szCs w:val="20"/>
          <w:color w:val="auto"/>
        </w:rPr>
      </w:pPr>
    </w:p>
    <w:p>
      <w:pPr>
        <w:jc w:val="both"/>
        <w:ind w:left="560" w:right="3139" w:firstLine="727"/>
        <w:spacing w:after="0" w:line="247" w:lineRule="auto"/>
        <w:rPr>
          <w:sz w:val="20"/>
          <w:szCs w:val="20"/>
          <w:color w:val="auto"/>
        </w:rPr>
      </w:pPr>
      <w:r>
        <w:rPr>
          <w:rFonts w:ascii="Courier New" w:cs="Courier New" w:eastAsia="Courier New" w:hAnsi="Courier New"/>
          <w:sz w:val="15"/>
          <w:szCs w:val="15"/>
          <w:color w:val="auto"/>
        </w:rPr>
        <w:t>In giving the opinions described in clause (d) and (e) above, such counsel may rely as to factual matters on information set forth in certificates of the Company or public officials.</w:t>
      </w:r>
    </w:p>
    <w:p>
      <w:pPr>
        <w:spacing w:after="0" w:line="174" w:lineRule="exact"/>
        <w:rPr>
          <w:sz w:val="20"/>
          <w:szCs w:val="20"/>
          <w:color w:val="auto"/>
        </w:rPr>
      </w:pPr>
    </w:p>
    <w:p>
      <w:pPr>
        <w:ind w:left="560" w:right="3039" w:firstLine="727"/>
        <w:spacing w:after="0" w:line="247" w:lineRule="auto"/>
        <w:rPr>
          <w:sz w:val="20"/>
          <w:szCs w:val="20"/>
          <w:color w:val="auto"/>
        </w:rPr>
      </w:pPr>
      <w:r>
        <w:rPr>
          <w:rFonts w:ascii="Courier New" w:cs="Courier New" w:eastAsia="Courier New" w:hAnsi="Courier New"/>
          <w:sz w:val="15"/>
          <w:szCs w:val="15"/>
          <w:color w:val="auto"/>
        </w:rPr>
        <w:t>The opinion of Vinson &amp; Elkins L.L.P. and Snell &amp; Smith L.L.P. described in paragraphs (d) and (e) above shall be rendered to you at the request of the Company and shall so state therein.</w:t>
      </w:r>
    </w:p>
    <w:p>
      <w:pPr>
        <w:spacing w:after="0" w:line="174" w:lineRule="exact"/>
        <w:rPr>
          <w:sz w:val="20"/>
          <w:szCs w:val="20"/>
          <w:color w:val="auto"/>
        </w:rPr>
      </w:pPr>
    </w:p>
    <w:p>
      <w:pPr>
        <w:jc w:val="both"/>
        <w:ind w:left="560" w:right="3139" w:firstLine="718"/>
        <w:spacing w:after="0" w:line="246" w:lineRule="auto"/>
        <w:tabs>
          <w:tab w:leader="none" w:pos="2105"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shall have received on the Closing Date and the Option Closing Date an opinion, dated the Closing Date or the Option Closing Date, as the case may be, of McDermott, Will &amp; Emery, counsel for the Underwriters, in form and substance satisfactory to you.</w:t>
      </w:r>
    </w:p>
    <w:p>
      <w:pPr>
        <w:spacing w:after="0" w:line="177" w:lineRule="exact"/>
        <w:rPr>
          <w:rFonts w:ascii="Courier New" w:cs="Courier New" w:eastAsia="Courier New" w:hAnsi="Courier New"/>
          <w:sz w:val="15"/>
          <w:szCs w:val="15"/>
          <w:color w:val="auto"/>
        </w:rPr>
      </w:pPr>
    </w:p>
    <w:p>
      <w:pPr>
        <w:ind w:left="560" w:right="3039" w:firstLine="718"/>
        <w:spacing w:after="0" w:line="246" w:lineRule="auto"/>
        <w:tabs>
          <w:tab w:leader="none" w:pos="2105"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shall have received a letter on and as of the Closing Date and the Option Closing Date, in form and substance satisfactory to you, (i) from Coopers &amp; Lybrand LLP, independent public accountants, with respect to the financial statements and certain financial information contained in the Registration Statement and the Prospectus and substantially in the form and substance of the letter delivered to you by Coopers &amp; Lybrand LLP on the date of this Agreement, (ii) from Deloitte &amp; Touche L.L.P., Arthur Andersen L.L.P., Ernst &amp; Young LLP, Deloitte &amp; Touche Chartered Accountants, Kaplan Sipos &amp; Associates, Blake, Kuehler, Babione &amp; Pool, Buckno Lisicky &amp; Company and Osborn, Henning and Company, independent public accountants, each with respect to the financial statements and certain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UNDERWRITING AGREEMENT -- CONVERTIBLE SUBORDINATED NOTES</w:t>
      </w:r>
    </w:p>
    <w:p>
      <w:pPr>
        <w:spacing w:after="0" w:line="5"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- 21 -</w:t>
      </w:r>
    </w:p>
    <w:p>
      <w:pPr>
        <w:sectPr>
          <w:pgSz w:w="11900" w:h="16838" w:orient="portrait"/>
          <w:cols w:equalWidth="0" w:num="1">
            <w:col w:w="9959"/>
          </w:cols>
          <w:pgMar w:left="500" w:top="293" w:right="1440" w:bottom="1440" w:gutter="0" w:footer="0" w:header="0"/>
        </w:sectPr>
      </w:pPr>
    </w:p>
    <w:bookmarkStart w:id="49" w:name="page50"/>
    <w:bookmarkEnd w:id="49"/>
    <w:p>
      <w:pPr>
        <w:ind w:left="267"/>
        <w:spacing w:after="0"/>
        <w:rPr>
          <w:sz w:val="20"/>
          <w:szCs w:val="20"/>
          <w:color w:val="auto"/>
        </w:rPr>
      </w:pPr>
      <w:r>
        <w:rPr>
          <w:rFonts w:ascii="Courier New" w:cs="Courier New" w:eastAsia="Courier New" w:hAnsi="Courier New"/>
          <w:sz w:val="15"/>
          <w:szCs w:val="15"/>
          <w:color w:val="auto"/>
        </w:rPr>
        <w:t>22</w:t>
      </w:r>
    </w:p>
    <w:p>
      <w:pPr>
        <w:spacing w:after="0" w:line="5" w:lineRule="exact"/>
        <w:rPr>
          <w:sz w:val="20"/>
          <w:szCs w:val="20"/>
          <w:color w:val="auto"/>
        </w:rPr>
      </w:pPr>
    </w:p>
    <w:p>
      <w:pPr>
        <w:jc w:val="both"/>
        <w:ind w:left="827" w:right="3039"/>
        <w:spacing w:after="0" w:line="247" w:lineRule="auto"/>
        <w:rPr>
          <w:sz w:val="20"/>
          <w:szCs w:val="20"/>
          <w:color w:val="auto"/>
        </w:rPr>
      </w:pPr>
      <w:r>
        <w:rPr>
          <w:rFonts w:ascii="Courier New" w:cs="Courier New" w:eastAsia="Courier New" w:hAnsi="Courier New"/>
          <w:sz w:val="15"/>
          <w:szCs w:val="15"/>
          <w:color w:val="auto"/>
        </w:rPr>
        <w:t>information contained in the Registration Statement and the Prospectus and in each case substantially in the form and substance of the letter delivered to you by such firm on the date of this Agreement.</w:t>
      </w:r>
    </w:p>
    <w:p>
      <w:pPr>
        <w:spacing w:after="0" w:line="174" w:lineRule="exact"/>
        <w:rPr>
          <w:sz w:val="20"/>
          <w:szCs w:val="20"/>
          <w:color w:val="auto"/>
        </w:rPr>
      </w:pPr>
    </w:p>
    <w:p>
      <w:pPr>
        <w:ind w:left="827" w:right="3039" w:firstLine="718"/>
        <w:spacing w:after="0" w:line="246" w:lineRule="auto"/>
        <w:tabs>
          <w:tab w:leader="none" w:pos="2372" w:val="left"/>
        </w:tabs>
        <w:numPr>
          <w:ilvl w:val="2"/>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not have failed at or prior to the Closing Date to perform or comply with any of the agreements herein contained and required to be performed or complied with by the Company at or prior to the Closing Date or the Option Closing Date as the case may be.</w:t>
      </w:r>
    </w:p>
    <w:p>
      <w:pPr>
        <w:spacing w:after="0" w:line="177" w:lineRule="exact"/>
        <w:rPr>
          <w:rFonts w:ascii="Courier New" w:cs="Courier New" w:eastAsia="Courier New" w:hAnsi="Courier New"/>
          <w:sz w:val="15"/>
          <w:szCs w:val="15"/>
          <w:color w:val="auto"/>
        </w:rPr>
      </w:pPr>
    </w:p>
    <w:p>
      <w:pPr>
        <w:ind w:left="827" w:right="3139" w:firstLine="718"/>
        <w:spacing w:after="0" w:line="246" w:lineRule="auto"/>
        <w:tabs>
          <w:tab w:leader="none" w:pos="2372" w:val="left"/>
        </w:tabs>
        <w:numPr>
          <w:ilvl w:val="2"/>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 to the execution and delivery of this Agreement and prior to the Closing Date or any Option Closing Date, there shall not have been any downgrading, nor shall any notice have been given of any intended or potential downgrading or of any review for a possible change that does not indicate the direction of the possible change, in the rating accorded any of the Company's securities by any "nationally recognized statistical rating organization," as such term is defined for purposes of Rule 436(g)(2) under the Act.</w:t>
      </w:r>
    </w:p>
    <w:p>
      <w:pPr>
        <w:spacing w:after="0" w:line="180" w:lineRule="exact"/>
        <w:rPr>
          <w:rFonts w:ascii="Courier New" w:cs="Courier New" w:eastAsia="Courier New" w:hAnsi="Courier New"/>
          <w:sz w:val="15"/>
          <w:szCs w:val="15"/>
          <w:color w:val="auto"/>
        </w:rPr>
      </w:pPr>
    </w:p>
    <w:p>
      <w:pPr>
        <w:ind w:left="7" w:right="3219" w:firstLine="811"/>
        <w:spacing w:after="0" w:line="246" w:lineRule="auto"/>
        <w:tabs>
          <w:tab w:leader="none" w:pos="1552" w:val="left"/>
        </w:tabs>
        <w:numPr>
          <w:ilvl w:val="1"/>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Date of Agreement and Termination. This Agreement shall become effective upon the later of (i) execution of this Agreement and</w:t>
      </w:r>
    </w:p>
    <w:p>
      <w:pPr>
        <w:spacing w:after="0" w:line="1" w:lineRule="exact"/>
        <w:rPr>
          <w:rFonts w:ascii="Courier New" w:cs="Courier New" w:eastAsia="Courier New" w:hAnsi="Courier New"/>
          <w:sz w:val="15"/>
          <w:szCs w:val="15"/>
          <w:color w:val="auto"/>
        </w:rPr>
      </w:pPr>
    </w:p>
    <w:p>
      <w:pPr>
        <w:ind w:left="7" w:right="3219" w:hanging="7"/>
        <w:spacing w:after="0" w:line="247" w:lineRule="auto"/>
        <w:tabs>
          <w:tab w:leader="none" w:pos="461"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 notification of the effectiveness of the Registration Statement has been released by the Commission.</w:t>
      </w:r>
    </w:p>
    <w:p>
      <w:pPr>
        <w:spacing w:after="0" w:line="175" w:lineRule="exact"/>
        <w:rPr>
          <w:sz w:val="20"/>
          <w:szCs w:val="20"/>
          <w:color w:val="auto"/>
        </w:rPr>
      </w:pPr>
    </w:p>
    <w:p>
      <w:pPr>
        <w:ind w:left="7" w:right="3039" w:firstLine="818"/>
        <w:spacing w:after="0" w:line="246" w:lineRule="auto"/>
        <w:rPr>
          <w:sz w:val="20"/>
          <w:szCs w:val="20"/>
          <w:color w:val="auto"/>
        </w:rPr>
      </w:pPr>
      <w:r>
        <w:rPr>
          <w:rFonts w:ascii="Courier New" w:cs="Courier New" w:eastAsia="Courier New" w:hAnsi="Courier New"/>
          <w:sz w:val="15"/>
          <w:szCs w:val="15"/>
          <w:color w:val="auto"/>
        </w:rPr>
        <w:t>This Agreement may be terminated at any time prior to the Closing Date by you by written notice to the Company if any of the following has occurred:</w:t>
      </w:r>
    </w:p>
    <w:p>
      <w:pPr>
        <w:spacing w:after="0" w:line="1" w:lineRule="exact"/>
        <w:rPr>
          <w:sz w:val="20"/>
          <w:szCs w:val="20"/>
          <w:color w:val="auto"/>
        </w:rPr>
      </w:pPr>
    </w:p>
    <w:p>
      <w:pPr>
        <w:ind w:left="7" w:right="3039" w:hanging="7"/>
        <w:spacing w:after="0" w:line="246" w:lineRule="auto"/>
        <w:tabs>
          <w:tab w:leader="none" w:pos="37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since the respective dates as of which information is given in the Registration Statement and the Prospectus, any adverse change or development involving a prospective adverse change in the condition, financial or otherwise, of the Company or any of its subsidiaries or the earnings, affairs, or business prospects of the Company or any of its subsidiaries, whether or not arising in the ordinary course of business, which would, in your judgment, make it impracticable to market the Securities on the terms and in the manner contemplated in the Prospectus, (ii) any outbreak or escalation of hostilities or other national or international calamity or crisis or change in economic conditions or in the financial markets of the United States or elsewhere that, in your judgment, is material and adverse and would, in your judgment, make it impracticable to market the Securities on the terms and in the manner contemplated in the Prospectus, (iii) the suspension or material limitation of trading in securities on the New York Stock Exchange, the American Stock Exchange or the NASDAQ National Market System or limitation on prices for securities on any such exchange or National Market System, (iv) the enactment, publication, decree or other promulgation of any federal or state statute, regulation, rule or order of any court or other governmental authority which in your opinion materially and adversely affects, or will materially and adversely affect, the business or operations of the Company or any Subsidiary, (v) the declaration of a banking moratorium by either federal or New York State authorities or (vi) the taking of any action by any federal, state or local government or agency in respect of its monetary or fiscal affairs which in your opinion has a material adverse effect on the financial markets in the United States.</w:t>
      </w:r>
    </w:p>
    <w:p>
      <w:pPr>
        <w:spacing w:after="0" w:line="190" w:lineRule="exact"/>
        <w:rPr>
          <w:sz w:val="20"/>
          <w:szCs w:val="20"/>
          <w:color w:val="auto"/>
        </w:rPr>
      </w:pPr>
    </w:p>
    <w:p>
      <w:pPr>
        <w:ind w:left="7" w:right="3139" w:firstLine="818"/>
        <w:spacing w:after="0" w:line="246" w:lineRule="auto"/>
        <w:rPr>
          <w:sz w:val="20"/>
          <w:szCs w:val="20"/>
          <w:color w:val="auto"/>
        </w:rPr>
      </w:pPr>
      <w:r>
        <w:rPr>
          <w:rFonts w:ascii="Courier New" w:cs="Courier New" w:eastAsia="Courier New" w:hAnsi="Courier New"/>
          <w:sz w:val="15"/>
          <w:szCs w:val="15"/>
          <w:color w:val="auto"/>
        </w:rPr>
        <w:t>If on the Closing Date or on an Option Closing Date, as the case may be, any one or more of the Underwriters shall fail or refuse to purchase the Firm Securities or Additional Securities, as the case may be, which it or they have agreed to purchase hereunder on such date and the aggregate principal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547"/>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UNDERWRITING AGREEMENT -- CONVERTIBLE SUBORDINATED NOTES</w:t>
      </w:r>
    </w:p>
    <w:p>
      <w:pPr>
        <w:spacing w:after="0" w:line="5" w:lineRule="exact"/>
        <w:rPr>
          <w:sz w:val="20"/>
          <w:szCs w:val="20"/>
          <w:color w:val="auto"/>
        </w:rPr>
      </w:pPr>
    </w:p>
    <w:p>
      <w:pPr>
        <w:ind w:left="3367"/>
        <w:spacing w:after="0"/>
        <w:rPr>
          <w:sz w:val="20"/>
          <w:szCs w:val="20"/>
          <w:color w:val="auto"/>
        </w:rPr>
      </w:pPr>
      <w:r>
        <w:rPr>
          <w:rFonts w:ascii="Courier New" w:cs="Courier New" w:eastAsia="Courier New" w:hAnsi="Courier New"/>
          <w:sz w:val="15"/>
          <w:szCs w:val="15"/>
          <w:color w:val="auto"/>
        </w:rPr>
        <w:t>- 22 -</w:t>
      </w:r>
    </w:p>
    <w:p>
      <w:pPr>
        <w:sectPr>
          <w:pgSz w:w="11900" w:h="16838" w:orient="portrait"/>
          <w:cols w:equalWidth="0" w:num="1">
            <w:col w:w="10226"/>
          </w:cols>
          <w:pgMar w:left="233" w:top="293" w:right="1440" w:bottom="1440" w:gutter="0" w:footer="0" w:header="0"/>
        </w:sectPr>
      </w:pPr>
    </w:p>
    <w:bookmarkStart w:id="50" w:name="page51"/>
    <w:bookmarkEnd w:id="50"/>
    <w:p>
      <w:pPr>
        <w:ind w:left="267"/>
        <w:spacing w:after="0"/>
        <w:rPr>
          <w:sz w:val="20"/>
          <w:szCs w:val="20"/>
          <w:color w:val="auto"/>
        </w:rPr>
      </w:pPr>
      <w:r>
        <w:rPr>
          <w:rFonts w:ascii="Courier New" w:cs="Courier New" w:eastAsia="Courier New" w:hAnsi="Courier New"/>
          <w:sz w:val="15"/>
          <w:szCs w:val="15"/>
          <w:color w:val="auto"/>
        </w:rPr>
        <w:t>23</w:t>
      </w:r>
    </w:p>
    <w:p>
      <w:pPr>
        <w:spacing w:after="0" w:line="5"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of Firm Securities or Additional Securities, as the case may be, which such defaulting Underwriter or Underwriters, as the case may be, agreed but failed or refused to purchase is not more than one-tenth of the total principal amount of the Securities to be purchased on such date by all Underwriters, each non-defaulting Underwriter shall be obligated severally, in the proportion which the principal amount of Firm Securities set forth opposite its name in Schedule I bears to the total principal amount of Firm Securities which all the non-defaulting Underwriters, as the case may be, have agreed to purchase, or in such other proportion as you may specify, to purchase the Firm Securities or Additional Securities, as the case may be, which such defaulting Underwriter or Underwriters, as the case may be, agreed but failed or refused to purchase on such date; provided that in no event shall the principal amount of Firm Securities or Additional Securities, as the case may be, which any Underwriter has agreed to purchase pursuant to Section 2 hereof be increased pursuant to this Section 9 by an amount in excess of one-ninth of such principal amount of Firm Securities or Additional Securities, as the case may be, without the written consent of such Underwriter. If on the Closing Date or on an Option Closing Date, as the case may be, any Underwriter or Underwriters shall fail or refuse to purchase Firm Securities, or Additional Securities, as the case may be, and the aggregate principal amount of Firm Securities or Additional Securities, as the case may be, with respect to which such default occurs is more than one-tenth of the aggregate principal amount of Securities to be purchased on such date by all Underwriters and arrangements satisfactory to you and the Company for purchase of such Securities are not made within 48 hours after such default, this Agreement will terminate without liability on the part of any non-defaulting Underwriter and the Company. In any such case which does not result in termination of this Agreement, either you or the Company shall have the right to postpone the Closing Date or the applicable Option Closing Date, as the case may be, but in no event for longer than seven days, in order that the required changes, if any, in the Registration Statement and the Prospectus or any other documents or arrangements may be effected. Any action taken under this paragraph shall not relieve any defaulting Underwriter from liability in respect of any default of any such Underwriter under this Agreement.</w:t>
      </w:r>
    </w:p>
    <w:p>
      <w:pPr>
        <w:spacing w:after="0" w:line="195" w:lineRule="exact"/>
        <w:rPr>
          <w:sz w:val="20"/>
          <w:szCs w:val="20"/>
          <w:color w:val="auto"/>
        </w:rPr>
      </w:pPr>
    </w:p>
    <w:p>
      <w:pPr>
        <w:ind w:left="7" w:right="3139" w:firstLine="811"/>
        <w:spacing w:after="0" w:line="246" w:lineRule="auto"/>
        <w:tabs>
          <w:tab w:leader="none" w:pos="1552" w:val="left"/>
        </w:tabs>
        <w:numPr>
          <w:ilvl w:val="1"/>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 Notices given pursuant to any provision of this Agreement shall be addressed as follows: (a) if to the Company, to USA Waste Services, Inc., 1001 Fannin Street, Suite 4000, Houston, Texas 77002 and</w:t>
      </w:r>
    </w:p>
    <w:p>
      <w:pPr>
        <w:spacing w:after="0" w:line="1" w:lineRule="exact"/>
        <w:rPr>
          <w:rFonts w:ascii="Courier New" w:cs="Courier New" w:eastAsia="Courier New" w:hAnsi="Courier New"/>
          <w:sz w:val="15"/>
          <w:szCs w:val="15"/>
          <w:color w:val="auto"/>
        </w:rPr>
      </w:pPr>
    </w:p>
    <w:p>
      <w:pPr>
        <w:ind w:left="7" w:right="3139" w:hanging="7"/>
        <w:spacing w:after="0" w:line="246" w:lineRule="auto"/>
        <w:tabs>
          <w:tab w:leader="none" w:pos="37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any Underwriter or to you, to you c/o Donaldson, Lufkin &amp; Jenrette Securities Corporation, 277 Park Avenue, New York, New York 10172, Attention: Syndicate Department, or in any case to such other address as the person to be notified may have requested in writing.</w:t>
      </w:r>
    </w:p>
    <w:p>
      <w:pPr>
        <w:spacing w:after="0" w:line="177" w:lineRule="exact"/>
        <w:rPr>
          <w:sz w:val="20"/>
          <w:szCs w:val="20"/>
          <w:color w:val="auto"/>
        </w:rPr>
      </w:pPr>
    </w:p>
    <w:p>
      <w:pPr>
        <w:ind w:left="7" w:right="3039" w:firstLine="818"/>
        <w:spacing w:after="0" w:line="246" w:lineRule="auto"/>
        <w:rPr>
          <w:sz w:val="20"/>
          <w:szCs w:val="20"/>
          <w:color w:val="auto"/>
        </w:rPr>
      </w:pPr>
      <w:r>
        <w:rPr>
          <w:rFonts w:ascii="Courier New" w:cs="Courier New" w:eastAsia="Courier New" w:hAnsi="Courier New"/>
          <w:sz w:val="15"/>
          <w:szCs w:val="15"/>
          <w:color w:val="auto"/>
        </w:rPr>
        <w:t>The respective indemnities, contribution agreements, representations, warranties and other statements of the Company, its officers and directors and of the several Underwriters set forth in or made pursuant to this Agreement shall remain operative and in full force and effect, and will survive delivery of and payment for the Securities, regardless of (i) any investigation, or statement as to the results thereof, made by or on behalf of any Underwriter or by or on behalf of the Company, the officers or directors of the Company or any controlling person of the Company, (ii) acceptance of the Securities and payment for them hereunder and (iii) termination of this Agreement.</w:t>
      </w:r>
    </w:p>
    <w:p>
      <w:pPr>
        <w:spacing w:after="0" w:line="180" w:lineRule="exact"/>
        <w:rPr>
          <w:sz w:val="20"/>
          <w:szCs w:val="20"/>
          <w:color w:val="auto"/>
        </w:rPr>
      </w:pPr>
    </w:p>
    <w:p>
      <w:pPr>
        <w:jc w:val="both"/>
        <w:ind w:left="7" w:right="3219" w:firstLine="818"/>
        <w:spacing w:after="0" w:line="247" w:lineRule="auto"/>
        <w:rPr>
          <w:sz w:val="20"/>
          <w:szCs w:val="20"/>
          <w:color w:val="auto"/>
        </w:rPr>
      </w:pPr>
      <w:r>
        <w:rPr>
          <w:rFonts w:ascii="Courier New" w:cs="Courier New" w:eastAsia="Courier New" w:hAnsi="Courier New"/>
          <w:sz w:val="15"/>
          <w:szCs w:val="15"/>
          <w:color w:val="auto"/>
        </w:rPr>
        <w:t>If this Agreement shall be terminated by the Underwriters because of any failure or refusal on the part of the Company to comply with the terms or to fulfill any of the conditions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547"/>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UNDERWRITING AGREEMENT -- CONVERTIBLE SUBORDINATED NOTES</w:t>
      </w:r>
    </w:p>
    <w:p>
      <w:pPr>
        <w:spacing w:after="0" w:line="5" w:lineRule="exact"/>
        <w:rPr>
          <w:sz w:val="20"/>
          <w:szCs w:val="20"/>
          <w:color w:val="auto"/>
        </w:rPr>
      </w:pPr>
    </w:p>
    <w:p>
      <w:pPr>
        <w:ind w:left="3367"/>
        <w:spacing w:after="0"/>
        <w:rPr>
          <w:sz w:val="20"/>
          <w:szCs w:val="20"/>
          <w:color w:val="auto"/>
        </w:rPr>
      </w:pPr>
      <w:r>
        <w:rPr>
          <w:rFonts w:ascii="Courier New" w:cs="Courier New" w:eastAsia="Courier New" w:hAnsi="Courier New"/>
          <w:sz w:val="15"/>
          <w:szCs w:val="15"/>
          <w:color w:val="auto"/>
        </w:rPr>
        <w:t>- 23 -</w:t>
      </w:r>
    </w:p>
    <w:p>
      <w:pPr>
        <w:sectPr>
          <w:pgSz w:w="11900" w:h="16838" w:orient="portrait"/>
          <w:cols w:equalWidth="0" w:num="1">
            <w:col w:w="10226"/>
          </w:cols>
          <w:pgMar w:left="233" w:top="293" w:right="1440" w:bottom="1440" w:gutter="0" w:footer="0" w:header="0"/>
        </w:sectPr>
      </w:pPr>
    </w:p>
    <w:bookmarkStart w:id="51" w:name="page52"/>
    <w:bookmarkEnd w:id="51"/>
    <w:p>
      <w:pPr>
        <w:ind w:left="260"/>
        <w:spacing w:after="0"/>
        <w:rPr>
          <w:sz w:val="20"/>
          <w:szCs w:val="20"/>
          <w:color w:val="auto"/>
        </w:rPr>
      </w:pPr>
      <w:r>
        <w:rPr>
          <w:rFonts w:ascii="Courier New" w:cs="Courier New" w:eastAsia="Courier New" w:hAnsi="Courier New"/>
          <w:sz w:val="15"/>
          <w:szCs w:val="15"/>
          <w:color w:val="auto"/>
        </w:rPr>
        <w:t>24</w:t>
      </w:r>
    </w:p>
    <w:p>
      <w:pPr>
        <w:spacing w:after="0" w:line="5" w:lineRule="exact"/>
        <w:rPr>
          <w:sz w:val="20"/>
          <w:szCs w:val="20"/>
          <w:color w:val="auto"/>
        </w:rPr>
      </w:pPr>
    </w:p>
    <w:p>
      <w:pPr>
        <w:jc w:val="both"/>
        <w:ind w:right="3139"/>
        <w:spacing w:after="0" w:line="247" w:lineRule="auto"/>
        <w:rPr>
          <w:sz w:val="20"/>
          <w:szCs w:val="20"/>
          <w:color w:val="auto"/>
        </w:rPr>
      </w:pPr>
      <w:r>
        <w:rPr>
          <w:rFonts w:ascii="Courier New" w:cs="Courier New" w:eastAsia="Courier New" w:hAnsi="Courier New"/>
          <w:sz w:val="15"/>
          <w:szCs w:val="15"/>
          <w:color w:val="auto"/>
        </w:rPr>
        <w:t>the Company agrees to reimburse the several Underwriters for all out-of-pocket expenses (including the fees and disbursements of counsel) reasonably incurred by them.</w:t>
      </w:r>
    </w:p>
    <w:p>
      <w:pPr>
        <w:spacing w:after="0" w:line="174" w:lineRule="exact"/>
        <w:rPr>
          <w:sz w:val="20"/>
          <w:szCs w:val="20"/>
          <w:color w:val="auto"/>
        </w:rPr>
      </w:pPr>
    </w:p>
    <w:p>
      <w:pPr>
        <w:ind w:right="3139" w:firstLine="818"/>
        <w:spacing w:after="0" w:line="246" w:lineRule="auto"/>
        <w:rPr>
          <w:sz w:val="20"/>
          <w:szCs w:val="20"/>
          <w:color w:val="auto"/>
        </w:rPr>
      </w:pPr>
      <w:r>
        <w:rPr>
          <w:rFonts w:ascii="Courier New" w:cs="Courier New" w:eastAsia="Courier New" w:hAnsi="Courier New"/>
          <w:sz w:val="15"/>
          <w:szCs w:val="15"/>
          <w:color w:val="auto"/>
        </w:rPr>
        <w:t>Except as otherwise provided, this Agreement has been and is made solely for the benefit of and shall be binding upon the Company, the Underwriters, any controlling persons referred to herein and their respective successors and assigns, all as and to the extent provided in this Agreement, and no other person shall acquire or have any right under or by virtue of this Agreement. The term "successors and assigns" shall not include a purchaser of any of the Securities from any of the several Underwriters merely because of such purchase.</w:t>
      </w:r>
    </w:p>
    <w:p>
      <w:pPr>
        <w:spacing w:after="0" w:line="180" w:lineRule="exact"/>
        <w:rPr>
          <w:sz w:val="20"/>
          <w:szCs w:val="20"/>
          <w:color w:val="auto"/>
        </w:rPr>
      </w:pPr>
    </w:p>
    <w:p>
      <w:pPr>
        <w:ind w:right="3139" w:firstLine="818"/>
        <w:spacing w:after="0" w:line="247" w:lineRule="auto"/>
        <w:rPr>
          <w:sz w:val="20"/>
          <w:szCs w:val="20"/>
          <w:color w:val="auto"/>
        </w:rPr>
      </w:pPr>
      <w:r>
        <w:rPr>
          <w:rFonts w:ascii="Courier New" w:cs="Courier New" w:eastAsia="Courier New" w:hAnsi="Courier New"/>
          <w:sz w:val="15"/>
          <w:szCs w:val="15"/>
          <w:color w:val="auto"/>
        </w:rPr>
        <w:t>This Agreement shall be governed and construed in accordance with the laws of the State of New York.</w:t>
      </w:r>
    </w:p>
    <w:p>
      <w:pPr>
        <w:spacing w:after="0" w:line="175" w:lineRule="exact"/>
        <w:rPr>
          <w:sz w:val="20"/>
          <w:szCs w:val="20"/>
          <w:color w:val="auto"/>
        </w:rPr>
      </w:pPr>
    </w:p>
    <w:p>
      <w:pPr>
        <w:ind w:right="3319" w:firstLine="818"/>
        <w:spacing w:after="0" w:line="247" w:lineRule="auto"/>
        <w:rPr>
          <w:sz w:val="20"/>
          <w:szCs w:val="20"/>
          <w:color w:val="auto"/>
        </w:rPr>
      </w:pPr>
      <w:r>
        <w:rPr>
          <w:rFonts w:ascii="Courier New" w:cs="Courier New" w:eastAsia="Courier New" w:hAnsi="Courier New"/>
          <w:sz w:val="15"/>
          <w:szCs w:val="15"/>
          <w:color w:val="auto"/>
        </w:rPr>
        <w:t>This Agreement may be signed in various counterparts which together shall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UNDERWRITING AGREEMENT -- CONVERTIBLE SUBORDINATED NOTES</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- 24 -</w:t>
      </w:r>
    </w:p>
    <w:p>
      <w:pPr>
        <w:sectPr>
          <w:pgSz w:w="11900" w:h="16838" w:orient="portrait"/>
          <w:cols w:equalWidth="0" w:num="1">
            <w:col w:w="10219"/>
          </w:cols>
          <w:pgMar w:left="240" w:top="293" w:right="1440" w:bottom="1440" w:gutter="0" w:footer="0" w:header="0"/>
        </w:sectPr>
      </w:pPr>
    </w:p>
    <w:bookmarkStart w:id="52" w:name="page53"/>
    <w:bookmarkEnd w:id="52"/>
    <w:p>
      <w:pPr>
        <w:ind w:left="260"/>
        <w:spacing w:after="0"/>
        <w:rPr>
          <w:sz w:val="20"/>
          <w:szCs w:val="20"/>
          <w:color w:val="auto"/>
        </w:rPr>
      </w:pPr>
      <w:r>
        <w:rPr>
          <w:rFonts w:ascii="Courier New" w:cs="Courier New" w:eastAsia="Courier New" w:hAnsi="Courier New"/>
          <w:sz w:val="15"/>
          <w:szCs w:val="15"/>
          <w:color w:val="auto"/>
        </w:rPr>
        <w:t>25</w:t>
      </w:r>
    </w:p>
    <w:p>
      <w:pPr>
        <w:spacing w:after="0" w:line="5" w:lineRule="exact"/>
        <w:rPr>
          <w:sz w:val="20"/>
          <w:szCs w:val="20"/>
          <w:color w:val="auto"/>
        </w:rPr>
      </w:pPr>
    </w:p>
    <w:p>
      <w:pPr>
        <w:ind w:right="3219" w:firstLine="818"/>
        <w:spacing w:after="0" w:line="247" w:lineRule="auto"/>
        <w:rPr>
          <w:sz w:val="20"/>
          <w:szCs w:val="20"/>
          <w:color w:val="auto"/>
        </w:rPr>
      </w:pPr>
      <w:r>
        <w:rPr>
          <w:rFonts w:ascii="Courier New" w:cs="Courier New" w:eastAsia="Courier New" w:hAnsi="Courier New"/>
          <w:sz w:val="15"/>
          <w:szCs w:val="15"/>
          <w:color w:val="auto"/>
        </w:rPr>
        <w:t>Please confirm that the foregoing correctly sets forth the agreement between the Company and the several Underwriters.</w:t>
      </w:r>
    </w:p>
    <w:p>
      <w:pPr>
        <w:spacing w:after="0" w:line="175"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Very truly yours,</w:t>
      </w:r>
    </w:p>
    <w:p>
      <w:pPr>
        <w:spacing w:after="0" w:line="180"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USA WASTE SERVICES, INC.</w:t>
      </w:r>
    </w:p>
    <w:p>
      <w:pPr>
        <w:spacing w:after="0" w:line="200" w:lineRule="exact"/>
        <w:rPr>
          <w:sz w:val="20"/>
          <w:szCs w:val="20"/>
          <w:color w:val="auto"/>
        </w:rPr>
      </w:pPr>
    </w:p>
    <w:p>
      <w:pPr>
        <w:spacing w:after="0" w:line="329"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By: /s/ EARL E. DeFRATES</w:t>
      </w:r>
    </w:p>
    <w:p>
      <w:pPr>
        <w:spacing w:after="0" w:line="5"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Title: Executive Vice President</w:t>
      </w:r>
    </w:p>
    <w:p>
      <w:pPr>
        <w:spacing w:after="0" w:line="5" w:lineRule="exact"/>
        <w:rPr>
          <w:sz w:val="20"/>
          <w:szCs w:val="20"/>
          <w:color w:val="auto"/>
        </w:rPr>
      </w:pPr>
    </w:p>
    <w:p>
      <w:pPr>
        <w:ind w:left="4620"/>
        <w:spacing w:after="0"/>
        <w:rPr>
          <w:sz w:val="20"/>
          <w:szCs w:val="20"/>
          <w:color w:val="auto"/>
        </w:rPr>
      </w:pPr>
      <w:r>
        <w:rPr>
          <w:rFonts w:ascii="Courier New" w:cs="Courier New" w:eastAsia="Courier New" w:hAnsi="Courier New"/>
          <w:sz w:val="15"/>
          <w:szCs w:val="15"/>
          <w:color w:val="auto"/>
        </w:rPr>
        <w:t>and CFO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DONALDSON, LUFKIN &amp; JENRETTE</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SECURITIES CORPORATION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DEUTSCHE MORGAN GRENFELL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GOLDMAN, SACHS &amp; CO.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MERRILL LYNCH, PIERCE,</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FENNER &amp; SMITH INCORPORATED</w:t>
      </w:r>
    </w:p>
    <w:p>
      <w:pPr>
        <w:sectPr>
          <w:pgSz w:w="11900" w:h="16838" w:orient="portrait"/>
          <w:cols w:equalWidth="0" w:num="1">
            <w:col w:w="10219"/>
          </w:cols>
          <w:pgMar w:left="240" w:top="293" w:right="1440" w:bottom="1440" w:gutter="0" w:footer="0" w:header="0"/>
        </w:sectPr>
      </w:pP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DONALDSON, LUFKIN &amp; JENRETTE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SECURITIES CORPORATION</w:t>
      </w:r>
    </w:p>
    <w:p>
      <w:pPr>
        <w:spacing w:after="0" w:line="200" w:lineRule="exact"/>
        <w:rPr>
          <w:sz w:val="20"/>
          <w:szCs w:val="20"/>
          <w:color w:val="auto"/>
        </w:rPr>
      </w:pPr>
    </w:p>
    <w:p>
      <w:pPr>
        <w:sectPr>
          <w:pgSz w:w="11900" w:h="16838" w:orient="portrait"/>
          <w:cols w:equalWidth="0" w:num="2">
            <w:col w:w="260" w:space="560"/>
            <w:col w:w="9399"/>
          </w:cols>
          <w:pgMar w:left="240" w:top="293" w:right="1440"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MARK A. PYTOSH</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UNDERWRITING AGREEMENT -- CONVERTIBLE SUBORDINATED NOTES</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- 25 -</w:t>
      </w:r>
    </w:p>
    <w:p>
      <w:pPr>
        <w:sectPr>
          <w:pgSz w:w="11900" w:h="16838" w:orient="portrait"/>
          <w:cols w:equalWidth="0" w:num="1">
            <w:col w:w="10219"/>
          </w:cols>
          <w:pgMar w:left="240" w:top="293" w:right="1440" w:bottom="1440" w:gutter="0" w:footer="0" w:header="0"/>
          <w:type w:val="continuous"/>
        </w:sectPr>
      </w:pPr>
    </w:p>
    <w:bookmarkStart w:id="53" w:name="page54"/>
    <w:bookmarkEnd w:id="53"/>
    <w:p>
      <w:pPr>
        <w:ind w:left="260"/>
        <w:spacing w:after="0"/>
        <w:rPr>
          <w:sz w:val="20"/>
          <w:szCs w:val="20"/>
          <w:color w:val="auto"/>
        </w:rPr>
      </w:pPr>
      <w:r>
        <w:rPr>
          <w:rFonts w:ascii="Courier New" w:cs="Courier New" w:eastAsia="Courier New" w:hAnsi="Courier New"/>
          <w:sz w:val="15"/>
          <w:szCs w:val="15"/>
          <w:color w:val="auto"/>
        </w:rPr>
        <w:t>26</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SCHEDULE I</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7620"/>
        <w:spacing w:after="0"/>
        <w:rPr>
          <w:sz w:val="20"/>
          <w:szCs w:val="20"/>
          <w:color w:val="auto"/>
        </w:rPr>
      </w:pPr>
      <w:r>
        <w:rPr>
          <w:rFonts w:ascii="Courier New" w:cs="Courier New" w:eastAsia="Courier New" w:hAnsi="Courier New"/>
          <w:sz w:val="15"/>
          <w:szCs w:val="15"/>
          <w:color w:val="auto"/>
        </w:rPr>
        <w:t>Principal Amount of Firm</w:t>
      </w:r>
    </w:p>
    <w:p>
      <w:pPr>
        <w:spacing w:after="0" w:line="5" w:lineRule="exact"/>
        <w:rPr>
          <w:sz w:val="20"/>
          <w:szCs w:val="20"/>
          <w:color w:val="auto"/>
        </w:rPr>
      </w:pPr>
    </w:p>
    <w:p>
      <w:pPr>
        <w:ind w:left="8260"/>
        <w:spacing w:after="0"/>
        <w:rPr>
          <w:sz w:val="20"/>
          <w:szCs w:val="20"/>
          <w:color w:val="auto"/>
        </w:rPr>
      </w:pPr>
      <w:r>
        <w:rPr>
          <w:rFonts w:ascii="Courier New" w:cs="Courier New" w:eastAsia="Courier New" w:hAnsi="Courier New"/>
          <w:sz w:val="15"/>
          <w:szCs w:val="15"/>
          <w:color w:val="auto"/>
        </w:rPr>
        <w:t>Securities</w:t>
      </w:r>
    </w:p>
    <w:p>
      <w:pPr>
        <w:spacing w:after="0" w:line="5" w:lineRule="exact"/>
        <w:rPr>
          <w:sz w:val="20"/>
          <w:szCs w:val="20"/>
          <w:color w:val="auto"/>
        </w:rPr>
      </w:pPr>
    </w:p>
    <w:p>
      <w:pPr>
        <w:ind w:left="8180"/>
        <w:spacing w:after="0"/>
        <w:rPr>
          <w:sz w:val="20"/>
          <w:szCs w:val="20"/>
          <w:color w:val="auto"/>
        </w:rPr>
      </w:pPr>
      <w:r>
        <w:rPr>
          <w:rFonts w:ascii="Courier New" w:cs="Courier New" w:eastAsia="Courier New" w:hAnsi="Courier New"/>
          <w:sz w:val="15"/>
          <w:szCs w:val="15"/>
          <w:color w:val="auto"/>
        </w:rPr>
        <w:t>to Be Purchased</w:t>
      </w:r>
    </w:p>
    <w:p>
      <w:pPr>
        <w:spacing w:after="0" w:line="5" w:lineRule="exact"/>
        <w:rPr>
          <w:sz w:val="20"/>
          <w:szCs w:val="20"/>
          <w:color w:val="auto"/>
        </w:rPr>
      </w:pPr>
    </w:p>
    <w:p>
      <w:pPr>
        <w:ind w:left="744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293" w:right="1440" w:bottom="1440" w:gutter="0" w:footer="0" w:header="0"/>
        </w:sectPr>
      </w:pP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Underwriters</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91" w:lineRule="exact"/>
        <w:rPr>
          <w:sz w:val="20"/>
          <w:szCs w:val="20"/>
          <w:color w:val="auto"/>
        </w:rPr>
      </w:pPr>
    </w:p>
    <w:p>
      <w:pPr>
        <w:sectPr>
          <w:pgSz w:w="11900" w:h="16838" w:orient="portrait"/>
          <w:cols w:equalWidth="0" w:num="2">
            <w:col w:w="7900" w:space="720"/>
            <w:col w:w="1599"/>
          </w:cols>
          <w:pgMar w:left="240" w:top="293"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Donaldson, Lufkin &amp; Jenrette Securities Corporation . . . . . . . . . . . . . .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Deutsche Morgan Grenfell Inc. . . . . . . . . . . . . . . . . . . . . . . . . . .</w:t>
      </w:r>
    </w:p>
    <w:p>
      <w:pPr>
        <w:spacing w:after="0" w:line="5"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5"/>
          <w:szCs w:val="15"/>
          <w:color w:val="auto"/>
        </w:rPr>
        <w:t>Goldman, Sachs &amp; Co.</w:t>
        <w:tab/>
        <w:t>. . . . . . . . . . . . . . . . . . . . . . . . . . . . . .</w:t>
      </w:r>
    </w:p>
    <w:p>
      <w:pPr>
        <w:spacing w:after="0" w:line="5" w:lineRule="exact"/>
        <w:rPr>
          <w:sz w:val="20"/>
          <w:szCs w:val="20"/>
          <w:color w:val="auto"/>
        </w:rPr>
      </w:pPr>
    </w:p>
    <w:p>
      <w:pPr>
        <w:spacing w:after="0"/>
        <w:tabs>
          <w:tab w:leader="none" w:pos="4700" w:val="left"/>
        </w:tabs>
        <w:rPr>
          <w:sz w:val="20"/>
          <w:szCs w:val="20"/>
          <w:color w:val="auto"/>
        </w:rPr>
      </w:pPr>
      <w:r>
        <w:rPr>
          <w:rFonts w:ascii="Courier New" w:cs="Courier New" w:eastAsia="Courier New" w:hAnsi="Courier New"/>
          <w:sz w:val="15"/>
          <w:szCs w:val="15"/>
          <w:color w:val="auto"/>
        </w:rPr>
        <w:t>Merrill Lynch, Pierce, Fenner &amp; Smith Incorporated</w:t>
        <w:tab/>
        <w:t>. . . . . . . . . . . . . . .</w:t>
      </w:r>
    </w:p>
    <w:p>
      <w:pPr>
        <w:spacing w:after="0" w:line="180" w:lineRule="exact"/>
        <w:rPr>
          <w:sz w:val="20"/>
          <w:szCs w:val="20"/>
          <w:color w:val="auto"/>
        </w:rPr>
      </w:pPr>
    </w:p>
    <w:p>
      <w:pPr>
        <w:ind w:left="820"/>
        <w:spacing w:after="0"/>
        <w:tabs>
          <w:tab w:leader="none" w:pos="1420" w:val="left"/>
        </w:tabs>
        <w:rPr>
          <w:sz w:val="20"/>
          <w:szCs w:val="20"/>
          <w:color w:val="auto"/>
        </w:rPr>
      </w:pPr>
      <w:r>
        <w:rPr>
          <w:rFonts w:ascii="Courier New" w:cs="Courier New" w:eastAsia="Courier New" w:hAnsi="Courier New"/>
          <w:sz w:val="15"/>
          <w:szCs w:val="15"/>
          <w:color w:val="auto"/>
        </w:rPr>
        <w:t>TOTAL</w:t>
        <w:tab/>
        <w:t>. . . . . . . . . . . . . . . . . . . . . . . . . . . . . . . . .</w:t>
      </w:r>
    </w:p>
    <w:p>
      <w:pPr>
        <w:spacing w:after="0" w:line="20" w:lineRule="exact"/>
        <w:rPr>
          <w:sz w:val="20"/>
          <w:szCs w:val="20"/>
          <w:color w:val="auto"/>
        </w:rPr>
      </w:pPr>
      <w:r>
        <w:rPr>
          <w:sz w:val="20"/>
          <w:szCs w:val="20"/>
          <w:color w:val="auto"/>
        </w:rPr>
        <w:br w:type="column"/>
      </w:r>
    </w:p>
    <w:p>
      <w:pPr>
        <w:jc w:val="right"/>
        <w:ind w:right="1219"/>
        <w:spacing w:after="0"/>
        <w:rPr>
          <w:sz w:val="20"/>
          <w:szCs w:val="20"/>
          <w:color w:val="auto"/>
        </w:rPr>
      </w:pPr>
      <w:r>
        <w:rPr>
          <w:rFonts w:ascii="Courier New" w:cs="Courier New" w:eastAsia="Courier New" w:hAnsi="Courier New"/>
          <w:sz w:val="15"/>
          <w:szCs w:val="15"/>
          <w:color w:val="auto"/>
        </w:rPr>
        <w:t>$ 125,000,000</w:t>
      </w:r>
    </w:p>
    <w:p>
      <w:pPr>
        <w:spacing w:after="0" w:line="5" w:lineRule="exact"/>
        <w:rPr>
          <w:sz w:val="20"/>
          <w:szCs w:val="20"/>
          <w:color w:val="auto"/>
        </w:rPr>
      </w:pPr>
    </w:p>
    <w:p>
      <w:pPr>
        <w:jc w:val="right"/>
        <w:ind w:right="1219"/>
        <w:spacing w:after="0"/>
        <w:rPr>
          <w:sz w:val="20"/>
          <w:szCs w:val="20"/>
          <w:color w:val="auto"/>
        </w:rPr>
      </w:pPr>
      <w:r>
        <w:rPr>
          <w:rFonts w:ascii="Courier New" w:cs="Courier New" w:eastAsia="Courier New" w:hAnsi="Courier New"/>
          <w:sz w:val="15"/>
          <w:szCs w:val="15"/>
          <w:color w:val="auto"/>
        </w:rPr>
        <w:t>125,000,000</w:t>
      </w:r>
    </w:p>
    <w:p>
      <w:pPr>
        <w:spacing w:after="0" w:line="5" w:lineRule="exact"/>
        <w:rPr>
          <w:sz w:val="20"/>
          <w:szCs w:val="20"/>
          <w:color w:val="auto"/>
        </w:rPr>
      </w:pPr>
    </w:p>
    <w:p>
      <w:pPr>
        <w:jc w:val="right"/>
        <w:ind w:right="1219"/>
        <w:spacing w:after="0"/>
        <w:rPr>
          <w:sz w:val="20"/>
          <w:szCs w:val="20"/>
          <w:color w:val="auto"/>
        </w:rPr>
      </w:pPr>
      <w:r>
        <w:rPr>
          <w:rFonts w:ascii="Courier New" w:cs="Courier New" w:eastAsia="Courier New" w:hAnsi="Courier New"/>
          <w:sz w:val="15"/>
          <w:szCs w:val="15"/>
          <w:color w:val="auto"/>
        </w:rPr>
        <w:t>125,000,000</w:t>
      </w:r>
    </w:p>
    <w:p>
      <w:pPr>
        <w:spacing w:after="0" w:line="5" w:lineRule="exact"/>
        <w:rPr>
          <w:sz w:val="20"/>
          <w:szCs w:val="20"/>
          <w:color w:val="auto"/>
        </w:rPr>
      </w:pPr>
    </w:p>
    <w:p>
      <w:pPr>
        <w:jc w:val="right"/>
        <w:ind w:right="1219"/>
        <w:spacing w:after="0"/>
        <w:rPr>
          <w:sz w:val="20"/>
          <w:szCs w:val="20"/>
          <w:color w:val="auto"/>
        </w:rPr>
      </w:pPr>
      <w:r>
        <w:rPr>
          <w:rFonts w:ascii="Courier New" w:cs="Courier New" w:eastAsia="Courier New" w:hAnsi="Courier New"/>
          <w:sz w:val="15"/>
          <w:szCs w:val="15"/>
          <w:color w:val="auto"/>
        </w:rPr>
        <w:t>125,000,000</w:t>
      </w:r>
    </w:p>
    <w:p>
      <w:pPr>
        <w:spacing w:after="0" w:line="5" w:lineRule="exact"/>
        <w:rPr>
          <w:sz w:val="20"/>
          <w:szCs w:val="20"/>
          <w:color w:val="auto"/>
        </w:rPr>
      </w:pPr>
    </w:p>
    <w:p>
      <w:pPr>
        <w:jc w:val="right"/>
        <w:ind w:right="1219"/>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right"/>
        <w:ind w:right="1219"/>
        <w:spacing w:after="0"/>
        <w:rPr>
          <w:sz w:val="20"/>
          <w:szCs w:val="20"/>
          <w:color w:val="auto"/>
        </w:rPr>
      </w:pPr>
      <w:r>
        <w:rPr>
          <w:rFonts w:ascii="Courier New" w:cs="Courier New" w:eastAsia="Courier New" w:hAnsi="Courier New"/>
          <w:sz w:val="15"/>
          <w:szCs w:val="15"/>
          <w:color w:val="auto"/>
        </w:rPr>
        <w:t>$ 500,000,000</w:t>
      </w:r>
    </w:p>
    <w:p>
      <w:pPr>
        <w:spacing w:after="0" w:line="5" w:lineRule="exact"/>
        <w:rPr>
          <w:sz w:val="20"/>
          <w:szCs w:val="20"/>
          <w:color w:val="auto"/>
        </w:rPr>
      </w:pPr>
    </w:p>
    <w:p>
      <w:pPr>
        <w:jc w:val="right"/>
        <w:ind w:right="1219"/>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7360" w:space="440"/>
            <w:col w:w="2419"/>
          </w:cols>
          <w:pgMar w:left="240" w:top="29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UNDERWRITING AGREEMENT -- CONVERTIBLE SUBORDINATED NOTES</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SCHEDULE I-1</w:t>
      </w:r>
    </w:p>
    <w:p>
      <w:pPr>
        <w:sectPr>
          <w:pgSz w:w="11900" w:h="16838" w:orient="portrait"/>
          <w:cols w:equalWidth="0" w:num="1">
            <w:col w:w="10219"/>
          </w:cols>
          <w:pgMar w:left="240" w:top="293" w:right="1440" w:bottom="1440" w:gutter="0" w:footer="0" w:header="0"/>
          <w:type w:val="continuous"/>
        </w:sectPr>
      </w:pPr>
    </w:p>
    <w:bookmarkStart w:id="54" w:name="page55"/>
    <w:bookmarkEnd w:id="54"/>
    <w:p>
      <w:pPr>
        <w:spacing w:after="0"/>
        <w:rPr>
          <w:sz w:val="20"/>
          <w:szCs w:val="20"/>
          <w:color w:val="auto"/>
        </w:rPr>
      </w:pPr>
      <w:r>
        <w:rPr>
          <w:rFonts w:ascii="Courier New" w:cs="Courier New" w:eastAsia="Courier New" w:hAnsi="Courier New"/>
          <w:sz w:val="15"/>
          <w:szCs w:val="15"/>
          <w:color w:val="auto"/>
        </w:rPr>
        <w:t>27</w:t>
      </w:r>
    </w:p>
    <w:p>
      <w:pPr>
        <w:spacing w:after="0" w:line="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ANNEX I</w:t>
      </w:r>
    </w:p>
    <w:p>
      <w:pPr>
        <w:spacing w:after="0" w:line="180"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MATERIAL SUBSIDIARIES</w:t>
      </w:r>
    </w:p>
    <w:p>
      <w:pPr>
        <w:sectPr>
          <w:pgSz w:w="11900" w:h="16838" w:orient="portrait"/>
          <w:cols w:equalWidth="0" w:num="1">
            <w:col w:w="9959"/>
          </w:cols>
          <w:pgMar w:left="500" w:top="29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460"/>
        <w:spacing w:after="0"/>
        <w:rPr>
          <w:sz w:val="20"/>
          <w:szCs w:val="20"/>
          <w:color w:val="auto"/>
        </w:rPr>
      </w:pPr>
      <w:r>
        <w:rPr>
          <w:rFonts w:ascii="Courier New" w:cs="Courier New" w:eastAsia="Courier New" w:hAnsi="Courier New"/>
          <w:sz w:val="15"/>
          <w:szCs w:val="15"/>
          <w:color w:val="auto"/>
        </w:rPr>
        <w:t>SUBSIDIARY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STATE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INCORPORATION</w:t>
      </w:r>
    </w:p>
    <w:p>
      <w:pPr>
        <w:spacing w:after="0" w:line="180" w:lineRule="exact"/>
        <w:rPr>
          <w:sz w:val="20"/>
          <w:szCs w:val="20"/>
          <w:color w:val="auto"/>
        </w:rPr>
      </w:pPr>
    </w:p>
    <w:p>
      <w:pPr>
        <w:sectPr>
          <w:pgSz w:w="11900" w:h="16838" w:orient="portrait"/>
          <w:cols w:equalWidth="0" w:num="2">
            <w:col w:w="4100" w:space="720"/>
            <w:col w:w="5139"/>
          </w:cols>
          <w:pgMar w:left="500" w:top="293" w:right="1440" w:bottom="1440" w:gutter="0" w:footer="0" w:header="0"/>
          <w:type w:val="continuous"/>
        </w:sectPr>
      </w:pPr>
    </w:p>
    <w:p>
      <w:pPr>
        <w:ind w:left="360"/>
        <w:spacing w:after="0"/>
        <w:rPr>
          <w:sz w:val="20"/>
          <w:szCs w:val="20"/>
          <w:color w:val="auto"/>
        </w:rPr>
      </w:pPr>
      <w:r>
        <w:rPr>
          <w:rFonts w:ascii="Courier New" w:cs="Courier New" w:eastAsia="Courier New" w:hAnsi="Courier New"/>
          <w:sz w:val="15"/>
          <w:szCs w:val="15"/>
          <w:color w:val="auto"/>
        </w:rPr>
        <w:t>Chambers Development Company, Inc.</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Empire Sanitary Landfill, Inc.</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Envirofil, Inc.</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Sanifill, Inc.</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Western Waste Industries</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Canadian Waste Services, Inc.</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Quebec Waste Services,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Delaware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Pennsylvania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California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Ontario, Canada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Quebec, Canada</w:t>
      </w:r>
    </w:p>
    <w:p>
      <w:pPr>
        <w:spacing w:after="0" w:line="200" w:lineRule="exact"/>
        <w:rPr>
          <w:sz w:val="20"/>
          <w:szCs w:val="20"/>
          <w:color w:val="auto"/>
        </w:rPr>
      </w:pPr>
    </w:p>
    <w:p>
      <w:pPr>
        <w:sectPr>
          <w:pgSz w:w="11900" w:h="16838" w:orient="portrait"/>
          <w:cols w:equalWidth="0" w:num="2">
            <w:col w:w="4100" w:space="720"/>
            <w:col w:w="5139"/>
          </w:cols>
          <w:pgMar w:left="500" w:top="29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UNDERWRITING AGREEMENT -- CONVERTIBLE SUBORDINATED NOTES</w:t>
      </w:r>
    </w:p>
    <w:p>
      <w:pPr>
        <w:spacing w:after="0" w:line="5"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ANNEX I-1</w:t>
      </w:r>
    </w:p>
    <w:p>
      <w:pPr>
        <w:sectPr>
          <w:pgSz w:w="11900" w:h="16838" w:orient="portrait"/>
          <w:cols w:equalWidth="0" w:num="1">
            <w:col w:w="9959"/>
          </w:cols>
          <w:pgMar w:left="500" w:top="293" w:right="1440" w:bottom="1440" w:gutter="0" w:footer="0" w:header="0"/>
          <w:type w:val="continuous"/>
        </w:sectPr>
      </w:pPr>
    </w:p>
    <w:bookmarkStart w:id="55" w:name="page56"/>
    <w:bookmarkEnd w:id="55"/>
    <w:p>
      <w:pPr>
        <w:ind w:left="260"/>
        <w:spacing w:after="0"/>
        <w:rPr>
          <w:sz w:val="20"/>
          <w:szCs w:val="20"/>
          <w:color w:val="auto"/>
        </w:rPr>
      </w:pPr>
      <w:r>
        <w:rPr>
          <w:rFonts w:ascii="Courier New" w:cs="Courier New" w:eastAsia="Courier New" w:hAnsi="Courier New"/>
          <w:sz w:val="15"/>
          <w:szCs w:val="15"/>
          <w:color w:val="auto"/>
        </w:rPr>
        <w:t>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54"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USA WASTE SERVICES, INC.</w:t>
      </w:r>
    </w:p>
    <w:p>
      <w:pPr>
        <w:spacing w:after="0" w:line="35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TO</w:t>
      </w:r>
    </w:p>
    <w:p>
      <w:pPr>
        <w:spacing w:after="0" w:line="354"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TEXAS COMMERCE BANK</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NATIONAL ASSOCIATION</w:t>
      </w:r>
    </w:p>
    <w:p>
      <w:pPr>
        <w:spacing w:after="0" w:line="354"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TRUSTEE</w:t>
      </w:r>
    </w:p>
    <w:p>
      <w:pPr>
        <w:spacing w:after="0" w:line="354"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____________</w:t>
      </w:r>
    </w:p>
    <w:p>
      <w:pPr>
        <w:spacing w:after="0" w:line="200" w:lineRule="exact"/>
        <w:rPr>
          <w:sz w:val="20"/>
          <w:szCs w:val="20"/>
          <w:color w:val="auto"/>
        </w:rPr>
      </w:pPr>
    </w:p>
    <w:p>
      <w:pPr>
        <w:spacing w:after="0" w:line="329"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SUBORDINATED INDENTURE</w:t>
      </w:r>
    </w:p>
    <w:p>
      <w:pPr>
        <w:spacing w:after="0" w:line="354"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Dated as of February 1, 1997</w:t>
      </w:r>
    </w:p>
    <w:p>
      <w:pPr>
        <w:spacing w:after="0" w:line="354"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____________</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142" w:right="1440" w:bottom="1440" w:gutter="0" w:footer="0" w:header="0"/>
        </w:sectPr>
      </w:pPr>
    </w:p>
    <w:bookmarkStart w:id="56" w:name="page57"/>
    <w:bookmarkEnd w:id="56"/>
    <w:p>
      <w:pPr>
        <w:ind w:left="260"/>
        <w:spacing w:after="0"/>
        <w:rPr>
          <w:sz w:val="20"/>
          <w:szCs w:val="20"/>
          <w:color w:val="auto"/>
        </w:rPr>
      </w:pPr>
      <w:r>
        <w:rPr>
          <w:rFonts w:ascii="Courier New" w:cs="Courier New" w:eastAsia="Courier New" w:hAnsi="Courier New"/>
          <w:sz w:val="15"/>
          <w:szCs w:val="15"/>
          <w:color w:val="auto"/>
        </w:rPr>
        <w:t>2</w:t>
      </w:r>
    </w:p>
    <w:p>
      <w:pPr>
        <w:spacing w:after="0" w:line="5" w:lineRule="exact"/>
        <w:rPr>
          <w:sz w:val="20"/>
          <w:szCs w:val="20"/>
          <w:color w:val="auto"/>
        </w:rPr>
      </w:pPr>
    </w:p>
    <w:p>
      <w:pPr>
        <w:jc w:val="center"/>
        <w:ind w:right="4000"/>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jc w:val="center"/>
        <w:ind w:right="4000"/>
        <w:spacing w:after="0"/>
        <w:rPr>
          <w:sz w:val="20"/>
          <w:szCs w:val="20"/>
          <w:color w:val="auto"/>
        </w:rPr>
      </w:pPr>
      <w:r>
        <w:rPr>
          <w:rFonts w:ascii="Courier New" w:cs="Courier New" w:eastAsia="Courier New" w:hAnsi="Courier New"/>
          <w:sz w:val="15"/>
          <w:szCs w:val="15"/>
          <w:color w:val="auto"/>
        </w:rPr>
        <w:t>RECONCILIATION AND TIE BETWEEN TRUST INDENTURE ACT OF 1939 AND</w:t>
      </w:r>
    </w:p>
    <w:p>
      <w:pPr>
        <w:spacing w:after="0" w:line="5" w:lineRule="exact"/>
        <w:rPr>
          <w:sz w:val="20"/>
          <w:szCs w:val="20"/>
          <w:color w:val="auto"/>
        </w:rPr>
      </w:pPr>
    </w:p>
    <w:p>
      <w:pPr>
        <w:jc w:val="center"/>
        <w:ind w:right="4000"/>
        <w:spacing w:after="0"/>
        <w:rPr>
          <w:sz w:val="20"/>
          <w:szCs w:val="20"/>
          <w:color w:val="auto"/>
        </w:rPr>
      </w:pPr>
      <w:r>
        <w:rPr>
          <w:rFonts w:ascii="Courier New" w:cs="Courier New" w:eastAsia="Courier New" w:hAnsi="Courier New"/>
          <w:sz w:val="15"/>
          <w:szCs w:val="15"/>
          <w:color w:val="auto"/>
        </w:rPr>
        <w:t>INDENTURE DATED AS OF MAY 15, 1996</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360" w:type="dxa"/>
            <w:vAlign w:val="bottom"/>
            <w:gridSpan w:val="2"/>
          </w:tcPr>
          <w:p>
            <w:pPr>
              <w:spacing w:after="0"/>
              <w:rPr>
                <w:sz w:val="20"/>
                <w:szCs w:val="20"/>
                <w:color w:val="auto"/>
              </w:rPr>
            </w:pPr>
            <w:r>
              <w:rPr>
                <w:rFonts w:ascii="Courier New" w:cs="Courier New" w:eastAsia="Courier New" w:hAnsi="Courier New"/>
                <w:sz w:val="15"/>
                <w:szCs w:val="15"/>
                <w:color w:val="auto"/>
              </w:rPr>
              <w:t>TRUST INDENTURE</w:t>
            </w:r>
          </w:p>
        </w:tc>
        <w:tc>
          <w:tcPr>
            <w:tcW w:w="1900" w:type="dxa"/>
            <w:vAlign w:val="bottom"/>
          </w:tcPr>
          <w:p>
            <w:pPr>
              <w:spacing w:after="0"/>
              <w:rPr>
                <w:sz w:val="14"/>
                <w:szCs w:val="14"/>
                <w:color w:val="auto"/>
              </w:rPr>
            </w:pPr>
          </w:p>
        </w:tc>
      </w:tr>
      <w:tr>
        <w:trPr>
          <w:trHeight w:val="175"/>
        </w:trPr>
        <w:tc>
          <w:tcPr>
            <w:tcW w:w="93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ACT SECTION</w:t>
            </w:r>
          </w:p>
        </w:tc>
        <w:tc>
          <w:tcPr>
            <w:tcW w:w="1900" w:type="dxa"/>
            <w:vAlign w:val="bottom"/>
          </w:tcPr>
          <w:p>
            <w:pPr>
              <w:ind w:left="180"/>
              <w:spacing w:after="0"/>
              <w:rPr>
                <w:sz w:val="20"/>
                <w:szCs w:val="20"/>
                <w:color w:val="auto"/>
              </w:rPr>
            </w:pPr>
            <w:r>
              <w:rPr>
                <w:rFonts w:ascii="Courier New" w:cs="Courier New" w:eastAsia="Courier New" w:hAnsi="Courier New"/>
                <w:sz w:val="15"/>
                <w:szCs w:val="15"/>
                <w:color w:val="auto"/>
              </w:rPr>
              <w:t>INDENTURE SECTION</w:t>
            </w:r>
          </w:p>
        </w:tc>
      </w:tr>
      <w:tr>
        <w:trPr>
          <w:trHeight w:val="175"/>
        </w:trPr>
        <w:tc>
          <w:tcPr>
            <w:tcW w:w="936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1900" w:type="dxa"/>
            <w:vAlign w:val="bottom"/>
          </w:tcPr>
          <w:p>
            <w:pPr>
              <w:ind w:left="360"/>
              <w:spacing w:after="0"/>
              <w:rPr>
                <w:sz w:val="20"/>
                <w:szCs w:val="20"/>
                <w:color w:val="auto"/>
              </w:rPr>
            </w:pPr>
            <w:r>
              <w:rPr>
                <w:rFonts w:ascii="Courier New" w:cs="Courier New" w:eastAsia="Courier New" w:hAnsi="Courier New"/>
                <w:sz w:val="15"/>
                <w:szCs w:val="15"/>
                <w:color w:val="auto"/>
                <w:w w:val="99"/>
              </w:rPr>
              <w:t>-----------------</w:t>
            </w:r>
          </w:p>
        </w:tc>
      </w:tr>
      <w:tr>
        <w:trPr>
          <w:trHeight w:val="350"/>
        </w:trPr>
        <w:tc>
          <w:tcPr>
            <w:tcW w:w="1080" w:type="dxa"/>
            <w:vAlign w:val="bottom"/>
          </w:tcPr>
          <w:p>
            <w:pPr>
              <w:ind w:left="260"/>
              <w:spacing w:after="0"/>
              <w:rPr>
                <w:sz w:val="20"/>
                <w:szCs w:val="20"/>
                <w:color w:val="auto"/>
              </w:rPr>
            </w:pPr>
            <w:r>
              <w:rPr>
                <w:rFonts w:ascii="Courier New" w:cs="Courier New" w:eastAsia="Courier New" w:hAnsi="Courier New"/>
                <w:sz w:val="15"/>
                <w:szCs w:val="15"/>
                <w:color w:val="auto"/>
              </w:rPr>
              <w:t>Section</w:t>
            </w:r>
          </w:p>
        </w:tc>
        <w:tc>
          <w:tcPr>
            <w:tcW w:w="828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310(a)(1)  ..............................................................................</w:t>
            </w:r>
          </w:p>
        </w:tc>
        <w:tc>
          <w:tcPr>
            <w:tcW w:w="1900" w:type="dxa"/>
            <w:vAlign w:val="bottom"/>
          </w:tcPr>
          <w:p>
            <w:pPr>
              <w:ind w:left="360"/>
              <w:spacing w:after="0"/>
              <w:rPr>
                <w:sz w:val="20"/>
                <w:szCs w:val="20"/>
                <w:color w:val="auto"/>
              </w:rPr>
            </w:pPr>
            <w:r>
              <w:rPr>
                <w:rFonts w:ascii="Courier New" w:cs="Courier New" w:eastAsia="Courier New" w:hAnsi="Courier New"/>
                <w:sz w:val="15"/>
                <w:szCs w:val="15"/>
                <w:color w:val="auto"/>
              </w:rPr>
              <w:t>609</w:t>
            </w:r>
          </w:p>
        </w:tc>
      </w:tr>
      <w:tr>
        <w:trPr>
          <w:trHeight w:val="175"/>
        </w:trPr>
        <w:tc>
          <w:tcPr>
            <w:tcW w:w="1080" w:type="dxa"/>
            <w:vAlign w:val="bottom"/>
          </w:tcPr>
          <w:p>
            <w:pPr>
              <w:spacing w:after="0"/>
              <w:rPr>
                <w:sz w:val="15"/>
                <w:szCs w:val="15"/>
                <w:color w:val="auto"/>
              </w:rPr>
            </w:pPr>
          </w:p>
        </w:tc>
        <w:tc>
          <w:tcPr>
            <w:tcW w:w="828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(a)(2)..............................................................................</w:t>
            </w:r>
          </w:p>
        </w:tc>
        <w:tc>
          <w:tcPr>
            <w:tcW w:w="1900" w:type="dxa"/>
            <w:vAlign w:val="bottom"/>
          </w:tcPr>
          <w:p>
            <w:pPr>
              <w:ind w:left="360"/>
              <w:spacing w:after="0"/>
              <w:rPr>
                <w:sz w:val="20"/>
                <w:szCs w:val="20"/>
                <w:color w:val="auto"/>
              </w:rPr>
            </w:pPr>
            <w:r>
              <w:rPr>
                <w:rFonts w:ascii="Courier New" w:cs="Courier New" w:eastAsia="Courier New" w:hAnsi="Courier New"/>
                <w:sz w:val="15"/>
                <w:szCs w:val="15"/>
                <w:color w:val="auto"/>
              </w:rPr>
              <w:t>609</w:t>
            </w:r>
          </w:p>
        </w:tc>
      </w:tr>
      <w:tr>
        <w:trPr>
          <w:trHeight w:val="175"/>
        </w:trPr>
        <w:tc>
          <w:tcPr>
            <w:tcW w:w="1080" w:type="dxa"/>
            <w:vAlign w:val="bottom"/>
          </w:tcPr>
          <w:p>
            <w:pPr>
              <w:spacing w:after="0"/>
              <w:rPr>
                <w:sz w:val="15"/>
                <w:szCs w:val="15"/>
                <w:color w:val="auto"/>
              </w:rPr>
            </w:pPr>
          </w:p>
        </w:tc>
        <w:tc>
          <w:tcPr>
            <w:tcW w:w="828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(a)(3)..............................................................................</w:t>
            </w:r>
          </w:p>
        </w:tc>
        <w:tc>
          <w:tcPr>
            <w:tcW w:w="1900" w:type="dxa"/>
            <w:vAlign w:val="bottom"/>
          </w:tcPr>
          <w:p>
            <w:pPr>
              <w:ind w:left="360"/>
              <w:spacing w:after="0"/>
              <w:rPr>
                <w:sz w:val="20"/>
                <w:szCs w:val="20"/>
                <w:color w:val="auto"/>
              </w:rPr>
            </w:pPr>
            <w:r>
              <w:rPr>
                <w:rFonts w:ascii="Courier New" w:cs="Courier New" w:eastAsia="Courier New" w:hAnsi="Courier New"/>
                <w:sz w:val="15"/>
                <w:szCs w:val="15"/>
                <w:color w:val="auto"/>
              </w:rPr>
              <w:t>Not applicable</w:t>
            </w:r>
          </w:p>
        </w:tc>
      </w:tr>
      <w:tr>
        <w:trPr>
          <w:trHeight w:val="175"/>
        </w:trPr>
        <w:tc>
          <w:tcPr>
            <w:tcW w:w="1080" w:type="dxa"/>
            <w:vAlign w:val="bottom"/>
          </w:tcPr>
          <w:p>
            <w:pPr>
              <w:spacing w:after="0"/>
              <w:rPr>
                <w:sz w:val="15"/>
                <w:szCs w:val="15"/>
                <w:color w:val="auto"/>
              </w:rPr>
            </w:pPr>
          </w:p>
        </w:tc>
        <w:tc>
          <w:tcPr>
            <w:tcW w:w="828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(a)(4)..............................................................................</w:t>
            </w:r>
          </w:p>
        </w:tc>
        <w:tc>
          <w:tcPr>
            <w:tcW w:w="1900" w:type="dxa"/>
            <w:vAlign w:val="bottom"/>
          </w:tcPr>
          <w:p>
            <w:pPr>
              <w:ind w:left="360"/>
              <w:spacing w:after="0"/>
              <w:rPr>
                <w:sz w:val="20"/>
                <w:szCs w:val="20"/>
                <w:color w:val="auto"/>
              </w:rPr>
            </w:pPr>
            <w:r>
              <w:rPr>
                <w:rFonts w:ascii="Courier New" w:cs="Courier New" w:eastAsia="Courier New" w:hAnsi="Courier New"/>
                <w:sz w:val="15"/>
                <w:szCs w:val="15"/>
                <w:color w:val="auto"/>
              </w:rPr>
              <w:t>Not applicable</w:t>
            </w:r>
          </w:p>
        </w:tc>
      </w:tr>
      <w:tr>
        <w:trPr>
          <w:trHeight w:val="175"/>
        </w:trPr>
        <w:tc>
          <w:tcPr>
            <w:tcW w:w="1080" w:type="dxa"/>
            <w:vAlign w:val="bottom"/>
          </w:tcPr>
          <w:p>
            <w:pPr>
              <w:spacing w:after="0"/>
              <w:rPr>
                <w:sz w:val="15"/>
                <w:szCs w:val="15"/>
                <w:color w:val="auto"/>
              </w:rPr>
            </w:pPr>
          </w:p>
        </w:tc>
        <w:tc>
          <w:tcPr>
            <w:tcW w:w="828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(b)..............................................................................</w:t>
            </w:r>
          </w:p>
        </w:tc>
        <w:tc>
          <w:tcPr>
            <w:tcW w:w="1900" w:type="dxa"/>
            <w:vAlign w:val="bottom"/>
          </w:tcPr>
          <w:p>
            <w:pPr>
              <w:ind w:left="360"/>
              <w:spacing w:after="0"/>
              <w:rPr>
                <w:sz w:val="20"/>
                <w:szCs w:val="20"/>
                <w:color w:val="auto"/>
              </w:rPr>
            </w:pPr>
            <w:r>
              <w:rPr>
                <w:rFonts w:ascii="Courier New" w:cs="Courier New" w:eastAsia="Courier New" w:hAnsi="Courier New"/>
                <w:sz w:val="15"/>
                <w:szCs w:val="15"/>
                <w:color w:val="auto"/>
              </w:rPr>
              <w:t>608</w:t>
            </w:r>
          </w:p>
        </w:tc>
      </w:tr>
      <w:tr>
        <w:trPr>
          <w:trHeight w:val="175"/>
        </w:trPr>
        <w:tc>
          <w:tcPr>
            <w:tcW w:w="1080" w:type="dxa"/>
            <w:vAlign w:val="bottom"/>
          </w:tcPr>
          <w:p>
            <w:pPr>
              <w:spacing w:after="0"/>
              <w:rPr>
                <w:sz w:val="15"/>
                <w:szCs w:val="15"/>
                <w:color w:val="auto"/>
              </w:rPr>
            </w:pPr>
          </w:p>
        </w:tc>
        <w:tc>
          <w:tcPr>
            <w:tcW w:w="828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w:t>
            </w:r>
          </w:p>
        </w:tc>
        <w:tc>
          <w:tcPr>
            <w:tcW w:w="1900" w:type="dxa"/>
            <w:vAlign w:val="bottom"/>
          </w:tcPr>
          <w:p>
            <w:pPr>
              <w:ind w:left="360"/>
              <w:spacing w:after="0"/>
              <w:rPr>
                <w:sz w:val="20"/>
                <w:szCs w:val="20"/>
                <w:color w:val="auto"/>
              </w:rPr>
            </w:pPr>
            <w:r>
              <w:rPr>
                <w:rFonts w:ascii="Courier New" w:cs="Courier New" w:eastAsia="Courier New" w:hAnsi="Courier New"/>
                <w:sz w:val="15"/>
                <w:szCs w:val="15"/>
                <w:color w:val="auto"/>
              </w:rPr>
              <w:t>610</w:t>
            </w:r>
          </w:p>
        </w:tc>
      </w:tr>
      <w:tr>
        <w:trPr>
          <w:trHeight w:val="175"/>
        </w:trPr>
        <w:tc>
          <w:tcPr>
            <w:tcW w:w="1080" w:type="dxa"/>
            <w:vAlign w:val="bottom"/>
          </w:tcPr>
          <w:p>
            <w:pPr>
              <w:ind w:left="260"/>
              <w:spacing w:after="0"/>
              <w:rPr>
                <w:sz w:val="20"/>
                <w:szCs w:val="20"/>
                <w:color w:val="auto"/>
              </w:rPr>
            </w:pPr>
            <w:r>
              <w:rPr>
                <w:rFonts w:ascii="Courier New" w:cs="Courier New" w:eastAsia="Courier New" w:hAnsi="Courier New"/>
                <w:sz w:val="15"/>
                <w:szCs w:val="15"/>
                <w:color w:val="auto"/>
              </w:rPr>
              <w:t>Section</w:t>
            </w:r>
          </w:p>
        </w:tc>
        <w:tc>
          <w:tcPr>
            <w:tcW w:w="828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311(a)..............................................................................</w:t>
            </w:r>
          </w:p>
        </w:tc>
        <w:tc>
          <w:tcPr>
            <w:tcW w:w="1900" w:type="dxa"/>
            <w:vAlign w:val="bottom"/>
          </w:tcPr>
          <w:p>
            <w:pPr>
              <w:ind w:left="360"/>
              <w:spacing w:after="0"/>
              <w:rPr>
                <w:sz w:val="20"/>
                <w:szCs w:val="20"/>
                <w:color w:val="auto"/>
              </w:rPr>
            </w:pPr>
            <w:r>
              <w:rPr>
                <w:rFonts w:ascii="Courier New" w:cs="Courier New" w:eastAsia="Courier New" w:hAnsi="Courier New"/>
                <w:sz w:val="15"/>
                <w:szCs w:val="15"/>
                <w:color w:val="auto"/>
              </w:rPr>
              <w:t>613</w:t>
            </w:r>
          </w:p>
        </w:tc>
      </w:tr>
      <w:tr>
        <w:trPr>
          <w:trHeight w:val="175"/>
        </w:trPr>
        <w:tc>
          <w:tcPr>
            <w:tcW w:w="1080" w:type="dxa"/>
            <w:vAlign w:val="bottom"/>
          </w:tcPr>
          <w:p>
            <w:pPr>
              <w:spacing w:after="0"/>
              <w:rPr>
                <w:sz w:val="15"/>
                <w:szCs w:val="15"/>
                <w:color w:val="auto"/>
              </w:rPr>
            </w:pPr>
          </w:p>
        </w:tc>
        <w:tc>
          <w:tcPr>
            <w:tcW w:w="828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(b)..............................................................................</w:t>
            </w:r>
          </w:p>
        </w:tc>
        <w:tc>
          <w:tcPr>
            <w:tcW w:w="1900" w:type="dxa"/>
            <w:vAlign w:val="bottom"/>
          </w:tcPr>
          <w:p>
            <w:pPr>
              <w:ind w:left="360"/>
              <w:spacing w:after="0"/>
              <w:rPr>
                <w:sz w:val="20"/>
                <w:szCs w:val="20"/>
                <w:color w:val="auto"/>
              </w:rPr>
            </w:pPr>
            <w:r>
              <w:rPr>
                <w:rFonts w:ascii="Courier New" w:cs="Courier New" w:eastAsia="Courier New" w:hAnsi="Courier New"/>
                <w:sz w:val="15"/>
                <w:szCs w:val="15"/>
                <w:color w:val="auto"/>
              </w:rPr>
              <w:t>613</w:t>
            </w:r>
          </w:p>
        </w:tc>
      </w:tr>
      <w:tr>
        <w:trPr>
          <w:trHeight w:val="175"/>
        </w:trPr>
        <w:tc>
          <w:tcPr>
            <w:tcW w:w="1080" w:type="dxa"/>
            <w:vAlign w:val="bottom"/>
          </w:tcPr>
          <w:p>
            <w:pPr>
              <w:ind w:left="260"/>
              <w:spacing w:after="0"/>
              <w:rPr>
                <w:sz w:val="20"/>
                <w:szCs w:val="20"/>
                <w:color w:val="auto"/>
              </w:rPr>
            </w:pPr>
            <w:r>
              <w:rPr>
                <w:rFonts w:ascii="Courier New" w:cs="Courier New" w:eastAsia="Courier New" w:hAnsi="Courier New"/>
                <w:sz w:val="15"/>
                <w:szCs w:val="15"/>
                <w:color w:val="auto"/>
              </w:rPr>
              <w:t>Section</w:t>
            </w:r>
          </w:p>
        </w:tc>
        <w:tc>
          <w:tcPr>
            <w:tcW w:w="828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312(a)..............................................................................</w:t>
            </w:r>
          </w:p>
        </w:tc>
        <w:tc>
          <w:tcPr>
            <w:tcW w:w="1900" w:type="dxa"/>
            <w:vAlign w:val="bottom"/>
          </w:tcPr>
          <w:p>
            <w:pPr>
              <w:ind w:left="360"/>
              <w:spacing w:after="0"/>
              <w:rPr>
                <w:sz w:val="20"/>
                <w:szCs w:val="20"/>
                <w:color w:val="auto"/>
              </w:rPr>
            </w:pPr>
            <w:r>
              <w:rPr>
                <w:rFonts w:ascii="Courier New" w:cs="Courier New" w:eastAsia="Courier New" w:hAnsi="Courier New"/>
                <w:sz w:val="15"/>
                <w:szCs w:val="15"/>
                <w:color w:val="auto"/>
              </w:rPr>
              <w:t>701</w:t>
            </w:r>
          </w:p>
        </w:tc>
      </w:tr>
      <w:tr>
        <w:trPr>
          <w:trHeight w:val="175"/>
        </w:trPr>
        <w:tc>
          <w:tcPr>
            <w:tcW w:w="1080" w:type="dxa"/>
            <w:vAlign w:val="bottom"/>
          </w:tcPr>
          <w:p>
            <w:pPr>
              <w:spacing w:after="0"/>
              <w:rPr>
                <w:sz w:val="15"/>
                <w:szCs w:val="15"/>
                <w:color w:val="auto"/>
              </w:rPr>
            </w:pPr>
          </w:p>
        </w:tc>
        <w:tc>
          <w:tcPr>
            <w:tcW w:w="828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w:t>
            </w:r>
          </w:p>
        </w:tc>
        <w:tc>
          <w:tcPr>
            <w:tcW w:w="1900" w:type="dxa"/>
            <w:vAlign w:val="bottom"/>
          </w:tcPr>
          <w:p>
            <w:pPr>
              <w:ind w:left="360"/>
              <w:spacing w:after="0"/>
              <w:rPr>
                <w:sz w:val="20"/>
                <w:szCs w:val="20"/>
                <w:color w:val="auto"/>
              </w:rPr>
            </w:pPr>
            <w:r>
              <w:rPr>
                <w:rFonts w:ascii="Courier New" w:cs="Courier New" w:eastAsia="Courier New" w:hAnsi="Courier New"/>
                <w:sz w:val="15"/>
                <w:szCs w:val="15"/>
                <w:color w:val="auto"/>
              </w:rPr>
              <w:t>702</w:t>
            </w:r>
          </w:p>
        </w:tc>
      </w:tr>
      <w:tr>
        <w:trPr>
          <w:trHeight w:val="175"/>
        </w:trPr>
        <w:tc>
          <w:tcPr>
            <w:tcW w:w="1080" w:type="dxa"/>
            <w:vAlign w:val="bottom"/>
          </w:tcPr>
          <w:p>
            <w:pPr>
              <w:spacing w:after="0"/>
              <w:rPr>
                <w:sz w:val="15"/>
                <w:szCs w:val="15"/>
                <w:color w:val="auto"/>
              </w:rPr>
            </w:pPr>
          </w:p>
        </w:tc>
        <w:tc>
          <w:tcPr>
            <w:tcW w:w="828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(b)..............................................................................</w:t>
            </w:r>
          </w:p>
        </w:tc>
        <w:tc>
          <w:tcPr>
            <w:tcW w:w="1900" w:type="dxa"/>
            <w:vAlign w:val="bottom"/>
          </w:tcPr>
          <w:p>
            <w:pPr>
              <w:ind w:left="360"/>
              <w:spacing w:after="0"/>
              <w:rPr>
                <w:sz w:val="20"/>
                <w:szCs w:val="20"/>
                <w:color w:val="auto"/>
              </w:rPr>
            </w:pPr>
            <w:r>
              <w:rPr>
                <w:rFonts w:ascii="Courier New" w:cs="Courier New" w:eastAsia="Courier New" w:hAnsi="Courier New"/>
                <w:sz w:val="15"/>
                <w:szCs w:val="15"/>
                <w:color w:val="auto"/>
              </w:rPr>
              <w:t>702</w:t>
            </w:r>
          </w:p>
        </w:tc>
      </w:tr>
      <w:tr>
        <w:trPr>
          <w:trHeight w:val="175"/>
        </w:trPr>
        <w:tc>
          <w:tcPr>
            <w:tcW w:w="1080" w:type="dxa"/>
            <w:vAlign w:val="bottom"/>
          </w:tcPr>
          <w:p>
            <w:pPr>
              <w:spacing w:after="0"/>
              <w:rPr>
                <w:sz w:val="15"/>
                <w:szCs w:val="15"/>
                <w:color w:val="auto"/>
              </w:rPr>
            </w:pPr>
          </w:p>
        </w:tc>
        <w:tc>
          <w:tcPr>
            <w:tcW w:w="828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(c)..............................................................................</w:t>
            </w:r>
          </w:p>
        </w:tc>
        <w:tc>
          <w:tcPr>
            <w:tcW w:w="1900" w:type="dxa"/>
            <w:vAlign w:val="bottom"/>
          </w:tcPr>
          <w:p>
            <w:pPr>
              <w:ind w:left="360"/>
              <w:spacing w:after="0"/>
              <w:rPr>
                <w:sz w:val="20"/>
                <w:szCs w:val="20"/>
                <w:color w:val="auto"/>
              </w:rPr>
            </w:pPr>
            <w:r>
              <w:rPr>
                <w:rFonts w:ascii="Courier New" w:cs="Courier New" w:eastAsia="Courier New" w:hAnsi="Courier New"/>
                <w:sz w:val="15"/>
                <w:szCs w:val="15"/>
                <w:color w:val="auto"/>
              </w:rPr>
              <w:t>702</w:t>
            </w:r>
          </w:p>
        </w:tc>
      </w:tr>
      <w:tr>
        <w:trPr>
          <w:trHeight w:val="175"/>
        </w:trPr>
        <w:tc>
          <w:tcPr>
            <w:tcW w:w="1080" w:type="dxa"/>
            <w:vAlign w:val="bottom"/>
          </w:tcPr>
          <w:p>
            <w:pPr>
              <w:ind w:left="260"/>
              <w:spacing w:after="0"/>
              <w:rPr>
                <w:sz w:val="20"/>
                <w:szCs w:val="20"/>
                <w:color w:val="auto"/>
              </w:rPr>
            </w:pPr>
            <w:r>
              <w:rPr>
                <w:rFonts w:ascii="Courier New" w:cs="Courier New" w:eastAsia="Courier New" w:hAnsi="Courier New"/>
                <w:sz w:val="15"/>
                <w:szCs w:val="15"/>
                <w:color w:val="auto"/>
              </w:rPr>
              <w:t>Section</w:t>
            </w:r>
          </w:p>
        </w:tc>
        <w:tc>
          <w:tcPr>
            <w:tcW w:w="828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313(a)..............................................................................</w:t>
            </w:r>
          </w:p>
        </w:tc>
        <w:tc>
          <w:tcPr>
            <w:tcW w:w="1900" w:type="dxa"/>
            <w:vAlign w:val="bottom"/>
          </w:tcPr>
          <w:p>
            <w:pPr>
              <w:ind w:left="360"/>
              <w:spacing w:after="0"/>
              <w:rPr>
                <w:sz w:val="20"/>
                <w:szCs w:val="20"/>
                <w:color w:val="auto"/>
              </w:rPr>
            </w:pPr>
            <w:r>
              <w:rPr>
                <w:rFonts w:ascii="Courier New" w:cs="Courier New" w:eastAsia="Courier New" w:hAnsi="Courier New"/>
                <w:sz w:val="15"/>
                <w:szCs w:val="15"/>
                <w:color w:val="auto"/>
              </w:rPr>
              <w:t>703</w:t>
            </w:r>
          </w:p>
        </w:tc>
      </w:tr>
      <w:tr>
        <w:trPr>
          <w:trHeight w:val="175"/>
        </w:trPr>
        <w:tc>
          <w:tcPr>
            <w:tcW w:w="1080" w:type="dxa"/>
            <w:vAlign w:val="bottom"/>
          </w:tcPr>
          <w:p>
            <w:pPr>
              <w:spacing w:after="0"/>
              <w:rPr>
                <w:sz w:val="15"/>
                <w:szCs w:val="15"/>
                <w:color w:val="auto"/>
              </w:rPr>
            </w:pPr>
          </w:p>
        </w:tc>
        <w:tc>
          <w:tcPr>
            <w:tcW w:w="828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(b)..............................................................................</w:t>
            </w:r>
          </w:p>
        </w:tc>
        <w:tc>
          <w:tcPr>
            <w:tcW w:w="1900" w:type="dxa"/>
            <w:vAlign w:val="bottom"/>
          </w:tcPr>
          <w:p>
            <w:pPr>
              <w:ind w:left="360"/>
              <w:spacing w:after="0"/>
              <w:rPr>
                <w:sz w:val="20"/>
                <w:szCs w:val="20"/>
                <w:color w:val="auto"/>
              </w:rPr>
            </w:pPr>
            <w:r>
              <w:rPr>
                <w:rFonts w:ascii="Courier New" w:cs="Courier New" w:eastAsia="Courier New" w:hAnsi="Courier New"/>
                <w:sz w:val="15"/>
                <w:szCs w:val="15"/>
                <w:color w:val="auto"/>
              </w:rPr>
              <w:t>703</w:t>
            </w:r>
          </w:p>
        </w:tc>
      </w:tr>
      <w:tr>
        <w:trPr>
          <w:trHeight w:val="175"/>
        </w:trPr>
        <w:tc>
          <w:tcPr>
            <w:tcW w:w="1080" w:type="dxa"/>
            <w:vAlign w:val="bottom"/>
          </w:tcPr>
          <w:p>
            <w:pPr>
              <w:spacing w:after="0"/>
              <w:rPr>
                <w:sz w:val="15"/>
                <w:szCs w:val="15"/>
                <w:color w:val="auto"/>
              </w:rPr>
            </w:pPr>
          </w:p>
        </w:tc>
        <w:tc>
          <w:tcPr>
            <w:tcW w:w="828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(c)..............................................................................</w:t>
            </w:r>
          </w:p>
        </w:tc>
        <w:tc>
          <w:tcPr>
            <w:tcW w:w="1900" w:type="dxa"/>
            <w:vAlign w:val="bottom"/>
          </w:tcPr>
          <w:p>
            <w:pPr>
              <w:ind w:left="360"/>
              <w:spacing w:after="0"/>
              <w:rPr>
                <w:sz w:val="20"/>
                <w:szCs w:val="20"/>
                <w:color w:val="auto"/>
              </w:rPr>
            </w:pPr>
            <w:r>
              <w:rPr>
                <w:rFonts w:ascii="Courier New" w:cs="Courier New" w:eastAsia="Courier New" w:hAnsi="Courier New"/>
                <w:sz w:val="15"/>
                <w:szCs w:val="15"/>
                <w:color w:val="auto"/>
              </w:rPr>
              <w:t>703</w:t>
            </w:r>
          </w:p>
        </w:tc>
      </w:tr>
      <w:tr>
        <w:trPr>
          <w:trHeight w:val="175"/>
        </w:trPr>
        <w:tc>
          <w:tcPr>
            <w:tcW w:w="1080" w:type="dxa"/>
            <w:vAlign w:val="bottom"/>
          </w:tcPr>
          <w:p>
            <w:pPr>
              <w:spacing w:after="0"/>
              <w:rPr>
                <w:sz w:val="15"/>
                <w:szCs w:val="15"/>
                <w:color w:val="auto"/>
              </w:rPr>
            </w:pPr>
          </w:p>
        </w:tc>
        <w:tc>
          <w:tcPr>
            <w:tcW w:w="828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(d)..............................................................................</w:t>
            </w:r>
          </w:p>
        </w:tc>
        <w:tc>
          <w:tcPr>
            <w:tcW w:w="1900" w:type="dxa"/>
            <w:vAlign w:val="bottom"/>
          </w:tcPr>
          <w:p>
            <w:pPr>
              <w:ind w:left="360"/>
              <w:spacing w:after="0"/>
              <w:rPr>
                <w:sz w:val="20"/>
                <w:szCs w:val="20"/>
                <w:color w:val="auto"/>
              </w:rPr>
            </w:pPr>
            <w:r>
              <w:rPr>
                <w:rFonts w:ascii="Courier New" w:cs="Courier New" w:eastAsia="Courier New" w:hAnsi="Courier New"/>
                <w:sz w:val="15"/>
                <w:szCs w:val="15"/>
                <w:color w:val="auto"/>
              </w:rPr>
              <w:t>703</w:t>
            </w:r>
          </w:p>
        </w:tc>
      </w:tr>
      <w:tr>
        <w:trPr>
          <w:trHeight w:val="175"/>
        </w:trPr>
        <w:tc>
          <w:tcPr>
            <w:tcW w:w="1080" w:type="dxa"/>
            <w:vAlign w:val="bottom"/>
          </w:tcPr>
          <w:p>
            <w:pPr>
              <w:ind w:left="260"/>
              <w:spacing w:after="0"/>
              <w:rPr>
                <w:sz w:val="20"/>
                <w:szCs w:val="20"/>
                <w:color w:val="auto"/>
              </w:rPr>
            </w:pPr>
            <w:r>
              <w:rPr>
                <w:rFonts w:ascii="Courier New" w:cs="Courier New" w:eastAsia="Courier New" w:hAnsi="Courier New"/>
                <w:sz w:val="15"/>
                <w:szCs w:val="15"/>
                <w:color w:val="auto"/>
              </w:rPr>
              <w:t>Section</w:t>
            </w:r>
          </w:p>
        </w:tc>
        <w:tc>
          <w:tcPr>
            <w:tcW w:w="828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314(a)(1)-(..............................................................................</w:t>
            </w:r>
          </w:p>
        </w:tc>
        <w:tc>
          <w:tcPr>
            <w:tcW w:w="1900" w:type="dxa"/>
            <w:vAlign w:val="bottom"/>
          </w:tcPr>
          <w:p>
            <w:pPr>
              <w:ind w:left="360"/>
              <w:spacing w:after="0"/>
              <w:rPr>
                <w:sz w:val="20"/>
                <w:szCs w:val="20"/>
                <w:color w:val="auto"/>
              </w:rPr>
            </w:pPr>
            <w:r>
              <w:rPr>
                <w:rFonts w:ascii="Courier New" w:cs="Courier New" w:eastAsia="Courier New" w:hAnsi="Courier New"/>
                <w:sz w:val="15"/>
                <w:szCs w:val="15"/>
                <w:color w:val="auto"/>
              </w:rPr>
              <w:t>704</w:t>
            </w:r>
          </w:p>
        </w:tc>
      </w:tr>
      <w:tr>
        <w:trPr>
          <w:trHeight w:val="175"/>
        </w:trPr>
        <w:tc>
          <w:tcPr>
            <w:tcW w:w="1080" w:type="dxa"/>
            <w:vAlign w:val="bottom"/>
          </w:tcPr>
          <w:p>
            <w:pPr>
              <w:spacing w:after="0"/>
              <w:rPr>
                <w:sz w:val="15"/>
                <w:szCs w:val="15"/>
                <w:color w:val="auto"/>
              </w:rPr>
            </w:pPr>
          </w:p>
        </w:tc>
        <w:tc>
          <w:tcPr>
            <w:tcW w:w="828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(a)(4)..............................................................................</w:t>
            </w:r>
          </w:p>
        </w:tc>
        <w:tc>
          <w:tcPr>
            <w:tcW w:w="1900" w:type="dxa"/>
            <w:vAlign w:val="bottom"/>
          </w:tcPr>
          <w:p>
            <w:pPr>
              <w:ind w:left="360"/>
              <w:spacing w:after="0"/>
              <w:rPr>
                <w:sz w:val="20"/>
                <w:szCs w:val="20"/>
                <w:color w:val="auto"/>
              </w:rPr>
            </w:pPr>
            <w:r>
              <w:rPr>
                <w:rFonts w:ascii="Courier New" w:cs="Courier New" w:eastAsia="Courier New" w:hAnsi="Courier New"/>
                <w:sz w:val="15"/>
                <w:szCs w:val="15"/>
                <w:color w:val="auto"/>
              </w:rPr>
              <w:t>101</w:t>
            </w:r>
          </w:p>
        </w:tc>
      </w:tr>
      <w:tr>
        <w:trPr>
          <w:trHeight w:val="175"/>
        </w:trPr>
        <w:tc>
          <w:tcPr>
            <w:tcW w:w="1080" w:type="dxa"/>
            <w:vAlign w:val="bottom"/>
          </w:tcPr>
          <w:p>
            <w:pPr>
              <w:spacing w:after="0"/>
              <w:rPr>
                <w:sz w:val="15"/>
                <w:szCs w:val="15"/>
                <w:color w:val="auto"/>
              </w:rPr>
            </w:pPr>
          </w:p>
        </w:tc>
        <w:tc>
          <w:tcPr>
            <w:tcW w:w="828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w:t>
            </w:r>
          </w:p>
        </w:tc>
        <w:tc>
          <w:tcPr>
            <w:tcW w:w="1900" w:type="dxa"/>
            <w:vAlign w:val="bottom"/>
          </w:tcPr>
          <w:p>
            <w:pPr>
              <w:ind w:left="360"/>
              <w:spacing w:after="0"/>
              <w:rPr>
                <w:sz w:val="20"/>
                <w:szCs w:val="20"/>
                <w:color w:val="auto"/>
              </w:rPr>
            </w:pPr>
            <w:r>
              <w:rPr>
                <w:rFonts w:ascii="Courier New" w:cs="Courier New" w:eastAsia="Courier New" w:hAnsi="Courier New"/>
                <w:sz w:val="15"/>
                <w:szCs w:val="15"/>
                <w:color w:val="auto"/>
              </w:rPr>
              <w:t>1004</w:t>
            </w:r>
          </w:p>
        </w:tc>
      </w:tr>
      <w:tr>
        <w:trPr>
          <w:trHeight w:val="175"/>
        </w:trPr>
        <w:tc>
          <w:tcPr>
            <w:tcW w:w="1080" w:type="dxa"/>
            <w:vAlign w:val="bottom"/>
          </w:tcPr>
          <w:p>
            <w:pPr>
              <w:spacing w:after="0"/>
              <w:rPr>
                <w:sz w:val="15"/>
                <w:szCs w:val="15"/>
                <w:color w:val="auto"/>
              </w:rPr>
            </w:pPr>
          </w:p>
        </w:tc>
        <w:tc>
          <w:tcPr>
            <w:tcW w:w="828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(b)..............................................................................</w:t>
            </w:r>
          </w:p>
        </w:tc>
        <w:tc>
          <w:tcPr>
            <w:tcW w:w="1900" w:type="dxa"/>
            <w:vAlign w:val="bottom"/>
          </w:tcPr>
          <w:p>
            <w:pPr>
              <w:ind w:left="360"/>
              <w:spacing w:after="0"/>
              <w:rPr>
                <w:sz w:val="20"/>
                <w:szCs w:val="20"/>
                <w:color w:val="auto"/>
              </w:rPr>
            </w:pPr>
            <w:r>
              <w:rPr>
                <w:rFonts w:ascii="Courier New" w:cs="Courier New" w:eastAsia="Courier New" w:hAnsi="Courier New"/>
                <w:sz w:val="15"/>
                <w:szCs w:val="15"/>
                <w:color w:val="auto"/>
              </w:rPr>
              <w:t>Not applicable</w:t>
            </w:r>
          </w:p>
        </w:tc>
      </w:tr>
      <w:tr>
        <w:trPr>
          <w:trHeight w:val="175"/>
        </w:trPr>
        <w:tc>
          <w:tcPr>
            <w:tcW w:w="1080" w:type="dxa"/>
            <w:vAlign w:val="bottom"/>
          </w:tcPr>
          <w:p>
            <w:pPr>
              <w:spacing w:after="0"/>
              <w:rPr>
                <w:sz w:val="15"/>
                <w:szCs w:val="15"/>
                <w:color w:val="auto"/>
              </w:rPr>
            </w:pPr>
          </w:p>
        </w:tc>
        <w:tc>
          <w:tcPr>
            <w:tcW w:w="828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(c)(1)..............................................................................</w:t>
            </w:r>
          </w:p>
        </w:tc>
        <w:tc>
          <w:tcPr>
            <w:tcW w:w="1900" w:type="dxa"/>
            <w:vAlign w:val="bottom"/>
          </w:tcPr>
          <w:p>
            <w:pPr>
              <w:ind w:left="360"/>
              <w:spacing w:after="0"/>
              <w:rPr>
                <w:sz w:val="20"/>
                <w:szCs w:val="20"/>
                <w:color w:val="auto"/>
              </w:rPr>
            </w:pPr>
            <w:r>
              <w:rPr>
                <w:rFonts w:ascii="Courier New" w:cs="Courier New" w:eastAsia="Courier New" w:hAnsi="Courier New"/>
                <w:sz w:val="15"/>
                <w:szCs w:val="15"/>
                <w:color w:val="auto"/>
              </w:rPr>
              <w:t>102</w:t>
            </w:r>
          </w:p>
        </w:tc>
      </w:tr>
      <w:tr>
        <w:trPr>
          <w:trHeight w:val="175"/>
        </w:trPr>
        <w:tc>
          <w:tcPr>
            <w:tcW w:w="1080" w:type="dxa"/>
            <w:vAlign w:val="bottom"/>
          </w:tcPr>
          <w:p>
            <w:pPr>
              <w:spacing w:after="0"/>
              <w:rPr>
                <w:sz w:val="15"/>
                <w:szCs w:val="15"/>
                <w:color w:val="auto"/>
              </w:rPr>
            </w:pPr>
          </w:p>
        </w:tc>
        <w:tc>
          <w:tcPr>
            <w:tcW w:w="828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(c)(2)..............................................................................</w:t>
            </w:r>
          </w:p>
        </w:tc>
        <w:tc>
          <w:tcPr>
            <w:tcW w:w="1900" w:type="dxa"/>
            <w:vAlign w:val="bottom"/>
          </w:tcPr>
          <w:p>
            <w:pPr>
              <w:ind w:left="360"/>
              <w:spacing w:after="0"/>
              <w:rPr>
                <w:sz w:val="20"/>
                <w:szCs w:val="20"/>
                <w:color w:val="auto"/>
              </w:rPr>
            </w:pPr>
            <w:r>
              <w:rPr>
                <w:rFonts w:ascii="Courier New" w:cs="Courier New" w:eastAsia="Courier New" w:hAnsi="Courier New"/>
                <w:sz w:val="15"/>
                <w:szCs w:val="15"/>
                <w:color w:val="auto"/>
              </w:rPr>
              <w:t>102</w:t>
            </w:r>
          </w:p>
        </w:tc>
      </w:tr>
      <w:tr>
        <w:trPr>
          <w:trHeight w:val="175"/>
        </w:trPr>
        <w:tc>
          <w:tcPr>
            <w:tcW w:w="1080" w:type="dxa"/>
            <w:vAlign w:val="bottom"/>
          </w:tcPr>
          <w:p>
            <w:pPr>
              <w:spacing w:after="0"/>
              <w:rPr>
                <w:sz w:val="15"/>
                <w:szCs w:val="15"/>
                <w:color w:val="auto"/>
              </w:rPr>
            </w:pPr>
          </w:p>
        </w:tc>
        <w:tc>
          <w:tcPr>
            <w:tcW w:w="828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(c)(3)..............................................................................</w:t>
            </w:r>
          </w:p>
        </w:tc>
        <w:tc>
          <w:tcPr>
            <w:tcW w:w="1900" w:type="dxa"/>
            <w:vAlign w:val="bottom"/>
          </w:tcPr>
          <w:p>
            <w:pPr>
              <w:ind w:left="360"/>
              <w:spacing w:after="0"/>
              <w:rPr>
                <w:sz w:val="20"/>
                <w:szCs w:val="20"/>
                <w:color w:val="auto"/>
              </w:rPr>
            </w:pPr>
            <w:r>
              <w:rPr>
                <w:rFonts w:ascii="Courier New" w:cs="Courier New" w:eastAsia="Courier New" w:hAnsi="Courier New"/>
                <w:sz w:val="15"/>
                <w:szCs w:val="15"/>
                <w:color w:val="auto"/>
              </w:rPr>
              <w:t>Not Applicable</w:t>
            </w:r>
          </w:p>
        </w:tc>
      </w:tr>
      <w:tr>
        <w:trPr>
          <w:trHeight w:val="175"/>
        </w:trPr>
        <w:tc>
          <w:tcPr>
            <w:tcW w:w="1080" w:type="dxa"/>
            <w:vAlign w:val="bottom"/>
          </w:tcPr>
          <w:p>
            <w:pPr>
              <w:spacing w:after="0"/>
              <w:rPr>
                <w:sz w:val="15"/>
                <w:szCs w:val="15"/>
                <w:color w:val="auto"/>
              </w:rPr>
            </w:pPr>
          </w:p>
        </w:tc>
        <w:tc>
          <w:tcPr>
            <w:tcW w:w="828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(d)..............................................................................</w:t>
            </w:r>
          </w:p>
        </w:tc>
        <w:tc>
          <w:tcPr>
            <w:tcW w:w="1900" w:type="dxa"/>
            <w:vAlign w:val="bottom"/>
          </w:tcPr>
          <w:p>
            <w:pPr>
              <w:ind w:left="360"/>
              <w:spacing w:after="0"/>
              <w:rPr>
                <w:sz w:val="20"/>
                <w:szCs w:val="20"/>
                <w:color w:val="auto"/>
              </w:rPr>
            </w:pPr>
            <w:r>
              <w:rPr>
                <w:rFonts w:ascii="Courier New" w:cs="Courier New" w:eastAsia="Courier New" w:hAnsi="Courier New"/>
                <w:sz w:val="15"/>
                <w:szCs w:val="15"/>
                <w:color w:val="auto"/>
              </w:rPr>
              <w:t>Not Applicable</w:t>
            </w:r>
          </w:p>
        </w:tc>
      </w:tr>
      <w:tr>
        <w:trPr>
          <w:trHeight w:val="175"/>
        </w:trPr>
        <w:tc>
          <w:tcPr>
            <w:tcW w:w="1080" w:type="dxa"/>
            <w:vAlign w:val="bottom"/>
          </w:tcPr>
          <w:p>
            <w:pPr>
              <w:spacing w:after="0"/>
              <w:rPr>
                <w:sz w:val="15"/>
                <w:szCs w:val="15"/>
                <w:color w:val="auto"/>
              </w:rPr>
            </w:pPr>
          </w:p>
        </w:tc>
        <w:tc>
          <w:tcPr>
            <w:tcW w:w="828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(e)..............................................................................</w:t>
            </w:r>
          </w:p>
        </w:tc>
        <w:tc>
          <w:tcPr>
            <w:tcW w:w="1900" w:type="dxa"/>
            <w:vAlign w:val="bottom"/>
          </w:tcPr>
          <w:p>
            <w:pPr>
              <w:ind w:left="360"/>
              <w:spacing w:after="0"/>
              <w:rPr>
                <w:sz w:val="20"/>
                <w:szCs w:val="20"/>
                <w:color w:val="auto"/>
              </w:rPr>
            </w:pPr>
            <w:r>
              <w:rPr>
                <w:rFonts w:ascii="Courier New" w:cs="Courier New" w:eastAsia="Courier New" w:hAnsi="Courier New"/>
                <w:sz w:val="15"/>
                <w:szCs w:val="15"/>
                <w:color w:val="auto"/>
              </w:rPr>
              <w:t>102</w:t>
            </w:r>
          </w:p>
        </w:tc>
      </w:tr>
      <w:tr>
        <w:trPr>
          <w:trHeight w:val="175"/>
        </w:trPr>
        <w:tc>
          <w:tcPr>
            <w:tcW w:w="1080" w:type="dxa"/>
            <w:vAlign w:val="bottom"/>
          </w:tcPr>
          <w:p>
            <w:pPr>
              <w:ind w:left="260"/>
              <w:spacing w:after="0"/>
              <w:rPr>
                <w:sz w:val="20"/>
                <w:szCs w:val="20"/>
                <w:color w:val="auto"/>
              </w:rPr>
            </w:pPr>
            <w:r>
              <w:rPr>
                <w:rFonts w:ascii="Courier New" w:cs="Courier New" w:eastAsia="Courier New" w:hAnsi="Courier New"/>
                <w:sz w:val="15"/>
                <w:szCs w:val="15"/>
                <w:color w:val="auto"/>
              </w:rPr>
              <w:t>Section</w:t>
            </w:r>
          </w:p>
        </w:tc>
        <w:tc>
          <w:tcPr>
            <w:tcW w:w="828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315(a)..............................................................................</w:t>
            </w:r>
          </w:p>
        </w:tc>
        <w:tc>
          <w:tcPr>
            <w:tcW w:w="1900" w:type="dxa"/>
            <w:vAlign w:val="bottom"/>
          </w:tcPr>
          <w:p>
            <w:pPr>
              <w:ind w:left="360"/>
              <w:spacing w:after="0"/>
              <w:rPr>
                <w:sz w:val="20"/>
                <w:szCs w:val="20"/>
                <w:color w:val="auto"/>
              </w:rPr>
            </w:pPr>
            <w:r>
              <w:rPr>
                <w:rFonts w:ascii="Courier New" w:cs="Courier New" w:eastAsia="Courier New" w:hAnsi="Courier New"/>
                <w:sz w:val="15"/>
                <w:szCs w:val="15"/>
                <w:color w:val="auto"/>
              </w:rPr>
              <w:t>601</w:t>
            </w:r>
          </w:p>
        </w:tc>
      </w:tr>
      <w:tr>
        <w:trPr>
          <w:trHeight w:val="175"/>
        </w:trPr>
        <w:tc>
          <w:tcPr>
            <w:tcW w:w="1080" w:type="dxa"/>
            <w:vAlign w:val="bottom"/>
          </w:tcPr>
          <w:p>
            <w:pPr>
              <w:spacing w:after="0"/>
              <w:rPr>
                <w:sz w:val="15"/>
                <w:szCs w:val="15"/>
                <w:color w:val="auto"/>
              </w:rPr>
            </w:pPr>
          </w:p>
        </w:tc>
        <w:tc>
          <w:tcPr>
            <w:tcW w:w="828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(b)..............................................................................</w:t>
            </w:r>
          </w:p>
        </w:tc>
        <w:tc>
          <w:tcPr>
            <w:tcW w:w="1900" w:type="dxa"/>
            <w:vAlign w:val="bottom"/>
          </w:tcPr>
          <w:p>
            <w:pPr>
              <w:ind w:left="360"/>
              <w:spacing w:after="0"/>
              <w:rPr>
                <w:sz w:val="20"/>
                <w:szCs w:val="20"/>
                <w:color w:val="auto"/>
              </w:rPr>
            </w:pPr>
            <w:r>
              <w:rPr>
                <w:rFonts w:ascii="Courier New" w:cs="Courier New" w:eastAsia="Courier New" w:hAnsi="Courier New"/>
                <w:sz w:val="15"/>
                <w:szCs w:val="15"/>
                <w:color w:val="auto"/>
              </w:rPr>
              <w:t>602</w:t>
            </w:r>
          </w:p>
        </w:tc>
      </w:tr>
      <w:tr>
        <w:trPr>
          <w:trHeight w:val="175"/>
        </w:trPr>
        <w:tc>
          <w:tcPr>
            <w:tcW w:w="1080" w:type="dxa"/>
            <w:vAlign w:val="bottom"/>
          </w:tcPr>
          <w:p>
            <w:pPr>
              <w:spacing w:after="0"/>
              <w:rPr>
                <w:sz w:val="15"/>
                <w:szCs w:val="15"/>
                <w:color w:val="auto"/>
              </w:rPr>
            </w:pPr>
          </w:p>
        </w:tc>
        <w:tc>
          <w:tcPr>
            <w:tcW w:w="828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(c)..............................................................................</w:t>
            </w:r>
          </w:p>
        </w:tc>
        <w:tc>
          <w:tcPr>
            <w:tcW w:w="1900" w:type="dxa"/>
            <w:vAlign w:val="bottom"/>
          </w:tcPr>
          <w:p>
            <w:pPr>
              <w:ind w:left="360"/>
              <w:spacing w:after="0"/>
              <w:rPr>
                <w:sz w:val="20"/>
                <w:szCs w:val="20"/>
                <w:color w:val="auto"/>
              </w:rPr>
            </w:pPr>
            <w:r>
              <w:rPr>
                <w:rFonts w:ascii="Courier New" w:cs="Courier New" w:eastAsia="Courier New" w:hAnsi="Courier New"/>
                <w:sz w:val="15"/>
                <w:szCs w:val="15"/>
                <w:color w:val="auto"/>
              </w:rPr>
              <w:t>601</w:t>
            </w:r>
          </w:p>
        </w:tc>
      </w:tr>
      <w:tr>
        <w:trPr>
          <w:trHeight w:val="175"/>
        </w:trPr>
        <w:tc>
          <w:tcPr>
            <w:tcW w:w="1080" w:type="dxa"/>
            <w:vAlign w:val="bottom"/>
          </w:tcPr>
          <w:p>
            <w:pPr>
              <w:spacing w:after="0"/>
              <w:rPr>
                <w:sz w:val="15"/>
                <w:szCs w:val="15"/>
                <w:color w:val="auto"/>
              </w:rPr>
            </w:pPr>
          </w:p>
        </w:tc>
        <w:tc>
          <w:tcPr>
            <w:tcW w:w="828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(d)..............................................................................</w:t>
            </w:r>
          </w:p>
        </w:tc>
        <w:tc>
          <w:tcPr>
            <w:tcW w:w="1900" w:type="dxa"/>
            <w:vAlign w:val="bottom"/>
          </w:tcPr>
          <w:p>
            <w:pPr>
              <w:ind w:left="360"/>
              <w:spacing w:after="0"/>
              <w:rPr>
                <w:sz w:val="20"/>
                <w:szCs w:val="20"/>
                <w:color w:val="auto"/>
              </w:rPr>
            </w:pPr>
            <w:r>
              <w:rPr>
                <w:rFonts w:ascii="Courier New" w:cs="Courier New" w:eastAsia="Courier New" w:hAnsi="Courier New"/>
                <w:sz w:val="15"/>
                <w:szCs w:val="15"/>
                <w:color w:val="auto"/>
              </w:rPr>
              <w:t>601</w:t>
            </w:r>
          </w:p>
        </w:tc>
      </w:tr>
      <w:tr>
        <w:trPr>
          <w:trHeight w:val="175"/>
        </w:trPr>
        <w:tc>
          <w:tcPr>
            <w:tcW w:w="1080" w:type="dxa"/>
            <w:vAlign w:val="bottom"/>
          </w:tcPr>
          <w:p>
            <w:pPr>
              <w:spacing w:after="0"/>
              <w:rPr>
                <w:sz w:val="15"/>
                <w:szCs w:val="15"/>
                <w:color w:val="auto"/>
              </w:rPr>
            </w:pPr>
          </w:p>
        </w:tc>
        <w:tc>
          <w:tcPr>
            <w:tcW w:w="828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(e)..............................................................................</w:t>
            </w:r>
          </w:p>
        </w:tc>
        <w:tc>
          <w:tcPr>
            <w:tcW w:w="1900" w:type="dxa"/>
            <w:vAlign w:val="bottom"/>
          </w:tcPr>
          <w:p>
            <w:pPr>
              <w:ind w:left="360"/>
              <w:spacing w:after="0"/>
              <w:rPr>
                <w:sz w:val="20"/>
                <w:szCs w:val="20"/>
                <w:color w:val="auto"/>
              </w:rPr>
            </w:pPr>
            <w:r>
              <w:rPr>
                <w:rFonts w:ascii="Courier New" w:cs="Courier New" w:eastAsia="Courier New" w:hAnsi="Courier New"/>
                <w:sz w:val="15"/>
                <w:szCs w:val="15"/>
                <w:color w:val="auto"/>
              </w:rPr>
              <w:t>514</w:t>
            </w:r>
          </w:p>
        </w:tc>
      </w:tr>
      <w:tr>
        <w:trPr>
          <w:trHeight w:val="175"/>
        </w:trPr>
        <w:tc>
          <w:tcPr>
            <w:tcW w:w="1080" w:type="dxa"/>
            <w:vAlign w:val="bottom"/>
          </w:tcPr>
          <w:p>
            <w:pPr>
              <w:ind w:left="260"/>
              <w:spacing w:after="0"/>
              <w:rPr>
                <w:sz w:val="20"/>
                <w:szCs w:val="20"/>
                <w:color w:val="auto"/>
              </w:rPr>
            </w:pPr>
            <w:r>
              <w:rPr>
                <w:rFonts w:ascii="Courier New" w:cs="Courier New" w:eastAsia="Courier New" w:hAnsi="Courier New"/>
                <w:sz w:val="15"/>
                <w:szCs w:val="15"/>
                <w:color w:val="auto"/>
              </w:rPr>
              <w:t>Section</w:t>
            </w:r>
          </w:p>
        </w:tc>
        <w:tc>
          <w:tcPr>
            <w:tcW w:w="828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316(a)..............................................................................</w:t>
            </w:r>
          </w:p>
        </w:tc>
        <w:tc>
          <w:tcPr>
            <w:tcW w:w="1900" w:type="dxa"/>
            <w:vAlign w:val="bottom"/>
          </w:tcPr>
          <w:p>
            <w:pPr>
              <w:ind w:left="360"/>
              <w:spacing w:after="0"/>
              <w:rPr>
                <w:sz w:val="20"/>
                <w:szCs w:val="20"/>
                <w:color w:val="auto"/>
              </w:rPr>
            </w:pPr>
            <w:r>
              <w:rPr>
                <w:rFonts w:ascii="Courier New" w:cs="Courier New" w:eastAsia="Courier New" w:hAnsi="Courier New"/>
                <w:sz w:val="15"/>
                <w:szCs w:val="15"/>
                <w:color w:val="auto"/>
              </w:rPr>
              <w:t>101</w:t>
            </w:r>
          </w:p>
        </w:tc>
      </w:tr>
      <w:tr>
        <w:trPr>
          <w:trHeight w:val="175"/>
        </w:trPr>
        <w:tc>
          <w:tcPr>
            <w:tcW w:w="1080" w:type="dxa"/>
            <w:vAlign w:val="bottom"/>
          </w:tcPr>
          <w:p>
            <w:pPr>
              <w:spacing w:after="0"/>
              <w:rPr>
                <w:sz w:val="15"/>
                <w:szCs w:val="15"/>
                <w:color w:val="auto"/>
              </w:rPr>
            </w:pPr>
          </w:p>
        </w:tc>
        <w:tc>
          <w:tcPr>
            <w:tcW w:w="828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(a)(1)(A)  ..............................................................................</w:t>
            </w:r>
          </w:p>
        </w:tc>
        <w:tc>
          <w:tcPr>
            <w:tcW w:w="1900" w:type="dxa"/>
            <w:vAlign w:val="bottom"/>
          </w:tcPr>
          <w:p>
            <w:pPr>
              <w:ind w:left="360"/>
              <w:spacing w:after="0"/>
              <w:rPr>
                <w:sz w:val="20"/>
                <w:szCs w:val="20"/>
                <w:color w:val="auto"/>
              </w:rPr>
            </w:pPr>
            <w:r>
              <w:rPr>
                <w:rFonts w:ascii="Courier New" w:cs="Courier New" w:eastAsia="Courier New" w:hAnsi="Courier New"/>
                <w:sz w:val="15"/>
                <w:szCs w:val="15"/>
                <w:color w:val="auto"/>
              </w:rPr>
              <w:t>502</w:t>
            </w:r>
          </w:p>
        </w:tc>
      </w:tr>
      <w:tr>
        <w:trPr>
          <w:trHeight w:val="175"/>
        </w:trPr>
        <w:tc>
          <w:tcPr>
            <w:tcW w:w="1080" w:type="dxa"/>
            <w:vAlign w:val="bottom"/>
          </w:tcPr>
          <w:p>
            <w:pPr>
              <w:spacing w:after="0"/>
              <w:rPr>
                <w:sz w:val="15"/>
                <w:szCs w:val="15"/>
                <w:color w:val="auto"/>
              </w:rPr>
            </w:pPr>
          </w:p>
        </w:tc>
        <w:tc>
          <w:tcPr>
            <w:tcW w:w="828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w:t>
            </w:r>
          </w:p>
        </w:tc>
        <w:tc>
          <w:tcPr>
            <w:tcW w:w="1900" w:type="dxa"/>
            <w:vAlign w:val="bottom"/>
          </w:tcPr>
          <w:p>
            <w:pPr>
              <w:ind w:left="360"/>
              <w:spacing w:after="0"/>
              <w:rPr>
                <w:sz w:val="20"/>
                <w:szCs w:val="20"/>
                <w:color w:val="auto"/>
              </w:rPr>
            </w:pPr>
            <w:r>
              <w:rPr>
                <w:rFonts w:ascii="Courier New" w:cs="Courier New" w:eastAsia="Courier New" w:hAnsi="Courier New"/>
                <w:sz w:val="15"/>
                <w:szCs w:val="15"/>
                <w:color w:val="auto"/>
              </w:rPr>
              <w:t>512</w:t>
            </w:r>
          </w:p>
        </w:tc>
      </w:tr>
      <w:tr>
        <w:trPr>
          <w:trHeight w:val="175"/>
        </w:trPr>
        <w:tc>
          <w:tcPr>
            <w:tcW w:w="1080" w:type="dxa"/>
            <w:vAlign w:val="bottom"/>
          </w:tcPr>
          <w:p>
            <w:pPr>
              <w:spacing w:after="0"/>
              <w:rPr>
                <w:sz w:val="15"/>
                <w:szCs w:val="15"/>
                <w:color w:val="auto"/>
              </w:rPr>
            </w:pPr>
          </w:p>
        </w:tc>
        <w:tc>
          <w:tcPr>
            <w:tcW w:w="828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(a)(1)(B)  ..............................................................................</w:t>
            </w:r>
          </w:p>
        </w:tc>
        <w:tc>
          <w:tcPr>
            <w:tcW w:w="1900" w:type="dxa"/>
            <w:vAlign w:val="bottom"/>
          </w:tcPr>
          <w:p>
            <w:pPr>
              <w:ind w:left="360"/>
              <w:spacing w:after="0"/>
              <w:rPr>
                <w:sz w:val="20"/>
                <w:szCs w:val="20"/>
                <w:color w:val="auto"/>
              </w:rPr>
            </w:pPr>
            <w:r>
              <w:rPr>
                <w:rFonts w:ascii="Courier New" w:cs="Courier New" w:eastAsia="Courier New" w:hAnsi="Courier New"/>
                <w:sz w:val="15"/>
                <w:szCs w:val="15"/>
                <w:color w:val="auto"/>
              </w:rPr>
              <w:t>513</w:t>
            </w:r>
          </w:p>
        </w:tc>
      </w:tr>
      <w:tr>
        <w:trPr>
          <w:trHeight w:val="175"/>
        </w:trPr>
        <w:tc>
          <w:tcPr>
            <w:tcW w:w="1080" w:type="dxa"/>
            <w:vAlign w:val="bottom"/>
          </w:tcPr>
          <w:p>
            <w:pPr>
              <w:spacing w:after="0"/>
              <w:rPr>
                <w:sz w:val="15"/>
                <w:szCs w:val="15"/>
                <w:color w:val="auto"/>
              </w:rPr>
            </w:pPr>
          </w:p>
        </w:tc>
        <w:tc>
          <w:tcPr>
            <w:tcW w:w="828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(a)(2)..............................................................................</w:t>
            </w:r>
          </w:p>
        </w:tc>
        <w:tc>
          <w:tcPr>
            <w:tcW w:w="1900" w:type="dxa"/>
            <w:vAlign w:val="bottom"/>
          </w:tcPr>
          <w:p>
            <w:pPr>
              <w:ind w:left="360"/>
              <w:spacing w:after="0"/>
              <w:rPr>
                <w:sz w:val="20"/>
                <w:szCs w:val="20"/>
                <w:color w:val="auto"/>
              </w:rPr>
            </w:pPr>
            <w:r>
              <w:rPr>
                <w:rFonts w:ascii="Courier New" w:cs="Courier New" w:eastAsia="Courier New" w:hAnsi="Courier New"/>
                <w:sz w:val="15"/>
                <w:szCs w:val="15"/>
                <w:color w:val="auto"/>
              </w:rPr>
              <w:t>Not applicable</w:t>
            </w:r>
          </w:p>
        </w:tc>
      </w:tr>
      <w:tr>
        <w:trPr>
          <w:trHeight w:val="175"/>
        </w:trPr>
        <w:tc>
          <w:tcPr>
            <w:tcW w:w="1080" w:type="dxa"/>
            <w:vAlign w:val="bottom"/>
          </w:tcPr>
          <w:p>
            <w:pPr>
              <w:spacing w:after="0"/>
              <w:rPr>
                <w:sz w:val="15"/>
                <w:szCs w:val="15"/>
                <w:color w:val="auto"/>
              </w:rPr>
            </w:pPr>
          </w:p>
        </w:tc>
        <w:tc>
          <w:tcPr>
            <w:tcW w:w="828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(b)..............................................................................</w:t>
            </w:r>
          </w:p>
        </w:tc>
        <w:tc>
          <w:tcPr>
            <w:tcW w:w="1900" w:type="dxa"/>
            <w:vAlign w:val="bottom"/>
          </w:tcPr>
          <w:p>
            <w:pPr>
              <w:ind w:left="360"/>
              <w:spacing w:after="0"/>
              <w:rPr>
                <w:sz w:val="20"/>
                <w:szCs w:val="20"/>
                <w:color w:val="auto"/>
              </w:rPr>
            </w:pPr>
            <w:r>
              <w:rPr>
                <w:rFonts w:ascii="Courier New" w:cs="Courier New" w:eastAsia="Courier New" w:hAnsi="Courier New"/>
                <w:sz w:val="15"/>
                <w:szCs w:val="15"/>
                <w:color w:val="auto"/>
              </w:rPr>
              <w:t>508</w:t>
            </w:r>
          </w:p>
        </w:tc>
      </w:tr>
      <w:tr>
        <w:trPr>
          <w:trHeight w:val="175"/>
        </w:trPr>
        <w:tc>
          <w:tcPr>
            <w:tcW w:w="1080" w:type="dxa"/>
            <w:vAlign w:val="bottom"/>
          </w:tcPr>
          <w:p>
            <w:pPr>
              <w:spacing w:after="0"/>
              <w:rPr>
                <w:sz w:val="15"/>
                <w:szCs w:val="15"/>
                <w:color w:val="auto"/>
              </w:rPr>
            </w:pPr>
          </w:p>
        </w:tc>
        <w:tc>
          <w:tcPr>
            <w:tcW w:w="828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(c)..............................................................................</w:t>
            </w:r>
          </w:p>
        </w:tc>
        <w:tc>
          <w:tcPr>
            <w:tcW w:w="1900" w:type="dxa"/>
            <w:vAlign w:val="bottom"/>
          </w:tcPr>
          <w:p>
            <w:pPr>
              <w:ind w:left="360"/>
              <w:spacing w:after="0"/>
              <w:rPr>
                <w:sz w:val="20"/>
                <w:szCs w:val="20"/>
                <w:color w:val="auto"/>
              </w:rPr>
            </w:pPr>
            <w:r>
              <w:rPr>
                <w:rFonts w:ascii="Courier New" w:cs="Courier New" w:eastAsia="Courier New" w:hAnsi="Courier New"/>
                <w:sz w:val="15"/>
                <w:szCs w:val="15"/>
                <w:color w:val="auto"/>
              </w:rPr>
              <w:t>104</w:t>
            </w:r>
          </w:p>
        </w:tc>
      </w:tr>
      <w:tr>
        <w:trPr>
          <w:trHeight w:val="175"/>
        </w:trPr>
        <w:tc>
          <w:tcPr>
            <w:tcW w:w="1080" w:type="dxa"/>
            <w:vAlign w:val="bottom"/>
          </w:tcPr>
          <w:p>
            <w:pPr>
              <w:ind w:left="260"/>
              <w:spacing w:after="0"/>
              <w:rPr>
                <w:sz w:val="20"/>
                <w:szCs w:val="20"/>
                <w:color w:val="auto"/>
              </w:rPr>
            </w:pPr>
            <w:r>
              <w:rPr>
                <w:rFonts w:ascii="Courier New" w:cs="Courier New" w:eastAsia="Courier New" w:hAnsi="Courier New"/>
                <w:sz w:val="15"/>
                <w:szCs w:val="15"/>
                <w:color w:val="auto"/>
              </w:rPr>
              <w:t>Section</w:t>
            </w:r>
          </w:p>
        </w:tc>
        <w:tc>
          <w:tcPr>
            <w:tcW w:w="828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317(a)(1)  ..............................................................................</w:t>
            </w:r>
          </w:p>
        </w:tc>
        <w:tc>
          <w:tcPr>
            <w:tcW w:w="1900" w:type="dxa"/>
            <w:vAlign w:val="bottom"/>
          </w:tcPr>
          <w:p>
            <w:pPr>
              <w:ind w:left="360"/>
              <w:spacing w:after="0"/>
              <w:rPr>
                <w:sz w:val="20"/>
                <w:szCs w:val="20"/>
                <w:color w:val="auto"/>
              </w:rPr>
            </w:pPr>
            <w:r>
              <w:rPr>
                <w:rFonts w:ascii="Courier New" w:cs="Courier New" w:eastAsia="Courier New" w:hAnsi="Courier New"/>
                <w:sz w:val="15"/>
                <w:szCs w:val="15"/>
                <w:color w:val="auto"/>
              </w:rPr>
              <w:t>503</w:t>
            </w:r>
          </w:p>
        </w:tc>
      </w:tr>
      <w:tr>
        <w:trPr>
          <w:trHeight w:val="175"/>
        </w:trPr>
        <w:tc>
          <w:tcPr>
            <w:tcW w:w="1080" w:type="dxa"/>
            <w:vAlign w:val="bottom"/>
          </w:tcPr>
          <w:p>
            <w:pPr>
              <w:spacing w:after="0"/>
              <w:rPr>
                <w:sz w:val="15"/>
                <w:szCs w:val="15"/>
                <w:color w:val="auto"/>
              </w:rPr>
            </w:pPr>
          </w:p>
        </w:tc>
        <w:tc>
          <w:tcPr>
            <w:tcW w:w="828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(a)(2)..............................................................................</w:t>
            </w:r>
          </w:p>
        </w:tc>
        <w:tc>
          <w:tcPr>
            <w:tcW w:w="1900" w:type="dxa"/>
            <w:vAlign w:val="bottom"/>
          </w:tcPr>
          <w:p>
            <w:pPr>
              <w:ind w:left="360"/>
              <w:spacing w:after="0"/>
              <w:rPr>
                <w:sz w:val="20"/>
                <w:szCs w:val="20"/>
                <w:color w:val="auto"/>
              </w:rPr>
            </w:pPr>
            <w:r>
              <w:rPr>
                <w:rFonts w:ascii="Courier New" w:cs="Courier New" w:eastAsia="Courier New" w:hAnsi="Courier New"/>
                <w:sz w:val="15"/>
                <w:szCs w:val="15"/>
                <w:color w:val="auto"/>
              </w:rPr>
              <w:t>504</w:t>
            </w:r>
          </w:p>
        </w:tc>
      </w:tr>
      <w:tr>
        <w:trPr>
          <w:trHeight w:val="175"/>
        </w:trPr>
        <w:tc>
          <w:tcPr>
            <w:tcW w:w="1080" w:type="dxa"/>
            <w:vAlign w:val="bottom"/>
          </w:tcPr>
          <w:p>
            <w:pPr>
              <w:spacing w:after="0"/>
              <w:rPr>
                <w:sz w:val="15"/>
                <w:szCs w:val="15"/>
                <w:color w:val="auto"/>
              </w:rPr>
            </w:pPr>
          </w:p>
        </w:tc>
        <w:tc>
          <w:tcPr>
            <w:tcW w:w="828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(b)..............................................................................</w:t>
            </w:r>
          </w:p>
        </w:tc>
        <w:tc>
          <w:tcPr>
            <w:tcW w:w="1900" w:type="dxa"/>
            <w:vAlign w:val="bottom"/>
          </w:tcPr>
          <w:p>
            <w:pPr>
              <w:ind w:left="360"/>
              <w:spacing w:after="0"/>
              <w:rPr>
                <w:sz w:val="20"/>
                <w:szCs w:val="20"/>
                <w:color w:val="auto"/>
              </w:rPr>
            </w:pPr>
            <w:r>
              <w:rPr>
                <w:rFonts w:ascii="Courier New" w:cs="Courier New" w:eastAsia="Courier New" w:hAnsi="Courier New"/>
                <w:sz w:val="15"/>
                <w:szCs w:val="15"/>
                <w:color w:val="auto"/>
              </w:rPr>
              <w:t>1003</w:t>
            </w:r>
          </w:p>
        </w:tc>
      </w:tr>
      <w:tr>
        <w:trPr>
          <w:trHeight w:val="175"/>
        </w:trPr>
        <w:tc>
          <w:tcPr>
            <w:tcW w:w="1080" w:type="dxa"/>
            <w:vAlign w:val="bottom"/>
          </w:tcPr>
          <w:p>
            <w:pPr>
              <w:ind w:left="260"/>
              <w:spacing w:after="0"/>
              <w:rPr>
                <w:sz w:val="20"/>
                <w:szCs w:val="20"/>
                <w:color w:val="auto"/>
              </w:rPr>
            </w:pPr>
            <w:r>
              <w:rPr>
                <w:rFonts w:ascii="Courier New" w:cs="Courier New" w:eastAsia="Courier New" w:hAnsi="Courier New"/>
                <w:sz w:val="15"/>
                <w:szCs w:val="15"/>
                <w:color w:val="auto"/>
              </w:rPr>
              <w:t>Section</w:t>
            </w:r>
          </w:p>
        </w:tc>
        <w:tc>
          <w:tcPr>
            <w:tcW w:w="828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318(a)..............................................................................</w:t>
            </w:r>
          </w:p>
        </w:tc>
        <w:tc>
          <w:tcPr>
            <w:tcW w:w="1900" w:type="dxa"/>
            <w:vAlign w:val="bottom"/>
          </w:tcPr>
          <w:p>
            <w:pPr>
              <w:ind w:left="360"/>
              <w:spacing w:after="0"/>
              <w:rPr>
                <w:sz w:val="20"/>
                <w:szCs w:val="20"/>
                <w:color w:val="auto"/>
              </w:rPr>
            </w:pPr>
            <w:r>
              <w:rPr>
                <w:rFonts w:ascii="Courier New" w:cs="Courier New" w:eastAsia="Courier New" w:hAnsi="Courier New"/>
                <w:sz w:val="15"/>
                <w:szCs w:val="15"/>
                <w:color w:val="auto"/>
              </w:rPr>
              <w:t>108</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right="4260"/>
        <w:spacing w:after="0" w:line="247" w:lineRule="auto"/>
        <w:rPr>
          <w:sz w:val="20"/>
          <w:szCs w:val="20"/>
          <w:color w:val="auto"/>
        </w:rPr>
      </w:pPr>
      <w:r>
        <w:rPr>
          <w:rFonts w:ascii="Courier New" w:cs="Courier New" w:eastAsia="Courier New" w:hAnsi="Courier New"/>
          <w:sz w:val="15"/>
          <w:szCs w:val="15"/>
          <w:color w:val="auto"/>
        </w:rPr>
        <w:t>NOTE: This reconciliation and tie shall not, for any purpose, be deemed to be part of the Indenture.</w:t>
      </w:r>
    </w:p>
    <w:p>
      <w:pPr>
        <w:sectPr>
          <w:pgSz w:w="11900" w:h="16838" w:orient="portrait"/>
          <w:cols w:equalWidth="0" w:num="1">
            <w:col w:w="11260"/>
          </w:cols>
          <w:pgMar w:left="240" w:top="293" w:right="399" w:bottom="1440" w:gutter="0" w:footer="0" w:header="0"/>
        </w:sectPr>
      </w:pPr>
    </w:p>
    <w:bookmarkStart w:id="57" w:name="page58"/>
    <w:bookmarkEnd w:id="57"/>
    <w:p>
      <w:pPr>
        <w:ind w:left="260"/>
        <w:spacing w:after="0"/>
        <w:rPr>
          <w:sz w:val="20"/>
          <w:szCs w:val="20"/>
          <w:color w:val="auto"/>
        </w:rPr>
      </w:pPr>
      <w:r>
        <w:rPr>
          <w:rFonts w:ascii="Courier New" w:cs="Courier New" w:eastAsia="Courier New" w:hAnsi="Courier New"/>
          <w:sz w:val="15"/>
          <w:szCs w:val="15"/>
          <w:color w:val="auto"/>
        </w:rPr>
        <w:t>3</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20" w:type="dxa"/>
            <w:vAlign w:val="bottom"/>
          </w:tcPr>
          <w:p>
            <w:pPr>
              <w:spacing w:after="0"/>
              <w:rPr>
                <w:sz w:val="14"/>
                <w:szCs w:val="14"/>
                <w:color w:val="auto"/>
              </w:rPr>
            </w:pPr>
          </w:p>
        </w:tc>
        <w:tc>
          <w:tcPr>
            <w:tcW w:w="3760" w:type="dxa"/>
            <w:vAlign w:val="bottom"/>
          </w:tcPr>
          <w:p>
            <w:pPr>
              <w:ind w:left="1500"/>
              <w:spacing w:after="0"/>
              <w:rPr>
                <w:sz w:val="20"/>
                <w:szCs w:val="20"/>
                <w:color w:val="auto"/>
              </w:rPr>
            </w:pPr>
            <w:r>
              <w:rPr>
                <w:rFonts w:ascii="Courier New" w:cs="Courier New" w:eastAsia="Courier New" w:hAnsi="Courier New"/>
                <w:sz w:val="15"/>
                <w:szCs w:val="15"/>
                <w:color w:val="auto"/>
              </w:rPr>
              <w:t>TABLE OF CONTENTS</w:t>
            </w:r>
          </w:p>
        </w:tc>
        <w:tc>
          <w:tcPr>
            <w:tcW w:w="590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699"/>
        </w:trPr>
        <w:tc>
          <w:tcPr>
            <w:tcW w:w="13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w w:val="99"/>
              </w:rPr>
              <w:t>PAGE</w:t>
            </w:r>
          </w:p>
        </w:tc>
      </w:tr>
      <w:tr>
        <w:trPr>
          <w:trHeight w:val="175"/>
        </w:trPr>
        <w:tc>
          <w:tcPr>
            <w:tcW w:w="13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350"/>
        </w:trPr>
        <w:tc>
          <w:tcPr>
            <w:tcW w:w="13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5900" w:type="dxa"/>
            <w:vAlign w:val="bottom"/>
          </w:tcPr>
          <w:p>
            <w:pPr>
              <w:spacing w:after="0"/>
              <w:rPr>
                <w:sz w:val="20"/>
                <w:szCs w:val="20"/>
                <w:color w:val="auto"/>
              </w:rPr>
            </w:pPr>
            <w:r>
              <w:rPr>
                <w:rFonts w:ascii="Courier New" w:cs="Courier New" w:eastAsia="Courier New" w:hAnsi="Courier New"/>
                <w:sz w:val="15"/>
                <w:szCs w:val="15"/>
                <w:color w:val="auto"/>
              </w:rPr>
              <w:t>ARTICLE ONE</w:t>
            </w:r>
          </w:p>
        </w:tc>
        <w:tc>
          <w:tcPr>
            <w:tcW w:w="380" w:type="dxa"/>
            <w:vAlign w:val="bottom"/>
          </w:tcPr>
          <w:p>
            <w:pPr>
              <w:spacing w:after="0"/>
              <w:rPr>
                <w:sz w:val="24"/>
                <w:szCs w:val="24"/>
                <w:color w:val="auto"/>
              </w:rPr>
            </w:pPr>
          </w:p>
        </w:tc>
      </w:tr>
      <w:tr>
        <w:trPr>
          <w:trHeight w:val="175"/>
        </w:trPr>
        <w:tc>
          <w:tcPr>
            <w:tcW w:w="1320" w:type="dxa"/>
            <w:vAlign w:val="bottom"/>
          </w:tcPr>
          <w:p>
            <w:pPr>
              <w:spacing w:after="0"/>
              <w:rPr>
                <w:sz w:val="15"/>
                <w:szCs w:val="15"/>
                <w:color w:val="auto"/>
              </w:rPr>
            </w:pPr>
          </w:p>
        </w:tc>
        <w:tc>
          <w:tcPr>
            <w:tcW w:w="9660" w:type="dxa"/>
            <w:vAlign w:val="bottom"/>
            <w:gridSpan w:val="2"/>
          </w:tcPr>
          <w:p>
            <w:pPr>
              <w:jc w:val="center"/>
              <w:ind w:right="964"/>
              <w:spacing w:after="0"/>
              <w:rPr>
                <w:sz w:val="20"/>
                <w:szCs w:val="20"/>
                <w:color w:val="auto"/>
              </w:rPr>
            </w:pPr>
            <w:r>
              <w:rPr>
                <w:rFonts w:ascii="Courier New" w:cs="Courier New" w:eastAsia="Courier New" w:hAnsi="Courier New"/>
                <w:sz w:val="15"/>
                <w:szCs w:val="15"/>
                <w:color w:val="auto"/>
              </w:rPr>
              <w:t>DEFINITIONS AND OTHER PROVISIONS</w:t>
            </w:r>
          </w:p>
        </w:tc>
        <w:tc>
          <w:tcPr>
            <w:tcW w:w="380" w:type="dxa"/>
            <w:vAlign w:val="bottom"/>
          </w:tcPr>
          <w:p>
            <w:pPr>
              <w:spacing w:after="0"/>
              <w:rPr>
                <w:sz w:val="15"/>
                <w:szCs w:val="15"/>
                <w:color w:val="auto"/>
              </w:rPr>
            </w:pPr>
          </w:p>
        </w:tc>
      </w:tr>
      <w:tr>
        <w:trPr>
          <w:trHeight w:val="175"/>
        </w:trPr>
        <w:tc>
          <w:tcPr>
            <w:tcW w:w="1320" w:type="dxa"/>
            <w:vAlign w:val="bottom"/>
          </w:tcPr>
          <w:p>
            <w:pPr>
              <w:spacing w:after="0"/>
              <w:rPr>
                <w:sz w:val="15"/>
                <w:szCs w:val="15"/>
                <w:color w:val="auto"/>
              </w:rPr>
            </w:pPr>
          </w:p>
        </w:tc>
        <w:tc>
          <w:tcPr>
            <w:tcW w:w="9660" w:type="dxa"/>
            <w:vAlign w:val="bottom"/>
            <w:gridSpan w:val="2"/>
          </w:tcPr>
          <w:p>
            <w:pPr>
              <w:jc w:val="center"/>
              <w:ind w:right="984"/>
              <w:spacing w:after="0"/>
              <w:rPr>
                <w:sz w:val="20"/>
                <w:szCs w:val="20"/>
                <w:color w:val="auto"/>
              </w:rPr>
            </w:pPr>
            <w:r>
              <w:rPr>
                <w:rFonts w:ascii="Courier New" w:cs="Courier New" w:eastAsia="Courier New" w:hAnsi="Courier New"/>
                <w:sz w:val="15"/>
                <w:szCs w:val="15"/>
                <w:color w:val="auto"/>
              </w:rPr>
              <w:t>OF GENERAL APPLICATION</w:t>
            </w:r>
          </w:p>
        </w:tc>
        <w:tc>
          <w:tcPr>
            <w:tcW w:w="380" w:type="dxa"/>
            <w:vAlign w:val="bottom"/>
          </w:tcPr>
          <w:p>
            <w:pPr>
              <w:spacing w:after="0"/>
              <w:rPr>
                <w:sz w:val="15"/>
                <w:szCs w:val="15"/>
                <w:color w:val="auto"/>
              </w:rPr>
            </w:pPr>
          </w:p>
        </w:tc>
      </w:tr>
      <w:tr>
        <w:trPr>
          <w:trHeight w:val="175"/>
        </w:trPr>
        <w:tc>
          <w:tcPr>
            <w:tcW w:w="1320" w:type="dxa"/>
            <w:vAlign w:val="bottom"/>
          </w:tcPr>
          <w:p>
            <w:pPr>
              <w:spacing w:after="0"/>
              <w:rPr>
                <w:sz w:val="20"/>
                <w:szCs w:val="20"/>
                <w:color w:val="auto"/>
              </w:rPr>
            </w:pPr>
            <w:r>
              <w:rPr>
                <w:rFonts w:ascii="Courier New" w:cs="Courier New" w:eastAsia="Courier New" w:hAnsi="Courier New"/>
                <w:sz w:val="15"/>
                <w:szCs w:val="15"/>
                <w:color w:val="auto"/>
              </w:rPr>
              <w:t>SECTION 101.</w:t>
            </w:r>
          </w:p>
        </w:tc>
        <w:tc>
          <w:tcPr>
            <w:tcW w:w="3760" w:type="dxa"/>
            <w:vAlign w:val="bottom"/>
          </w:tcPr>
          <w:p>
            <w:pPr>
              <w:ind w:left="220"/>
              <w:spacing w:after="0"/>
              <w:rPr>
                <w:sz w:val="20"/>
                <w:szCs w:val="20"/>
                <w:color w:val="auto"/>
              </w:rPr>
            </w:pPr>
            <w:r>
              <w:rPr>
                <w:rFonts w:ascii="Courier New" w:cs="Courier New" w:eastAsia="Courier New" w:hAnsi="Courier New"/>
                <w:sz w:val="15"/>
                <w:szCs w:val="15"/>
                <w:color w:val="auto"/>
              </w:rPr>
              <w:t>Definitions. . . . . . . . . . . . . .</w:t>
            </w:r>
          </w:p>
        </w:tc>
        <w:tc>
          <w:tcPr>
            <w:tcW w:w="5900" w:type="dxa"/>
            <w:vAlign w:val="bottom"/>
          </w:tcPr>
          <w:p>
            <w:pPr>
              <w:spacing w:after="0"/>
              <w:rPr>
                <w:sz w:val="20"/>
                <w:szCs w:val="20"/>
                <w:color w:val="auto"/>
              </w:rPr>
            </w:pPr>
            <w:r>
              <w:rPr>
                <w:rFonts w:ascii="Courier New" w:cs="Courier New" w:eastAsia="Courier New" w:hAnsi="Courier New"/>
                <w:sz w:val="15"/>
                <w:szCs w:val="15"/>
                <w:color w:val="auto"/>
              </w:rPr>
              <w:t>. . . . . . . . . . . . . . . . . . . . . . . . . . . . . . . . .</w:t>
            </w:r>
          </w:p>
        </w:tc>
        <w:tc>
          <w:tcPr>
            <w:tcW w:w="3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w:t>
            </w:r>
          </w:p>
        </w:tc>
      </w:tr>
      <w:tr>
        <w:trPr>
          <w:trHeight w:val="175"/>
        </w:trPr>
        <w:tc>
          <w:tcPr>
            <w:tcW w:w="1320" w:type="dxa"/>
            <w:vAlign w:val="bottom"/>
          </w:tcPr>
          <w:p>
            <w:pPr>
              <w:spacing w:after="0"/>
              <w:rPr>
                <w:sz w:val="20"/>
                <w:szCs w:val="20"/>
                <w:color w:val="auto"/>
              </w:rPr>
            </w:pPr>
            <w:r>
              <w:rPr>
                <w:rFonts w:ascii="Courier New" w:cs="Courier New" w:eastAsia="Courier New" w:hAnsi="Courier New"/>
                <w:sz w:val="15"/>
                <w:szCs w:val="15"/>
                <w:color w:val="auto"/>
              </w:rPr>
              <w:t>SECTION 102.</w:t>
            </w:r>
          </w:p>
        </w:tc>
        <w:tc>
          <w:tcPr>
            <w:tcW w:w="3760" w:type="dxa"/>
            <w:vAlign w:val="bottom"/>
          </w:tcPr>
          <w:p>
            <w:pPr>
              <w:ind w:left="220"/>
              <w:spacing w:after="0"/>
              <w:rPr>
                <w:sz w:val="20"/>
                <w:szCs w:val="20"/>
                <w:color w:val="auto"/>
              </w:rPr>
            </w:pPr>
            <w:r>
              <w:rPr>
                <w:rFonts w:ascii="Courier New" w:cs="Courier New" w:eastAsia="Courier New" w:hAnsi="Courier New"/>
                <w:sz w:val="15"/>
                <w:szCs w:val="15"/>
                <w:color w:val="auto"/>
              </w:rPr>
              <w:t>Compliance Certificates and Opinions.</w:t>
            </w:r>
          </w:p>
        </w:tc>
        <w:tc>
          <w:tcPr>
            <w:tcW w:w="6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 . . . . . . . . . . . . . . . . . . . . . . . . . . . . . . . . 9</w:t>
            </w:r>
          </w:p>
        </w:tc>
      </w:tr>
      <w:tr>
        <w:trPr>
          <w:trHeight w:val="175"/>
        </w:trPr>
        <w:tc>
          <w:tcPr>
            <w:tcW w:w="1320" w:type="dxa"/>
            <w:vAlign w:val="bottom"/>
          </w:tcPr>
          <w:p>
            <w:pPr>
              <w:spacing w:after="0"/>
              <w:rPr>
                <w:sz w:val="20"/>
                <w:szCs w:val="20"/>
                <w:color w:val="auto"/>
              </w:rPr>
            </w:pPr>
            <w:r>
              <w:rPr>
                <w:rFonts w:ascii="Courier New" w:cs="Courier New" w:eastAsia="Courier New" w:hAnsi="Courier New"/>
                <w:sz w:val="15"/>
                <w:szCs w:val="15"/>
                <w:color w:val="auto"/>
              </w:rPr>
              <w:t>SECTION 103.</w:t>
            </w:r>
          </w:p>
        </w:tc>
        <w:tc>
          <w:tcPr>
            <w:tcW w:w="3760" w:type="dxa"/>
            <w:vAlign w:val="bottom"/>
          </w:tcPr>
          <w:p>
            <w:pPr>
              <w:ind w:left="220"/>
              <w:spacing w:after="0"/>
              <w:rPr>
                <w:sz w:val="20"/>
                <w:szCs w:val="20"/>
                <w:color w:val="auto"/>
              </w:rPr>
            </w:pPr>
            <w:r>
              <w:rPr>
                <w:rFonts w:ascii="Courier New" w:cs="Courier New" w:eastAsia="Courier New" w:hAnsi="Courier New"/>
                <w:sz w:val="15"/>
                <w:szCs w:val="15"/>
                <w:color w:val="auto"/>
              </w:rPr>
              <w:t>Form of Documents Delivered to Trustee.</w:t>
            </w:r>
          </w:p>
        </w:tc>
        <w:tc>
          <w:tcPr>
            <w:tcW w:w="6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 . . . . . . . . . . . . . . . . . . . . . . . . . . . . . . . 9</w:t>
            </w:r>
          </w:p>
        </w:tc>
      </w:tr>
      <w:tr>
        <w:trPr>
          <w:trHeight w:val="175"/>
        </w:trPr>
        <w:tc>
          <w:tcPr>
            <w:tcW w:w="1320" w:type="dxa"/>
            <w:vAlign w:val="bottom"/>
          </w:tcPr>
          <w:p>
            <w:pPr>
              <w:spacing w:after="0"/>
              <w:rPr>
                <w:sz w:val="20"/>
                <w:szCs w:val="20"/>
                <w:color w:val="auto"/>
              </w:rPr>
            </w:pPr>
            <w:r>
              <w:rPr>
                <w:rFonts w:ascii="Courier New" w:cs="Courier New" w:eastAsia="Courier New" w:hAnsi="Courier New"/>
                <w:sz w:val="15"/>
                <w:szCs w:val="15"/>
                <w:color w:val="auto"/>
              </w:rPr>
              <w:t>SECTION 104.</w:t>
            </w:r>
          </w:p>
        </w:tc>
        <w:tc>
          <w:tcPr>
            <w:tcW w:w="3760" w:type="dxa"/>
            <w:vAlign w:val="bottom"/>
          </w:tcPr>
          <w:p>
            <w:pPr>
              <w:ind w:left="220"/>
              <w:spacing w:after="0"/>
              <w:rPr>
                <w:sz w:val="20"/>
                <w:szCs w:val="20"/>
                <w:color w:val="auto"/>
              </w:rPr>
            </w:pPr>
            <w:r>
              <w:rPr>
                <w:rFonts w:ascii="Courier New" w:cs="Courier New" w:eastAsia="Courier New" w:hAnsi="Courier New"/>
                <w:sz w:val="15"/>
                <w:szCs w:val="15"/>
                <w:color w:val="auto"/>
              </w:rPr>
              <w:t>Acts of Holders. . . . . . . . . . . .</w:t>
            </w:r>
          </w:p>
        </w:tc>
        <w:tc>
          <w:tcPr>
            <w:tcW w:w="5900" w:type="dxa"/>
            <w:vAlign w:val="bottom"/>
          </w:tcPr>
          <w:p>
            <w:pPr>
              <w:spacing w:after="0"/>
              <w:rPr>
                <w:sz w:val="20"/>
                <w:szCs w:val="20"/>
                <w:color w:val="auto"/>
              </w:rPr>
            </w:pPr>
            <w:r>
              <w:rPr>
                <w:rFonts w:ascii="Courier New" w:cs="Courier New" w:eastAsia="Courier New" w:hAnsi="Courier New"/>
                <w:sz w:val="15"/>
                <w:szCs w:val="15"/>
                <w:color w:val="auto"/>
              </w:rPr>
              <w:t>. . . . . . . . . . . . . . . . . . . . . . . . . . . . . . . .</w:t>
            </w:r>
          </w:p>
        </w:tc>
        <w:tc>
          <w:tcPr>
            <w:tcW w:w="38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10</w:t>
            </w:r>
          </w:p>
        </w:tc>
      </w:tr>
      <w:tr>
        <w:trPr>
          <w:trHeight w:val="175"/>
        </w:trPr>
        <w:tc>
          <w:tcPr>
            <w:tcW w:w="1320" w:type="dxa"/>
            <w:vAlign w:val="bottom"/>
          </w:tcPr>
          <w:p>
            <w:pPr>
              <w:spacing w:after="0"/>
              <w:rPr>
                <w:sz w:val="20"/>
                <w:szCs w:val="20"/>
                <w:color w:val="auto"/>
              </w:rPr>
            </w:pPr>
            <w:r>
              <w:rPr>
                <w:rFonts w:ascii="Courier New" w:cs="Courier New" w:eastAsia="Courier New" w:hAnsi="Courier New"/>
                <w:sz w:val="15"/>
                <w:szCs w:val="15"/>
                <w:color w:val="auto"/>
              </w:rPr>
              <w:t>SECTION 105.</w:t>
            </w:r>
          </w:p>
        </w:tc>
        <w:tc>
          <w:tcPr>
            <w:tcW w:w="3760" w:type="dxa"/>
            <w:vAlign w:val="bottom"/>
          </w:tcPr>
          <w:p>
            <w:pPr>
              <w:ind w:left="220"/>
              <w:spacing w:after="0"/>
              <w:rPr>
                <w:sz w:val="20"/>
                <w:szCs w:val="20"/>
                <w:color w:val="auto"/>
              </w:rPr>
            </w:pPr>
            <w:r>
              <w:rPr>
                <w:rFonts w:ascii="Courier New" w:cs="Courier New" w:eastAsia="Courier New" w:hAnsi="Courier New"/>
                <w:sz w:val="15"/>
                <w:szCs w:val="15"/>
                <w:color w:val="auto"/>
              </w:rPr>
              <w:t>Notices, Etc., to Trustee and Company.</w:t>
            </w:r>
          </w:p>
        </w:tc>
        <w:tc>
          <w:tcPr>
            <w:tcW w:w="5900" w:type="dxa"/>
            <w:vAlign w:val="bottom"/>
          </w:tcPr>
          <w:p>
            <w:pPr>
              <w:spacing w:after="0"/>
              <w:rPr>
                <w:sz w:val="20"/>
                <w:szCs w:val="20"/>
                <w:color w:val="auto"/>
              </w:rPr>
            </w:pPr>
            <w:r>
              <w:rPr>
                <w:rFonts w:ascii="Courier New" w:cs="Courier New" w:eastAsia="Courier New" w:hAnsi="Courier New"/>
                <w:sz w:val="15"/>
                <w:szCs w:val="15"/>
                <w:color w:val="auto"/>
              </w:rPr>
              <w:t>. . . . . . . . . . . . . . . . . . . . . . . . . . . . . . . .</w:t>
            </w:r>
          </w:p>
        </w:tc>
        <w:tc>
          <w:tcPr>
            <w:tcW w:w="38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12</w:t>
            </w:r>
          </w:p>
        </w:tc>
      </w:tr>
      <w:tr>
        <w:trPr>
          <w:trHeight w:val="175"/>
        </w:trPr>
        <w:tc>
          <w:tcPr>
            <w:tcW w:w="1320" w:type="dxa"/>
            <w:vAlign w:val="bottom"/>
          </w:tcPr>
          <w:p>
            <w:pPr>
              <w:spacing w:after="0"/>
              <w:rPr>
                <w:sz w:val="20"/>
                <w:szCs w:val="20"/>
                <w:color w:val="auto"/>
              </w:rPr>
            </w:pPr>
            <w:r>
              <w:rPr>
                <w:rFonts w:ascii="Courier New" w:cs="Courier New" w:eastAsia="Courier New" w:hAnsi="Courier New"/>
                <w:sz w:val="15"/>
                <w:szCs w:val="15"/>
                <w:color w:val="auto"/>
              </w:rPr>
              <w:t>SECTION 106.</w:t>
            </w:r>
          </w:p>
        </w:tc>
        <w:tc>
          <w:tcPr>
            <w:tcW w:w="3760" w:type="dxa"/>
            <w:vAlign w:val="bottom"/>
          </w:tcPr>
          <w:p>
            <w:pPr>
              <w:ind w:left="220"/>
              <w:spacing w:after="0"/>
              <w:rPr>
                <w:sz w:val="20"/>
                <w:szCs w:val="20"/>
                <w:color w:val="auto"/>
              </w:rPr>
            </w:pPr>
            <w:r>
              <w:rPr>
                <w:rFonts w:ascii="Courier New" w:cs="Courier New" w:eastAsia="Courier New" w:hAnsi="Courier New"/>
                <w:sz w:val="15"/>
                <w:szCs w:val="15"/>
                <w:color w:val="auto"/>
              </w:rPr>
              <w:t>Notice to Holders of Securities; Waiver</w:t>
            </w:r>
          </w:p>
        </w:tc>
        <w:tc>
          <w:tcPr>
            <w:tcW w:w="5900" w:type="dxa"/>
            <w:vAlign w:val="bottom"/>
          </w:tcPr>
          <w:p>
            <w:pPr>
              <w:spacing w:after="0"/>
              <w:rPr>
                <w:sz w:val="20"/>
                <w:szCs w:val="20"/>
                <w:color w:val="auto"/>
              </w:rPr>
            </w:pPr>
            <w:r>
              <w:rPr>
                <w:rFonts w:ascii="Courier New" w:cs="Courier New" w:eastAsia="Courier New" w:hAnsi="Courier New"/>
                <w:sz w:val="15"/>
                <w:szCs w:val="15"/>
                <w:color w:val="auto"/>
              </w:rPr>
              <w:t>. . . . . . . . . . . . . . . . . . . . . . . . . . . . . . . .</w:t>
            </w:r>
          </w:p>
        </w:tc>
        <w:tc>
          <w:tcPr>
            <w:tcW w:w="38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12</w:t>
            </w:r>
          </w:p>
        </w:tc>
      </w:tr>
      <w:tr>
        <w:trPr>
          <w:trHeight w:val="175"/>
        </w:trPr>
        <w:tc>
          <w:tcPr>
            <w:tcW w:w="1320" w:type="dxa"/>
            <w:vAlign w:val="bottom"/>
          </w:tcPr>
          <w:p>
            <w:pPr>
              <w:spacing w:after="0"/>
              <w:rPr>
                <w:sz w:val="20"/>
                <w:szCs w:val="20"/>
                <w:color w:val="auto"/>
              </w:rPr>
            </w:pPr>
            <w:r>
              <w:rPr>
                <w:rFonts w:ascii="Courier New" w:cs="Courier New" w:eastAsia="Courier New" w:hAnsi="Courier New"/>
                <w:sz w:val="15"/>
                <w:szCs w:val="15"/>
                <w:color w:val="auto"/>
              </w:rPr>
              <w:t>SECTION 107.</w:t>
            </w:r>
          </w:p>
        </w:tc>
        <w:tc>
          <w:tcPr>
            <w:tcW w:w="96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Language of Notices, Etc.  . . . . . . . . . . . . . . . . . . . . . . . . . . . . . . . . . . . . . .</w:t>
            </w:r>
          </w:p>
        </w:tc>
        <w:tc>
          <w:tcPr>
            <w:tcW w:w="38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13</w:t>
            </w:r>
          </w:p>
        </w:tc>
      </w:tr>
      <w:tr>
        <w:trPr>
          <w:trHeight w:val="175"/>
        </w:trPr>
        <w:tc>
          <w:tcPr>
            <w:tcW w:w="1320" w:type="dxa"/>
            <w:vAlign w:val="bottom"/>
          </w:tcPr>
          <w:p>
            <w:pPr>
              <w:spacing w:after="0"/>
              <w:rPr>
                <w:sz w:val="20"/>
                <w:szCs w:val="20"/>
                <w:color w:val="auto"/>
              </w:rPr>
            </w:pPr>
            <w:r>
              <w:rPr>
                <w:rFonts w:ascii="Courier New" w:cs="Courier New" w:eastAsia="Courier New" w:hAnsi="Courier New"/>
                <w:sz w:val="15"/>
                <w:szCs w:val="15"/>
                <w:color w:val="auto"/>
              </w:rPr>
              <w:t>SECTION 108.</w:t>
            </w:r>
          </w:p>
        </w:tc>
        <w:tc>
          <w:tcPr>
            <w:tcW w:w="3760" w:type="dxa"/>
            <w:vAlign w:val="bottom"/>
          </w:tcPr>
          <w:p>
            <w:pPr>
              <w:ind w:left="220"/>
              <w:spacing w:after="0"/>
              <w:rPr>
                <w:sz w:val="20"/>
                <w:szCs w:val="20"/>
                <w:color w:val="auto"/>
              </w:rPr>
            </w:pPr>
            <w:r>
              <w:rPr>
                <w:rFonts w:ascii="Courier New" w:cs="Courier New" w:eastAsia="Courier New" w:hAnsi="Courier New"/>
                <w:sz w:val="15"/>
                <w:szCs w:val="15"/>
                <w:color w:val="auto"/>
              </w:rPr>
              <w:t>Conflict with Trust Indenture Act. . .</w:t>
            </w:r>
          </w:p>
        </w:tc>
        <w:tc>
          <w:tcPr>
            <w:tcW w:w="5900" w:type="dxa"/>
            <w:vAlign w:val="bottom"/>
          </w:tcPr>
          <w:p>
            <w:pPr>
              <w:spacing w:after="0"/>
              <w:rPr>
                <w:sz w:val="20"/>
                <w:szCs w:val="20"/>
                <w:color w:val="auto"/>
              </w:rPr>
            </w:pPr>
            <w:r>
              <w:rPr>
                <w:rFonts w:ascii="Courier New" w:cs="Courier New" w:eastAsia="Courier New" w:hAnsi="Courier New"/>
                <w:sz w:val="15"/>
                <w:szCs w:val="15"/>
                <w:color w:val="auto"/>
              </w:rPr>
              <w:t>. . . . . . . . . . . . . . . . . . . . . . . . . . . . . . . .</w:t>
            </w:r>
          </w:p>
        </w:tc>
        <w:tc>
          <w:tcPr>
            <w:tcW w:w="38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13</w:t>
            </w:r>
          </w:p>
        </w:tc>
      </w:tr>
      <w:tr>
        <w:trPr>
          <w:trHeight w:val="175"/>
        </w:trPr>
        <w:tc>
          <w:tcPr>
            <w:tcW w:w="1320" w:type="dxa"/>
            <w:vAlign w:val="bottom"/>
          </w:tcPr>
          <w:p>
            <w:pPr>
              <w:spacing w:after="0"/>
              <w:rPr>
                <w:sz w:val="20"/>
                <w:szCs w:val="20"/>
                <w:color w:val="auto"/>
              </w:rPr>
            </w:pPr>
            <w:r>
              <w:rPr>
                <w:rFonts w:ascii="Courier New" w:cs="Courier New" w:eastAsia="Courier New" w:hAnsi="Courier New"/>
                <w:sz w:val="15"/>
                <w:szCs w:val="15"/>
                <w:color w:val="auto"/>
              </w:rPr>
              <w:t>SECTION 109.</w:t>
            </w:r>
          </w:p>
        </w:tc>
        <w:tc>
          <w:tcPr>
            <w:tcW w:w="96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Effect of Headings and Table of Contents.  . . . . . . . . . . . . . . . . . . . . . . . . . . . . . .</w:t>
            </w:r>
          </w:p>
        </w:tc>
        <w:tc>
          <w:tcPr>
            <w:tcW w:w="38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13</w:t>
            </w:r>
          </w:p>
        </w:tc>
      </w:tr>
      <w:tr>
        <w:trPr>
          <w:trHeight w:val="175"/>
        </w:trPr>
        <w:tc>
          <w:tcPr>
            <w:tcW w:w="1320" w:type="dxa"/>
            <w:vAlign w:val="bottom"/>
          </w:tcPr>
          <w:p>
            <w:pPr>
              <w:spacing w:after="0"/>
              <w:rPr>
                <w:sz w:val="20"/>
                <w:szCs w:val="20"/>
                <w:color w:val="auto"/>
              </w:rPr>
            </w:pPr>
            <w:r>
              <w:rPr>
                <w:rFonts w:ascii="Courier New" w:cs="Courier New" w:eastAsia="Courier New" w:hAnsi="Courier New"/>
                <w:sz w:val="15"/>
                <w:szCs w:val="15"/>
                <w:color w:val="auto"/>
              </w:rPr>
              <w:t>SECTION 110.</w:t>
            </w:r>
          </w:p>
        </w:tc>
        <w:tc>
          <w:tcPr>
            <w:tcW w:w="96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Successors and Assigns.  . . . . . . . . . . . . . . . . . . . . . . . . . . . . . . . . . . . . . . .</w:t>
            </w:r>
          </w:p>
        </w:tc>
        <w:tc>
          <w:tcPr>
            <w:tcW w:w="38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13</w:t>
            </w:r>
          </w:p>
        </w:tc>
      </w:tr>
      <w:tr>
        <w:trPr>
          <w:trHeight w:val="175"/>
        </w:trPr>
        <w:tc>
          <w:tcPr>
            <w:tcW w:w="1320" w:type="dxa"/>
            <w:vAlign w:val="bottom"/>
          </w:tcPr>
          <w:p>
            <w:pPr>
              <w:spacing w:after="0"/>
              <w:rPr>
                <w:sz w:val="20"/>
                <w:szCs w:val="20"/>
                <w:color w:val="auto"/>
              </w:rPr>
            </w:pPr>
            <w:r>
              <w:rPr>
                <w:rFonts w:ascii="Courier New" w:cs="Courier New" w:eastAsia="Courier New" w:hAnsi="Courier New"/>
                <w:sz w:val="15"/>
                <w:szCs w:val="15"/>
                <w:color w:val="auto"/>
              </w:rPr>
              <w:t>SECTION 111.</w:t>
            </w:r>
          </w:p>
        </w:tc>
        <w:tc>
          <w:tcPr>
            <w:tcW w:w="3760" w:type="dxa"/>
            <w:vAlign w:val="bottom"/>
          </w:tcPr>
          <w:p>
            <w:pPr>
              <w:ind w:left="220"/>
              <w:spacing w:after="0"/>
              <w:rPr>
                <w:sz w:val="20"/>
                <w:szCs w:val="20"/>
                <w:color w:val="auto"/>
              </w:rPr>
            </w:pPr>
            <w:r>
              <w:rPr>
                <w:rFonts w:ascii="Courier New" w:cs="Courier New" w:eastAsia="Courier New" w:hAnsi="Courier New"/>
                <w:sz w:val="15"/>
                <w:szCs w:val="15"/>
                <w:color w:val="auto"/>
              </w:rPr>
              <w:t>Separability Clause. . . . . . . . . .</w:t>
            </w:r>
          </w:p>
        </w:tc>
        <w:tc>
          <w:tcPr>
            <w:tcW w:w="5900" w:type="dxa"/>
            <w:vAlign w:val="bottom"/>
          </w:tcPr>
          <w:p>
            <w:pPr>
              <w:spacing w:after="0"/>
              <w:rPr>
                <w:sz w:val="20"/>
                <w:szCs w:val="20"/>
                <w:color w:val="auto"/>
              </w:rPr>
            </w:pPr>
            <w:r>
              <w:rPr>
                <w:rFonts w:ascii="Courier New" w:cs="Courier New" w:eastAsia="Courier New" w:hAnsi="Courier New"/>
                <w:sz w:val="15"/>
                <w:szCs w:val="15"/>
                <w:color w:val="auto"/>
              </w:rPr>
              <w:t>. . . . . . . . . . . . . . . . . . . . . . . . . . . . . . . .</w:t>
            </w:r>
          </w:p>
        </w:tc>
        <w:tc>
          <w:tcPr>
            <w:tcW w:w="38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13</w:t>
            </w:r>
          </w:p>
        </w:tc>
      </w:tr>
      <w:tr>
        <w:trPr>
          <w:trHeight w:val="175"/>
        </w:trPr>
        <w:tc>
          <w:tcPr>
            <w:tcW w:w="1320" w:type="dxa"/>
            <w:vAlign w:val="bottom"/>
          </w:tcPr>
          <w:p>
            <w:pPr>
              <w:spacing w:after="0"/>
              <w:rPr>
                <w:sz w:val="20"/>
                <w:szCs w:val="20"/>
                <w:color w:val="auto"/>
              </w:rPr>
            </w:pPr>
            <w:r>
              <w:rPr>
                <w:rFonts w:ascii="Courier New" w:cs="Courier New" w:eastAsia="Courier New" w:hAnsi="Courier New"/>
                <w:sz w:val="15"/>
                <w:szCs w:val="15"/>
                <w:color w:val="auto"/>
              </w:rPr>
              <w:t>SECTION 112.</w:t>
            </w:r>
          </w:p>
        </w:tc>
        <w:tc>
          <w:tcPr>
            <w:tcW w:w="3760" w:type="dxa"/>
            <w:vAlign w:val="bottom"/>
          </w:tcPr>
          <w:p>
            <w:pPr>
              <w:ind w:left="220"/>
              <w:spacing w:after="0"/>
              <w:rPr>
                <w:sz w:val="20"/>
                <w:szCs w:val="20"/>
                <w:color w:val="auto"/>
              </w:rPr>
            </w:pPr>
            <w:r>
              <w:rPr>
                <w:rFonts w:ascii="Courier New" w:cs="Courier New" w:eastAsia="Courier New" w:hAnsi="Courier New"/>
                <w:sz w:val="15"/>
                <w:szCs w:val="15"/>
                <w:color w:val="auto"/>
              </w:rPr>
              <w:t>Benefits of Indenture. . . . . . . . .</w:t>
            </w:r>
          </w:p>
        </w:tc>
        <w:tc>
          <w:tcPr>
            <w:tcW w:w="5900" w:type="dxa"/>
            <w:vAlign w:val="bottom"/>
          </w:tcPr>
          <w:p>
            <w:pPr>
              <w:spacing w:after="0"/>
              <w:rPr>
                <w:sz w:val="20"/>
                <w:szCs w:val="20"/>
                <w:color w:val="auto"/>
              </w:rPr>
            </w:pPr>
            <w:r>
              <w:rPr>
                <w:rFonts w:ascii="Courier New" w:cs="Courier New" w:eastAsia="Courier New" w:hAnsi="Courier New"/>
                <w:sz w:val="15"/>
                <w:szCs w:val="15"/>
                <w:color w:val="auto"/>
              </w:rPr>
              <w:t>. . . . . . . . . . . . . . . . . . . . . . . . . . . . . . . .</w:t>
            </w:r>
          </w:p>
        </w:tc>
        <w:tc>
          <w:tcPr>
            <w:tcW w:w="38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14</w:t>
            </w:r>
          </w:p>
        </w:tc>
      </w:tr>
      <w:tr>
        <w:trPr>
          <w:trHeight w:val="175"/>
        </w:trPr>
        <w:tc>
          <w:tcPr>
            <w:tcW w:w="1320" w:type="dxa"/>
            <w:vAlign w:val="bottom"/>
          </w:tcPr>
          <w:p>
            <w:pPr>
              <w:spacing w:after="0"/>
              <w:rPr>
                <w:sz w:val="20"/>
                <w:szCs w:val="20"/>
                <w:color w:val="auto"/>
              </w:rPr>
            </w:pPr>
            <w:r>
              <w:rPr>
                <w:rFonts w:ascii="Courier New" w:cs="Courier New" w:eastAsia="Courier New" w:hAnsi="Courier New"/>
                <w:sz w:val="15"/>
                <w:szCs w:val="15"/>
                <w:color w:val="auto"/>
              </w:rPr>
              <w:t>SECTION 113.</w:t>
            </w:r>
          </w:p>
        </w:tc>
        <w:tc>
          <w:tcPr>
            <w:tcW w:w="3760" w:type="dxa"/>
            <w:vAlign w:val="bottom"/>
          </w:tcPr>
          <w:p>
            <w:pPr>
              <w:ind w:left="220"/>
              <w:spacing w:after="0"/>
              <w:rPr>
                <w:sz w:val="20"/>
                <w:szCs w:val="20"/>
                <w:color w:val="auto"/>
              </w:rPr>
            </w:pPr>
            <w:r>
              <w:rPr>
                <w:rFonts w:ascii="Courier New" w:cs="Courier New" w:eastAsia="Courier New" w:hAnsi="Courier New"/>
                <w:sz w:val="15"/>
                <w:szCs w:val="15"/>
                <w:color w:val="auto"/>
              </w:rPr>
              <w:t>Governing Law. . . . . . . . . . . . .</w:t>
            </w:r>
          </w:p>
        </w:tc>
        <w:tc>
          <w:tcPr>
            <w:tcW w:w="5900" w:type="dxa"/>
            <w:vAlign w:val="bottom"/>
          </w:tcPr>
          <w:p>
            <w:pPr>
              <w:spacing w:after="0"/>
              <w:rPr>
                <w:sz w:val="20"/>
                <w:szCs w:val="20"/>
                <w:color w:val="auto"/>
              </w:rPr>
            </w:pPr>
            <w:r>
              <w:rPr>
                <w:rFonts w:ascii="Courier New" w:cs="Courier New" w:eastAsia="Courier New" w:hAnsi="Courier New"/>
                <w:sz w:val="15"/>
                <w:szCs w:val="15"/>
                <w:color w:val="auto"/>
              </w:rPr>
              <w:t>. . . . . . . . . . . . . . . . . . . . . . . . . . . . . . . .</w:t>
            </w:r>
          </w:p>
        </w:tc>
        <w:tc>
          <w:tcPr>
            <w:tcW w:w="38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14</w:t>
            </w:r>
          </w:p>
        </w:tc>
      </w:tr>
      <w:tr>
        <w:trPr>
          <w:trHeight w:val="175"/>
        </w:trPr>
        <w:tc>
          <w:tcPr>
            <w:tcW w:w="1320" w:type="dxa"/>
            <w:vAlign w:val="bottom"/>
          </w:tcPr>
          <w:p>
            <w:pPr>
              <w:spacing w:after="0"/>
              <w:rPr>
                <w:sz w:val="20"/>
                <w:szCs w:val="20"/>
                <w:color w:val="auto"/>
              </w:rPr>
            </w:pPr>
            <w:r>
              <w:rPr>
                <w:rFonts w:ascii="Courier New" w:cs="Courier New" w:eastAsia="Courier New" w:hAnsi="Courier New"/>
                <w:sz w:val="15"/>
                <w:szCs w:val="15"/>
                <w:color w:val="auto"/>
              </w:rPr>
              <w:t>SECTION 114.</w:t>
            </w:r>
          </w:p>
        </w:tc>
        <w:tc>
          <w:tcPr>
            <w:tcW w:w="96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Legal Holidays.  . . . . . . . . . . . . . . . . . . . . . . . . . . . . . . . . . . . . . . . . . . .</w:t>
            </w:r>
          </w:p>
        </w:tc>
        <w:tc>
          <w:tcPr>
            <w:tcW w:w="38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14</w:t>
            </w:r>
          </w:p>
        </w:tc>
      </w:tr>
      <w:tr>
        <w:trPr>
          <w:trHeight w:val="350"/>
        </w:trPr>
        <w:tc>
          <w:tcPr>
            <w:tcW w:w="13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5900" w:type="dxa"/>
            <w:vAlign w:val="bottom"/>
          </w:tcPr>
          <w:p>
            <w:pPr>
              <w:spacing w:after="0"/>
              <w:rPr>
                <w:sz w:val="20"/>
                <w:szCs w:val="20"/>
                <w:color w:val="auto"/>
              </w:rPr>
            </w:pPr>
            <w:r>
              <w:rPr>
                <w:rFonts w:ascii="Courier New" w:cs="Courier New" w:eastAsia="Courier New" w:hAnsi="Courier New"/>
                <w:sz w:val="15"/>
                <w:szCs w:val="15"/>
                <w:color w:val="auto"/>
              </w:rPr>
              <w:t>ARTICLE TWO</w:t>
            </w:r>
          </w:p>
        </w:tc>
        <w:tc>
          <w:tcPr>
            <w:tcW w:w="380" w:type="dxa"/>
            <w:vAlign w:val="bottom"/>
          </w:tcPr>
          <w:p>
            <w:pPr>
              <w:spacing w:after="0"/>
              <w:rPr>
                <w:sz w:val="24"/>
                <w:szCs w:val="24"/>
                <w:color w:val="auto"/>
              </w:rPr>
            </w:pPr>
          </w:p>
        </w:tc>
      </w:tr>
      <w:tr>
        <w:trPr>
          <w:trHeight w:val="175"/>
        </w:trPr>
        <w:tc>
          <w:tcPr>
            <w:tcW w:w="1320" w:type="dxa"/>
            <w:vAlign w:val="bottom"/>
          </w:tcPr>
          <w:p>
            <w:pPr>
              <w:spacing w:after="0"/>
              <w:rPr>
                <w:sz w:val="15"/>
                <w:szCs w:val="15"/>
                <w:color w:val="auto"/>
              </w:rPr>
            </w:pPr>
          </w:p>
        </w:tc>
        <w:tc>
          <w:tcPr>
            <w:tcW w:w="9660" w:type="dxa"/>
            <w:vAlign w:val="bottom"/>
            <w:gridSpan w:val="2"/>
          </w:tcPr>
          <w:p>
            <w:pPr>
              <w:jc w:val="center"/>
              <w:ind w:right="964"/>
              <w:spacing w:after="0"/>
              <w:rPr>
                <w:sz w:val="20"/>
                <w:szCs w:val="20"/>
                <w:color w:val="auto"/>
              </w:rPr>
            </w:pPr>
            <w:r>
              <w:rPr>
                <w:rFonts w:ascii="Courier New" w:cs="Courier New" w:eastAsia="Courier New" w:hAnsi="Courier New"/>
                <w:sz w:val="15"/>
                <w:szCs w:val="15"/>
                <w:color w:val="auto"/>
                <w:w w:val="99"/>
              </w:rPr>
              <w:t>SECURITY FORMS</w:t>
            </w:r>
          </w:p>
        </w:tc>
        <w:tc>
          <w:tcPr>
            <w:tcW w:w="380" w:type="dxa"/>
            <w:vAlign w:val="bottom"/>
          </w:tcPr>
          <w:p>
            <w:pPr>
              <w:spacing w:after="0"/>
              <w:rPr>
                <w:sz w:val="15"/>
                <w:szCs w:val="15"/>
                <w:color w:val="auto"/>
              </w:rPr>
            </w:pPr>
          </w:p>
        </w:tc>
      </w:tr>
      <w:tr>
        <w:trPr>
          <w:trHeight w:val="175"/>
        </w:trPr>
        <w:tc>
          <w:tcPr>
            <w:tcW w:w="1320" w:type="dxa"/>
            <w:vAlign w:val="bottom"/>
          </w:tcPr>
          <w:p>
            <w:pPr>
              <w:spacing w:after="0"/>
              <w:rPr>
                <w:sz w:val="20"/>
                <w:szCs w:val="20"/>
                <w:color w:val="auto"/>
              </w:rPr>
            </w:pPr>
            <w:r>
              <w:rPr>
                <w:rFonts w:ascii="Courier New" w:cs="Courier New" w:eastAsia="Courier New" w:hAnsi="Courier New"/>
                <w:sz w:val="15"/>
                <w:szCs w:val="15"/>
                <w:color w:val="auto"/>
              </w:rPr>
              <w:t>SECTION 201.</w:t>
            </w:r>
          </w:p>
        </w:tc>
        <w:tc>
          <w:tcPr>
            <w:tcW w:w="3760" w:type="dxa"/>
            <w:vAlign w:val="bottom"/>
          </w:tcPr>
          <w:p>
            <w:pPr>
              <w:ind w:left="220"/>
              <w:spacing w:after="0"/>
              <w:rPr>
                <w:sz w:val="20"/>
                <w:szCs w:val="20"/>
                <w:color w:val="auto"/>
              </w:rPr>
            </w:pPr>
            <w:r>
              <w:rPr>
                <w:rFonts w:ascii="Courier New" w:cs="Courier New" w:eastAsia="Courier New" w:hAnsi="Courier New"/>
                <w:sz w:val="15"/>
                <w:szCs w:val="15"/>
                <w:color w:val="auto"/>
              </w:rPr>
              <w:t>Forms Generally. . . . . . . . . . . .</w:t>
            </w:r>
          </w:p>
        </w:tc>
        <w:tc>
          <w:tcPr>
            <w:tcW w:w="5900" w:type="dxa"/>
            <w:vAlign w:val="bottom"/>
          </w:tcPr>
          <w:p>
            <w:pPr>
              <w:spacing w:after="0"/>
              <w:rPr>
                <w:sz w:val="20"/>
                <w:szCs w:val="20"/>
                <w:color w:val="auto"/>
              </w:rPr>
            </w:pPr>
            <w:r>
              <w:rPr>
                <w:rFonts w:ascii="Courier New" w:cs="Courier New" w:eastAsia="Courier New" w:hAnsi="Courier New"/>
                <w:sz w:val="15"/>
                <w:szCs w:val="15"/>
                <w:color w:val="auto"/>
              </w:rPr>
              <w:t>. . . . . . . . . . . . . . . . . . . . . . . . . . . . . . . .</w:t>
            </w:r>
          </w:p>
        </w:tc>
        <w:tc>
          <w:tcPr>
            <w:tcW w:w="38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14</w:t>
            </w:r>
          </w:p>
        </w:tc>
      </w:tr>
      <w:tr>
        <w:trPr>
          <w:trHeight w:val="175"/>
        </w:trPr>
        <w:tc>
          <w:tcPr>
            <w:tcW w:w="1320" w:type="dxa"/>
            <w:vAlign w:val="bottom"/>
          </w:tcPr>
          <w:p>
            <w:pPr>
              <w:spacing w:after="0"/>
              <w:rPr>
                <w:sz w:val="20"/>
                <w:szCs w:val="20"/>
                <w:color w:val="auto"/>
              </w:rPr>
            </w:pPr>
            <w:r>
              <w:rPr>
                <w:rFonts w:ascii="Courier New" w:cs="Courier New" w:eastAsia="Courier New" w:hAnsi="Courier New"/>
                <w:sz w:val="15"/>
                <w:szCs w:val="15"/>
                <w:color w:val="auto"/>
              </w:rPr>
              <w:t>SECTION 202.</w:t>
            </w:r>
          </w:p>
        </w:tc>
        <w:tc>
          <w:tcPr>
            <w:tcW w:w="96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Form of Trustee's Certificate of Authentication. . . . . . . . . . . . . . . . . . . . . . . . . . . .</w:t>
            </w:r>
          </w:p>
        </w:tc>
        <w:tc>
          <w:tcPr>
            <w:tcW w:w="38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15</w:t>
            </w:r>
          </w:p>
        </w:tc>
      </w:tr>
      <w:tr>
        <w:trPr>
          <w:trHeight w:val="175"/>
        </w:trPr>
        <w:tc>
          <w:tcPr>
            <w:tcW w:w="1320" w:type="dxa"/>
            <w:vAlign w:val="bottom"/>
          </w:tcPr>
          <w:p>
            <w:pPr>
              <w:spacing w:after="0"/>
              <w:rPr>
                <w:sz w:val="20"/>
                <w:szCs w:val="20"/>
                <w:color w:val="auto"/>
              </w:rPr>
            </w:pPr>
            <w:r>
              <w:rPr>
                <w:rFonts w:ascii="Courier New" w:cs="Courier New" w:eastAsia="Courier New" w:hAnsi="Courier New"/>
                <w:sz w:val="15"/>
                <w:szCs w:val="15"/>
                <w:color w:val="auto"/>
              </w:rPr>
              <w:t>SECTION 203.</w:t>
            </w:r>
          </w:p>
        </w:tc>
        <w:tc>
          <w:tcPr>
            <w:tcW w:w="3760" w:type="dxa"/>
            <w:vAlign w:val="bottom"/>
          </w:tcPr>
          <w:p>
            <w:pPr>
              <w:ind w:left="220"/>
              <w:spacing w:after="0"/>
              <w:rPr>
                <w:sz w:val="20"/>
                <w:szCs w:val="20"/>
                <w:color w:val="auto"/>
              </w:rPr>
            </w:pPr>
            <w:r>
              <w:rPr>
                <w:rFonts w:ascii="Courier New" w:cs="Courier New" w:eastAsia="Courier New" w:hAnsi="Courier New"/>
                <w:sz w:val="15"/>
                <w:szCs w:val="15"/>
                <w:color w:val="auto"/>
              </w:rPr>
              <w:t>Securities in Global Form. . . . . . .</w:t>
            </w:r>
          </w:p>
        </w:tc>
        <w:tc>
          <w:tcPr>
            <w:tcW w:w="5900" w:type="dxa"/>
            <w:vAlign w:val="bottom"/>
          </w:tcPr>
          <w:p>
            <w:pPr>
              <w:spacing w:after="0"/>
              <w:rPr>
                <w:sz w:val="20"/>
                <w:szCs w:val="20"/>
                <w:color w:val="auto"/>
              </w:rPr>
            </w:pPr>
            <w:r>
              <w:rPr>
                <w:rFonts w:ascii="Courier New" w:cs="Courier New" w:eastAsia="Courier New" w:hAnsi="Courier New"/>
                <w:sz w:val="15"/>
                <w:szCs w:val="15"/>
                <w:color w:val="auto"/>
              </w:rPr>
              <w:t>. . . . . . . . . . . . . . . . . . . . . . . . . . . . . . . .</w:t>
            </w:r>
          </w:p>
        </w:tc>
        <w:tc>
          <w:tcPr>
            <w:tcW w:w="38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15</w:t>
            </w:r>
          </w:p>
        </w:tc>
      </w:tr>
      <w:tr>
        <w:trPr>
          <w:trHeight w:val="175"/>
        </w:trPr>
        <w:tc>
          <w:tcPr>
            <w:tcW w:w="1320" w:type="dxa"/>
            <w:vAlign w:val="bottom"/>
          </w:tcPr>
          <w:p>
            <w:pPr>
              <w:spacing w:after="0"/>
              <w:rPr>
                <w:sz w:val="20"/>
                <w:szCs w:val="20"/>
                <w:color w:val="auto"/>
              </w:rPr>
            </w:pPr>
            <w:r>
              <w:rPr>
                <w:rFonts w:ascii="Courier New" w:cs="Courier New" w:eastAsia="Courier New" w:hAnsi="Courier New"/>
                <w:sz w:val="15"/>
                <w:szCs w:val="15"/>
                <w:color w:val="auto"/>
              </w:rPr>
              <w:t>SECTION 204.</w:t>
            </w:r>
          </w:p>
        </w:tc>
        <w:tc>
          <w:tcPr>
            <w:tcW w:w="96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Form of Legend for Book-Entry Securities.  . . . . . . . . . . . . . . . . . . . . . . . . . . . . . .</w:t>
            </w:r>
          </w:p>
        </w:tc>
        <w:tc>
          <w:tcPr>
            <w:tcW w:w="38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16</w:t>
            </w:r>
          </w:p>
        </w:tc>
      </w:tr>
      <w:tr>
        <w:trPr>
          <w:trHeight w:val="350"/>
        </w:trPr>
        <w:tc>
          <w:tcPr>
            <w:tcW w:w="1320" w:type="dxa"/>
            <w:vAlign w:val="bottom"/>
          </w:tcPr>
          <w:p>
            <w:pPr>
              <w:spacing w:after="0"/>
              <w:rPr>
                <w:sz w:val="24"/>
                <w:szCs w:val="24"/>
                <w:color w:val="auto"/>
              </w:rPr>
            </w:pPr>
          </w:p>
        </w:tc>
        <w:tc>
          <w:tcPr>
            <w:tcW w:w="9660" w:type="dxa"/>
            <w:vAlign w:val="bottom"/>
            <w:gridSpan w:val="2"/>
          </w:tcPr>
          <w:p>
            <w:pPr>
              <w:ind w:left="3680"/>
              <w:spacing w:after="0"/>
              <w:rPr>
                <w:sz w:val="20"/>
                <w:szCs w:val="20"/>
                <w:color w:val="auto"/>
              </w:rPr>
            </w:pPr>
            <w:r>
              <w:rPr>
                <w:rFonts w:ascii="Courier New" w:cs="Courier New" w:eastAsia="Courier New" w:hAnsi="Courier New"/>
                <w:sz w:val="15"/>
                <w:szCs w:val="15"/>
                <w:color w:val="auto"/>
              </w:rPr>
              <w:t>ARTICLE THREE</w:t>
            </w:r>
          </w:p>
        </w:tc>
        <w:tc>
          <w:tcPr>
            <w:tcW w:w="380" w:type="dxa"/>
            <w:vAlign w:val="bottom"/>
          </w:tcPr>
          <w:p>
            <w:pPr>
              <w:spacing w:after="0"/>
              <w:rPr>
                <w:sz w:val="24"/>
                <w:szCs w:val="24"/>
                <w:color w:val="auto"/>
              </w:rPr>
            </w:pPr>
          </w:p>
        </w:tc>
      </w:tr>
      <w:tr>
        <w:trPr>
          <w:trHeight w:val="175"/>
        </w:trPr>
        <w:tc>
          <w:tcPr>
            <w:tcW w:w="1320" w:type="dxa"/>
            <w:vAlign w:val="bottom"/>
          </w:tcPr>
          <w:p>
            <w:pPr>
              <w:spacing w:after="0"/>
              <w:rPr>
                <w:sz w:val="15"/>
                <w:szCs w:val="15"/>
                <w:color w:val="auto"/>
              </w:rPr>
            </w:pPr>
          </w:p>
        </w:tc>
        <w:tc>
          <w:tcPr>
            <w:tcW w:w="9660" w:type="dxa"/>
            <w:vAlign w:val="bottom"/>
            <w:gridSpan w:val="2"/>
          </w:tcPr>
          <w:p>
            <w:pPr>
              <w:jc w:val="center"/>
              <w:ind w:right="964"/>
              <w:spacing w:after="0"/>
              <w:rPr>
                <w:sz w:val="20"/>
                <w:szCs w:val="20"/>
                <w:color w:val="auto"/>
              </w:rPr>
            </w:pPr>
            <w:r>
              <w:rPr>
                <w:rFonts w:ascii="Courier New" w:cs="Courier New" w:eastAsia="Courier New" w:hAnsi="Courier New"/>
                <w:sz w:val="15"/>
                <w:szCs w:val="15"/>
                <w:color w:val="auto"/>
                <w:w w:val="99"/>
              </w:rPr>
              <w:t>THE SECURITIES</w:t>
            </w:r>
          </w:p>
        </w:tc>
        <w:tc>
          <w:tcPr>
            <w:tcW w:w="380" w:type="dxa"/>
            <w:vAlign w:val="bottom"/>
          </w:tcPr>
          <w:p>
            <w:pPr>
              <w:spacing w:after="0"/>
              <w:rPr>
                <w:sz w:val="15"/>
                <w:szCs w:val="15"/>
                <w:color w:val="auto"/>
              </w:rPr>
            </w:pPr>
          </w:p>
        </w:tc>
      </w:tr>
      <w:tr>
        <w:trPr>
          <w:trHeight w:val="175"/>
        </w:trPr>
        <w:tc>
          <w:tcPr>
            <w:tcW w:w="1320" w:type="dxa"/>
            <w:vAlign w:val="bottom"/>
          </w:tcPr>
          <w:p>
            <w:pPr>
              <w:spacing w:after="0"/>
              <w:rPr>
                <w:sz w:val="20"/>
                <w:szCs w:val="20"/>
                <w:color w:val="auto"/>
              </w:rPr>
            </w:pPr>
            <w:r>
              <w:rPr>
                <w:rFonts w:ascii="Courier New" w:cs="Courier New" w:eastAsia="Courier New" w:hAnsi="Courier New"/>
                <w:sz w:val="15"/>
                <w:szCs w:val="15"/>
                <w:color w:val="auto"/>
              </w:rPr>
              <w:t>SECTION 301.</w:t>
            </w:r>
          </w:p>
        </w:tc>
        <w:tc>
          <w:tcPr>
            <w:tcW w:w="96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Amount Unlimited; Issuable in Series.  . . . . . . . . . . . . . . . . . . . . . . . . . . . . . . . .</w:t>
            </w:r>
          </w:p>
        </w:tc>
        <w:tc>
          <w:tcPr>
            <w:tcW w:w="38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16</w:t>
            </w:r>
          </w:p>
        </w:tc>
      </w:tr>
      <w:tr>
        <w:trPr>
          <w:trHeight w:val="175"/>
        </w:trPr>
        <w:tc>
          <w:tcPr>
            <w:tcW w:w="1320" w:type="dxa"/>
            <w:vAlign w:val="bottom"/>
          </w:tcPr>
          <w:p>
            <w:pPr>
              <w:spacing w:after="0"/>
              <w:rPr>
                <w:sz w:val="20"/>
                <w:szCs w:val="20"/>
                <w:color w:val="auto"/>
              </w:rPr>
            </w:pPr>
            <w:r>
              <w:rPr>
                <w:rFonts w:ascii="Courier New" w:cs="Courier New" w:eastAsia="Courier New" w:hAnsi="Courier New"/>
                <w:sz w:val="15"/>
                <w:szCs w:val="15"/>
                <w:color w:val="auto"/>
              </w:rPr>
              <w:t>SECTION 302.</w:t>
            </w:r>
          </w:p>
        </w:tc>
        <w:tc>
          <w:tcPr>
            <w:tcW w:w="3760" w:type="dxa"/>
            <w:vAlign w:val="bottom"/>
          </w:tcPr>
          <w:p>
            <w:pPr>
              <w:ind w:left="220"/>
              <w:spacing w:after="0"/>
              <w:rPr>
                <w:sz w:val="20"/>
                <w:szCs w:val="20"/>
                <w:color w:val="auto"/>
              </w:rPr>
            </w:pPr>
            <w:r>
              <w:rPr>
                <w:rFonts w:ascii="Courier New" w:cs="Courier New" w:eastAsia="Courier New" w:hAnsi="Courier New"/>
                <w:sz w:val="15"/>
                <w:szCs w:val="15"/>
                <w:color w:val="auto"/>
              </w:rPr>
              <w:t>Denominations. . . . . . . . . . . . .</w:t>
            </w:r>
          </w:p>
        </w:tc>
        <w:tc>
          <w:tcPr>
            <w:tcW w:w="5900" w:type="dxa"/>
            <w:vAlign w:val="bottom"/>
          </w:tcPr>
          <w:p>
            <w:pPr>
              <w:spacing w:after="0"/>
              <w:rPr>
                <w:sz w:val="20"/>
                <w:szCs w:val="20"/>
                <w:color w:val="auto"/>
              </w:rPr>
            </w:pPr>
            <w:r>
              <w:rPr>
                <w:rFonts w:ascii="Courier New" w:cs="Courier New" w:eastAsia="Courier New" w:hAnsi="Courier New"/>
                <w:sz w:val="15"/>
                <w:szCs w:val="15"/>
                <w:color w:val="auto"/>
              </w:rPr>
              <w:t>. . . . . . . . . . . . . . . . . . . . . . . . . . . . . . . .</w:t>
            </w:r>
          </w:p>
        </w:tc>
        <w:tc>
          <w:tcPr>
            <w:tcW w:w="38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19</w:t>
            </w:r>
          </w:p>
        </w:tc>
      </w:tr>
      <w:tr>
        <w:trPr>
          <w:trHeight w:val="175"/>
        </w:trPr>
        <w:tc>
          <w:tcPr>
            <w:tcW w:w="1320" w:type="dxa"/>
            <w:vAlign w:val="bottom"/>
          </w:tcPr>
          <w:p>
            <w:pPr>
              <w:spacing w:after="0"/>
              <w:rPr>
                <w:sz w:val="20"/>
                <w:szCs w:val="20"/>
                <w:color w:val="auto"/>
              </w:rPr>
            </w:pPr>
            <w:r>
              <w:rPr>
                <w:rFonts w:ascii="Courier New" w:cs="Courier New" w:eastAsia="Courier New" w:hAnsi="Courier New"/>
                <w:sz w:val="15"/>
                <w:szCs w:val="15"/>
                <w:color w:val="auto"/>
              </w:rPr>
              <w:t>SECTION 303.</w:t>
            </w:r>
          </w:p>
        </w:tc>
        <w:tc>
          <w:tcPr>
            <w:tcW w:w="96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Execution, Authentication, Delivery and Dating.  . . . . . . . . . . . . . . . . . . . . . . . . . . .</w:t>
            </w:r>
          </w:p>
        </w:tc>
        <w:tc>
          <w:tcPr>
            <w:tcW w:w="38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19</w:t>
            </w:r>
          </w:p>
        </w:tc>
      </w:tr>
      <w:tr>
        <w:trPr>
          <w:trHeight w:val="175"/>
        </w:trPr>
        <w:tc>
          <w:tcPr>
            <w:tcW w:w="1320" w:type="dxa"/>
            <w:vAlign w:val="bottom"/>
          </w:tcPr>
          <w:p>
            <w:pPr>
              <w:spacing w:after="0"/>
              <w:rPr>
                <w:sz w:val="20"/>
                <w:szCs w:val="20"/>
                <w:color w:val="auto"/>
              </w:rPr>
            </w:pPr>
            <w:r>
              <w:rPr>
                <w:rFonts w:ascii="Courier New" w:cs="Courier New" w:eastAsia="Courier New" w:hAnsi="Courier New"/>
                <w:sz w:val="15"/>
                <w:szCs w:val="15"/>
                <w:color w:val="auto"/>
              </w:rPr>
              <w:t>SECTION 304.</w:t>
            </w:r>
          </w:p>
        </w:tc>
        <w:tc>
          <w:tcPr>
            <w:tcW w:w="96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Temporary Securities.  . . . . . . . . . . . . . . . . . . . . . . . . . . . . . . . . . . . . . . . .</w:t>
            </w:r>
          </w:p>
        </w:tc>
        <w:tc>
          <w:tcPr>
            <w:tcW w:w="38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21</w:t>
            </w:r>
          </w:p>
        </w:tc>
      </w:tr>
      <w:tr>
        <w:trPr>
          <w:trHeight w:val="175"/>
        </w:trPr>
        <w:tc>
          <w:tcPr>
            <w:tcW w:w="1320" w:type="dxa"/>
            <w:vAlign w:val="bottom"/>
          </w:tcPr>
          <w:p>
            <w:pPr>
              <w:spacing w:after="0"/>
              <w:rPr>
                <w:sz w:val="20"/>
                <w:szCs w:val="20"/>
                <w:color w:val="auto"/>
              </w:rPr>
            </w:pPr>
            <w:r>
              <w:rPr>
                <w:rFonts w:ascii="Courier New" w:cs="Courier New" w:eastAsia="Courier New" w:hAnsi="Courier New"/>
                <w:sz w:val="15"/>
                <w:szCs w:val="15"/>
                <w:color w:val="auto"/>
              </w:rPr>
              <w:t>SECTION 305.</w:t>
            </w:r>
          </w:p>
        </w:tc>
        <w:tc>
          <w:tcPr>
            <w:tcW w:w="96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Registration, Registration of Transfer and Exchange  . . . . . . . . . . . . . . . . . . . . . . . . .</w:t>
            </w:r>
          </w:p>
        </w:tc>
        <w:tc>
          <w:tcPr>
            <w:tcW w:w="38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23</w:t>
            </w:r>
          </w:p>
        </w:tc>
      </w:tr>
      <w:tr>
        <w:trPr>
          <w:trHeight w:val="175"/>
        </w:trPr>
        <w:tc>
          <w:tcPr>
            <w:tcW w:w="1320" w:type="dxa"/>
            <w:vAlign w:val="bottom"/>
          </w:tcPr>
          <w:p>
            <w:pPr>
              <w:spacing w:after="0"/>
              <w:rPr>
                <w:sz w:val="20"/>
                <w:szCs w:val="20"/>
                <w:color w:val="auto"/>
              </w:rPr>
            </w:pPr>
            <w:r>
              <w:rPr>
                <w:rFonts w:ascii="Courier New" w:cs="Courier New" w:eastAsia="Courier New" w:hAnsi="Courier New"/>
                <w:sz w:val="15"/>
                <w:szCs w:val="15"/>
                <w:color w:val="auto"/>
              </w:rPr>
              <w:t>SECTION 306.</w:t>
            </w:r>
          </w:p>
        </w:tc>
        <w:tc>
          <w:tcPr>
            <w:tcW w:w="96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Mutilated, Destroyed, Lost and Stolen Securities and Coupons . . . . . . . . . . . . . . . . . . . . .</w:t>
            </w:r>
          </w:p>
        </w:tc>
        <w:tc>
          <w:tcPr>
            <w:tcW w:w="38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26</w:t>
            </w:r>
          </w:p>
        </w:tc>
      </w:tr>
      <w:tr>
        <w:trPr>
          <w:trHeight w:val="175"/>
        </w:trPr>
        <w:tc>
          <w:tcPr>
            <w:tcW w:w="1320" w:type="dxa"/>
            <w:vAlign w:val="bottom"/>
          </w:tcPr>
          <w:p>
            <w:pPr>
              <w:spacing w:after="0"/>
              <w:rPr>
                <w:sz w:val="20"/>
                <w:szCs w:val="20"/>
                <w:color w:val="auto"/>
              </w:rPr>
            </w:pPr>
            <w:r>
              <w:rPr>
                <w:rFonts w:ascii="Courier New" w:cs="Courier New" w:eastAsia="Courier New" w:hAnsi="Courier New"/>
                <w:sz w:val="15"/>
                <w:szCs w:val="15"/>
                <w:color w:val="auto"/>
              </w:rPr>
              <w:t>SECTION 307.</w:t>
            </w:r>
          </w:p>
        </w:tc>
        <w:tc>
          <w:tcPr>
            <w:tcW w:w="96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Payment of Interest; Interest Rights Preserved . . . . . . . . . . . . . . . . . . . . . . . . . . . .</w:t>
            </w:r>
          </w:p>
        </w:tc>
        <w:tc>
          <w:tcPr>
            <w:tcW w:w="38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28</w:t>
            </w:r>
          </w:p>
        </w:tc>
      </w:tr>
      <w:tr>
        <w:trPr>
          <w:trHeight w:val="175"/>
        </w:trPr>
        <w:tc>
          <w:tcPr>
            <w:tcW w:w="1320" w:type="dxa"/>
            <w:vAlign w:val="bottom"/>
          </w:tcPr>
          <w:p>
            <w:pPr>
              <w:spacing w:after="0"/>
              <w:rPr>
                <w:sz w:val="20"/>
                <w:szCs w:val="20"/>
                <w:color w:val="auto"/>
              </w:rPr>
            </w:pPr>
            <w:r>
              <w:rPr>
                <w:rFonts w:ascii="Courier New" w:cs="Courier New" w:eastAsia="Courier New" w:hAnsi="Courier New"/>
                <w:sz w:val="15"/>
                <w:szCs w:val="15"/>
                <w:color w:val="auto"/>
              </w:rPr>
              <w:t>SECTION 308.</w:t>
            </w:r>
          </w:p>
        </w:tc>
        <w:tc>
          <w:tcPr>
            <w:tcW w:w="3760" w:type="dxa"/>
            <w:vAlign w:val="bottom"/>
          </w:tcPr>
          <w:p>
            <w:pPr>
              <w:ind w:left="220"/>
              <w:spacing w:after="0"/>
              <w:rPr>
                <w:sz w:val="20"/>
                <w:szCs w:val="20"/>
                <w:color w:val="auto"/>
              </w:rPr>
            </w:pPr>
            <w:r>
              <w:rPr>
                <w:rFonts w:ascii="Courier New" w:cs="Courier New" w:eastAsia="Courier New" w:hAnsi="Courier New"/>
                <w:sz w:val="15"/>
                <w:szCs w:val="15"/>
                <w:color w:val="auto"/>
              </w:rPr>
              <w:t>Persons Deemed Owners  . . . . . . . .</w:t>
            </w:r>
          </w:p>
        </w:tc>
        <w:tc>
          <w:tcPr>
            <w:tcW w:w="5900" w:type="dxa"/>
            <w:vAlign w:val="bottom"/>
          </w:tcPr>
          <w:p>
            <w:pPr>
              <w:spacing w:after="0"/>
              <w:rPr>
                <w:sz w:val="20"/>
                <w:szCs w:val="20"/>
                <w:color w:val="auto"/>
              </w:rPr>
            </w:pPr>
            <w:r>
              <w:rPr>
                <w:rFonts w:ascii="Courier New" w:cs="Courier New" w:eastAsia="Courier New" w:hAnsi="Courier New"/>
                <w:sz w:val="15"/>
                <w:szCs w:val="15"/>
                <w:color w:val="auto"/>
              </w:rPr>
              <w:t>. . . . . . . . . . . . . . . . . . . . . . . . . . . . . . . .</w:t>
            </w:r>
          </w:p>
        </w:tc>
        <w:tc>
          <w:tcPr>
            <w:tcW w:w="38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29</w:t>
            </w:r>
          </w:p>
        </w:tc>
      </w:tr>
      <w:tr>
        <w:trPr>
          <w:trHeight w:val="175"/>
        </w:trPr>
        <w:tc>
          <w:tcPr>
            <w:tcW w:w="1320" w:type="dxa"/>
            <w:vAlign w:val="bottom"/>
          </w:tcPr>
          <w:p>
            <w:pPr>
              <w:spacing w:after="0"/>
              <w:rPr>
                <w:sz w:val="20"/>
                <w:szCs w:val="20"/>
                <w:color w:val="auto"/>
              </w:rPr>
            </w:pPr>
            <w:r>
              <w:rPr>
                <w:rFonts w:ascii="Courier New" w:cs="Courier New" w:eastAsia="Courier New" w:hAnsi="Courier New"/>
                <w:sz w:val="15"/>
                <w:szCs w:val="15"/>
                <w:color w:val="auto"/>
              </w:rPr>
              <w:t>SECTION 309.</w:t>
            </w:r>
          </w:p>
        </w:tc>
        <w:tc>
          <w:tcPr>
            <w:tcW w:w="3760" w:type="dxa"/>
            <w:vAlign w:val="bottom"/>
          </w:tcPr>
          <w:p>
            <w:pPr>
              <w:ind w:left="220"/>
              <w:spacing w:after="0"/>
              <w:rPr>
                <w:sz w:val="20"/>
                <w:szCs w:val="20"/>
                <w:color w:val="auto"/>
              </w:rPr>
            </w:pPr>
            <w:r>
              <w:rPr>
                <w:rFonts w:ascii="Courier New" w:cs="Courier New" w:eastAsia="Courier New" w:hAnsi="Courier New"/>
                <w:sz w:val="15"/>
                <w:szCs w:val="15"/>
                <w:color w:val="auto"/>
              </w:rPr>
              <w:t>Cancellation . . . . . . . . . . . . .</w:t>
            </w:r>
          </w:p>
        </w:tc>
        <w:tc>
          <w:tcPr>
            <w:tcW w:w="5900" w:type="dxa"/>
            <w:vAlign w:val="bottom"/>
          </w:tcPr>
          <w:p>
            <w:pPr>
              <w:spacing w:after="0"/>
              <w:rPr>
                <w:sz w:val="20"/>
                <w:szCs w:val="20"/>
                <w:color w:val="auto"/>
              </w:rPr>
            </w:pPr>
            <w:r>
              <w:rPr>
                <w:rFonts w:ascii="Courier New" w:cs="Courier New" w:eastAsia="Courier New" w:hAnsi="Courier New"/>
                <w:sz w:val="15"/>
                <w:szCs w:val="15"/>
                <w:color w:val="auto"/>
              </w:rPr>
              <w:t>. . . . . . . . . . . . . . . . . . . . . . . . . . . . . . . .</w:t>
            </w:r>
          </w:p>
        </w:tc>
        <w:tc>
          <w:tcPr>
            <w:tcW w:w="38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29</w:t>
            </w:r>
          </w:p>
        </w:tc>
      </w:tr>
      <w:tr>
        <w:trPr>
          <w:trHeight w:val="175"/>
        </w:trPr>
        <w:tc>
          <w:tcPr>
            <w:tcW w:w="1320" w:type="dxa"/>
            <w:vAlign w:val="bottom"/>
          </w:tcPr>
          <w:p>
            <w:pPr>
              <w:spacing w:after="0"/>
              <w:rPr>
                <w:sz w:val="20"/>
                <w:szCs w:val="20"/>
                <w:color w:val="auto"/>
              </w:rPr>
            </w:pPr>
            <w:r>
              <w:rPr>
                <w:rFonts w:ascii="Courier New" w:cs="Courier New" w:eastAsia="Courier New" w:hAnsi="Courier New"/>
                <w:sz w:val="15"/>
                <w:szCs w:val="15"/>
                <w:color w:val="auto"/>
              </w:rPr>
              <w:t>SECTION 310.</w:t>
            </w:r>
          </w:p>
        </w:tc>
        <w:tc>
          <w:tcPr>
            <w:tcW w:w="3760" w:type="dxa"/>
            <w:vAlign w:val="bottom"/>
          </w:tcPr>
          <w:p>
            <w:pPr>
              <w:ind w:left="220"/>
              <w:spacing w:after="0"/>
              <w:rPr>
                <w:sz w:val="20"/>
                <w:szCs w:val="20"/>
                <w:color w:val="auto"/>
              </w:rPr>
            </w:pPr>
            <w:r>
              <w:rPr>
                <w:rFonts w:ascii="Courier New" w:cs="Courier New" w:eastAsia="Courier New" w:hAnsi="Courier New"/>
                <w:sz w:val="15"/>
                <w:szCs w:val="15"/>
                <w:color w:val="auto"/>
              </w:rPr>
              <w:t>Computation of Interest  . . . . . . .</w:t>
            </w:r>
          </w:p>
        </w:tc>
        <w:tc>
          <w:tcPr>
            <w:tcW w:w="5900" w:type="dxa"/>
            <w:vAlign w:val="bottom"/>
          </w:tcPr>
          <w:p>
            <w:pPr>
              <w:spacing w:after="0"/>
              <w:rPr>
                <w:sz w:val="20"/>
                <w:szCs w:val="20"/>
                <w:color w:val="auto"/>
              </w:rPr>
            </w:pPr>
            <w:r>
              <w:rPr>
                <w:rFonts w:ascii="Courier New" w:cs="Courier New" w:eastAsia="Courier New" w:hAnsi="Courier New"/>
                <w:sz w:val="15"/>
                <w:szCs w:val="15"/>
                <w:color w:val="auto"/>
              </w:rPr>
              <w:t>. . . . . . . . . . . . . . . . . . . . . . . . . . . . . . . .</w:t>
            </w:r>
          </w:p>
        </w:tc>
        <w:tc>
          <w:tcPr>
            <w:tcW w:w="38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30</w:t>
            </w:r>
          </w:p>
        </w:tc>
      </w:tr>
    </w:tbl>
    <w:p>
      <w:pPr>
        <w:sectPr>
          <w:pgSz w:w="11900" w:h="16838" w:orient="portrait"/>
          <w:cols w:equalWidth="0" w:num="1">
            <w:col w:w="11360"/>
          </w:cols>
          <w:pgMar w:left="240" w:top="293" w:right="299" w:bottom="1440" w:gutter="0" w:footer="0" w:header="0"/>
        </w:sectPr>
      </w:pPr>
    </w:p>
    <w:bookmarkStart w:id="58" w:name="page59"/>
    <w:bookmarkEnd w:id="5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20" w:type="dxa"/>
            <w:vAlign w:val="bottom"/>
          </w:tcPr>
          <w:p>
            <w:pPr>
              <w:ind w:left="260"/>
              <w:spacing w:after="0"/>
              <w:rPr>
                <w:sz w:val="20"/>
                <w:szCs w:val="20"/>
                <w:color w:val="auto"/>
              </w:rPr>
            </w:pPr>
            <w:r>
              <w:rPr>
                <w:rFonts w:ascii="Courier New" w:cs="Courier New" w:eastAsia="Courier New" w:hAnsi="Courier New"/>
                <w:sz w:val="15"/>
                <w:szCs w:val="15"/>
                <w:color w:val="auto"/>
              </w:rPr>
              <w:t>4</w:t>
            </w:r>
          </w:p>
        </w:tc>
        <w:tc>
          <w:tcPr>
            <w:tcW w:w="958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524"/>
        </w:trPr>
        <w:tc>
          <w:tcPr>
            <w:tcW w:w="1320" w:type="dxa"/>
            <w:vAlign w:val="bottom"/>
          </w:tcPr>
          <w:p>
            <w:pPr>
              <w:spacing w:after="0"/>
              <w:rPr>
                <w:sz w:val="24"/>
                <w:szCs w:val="24"/>
                <w:color w:val="auto"/>
              </w:rPr>
            </w:pPr>
          </w:p>
        </w:tc>
        <w:tc>
          <w:tcPr>
            <w:tcW w:w="9580" w:type="dxa"/>
            <w:vAlign w:val="bottom"/>
          </w:tcPr>
          <w:p>
            <w:pPr>
              <w:ind w:left="3760"/>
              <w:spacing w:after="0"/>
              <w:rPr>
                <w:sz w:val="20"/>
                <w:szCs w:val="20"/>
                <w:color w:val="auto"/>
              </w:rPr>
            </w:pPr>
            <w:r>
              <w:rPr>
                <w:rFonts w:ascii="Courier New" w:cs="Courier New" w:eastAsia="Courier New" w:hAnsi="Courier New"/>
                <w:sz w:val="15"/>
                <w:szCs w:val="15"/>
                <w:color w:val="auto"/>
              </w:rPr>
              <w:t>ARTICLE FOUR</w:t>
            </w:r>
          </w:p>
        </w:tc>
        <w:tc>
          <w:tcPr>
            <w:tcW w:w="280" w:type="dxa"/>
            <w:vAlign w:val="bottom"/>
          </w:tcPr>
          <w:p>
            <w:pPr>
              <w:spacing w:after="0"/>
              <w:rPr>
                <w:sz w:val="24"/>
                <w:szCs w:val="24"/>
                <w:color w:val="auto"/>
              </w:rPr>
            </w:pPr>
          </w:p>
        </w:tc>
      </w:tr>
      <w:tr>
        <w:trPr>
          <w:trHeight w:val="175"/>
        </w:trPr>
        <w:tc>
          <w:tcPr>
            <w:tcW w:w="1320" w:type="dxa"/>
            <w:vAlign w:val="bottom"/>
          </w:tcPr>
          <w:p>
            <w:pPr>
              <w:spacing w:after="0"/>
              <w:rPr>
                <w:sz w:val="15"/>
                <w:szCs w:val="15"/>
                <w:color w:val="auto"/>
              </w:rPr>
            </w:pPr>
          </w:p>
        </w:tc>
        <w:tc>
          <w:tcPr>
            <w:tcW w:w="9580" w:type="dxa"/>
            <w:vAlign w:val="bottom"/>
          </w:tcPr>
          <w:p>
            <w:pPr>
              <w:ind w:left="3120"/>
              <w:spacing w:after="0"/>
              <w:rPr>
                <w:sz w:val="20"/>
                <w:szCs w:val="20"/>
                <w:color w:val="auto"/>
              </w:rPr>
            </w:pPr>
            <w:r>
              <w:rPr>
                <w:rFonts w:ascii="Courier New" w:cs="Courier New" w:eastAsia="Courier New" w:hAnsi="Courier New"/>
                <w:sz w:val="15"/>
                <w:szCs w:val="15"/>
                <w:color w:val="auto"/>
              </w:rPr>
              <w:t>SATISFACTION AND DISCHARGE</w:t>
            </w:r>
          </w:p>
        </w:tc>
        <w:tc>
          <w:tcPr>
            <w:tcW w:w="280" w:type="dxa"/>
            <w:vAlign w:val="bottom"/>
          </w:tcPr>
          <w:p>
            <w:pPr>
              <w:spacing w:after="0"/>
              <w:rPr>
                <w:sz w:val="15"/>
                <w:szCs w:val="15"/>
                <w:color w:val="auto"/>
              </w:rPr>
            </w:pPr>
          </w:p>
        </w:tc>
      </w:tr>
      <w:tr>
        <w:trPr>
          <w:trHeight w:val="175"/>
        </w:trPr>
        <w:tc>
          <w:tcPr>
            <w:tcW w:w="1320" w:type="dxa"/>
            <w:vAlign w:val="bottom"/>
          </w:tcPr>
          <w:p>
            <w:pPr>
              <w:spacing w:after="0"/>
              <w:rPr>
                <w:sz w:val="20"/>
                <w:szCs w:val="20"/>
                <w:color w:val="auto"/>
              </w:rPr>
            </w:pPr>
            <w:r>
              <w:rPr>
                <w:rFonts w:ascii="Courier New" w:cs="Courier New" w:eastAsia="Courier New" w:hAnsi="Courier New"/>
                <w:sz w:val="15"/>
                <w:szCs w:val="15"/>
                <w:color w:val="auto"/>
              </w:rPr>
              <w:t>SECTION 401.</w:t>
            </w:r>
          </w:p>
        </w:tc>
        <w:tc>
          <w:tcPr>
            <w:tcW w:w="9580" w:type="dxa"/>
            <w:vAlign w:val="bottom"/>
          </w:tcPr>
          <w:p>
            <w:pPr>
              <w:ind w:left="220"/>
              <w:spacing w:after="0"/>
              <w:rPr>
                <w:sz w:val="20"/>
                <w:szCs w:val="20"/>
                <w:color w:val="auto"/>
              </w:rPr>
            </w:pPr>
            <w:r>
              <w:rPr>
                <w:rFonts w:ascii="Courier New" w:cs="Courier New" w:eastAsia="Courier New" w:hAnsi="Courier New"/>
                <w:sz w:val="15"/>
                <w:szCs w:val="15"/>
                <w:color w:val="auto"/>
              </w:rPr>
              <w:t>Satisfaction and Discharge of Indenture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r>
      <w:tr>
        <w:trPr>
          <w:trHeight w:val="175"/>
        </w:trPr>
        <w:tc>
          <w:tcPr>
            <w:tcW w:w="1320" w:type="dxa"/>
            <w:vAlign w:val="bottom"/>
          </w:tcPr>
          <w:p>
            <w:pPr>
              <w:spacing w:after="0"/>
              <w:rPr>
                <w:sz w:val="20"/>
                <w:szCs w:val="20"/>
                <w:color w:val="auto"/>
              </w:rPr>
            </w:pPr>
            <w:r>
              <w:rPr>
                <w:rFonts w:ascii="Courier New" w:cs="Courier New" w:eastAsia="Courier New" w:hAnsi="Courier New"/>
                <w:sz w:val="15"/>
                <w:szCs w:val="15"/>
                <w:color w:val="auto"/>
              </w:rPr>
              <w:t>SECTION 402.</w:t>
            </w:r>
          </w:p>
        </w:tc>
        <w:tc>
          <w:tcPr>
            <w:tcW w:w="9580" w:type="dxa"/>
            <w:vAlign w:val="bottom"/>
          </w:tcPr>
          <w:p>
            <w:pPr>
              <w:ind w:left="220"/>
              <w:spacing w:after="0"/>
              <w:rPr>
                <w:sz w:val="20"/>
                <w:szCs w:val="20"/>
                <w:color w:val="auto"/>
              </w:rPr>
            </w:pPr>
            <w:r>
              <w:rPr>
                <w:rFonts w:ascii="Courier New" w:cs="Courier New" w:eastAsia="Courier New" w:hAnsi="Courier New"/>
                <w:sz w:val="15"/>
                <w:szCs w:val="15"/>
                <w:color w:val="auto"/>
              </w:rPr>
              <w:t>Application of Trust Money . . . . .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r>
      <w:tr>
        <w:trPr>
          <w:trHeight w:val="350"/>
        </w:trPr>
        <w:tc>
          <w:tcPr>
            <w:tcW w:w="1320" w:type="dxa"/>
            <w:vAlign w:val="bottom"/>
          </w:tcPr>
          <w:p>
            <w:pPr>
              <w:spacing w:after="0"/>
              <w:rPr>
                <w:sz w:val="24"/>
                <w:szCs w:val="24"/>
                <w:color w:val="auto"/>
              </w:rPr>
            </w:pPr>
          </w:p>
        </w:tc>
        <w:tc>
          <w:tcPr>
            <w:tcW w:w="9580" w:type="dxa"/>
            <w:vAlign w:val="bottom"/>
          </w:tcPr>
          <w:p>
            <w:pPr>
              <w:ind w:left="3760"/>
              <w:spacing w:after="0"/>
              <w:rPr>
                <w:sz w:val="20"/>
                <w:szCs w:val="20"/>
                <w:color w:val="auto"/>
              </w:rPr>
            </w:pPr>
            <w:r>
              <w:rPr>
                <w:rFonts w:ascii="Courier New" w:cs="Courier New" w:eastAsia="Courier New" w:hAnsi="Courier New"/>
                <w:sz w:val="15"/>
                <w:szCs w:val="15"/>
                <w:color w:val="auto"/>
              </w:rPr>
              <w:t>ARTICLE FIVE</w:t>
            </w:r>
          </w:p>
        </w:tc>
        <w:tc>
          <w:tcPr>
            <w:tcW w:w="280" w:type="dxa"/>
            <w:vAlign w:val="bottom"/>
          </w:tcPr>
          <w:p>
            <w:pPr>
              <w:spacing w:after="0"/>
              <w:rPr>
                <w:sz w:val="24"/>
                <w:szCs w:val="24"/>
                <w:color w:val="auto"/>
              </w:rPr>
            </w:pPr>
          </w:p>
        </w:tc>
      </w:tr>
      <w:tr>
        <w:trPr>
          <w:trHeight w:val="175"/>
        </w:trPr>
        <w:tc>
          <w:tcPr>
            <w:tcW w:w="1320" w:type="dxa"/>
            <w:vAlign w:val="bottom"/>
          </w:tcPr>
          <w:p>
            <w:pPr>
              <w:spacing w:after="0"/>
              <w:rPr>
                <w:sz w:val="15"/>
                <w:szCs w:val="15"/>
                <w:color w:val="auto"/>
              </w:rPr>
            </w:pPr>
          </w:p>
        </w:tc>
        <w:tc>
          <w:tcPr>
            <w:tcW w:w="9580" w:type="dxa"/>
            <w:vAlign w:val="bottom"/>
          </w:tcPr>
          <w:p>
            <w:pPr>
              <w:ind w:left="3940"/>
              <w:spacing w:after="0"/>
              <w:rPr>
                <w:sz w:val="20"/>
                <w:szCs w:val="20"/>
                <w:color w:val="auto"/>
              </w:rPr>
            </w:pPr>
            <w:r>
              <w:rPr>
                <w:rFonts w:ascii="Courier New" w:cs="Courier New" w:eastAsia="Courier New" w:hAnsi="Courier New"/>
                <w:sz w:val="15"/>
                <w:szCs w:val="15"/>
                <w:color w:val="auto"/>
              </w:rPr>
              <w:t>REMEDIES</w:t>
            </w:r>
          </w:p>
        </w:tc>
        <w:tc>
          <w:tcPr>
            <w:tcW w:w="280" w:type="dxa"/>
            <w:vAlign w:val="bottom"/>
          </w:tcPr>
          <w:p>
            <w:pPr>
              <w:spacing w:after="0"/>
              <w:rPr>
                <w:sz w:val="15"/>
                <w:szCs w:val="15"/>
                <w:color w:val="auto"/>
              </w:rPr>
            </w:pPr>
          </w:p>
        </w:tc>
      </w:tr>
      <w:tr>
        <w:trPr>
          <w:trHeight w:val="175"/>
        </w:trPr>
        <w:tc>
          <w:tcPr>
            <w:tcW w:w="1320" w:type="dxa"/>
            <w:vAlign w:val="bottom"/>
          </w:tcPr>
          <w:p>
            <w:pPr>
              <w:spacing w:after="0"/>
              <w:rPr>
                <w:sz w:val="20"/>
                <w:szCs w:val="20"/>
                <w:color w:val="auto"/>
              </w:rPr>
            </w:pPr>
            <w:r>
              <w:rPr>
                <w:rFonts w:ascii="Courier New" w:cs="Courier New" w:eastAsia="Courier New" w:hAnsi="Courier New"/>
                <w:sz w:val="15"/>
                <w:szCs w:val="15"/>
                <w:color w:val="auto"/>
              </w:rPr>
              <w:t>SECTION 501.</w:t>
            </w:r>
          </w:p>
        </w:tc>
        <w:tc>
          <w:tcPr>
            <w:tcW w:w="9580" w:type="dxa"/>
            <w:vAlign w:val="bottom"/>
          </w:tcPr>
          <w:p>
            <w:pPr>
              <w:ind w:left="220"/>
              <w:spacing w:after="0"/>
              <w:rPr>
                <w:sz w:val="20"/>
                <w:szCs w:val="20"/>
                <w:color w:val="auto"/>
              </w:rPr>
            </w:pPr>
            <w:r>
              <w:rPr>
                <w:rFonts w:ascii="Courier New" w:cs="Courier New" w:eastAsia="Courier New" w:hAnsi="Courier New"/>
                <w:sz w:val="15"/>
                <w:szCs w:val="15"/>
                <w:color w:val="auto"/>
              </w:rPr>
              <w:t>Events of Default  . . . . . . . . .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r>
      <w:tr>
        <w:trPr>
          <w:trHeight w:val="175"/>
        </w:trPr>
        <w:tc>
          <w:tcPr>
            <w:tcW w:w="1320" w:type="dxa"/>
            <w:vAlign w:val="bottom"/>
          </w:tcPr>
          <w:p>
            <w:pPr>
              <w:spacing w:after="0"/>
              <w:rPr>
                <w:sz w:val="20"/>
                <w:szCs w:val="20"/>
                <w:color w:val="auto"/>
              </w:rPr>
            </w:pPr>
            <w:r>
              <w:rPr>
                <w:rFonts w:ascii="Courier New" w:cs="Courier New" w:eastAsia="Courier New" w:hAnsi="Courier New"/>
                <w:sz w:val="15"/>
                <w:szCs w:val="15"/>
                <w:color w:val="auto"/>
              </w:rPr>
              <w:t>SECTION 502.</w:t>
            </w:r>
          </w:p>
        </w:tc>
        <w:tc>
          <w:tcPr>
            <w:tcW w:w="9580" w:type="dxa"/>
            <w:vAlign w:val="bottom"/>
          </w:tcPr>
          <w:p>
            <w:pPr>
              <w:ind w:left="220"/>
              <w:spacing w:after="0"/>
              <w:rPr>
                <w:sz w:val="20"/>
                <w:szCs w:val="20"/>
                <w:color w:val="auto"/>
              </w:rPr>
            </w:pPr>
            <w:r>
              <w:rPr>
                <w:rFonts w:ascii="Courier New" w:cs="Courier New" w:eastAsia="Courier New" w:hAnsi="Courier New"/>
                <w:sz w:val="15"/>
                <w:szCs w:val="15"/>
                <w:color w:val="auto"/>
              </w:rPr>
              <w:t>Acceleration of Maturity; Rescission and Annulment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33</w:t>
            </w:r>
          </w:p>
        </w:tc>
      </w:tr>
      <w:tr>
        <w:trPr>
          <w:trHeight w:val="175"/>
        </w:trPr>
        <w:tc>
          <w:tcPr>
            <w:tcW w:w="1320" w:type="dxa"/>
            <w:vAlign w:val="bottom"/>
          </w:tcPr>
          <w:p>
            <w:pPr>
              <w:spacing w:after="0"/>
              <w:rPr>
                <w:sz w:val="20"/>
                <w:szCs w:val="20"/>
                <w:color w:val="auto"/>
              </w:rPr>
            </w:pPr>
            <w:r>
              <w:rPr>
                <w:rFonts w:ascii="Courier New" w:cs="Courier New" w:eastAsia="Courier New" w:hAnsi="Courier New"/>
                <w:sz w:val="15"/>
                <w:szCs w:val="15"/>
                <w:color w:val="auto"/>
              </w:rPr>
              <w:t>SECTION 503.</w:t>
            </w:r>
          </w:p>
        </w:tc>
        <w:tc>
          <w:tcPr>
            <w:tcW w:w="9580" w:type="dxa"/>
            <w:vAlign w:val="bottom"/>
          </w:tcPr>
          <w:p>
            <w:pPr>
              <w:ind w:left="220"/>
              <w:spacing w:after="0"/>
              <w:rPr>
                <w:sz w:val="20"/>
                <w:szCs w:val="20"/>
                <w:color w:val="auto"/>
              </w:rPr>
            </w:pPr>
            <w:r>
              <w:rPr>
                <w:rFonts w:ascii="Courier New" w:cs="Courier New" w:eastAsia="Courier New" w:hAnsi="Courier New"/>
                <w:sz w:val="15"/>
                <w:szCs w:val="15"/>
                <w:color w:val="auto"/>
              </w:rPr>
              <w:t>Collection of Indebtedness and Suits for Enforcement by Trustee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r>
      <w:tr>
        <w:trPr>
          <w:trHeight w:val="175"/>
        </w:trPr>
        <w:tc>
          <w:tcPr>
            <w:tcW w:w="1320" w:type="dxa"/>
            <w:vAlign w:val="bottom"/>
          </w:tcPr>
          <w:p>
            <w:pPr>
              <w:spacing w:after="0"/>
              <w:rPr>
                <w:sz w:val="20"/>
                <w:szCs w:val="20"/>
                <w:color w:val="auto"/>
              </w:rPr>
            </w:pPr>
            <w:r>
              <w:rPr>
                <w:rFonts w:ascii="Courier New" w:cs="Courier New" w:eastAsia="Courier New" w:hAnsi="Courier New"/>
                <w:sz w:val="15"/>
                <w:szCs w:val="15"/>
                <w:color w:val="auto"/>
              </w:rPr>
              <w:t>SECTION 504.</w:t>
            </w:r>
          </w:p>
        </w:tc>
        <w:tc>
          <w:tcPr>
            <w:tcW w:w="9580" w:type="dxa"/>
            <w:vAlign w:val="bottom"/>
          </w:tcPr>
          <w:p>
            <w:pPr>
              <w:ind w:left="220"/>
              <w:spacing w:after="0"/>
              <w:rPr>
                <w:sz w:val="20"/>
                <w:szCs w:val="20"/>
                <w:color w:val="auto"/>
              </w:rPr>
            </w:pPr>
            <w:r>
              <w:rPr>
                <w:rFonts w:ascii="Courier New" w:cs="Courier New" w:eastAsia="Courier New" w:hAnsi="Courier New"/>
                <w:sz w:val="15"/>
                <w:szCs w:val="15"/>
                <w:color w:val="auto"/>
              </w:rPr>
              <w:t>Trustee May File Proofs of Claim . .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r>
      <w:tr>
        <w:trPr>
          <w:trHeight w:val="175"/>
        </w:trPr>
        <w:tc>
          <w:tcPr>
            <w:tcW w:w="1320" w:type="dxa"/>
            <w:vAlign w:val="bottom"/>
          </w:tcPr>
          <w:p>
            <w:pPr>
              <w:spacing w:after="0"/>
              <w:rPr>
                <w:sz w:val="20"/>
                <w:szCs w:val="20"/>
                <w:color w:val="auto"/>
              </w:rPr>
            </w:pPr>
            <w:r>
              <w:rPr>
                <w:rFonts w:ascii="Courier New" w:cs="Courier New" w:eastAsia="Courier New" w:hAnsi="Courier New"/>
                <w:sz w:val="15"/>
                <w:szCs w:val="15"/>
                <w:color w:val="auto"/>
              </w:rPr>
              <w:t>SECTION 505.</w:t>
            </w:r>
          </w:p>
        </w:tc>
        <w:tc>
          <w:tcPr>
            <w:tcW w:w="9580" w:type="dxa"/>
            <w:vAlign w:val="bottom"/>
          </w:tcPr>
          <w:p>
            <w:pPr>
              <w:ind w:left="220"/>
              <w:spacing w:after="0"/>
              <w:rPr>
                <w:sz w:val="20"/>
                <w:szCs w:val="20"/>
                <w:color w:val="auto"/>
              </w:rPr>
            </w:pPr>
            <w:r>
              <w:rPr>
                <w:rFonts w:ascii="Courier New" w:cs="Courier New" w:eastAsia="Courier New" w:hAnsi="Courier New"/>
                <w:sz w:val="15"/>
                <w:szCs w:val="15"/>
                <w:color w:val="auto"/>
              </w:rPr>
              <w:t>Trustee May Enforce Claims Without Possession of Securities or Coupons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r>
      <w:tr>
        <w:trPr>
          <w:trHeight w:val="175"/>
        </w:trPr>
        <w:tc>
          <w:tcPr>
            <w:tcW w:w="1320" w:type="dxa"/>
            <w:vAlign w:val="bottom"/>
          </w:tcPr>
          <w:p>
            <w:pPr>
              <w:spacing w:after="0"/>
              <w:rPr>
                <w:sz w:val="20"/>
                <w:szCs w:val="20"/>
                <w:color w:val="auto"/>
              </w:rPr>
            </w:pPr>
            <w:r>
              <w:rPr>
                <w:rFonts w:ascii="Courier New" w:cs="Courier New" w:eastAsia="Courier New" w:hAnsi="Courier New"/>
                <w:sz w:val="15"/>
                <w:szCs w:val="15"/>
                <w:color w:val="auto"/>
              </w:rPr>
              <w:t>SECTION 506.</w:t>
            </w:r>
          </w:p>
        </w:tc>
        <w:tc>
          <w:tcPr>
            <w:tcW w:w="9580" w:type="dxa"/>
            <w:vAlign w:val="bottom"/>
          </w:tcPr>
          <w:p>
            <w:pPr>
              <w:ind w:left="220"/>
              <w:spacing w:after="0"/>
              <w:rPr>
                <w:sz w:val="20"/>
                <w:szCs w:val="20"/>
                <w:color w:val="auto"/>
              </w:rPr>
            </w:pPr>
            <w:r>
              <w:rPr>
                <w:rFonts w:ascii="Courier New" w:cs="Courier New" w:eastAsia="Courier New" w:hAnsi="Courier New"/>
                <w:sz w:val="15"/>
                <w:szCs w:val="15"/>
                <w:color w:val="auto"/>
              </w:rPr>
              <w:t>Application of Money Collected . . .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36</w:t>
            </w:r>
          </w:p>
        </w:tc>
      </w:tr>
      <w:tr>
        <w:trPr>
          <w:trHeight w:val="175"/>
        </w:trPr>
        <w:tc>
          <w:tcPr>
            <w:tcW w:w="1320" w:type="dxa"/>
            <w:vAlign w:val="bottom"/>
          </w:tcPr>
          <w:p>
            <w:pPr>
              <w:spacing w:after="0"/>
              <w:rPr>
                <w:sz w:val="20"/>
                <w:szCs w:val="20"/>
                <w:color w:val="auto"/>
              </w:rPr>
            </w:pPr>
            <w:r>
              <w:rPr>
                <w:rFonts w:ascii="Courier New" w:cs="Courier New" w:eastAsia="Courier New" w:hAnsi="Courier New"/>
                <w:sz w:val="15"/>
                <w:szCs w:val="15"/>
                <w:color w:val="auto"/>
              </w:rPr>
              <w:t>SECTION 507.</w:t>
            </w:r>
          </w:p>
        </w:tc>
        <w:tc>
          <w:tcPr>
            <w:tcW w:w="9580" w:type="dxa"/>
            <w:vAlign w:val="bottom"/>
          </w:tcPr>
          <w:p>
            <w:pPr>
              <w:ind w:left="220"/>
              <w:spacing w:after="0"/>
              <w:rPr>
                <w:sz w:val="20"/>
                <w:szCs w:val="20"/>
                <w:color w:val="auto"/>
              </w:rPr>
            </w:pPr>
            <w:r>
              <w:rPr>
                <w:rFonts w:ascii="Courier New" w:cs="Courier New" w:eastAsia="Courier New" w:hAnsi="Courier New"/>
                <w:sz w:val="15"/>
                <w:szCs w:val="15"/>
                <w:color w:val="auto"/>
              </w:rPr>
              <w:t>Limitation on Suits  . . . . . . . .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37</w:t>
            </w:r>
          </w:p>
        </w:tc>
      </w:tr>
      <w:tr>
        <w:trPr>
          <w:trHeight w:val="175"/>
        </w:trPr>
        <w:tc>
          <w:tcPr>
            <w:tcW w:w="1320" w:type="dxa"/>
            <w:vAlign w:val="bottom"/>
          </w:tcPr>
          <w:p>
            <w:pPr>
              <w:spacing w:after="0"/>
              <w:rPr>
                <w:sz w:val="20"/>
                <w:szCs w:val="20"/>
                <w:color w:val="auto"/>
              </w:rPr>
            </w:pPr>
            <w:r>
              <w:rPr>
                <w:rFonts w:ascii="Courier New" w:cs="Courier New" w:eastAsia="Courier New" w:hAnsi="Courier New"/>
                <w:sz w:val="15"/>
                <w:szCs w:val="15"/>
                <w:color w:val="auto"/>
              </w:rPr>
              <w:t>SECTION 508.</w:t>
            </w:r>
          </w:p>
        </w:tc>
        <w:tc>
          <w:tcPr>
            <w:tcW w:w="9580" w:type="dxa"/>
            <w:vAlign w:val="bottom"/>
          </w:tcPr>
          <w:p>
            <w:pPr>
              <w:ind w:left="220"/>
              <w:spacing w:after="0"/>
              <w:rPr>
                <w:sz w:val="20"/>
                <w:szCs w:val="20"/>
                <w:color w:val="auto"/>
              </w:rPr>
            </w:pPr>
            <w:r>
              <w:rPr>
                <w:rFonts w:ascii="Courier New" w:cs="Courier New" w:eastAsia="Courier New" w:hAnsi="Courier New"/>
                <w:sz w:val="15"/>
                <w:szCs w:val="15"/>
                <w:color w:val="auto"/>
              </w:rPr>
              <w:t>Unconditional Right of Holders to Receive Principal, Premium</w:t>
            </w:r>
          </w:p>
        </w:tc>
        <w:tc>
          <w:tcPr>
            <w:tcW w:w="280" w:type="dxa"/>
            <w:vAlign w:val="bottom"/>
          </w:tcPr>
          <w:p>
            <w:pPr>
              <w:spacing w:after="0"/>
              <w:rPr>
                <w:sz w:val="15"/>
                <w:szCs w:val="15"/>
                <w:color w:val="auto"/>
              </w:rPr>
            </w:pPr>
          </w:p>
        </w:tc>
      </w:tr>
      <w:tr>
        <w:trPr>
          <w:trHeight w:val="175"/>
        </w:trPr>
        <w:tc>
          <w:tcPr>
            <w:tcW w:w="1320" w:type="dxa"/>
            <w:vAlign w:val="bottom"/>
          </w:tcPr>
          <w:p>
            <w:pPr>
              <w:spacing w:after="0"/>
              <w:rPr>
                <w:sz w:val="15"/>
                <w:szCs w:val="15"/>
                <w:color w:val="auto"/>
              </w:rPr>
            </w:pPr>
          </w:p>
        </w:tc>
        <w:tc>
          <w:tcPr>
            <w:tcW w:w="9580" w:type="dxa"/>
            <w:vAlign w:val="bottom"/>
          </w:tcPr>
          <w:p>
            <w:pPr>
              <w:ind w:left="1040"/>
              <w:spacing w:after="0"/>
              <w:rPr>
                <w:sz w:val="20"/>
                <w:szCs w:val="20"/>
                <w:color w:val="auto"/>
              </w:rPr>
            </w:pPr>
            <w:r>
              <w:rPr>
                <w:rFonts w:ascii="Courier New" w:cs="Courier New" w:eastAsia="Courier New" w:hAnsi="Courier New"/>
                <w:sz w:val="15"/>
                <w:szCs w:val="15"/>
                <w:color w:val="auto"/>
              </w:rPr>
              <w:t>and Interest  . . . . . . .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r>
      <w:tr>
        <w:trPr>
          <w:trHeight w:val="175"/>
        </w:trPr>
        <w:tc>
          <w:tcPr>
            <w:tcW w:w="1320" w:type="dxa"/>
            <w:vAlign w:val="bottom"/>
          </w:tcPr>
          <w:p>
            <w:pPr>
              <w:spacing w:after="0"/>
              <w:rPr>
                <w:sz w:val="20"/>
                <w:szCs w:val="20"/>
                <w:color w:val="auto"/>
              </w:rPr>
            </w:pPr>
            <w:r>
              <w:rPr>
                <w:rFonts w:ascii="Courier New" w:cs="Courier New" w:eastAsia="Courier New" w:hAnsi="Courier New"/>
                <w:sz w:val="15"/>
                <w:szCs w:val="15"/>
                <w:color w:val="auto"/>
              </w:rPr>
              <w:t>SECTION 509.</w:t>
            </w:r>
          </w:p>
        </w:tc>
        <w:tc>
          <w:tcPr>
            <w:tcW w:w="9580" w:type="dxa"/>
            <w:vAlign w:val="bottom"/>
          </w:tcPr>
          <w:p>
            <w:pPr>
              <w:ind w:left="220"/>
              <w:spacing w:after="0"/>
              <w:rPr>
                <w:sz w:val="20"/>
                <w:szCs w:val="20"/>
                <w:color w:val="auto"/>
              </w:rPr>
            </w:pPr>
            <w:r>
              <w:rPr>
                <w:rFonts w:ascii="Courier New" w:cs="Courier New" w:eastAsia="Courier New" w:hAnsi="Courier New"/>
                <w:sz w:val="15"/>
                <w:szCs w:val="15"/>
                <w:color w:val="auto"/>
              </w:rPr>
              <w:t>Restoration of Rights and Remedies .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r>
      <w:tr>
        <w:trPr>
          <w:trHeight w:val="175"/>
        </w:trPr>
        <w:tc>
          <w:tcPr>
            <w:tcW w:w="1320" w:type="dxa"/>
            <w:vAlign w:val="bottom"/>
          </w:tcPr>
          <w:p>
            <w:pPr>
              <w:spacing w:after="0"/>
              <w:rPr>
                <w:sz w:val="20"/>
                <w:szCs w:val="20"/>
                <w:color w:val="auto"/>
              </w:rPr>
            </w:pPr>
            <w:r>
              <w:rPr>
                <w:rFonts w:ascii="Courier New" w:cs="Courier New" w:eastAsia="Courier New" w:hAnsi="Courier New"/>
                <w:sz w:val="15"/>
                <w:szCs w:val="15"/>
                <w:color w:val="auto"/>
              </w:rPr>
              <w:t>SECTION 510.</w:t>
            </w:r>
          </w:p>
        </w:tc>
        <w:tc>
          <w:tcPr>
            <w:tcW w:w="9580" w:type="dxa"/>
            <w:vAlign w:val="bottom"/>
          </w:tcPr>
          <w:p>
            <w:pPr>
              <w:ind w:left="220"/>
              <w:spacing w:after="0"/>
              <w:rPr>
                <w:sz w:val="20"/>
                <w:szCs w:val="20"/>
                <w:color w:val="auto"/>
              </w:rPr>
            </w:pPr>
            <w:r>
              <w:rPr>
                <w:rFonts w:ascii="Courier New" w:cs="Courier New" w:eastAsia="Courier New" w:hAnsi="Courier New"/>
                <w:sz w:val="15"/>
                <w:szCs w:val="15"/>
                <w:color w:val="auto"/>
              </w:rPr>
              <w:t>Rights and Remedies Cumulative . . .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r>
      <w:tr>
        <w:trPr>
          <w:trHeight w:val="175"/>
        </w:trPr>
        <w:tc>
          <w:tcPr>
            <w:tcW w:w="1320" w:type="dxa"/>
            <w:vAlign w:val="bottom"/>
          </w:tcPr>
          <w:p>
            <w:pPr>
              <w:spacing w:after="0"/>
              <w:rPr>
                <w:sz w:val="20"/>
                <w:szCs w:val="20"/>
                <w:color w:val="auto"/>
              </w:rPr>
            </w:pPr>
            <w:r>
              <w:rPr>
                <w:rFonts w:ascii="Courier New" w:cs="Courier New" w:eastAsia="Courier New" w:hAnsi="Courier New"/>
                <w:sz w:val="15"/>
                <w:szCs w:val="15"/>
                <w:color w:val="auto"/>
              </w:rPr>
              <w:t>SECTION 511.</w:t>
            </w:r>
          </w:p>
        </w:tc>
        <w:tc>
          <w:tcPr>
            <w:tcW w:w="9580" w:type="dxa"/>
            <w:vAlign w:val="bottom"/>
          </w:tcPr>
          <w:p>
            <w:pPr>
              <w:ind w:left="220"/>
              <w:spacing w:after="0"/>
              <w:rPr>
                <w:sz w:val="20"/>
                <w:szCs w:val="20"/>
                <w:color w:val="auto"/>
              </w:rPr>
            </w:pPr>
            <w:r>
              <w:rPr>
                <w:rFonts w:ascii="Courier New" w:cs="Courier New" w:eastAsia="Courier New" w:hAnsi="Courier New"/>
                <w:sz w:val="15"/>
                <w:szCs w:val="15"/>
                <w:color w:val="auto"/>
              </w:rPr>
              <w:t>Delay or Omission Not Waiver . . . .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r>
      <w:tr>
        <w:trPr>
          <w:trHeight w:val="175"/>
        </w:trPr>
        <w:tc>
          <w:tcPr>
            <w:tcW w:w="1320" w:type="dxa"/>
            <w:vAlign w:val="bottom"/>
          </w:tcPr>
          <w:p>
            <w:pPr>
              <w:spacing w:after="0"/>
              <w:rPr>
                <w:sz w:val="20"/>
                <w:szCs w:val="20"/>
                <w:color w:val="auto"/>
              </w:rPr>
            </w:pPr>
            <w:r>
              <w:rPr>
                <w:rFonts w:ascii="Courier New" w:cs="Courier New" w:eastAsia="Courier New" w:hAnsi="Courier New"/>
                <w:sz w:val="15"/>
                <w:szCs w:val="15"/>
                <w:color w:val="auto"/>
              </w:rPr>
              <w:t>SECTION 512.</w:t>
            </w:r>
          </w:p>
        </w:tc>
        <w:tc>
          <w:tcPr>
            <w:tcW w:w="9580" w:type="dxa"/>
            <w:vAlign w:val="bottom"/>
          </w:tcPr>
          <w:p>
            <w:pPr>
              <w:ind w:left="220"/>
              <w:spacing w:after="0"/>
              <w:rPr>
                <w:sz w:val="20"/>
                <w:szCs w:val="20"/>
                <w:color w:val="auto"/>
              </w:rPr>
            </w:pPr>
            <w:r>
              <w:rPr>
                <w:rFonts w:ascii="Courier New" w:cs="Courier New" w:eastAsia="Courier New" w:hAnsi="Courier New"/>
                <w:sz w:val="15"/>
                <w:szCs w:val="15"/>
                <w:color w:val="auto"/>
              </w:rPr>
              <w:t>Control by Holders of Securities . .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r>
      <w:tr>
        <w:trPr>
          <w:trHeight w:val="175"/>
        </w:trPr>
        <w:tc>
          <w:tcPr>
            <w:tcW w:w="1320" w:type="dxa"/>
            <w:vAlign w:val="bottom"/>
          </w:tcPr>
          <w:p>
            <w:pPr>
              <w:spacing w:after="0"/>
              <w:rPr>
                <w:sz w:val="20"/>
                <w:szCs w:val="20"/>
                <w:color w:val="auto"/>
              </w:rPr>
            </w:pPr>
            <w:r>
              <w:rPr>
                <w:rFonts w:ascii="Courier New" w:cs="Courier New" w:eastAsia="Courier New" w:hAnsi="Courier New"/>
                <w:sz w:val="15"/>
                <w:szCs w:val="15"/>
                <w:color w:val="auto"/>
              </w:rPr>
              <w:t>SECTION 513.</w:t>
            </w:r>
          </w:p>
        </w:tc>
        <w:tc>
          <w:tcPr>
            <w:tcW w:w="9580" w:type="dxa"/>
            <w:vAlign w:val="bottom"/>
          </w:tcPr>
          <w:p>
            <w:pPr>
              <w:ind w:left="220"/>
              <w:spacing w:after="0"/>
              <w:rPr>
                <w:sz w:val="20"/>
                <w:szCs w:val="20"/>
                <w:color w:val="auto"/>
              </w:rPr>
            </w:pPr>
            <w:r>
              <w:rPr>
                <w:rFonts w:ascii="Courier New" w:cs="Courier New" w:eastAsia="Courier New" w:hAnsi="Courier New"/>
                <w:sz w:val="15"/>
                <w:szCs w:val="15"/>
                <w:color w:val="auto"/>
              </w:rPr>
              <w:t>Waiver of Past Defaults  . . . . . .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r>
      <w:tr>
        <w:trPr>
          <w:trHeight w:val="175"/>
        </w:trPr>
        <w:tc>
          <w:tcPr>
            <w:tcW w:w="1320" w:type="dxa"/>
            <w:vAlign w:val="bottom"/>
          </w:tcPr>
          <w:p>
            <w:pPr>
              <w:spacing w:after="0"/>
              <w:rPr>
                <w:sz w:val="20"/>
                <w:szCs w:val="20"/>
                <w:color w:val="auto"/>
              </w:rPr>
            </w:pPr>
            <w:r>
              <w:rPr>
                <w:rFonts w:ascii="Courier New" w:cs="Courier New" w:eastAsia="Courier New" w:hAnsi="Courier New"/>
                <w:sz w:val="15"/>
                <w:szCs w:val="15"/>
                <w:color w:val="auto"/>
              </w:rPr>
              <w:t>SECTION 514.</w:t>
            </w:r>
          </w:p>
        </w:tc>
        <w:tc>
          <w:tcPr>
            <w:tcW w:w="9580" w:type="dxa"/>
            <w:vAlign w:val="bottom"/>
          </w:tcPr>
          <w:p>
            <w:pPr>
              <w:ind w:left="220"/>
              <w:spacing w:after="0"/>
              <w:rPr>
                <w:sz w:val="20"/>
                <w:szCs w:val="20"/>
                <w:color w:val="auto"/>
              </w:rPr>
            </w:pPr>
            <w:r>
              <w:rPr>
                <w:rFonts w:ascii="Courier New" w:cs="Courier New" w:eastAsia="Courier New" w:hAnsi="Courier New"/>
                <w:sz w:val="15"/>
                <w:szCs w:val="15"/>
                <w:color w:val="auto"/>
              </w:rPr>
              <w:t>Undertaking for Costs  . . . . . . .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r>
      <w:tr>
        <w:trPr>
          <w:trHeight w:val="175"/>
        </w:trPr>
        <w:tc>
          <w:tcPr>
            <w:tcW w:w="1320" w:type="dxa"/>
            <w:vAlign w:val="bottom"/>
          </w:tcPr>
          <w:p>
            <w:pPr>
              <w:spacing w:after="0"/>
              <w:rPr>
                <w:sz w:val="20"/>
                <w:szCs w:val="20"/>
                <w:color w:val="auto"/>
              </w:rPr>
            </w:pPr>
            <w:r>
              <w:rPr>
                <w:rFonts w:ascii="Courier New" w:cs="Courier New" w:eastAsia="Courier New" w:hAnsi="Courier New"/>
                <w:sz w:val="15"/>
                <w:szCs w:val="15"/>
                <w:color w:val="auto"/>
              </w:rPr>
              <w:t>SECTION 515.</w:t>
            </w:r>
          </w:p>
        </w:tc>
        <w:tc>
          <w:tcPr>
            <w:tcW w:w="9580" w:type="dxa"/>
            <w:vAlign w:val="bottom"/>
          </w:tcPr>
          <w:p>
            <w:pPr>
              <w:ind w:left="220"/>
              <w:spacing w:after="0"/>
              <w:rPr>
                <w:sz w:val="20"/>
                <w:szCs w:val="20"/>
                <w:color w:val="auto"/>
              </w:rPr>
            </w:pPr>
            <w:r>
              <w:rPr>
                <w:rFonts w:ascii="Courier New" w:cs="Courier New" w:eastAsia="Courier New" w:hAnsi="Courier New"/>
                <w:sz w:val="15"/>
                <w:szCs w:val="15"/>
                <w:color w:val="auto"/>
              </w:rPr>
              <w:t>Waiver of Stay or Extension Laws . .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r>
      <w:tr>
        <w:trPr>
          <w:trHeight w:val="350"/>
        </w:trPr>
        <w:tc>
          <w:tcPr>
            <w:tcW w:w="1320" w:type="dxa"/>
            <w:vAlign w:val="bottom"/>
          </w:tcPr>
          <w:p>
            <w:pPr>
              <w:spacing w:after="0"/>
              <w:rPr>
                <w:sz w:val="24"/>
                <w:szCs w:val="24"/>
                <w:color w:val="auto"/>
              </w:rPr>
            </w:pPr>
          </w:p>
        </w:tc>
        <w:tc>
          <w:tcPr>
            <w:tcW w:w="9580" w:type="dxa"/>
            <w:vAlign w:val="bottom"/>
          </w:tcPr>
          <w:p>
            <w:pPr>
              <w:ind w:left="3760"/>
              <w:spacing w:after="0"/>
              <w:rPr>
                <w:sz w:val="20"/>
                <w:szCs w:val="20"/>
                <w:color w:val="auto"/>
              </w:rPr>
            </w:pPr>
            <w:r>
              <w:rPr>
                <w:rFonts w:ascii="Courier New" w:cs="Courier New" w:eastAsia="Courier New" w:hAnsi="Courier New"/>
                <w:sz w:val="15"/>
                <w:szCs w:val="15"/>
                <w:color w:val="auto"/>
              </w:rPr>
              <w:t>ARTICLE SIX</w:t>
            </w:r>
          </w:p>
        </w:tc>
        <w:tc>
          <w:tcPr>
            <w:tcW w:w="280" w:type="dxa"/>
            <w:vAlign w:val="bottom"/>
          </w:tcPr>
          <w:p>
            <w:pPr>
              <w:spacing w:after="0"/>
              <w:rPr>
                <w:sz w:val="24"/>
                <w:szCs w:val="24"/>
                <w:color w:val="auto"/>
              </w:rPr>
            </w:pPr>
          </w:p>
        </w:tc>
      </w:tr>
      <w:tr>
        <w:trPr>
          <w:trHeight w:val="175"/>
        </w:trPr>
        <w:tc>
          <w:tcPr>
            <w:tcW w:w="1320" w:type="dxa"/>
            <w:vAlign w:val="bottom"/>
          </w:tcPr>
          <w:p>
            <w:pPr>
              <w:spacing w:after="0"/>
              <w:rPr>
                <w:sz w:val="15"/>
                <w:szCs w:val="15"/>
                <w:color w:val="auto"/>
              </w:rPr>
            </w:pPr>
          </w:p>
        </w:tc>
        <w:tc>
          <w:tcPr>
            <w:tcW w:w="9580" w:type="dxa"/>
            <w:vAlign w:val="bottom"/>
          </w:tcPr>
          <w:p>
            <w:pPr>
              <w:ind w:left="3760"/>
              <w:spacing w:after="0"/>
              <w:rPr>
                <w:sz w:val="20"/>
                <w:szCs w:val="20"/>
                <w:color w:val="auto"/>
              </w:rPr>
            </w:pPr>
            <w:r>
              <w:rPr>
                <w:rFonts w:ascii="Courier New" w:cs="Courier New" w:eastAsia="Courier New" w:hAnsi="Courier New"/>
                <w:sz w:val="15"/>
                <w:szCs w:val="15"/>
                <w:color w:val="auto"/>
              </w:rPr>
              <w:t>THE TRUSTEE</w:t>
            </w:r>
          </w:p>
        </w:tc>
        <w:tc>
          <w:tcPr>
            <w:tcW w:w="280" w:type="dxa"/>
            <w:vAlign w:val="bottom"/>
          </w:tcPr>
          <w:p>
            <w:pPr>
              <w:spacing w:after="0"/>
              <w:rPr>
                <w:sz w:val="15"/>
                <w:szCs w:val="15"/>
                <w:color w:val="auto"/>
              </w:rPr>
            </w:pPr>
          </w:p>
        </w:tc>
      </w:tr>
      <w:tr>
        <w:trPr>
          <w:trHeight w:val="175"/>
        </w:trPr>
        <w:tc>
          <w:tcPr>
            <w:tcW w:w="1320" w:type="dxa"/>
            <w:vAlign w:val="bottom"/>
          </w:tcPr>
          <w:p>
            <w:pPr>
              <w:spacing w:after="0"/>
              <w:rPr>
                <w:sz w:val="20"/>
                <w:szCs w:val="20"/>
                <w:color w:val="auto"/>
              </w:rPr>
            </w:pPr>
            <w:r>
              <w:rPr>
                <w:rFonts w:ascii="Courier New" w:cs="Courier New" w:eastAsia="Courier New" w:hAnsi="Courier New"/>
                <w:sz w:val="15"/>
                <w:szCs w:val="15"/>
                <w:color w:val="auto"/>
              </w:rPr>
              <w:t>SECTION 601.</w:t>
            </w:r>
          </w:p>
        </w:tc>
        <w:tc>
          <w:tcPr>
            <w:tcW w:w="9580" w:type="dxa"/>
            <w:vAlign w:val="bottom"/>
          </w:tcPr>
          <w:p>
            <w:pPr>
              <w:ind w:left="220"/>
              <w:spacing w:after="0"/>
              <w:rPr>
                <w:sz w:val="20"/>
                <w:szCs w:val="20"/>
                <w:color w:val="auto"/>
              </w:rPr>
            </w:pPr>
            <w:r>
              <w:rPr>
                <w:rFonts w:ascii="Courier New" w:cs="Courier New" w:eastAsia="Courier New" w:hAnsi="Courier New"/>
                <w:sz w:val="15"/>
                <w:szCs w:val="15"/>
                <w:color w:val="auto"/>
              </w:rPr>
              <w:t>Certain Duties and Responsibilities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r>
      <w:tr>
        <w:trPr>
          <w:trHeight w:val="175"/>
        </w:trPr>
        <w:tc>
          <w:tcPr>
            <w:tcW w:w="1320" w:type="dxa"/>
            <w:vAlign w:val="bottom"/>
          </w:tcPr>
          <w:p>
            <w:pPr>
              <w:spacing w:after="0"/>
              <w:rPr>
                <w:sz w:val="20"/>
                <w:szCs w:val="20"/>
                <w:color w:val="auto"/>
              </w:rPr>
            </w:pPr>
            <w:r>
              <w:rPr>
                <w:rFonts w:ascii="Courier New" w:cs="Courier New" w:eastAsia="Courier New" w:hAnsi="Courier New"/>
                <w:sz w:val="15"/>
                <w:szCs w:val="15"/>
                <w:color w:val="auto"/>
              </w:rPr>
              <w:t>SECTION 602.</w:t>
            </w:r>
          </w:p>
        </w:tc>
        <w:tc>
          <w:tcPr>
            <w:tcW w:w="9580" w:type="dxa"/>
            <w:vAlign w:val="bottom"/>
          </w:tcPr>
          <w:p>
            <w:pPr>
              <w:ind w:left="220"/>
              <w:spacing w:after="0"/>
              <w:rPr>
                <w:sz w:val="20"/>
                <w:szCs w:val="20"/>
                <w:color w:val="auto"/>
              </w:rPr>
            </w:pPr>
            <w:r>
              <w:rPr>
                <w:rFonts w:ascii="Courier New" w:cs="Courier New" w:eastAsia="Courier New" w:hAnsi="Courier New"/>
                <w:sz w:val="15"/>
                <w:szCs w:val="15"/>
                <w:color w:val="auto"/>
              </w:rPr>
              <w:t>Notice of Defaults . . . . . . . . .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r>
      <w:tr>
        <w:trPr>
          <w:trHeight w:val="175"/>
        </w:trPr>
        <w:tc>
          <w:tcPr>
            <w:tcW w:w="1320" w:type="dxa"/>
            <w:vAlign w:val="bottom"/>
          </w:tcPr>
          <w:p>
            <w:pPr>
              <w:spacing w:after="0"/>
              <w:rPr>
                <w:sz w:val="20"/>
                <w:szCs w:val="20"/>
                <w:color w:val="auto"/>
              </w:rPr>
            </w:pPr>
            <w:r>
              <w:rPr>
                <w:rFonts w:ascii="Courier New" w:cs="Courier New" w:eastAsia="Courier New" w:hAnsi="Courier New"/>
                <w:sz w:val="15"/>
                <w:szCs w:val="15"/>
                <w:color w:val="auto"/>
              </w:rPr>
              <w:t>SECTION 603.</w:t>
            </w:r>
          </w:p>
        </w:tc>
        <w:tc>
          <w:tcPr>
            <w:tcW w:w="9580" w:type="dxa"/>
            <w:vAlign w:val="bottom"/>
          </w:tcPr>
          <w:p>
            <w:pPr>
              <w:ind w:left="220"/>
              <w:spacing w:after="0"/>
              <w:rPr>
                <w:sz w:val="20"/>
                <w:szCs w:val="20"/>
                <w:color w:val="auto"/>
              </w:rPr>
            </w:pPr>
            <w:r>
              <w:rPr>
                <w:rFonts w:ascii="Courier New" w:cs="Courier New" w:eastAsia="Courier New" w:hAnsi="Courier New"/>
                <w:sz w:val="15"/>
                <w:szCs w:val="15"/>
                <w:color w:val="auto"/>
              </w:rPr>
              <w:t>Certain Rights of Trustee  . . . . .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r>
      <w:tr>
        <w:trPr>
          <w:trHeight w:val="175"/>
        </w:trPr>
        <w:tc>
          <w:tcPr>
            <w:tcW w:w="1320" w:type="dxa"/>
            <w:vAlign w:val="bottom"/>
          </w:tcPr>
          <w:p>
            <w:pPr>
              <w:spacing w:after="0"/>
              <w:rPr>
                <w:sz w:val="20"/>
                <w:szCs w:val="20"/>
                <w:color w:val="auto"/>
              </w:rPr>
            </w:pPr>
            <w:r>
              <w:rPr>
                <w:rFonts w:ascii="Courier New" w:cs="Courier New" w:eastAsia="Courier New" w:hAnsi="Courier New"/>
                <w:sz w:val="15"/>
                <w:szCs w:val="15"/>
                <w:color w:val="auto"/>
              </w:rPr>
              <w:t>SECTION 604.</w:t>
            </w:r>
          </w:p>
        </w:tc>
        <w:tc>
          <w:tcPr>
            <w:tcW w:w="9580" w:type="dxa"/>
            <w:vAlign w:val="bottom"/>
          </w:tcPr>
          <w:p>
            <w:pPr>
              <w:ind w:left="220"/>
              <w:spacing w:after="0"/>
              <w:rPr>
                <w:sz w:val="20"/>
                <w:szCs w:val="20"/>
                <w:color w:val="auto"/>
              </w:rPr>
            </w:pPr>
            <w:r>
              <w:rPr>
                <w:rFonts w:ascii="Courier New" w:cs="Courier New" w:eastAsia="Courier New" w:hAnsi="Courier New"/>
                <w:sz w:val="15"/>
                <w:szCs w:val="15"/>
                <w:color w:val="auto"/>
              </w:rPr>
              <w:t>Not Responsible for Recitals or Issuance of Securities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41</w:t>
            </w:r>
          </w:p>
        </w:tc>
      </w:tr>
      <w:tr>
        <w:trPr>
          <w:trHeight w:val="175"/>
        </w:trPr>
        <w:tc>
          <w:tcPr>
            <w:tcW w:w="1320" w:type="dxa"/>
            <w:vAlign w:val="bottom"/>
          </w:tcPr>
          <w:p>
            <w:pPr>
              <w:spacing w:after="0"/>
              <w:rPr>
                <w:sz w:val="20"/>
                <w:szCs w:val="20"/>
                <w:color w:val="auto"/>
              </w:rPr>
            </w:pPr>
            <w:r>
              <w:rPr>
                <w:rFonts w:ascii="Courier New" w:cs="Courier New" w:eastAsia="Courier New" w:hAnsi="Courier New"/>
                <w:sz w:val="15"/>
                <w:szCs w:val="15"/>
                <w:color w:val="auto"/>
              </w:rPr>
              <w:t>SECTION 605.</w:t>
            </w:r>
          </w:p>
        </w:tc>
        <w:tc>
          <w:tcPr>
            <w:tcW w:w="9580" w:type="dxa"/>
            <w:vAlign w:val="bottom"/>
          </w:tcPr>
          <w:p>
            <w:pPr>
              <w:ind w:left="220"/>
              <w:spacing w:after="0"/>
              <w:rPr>
                <w:sz w:val="20"/>
                <w:szCs w:val="20"/>
                <w:color w:val="auto"/>
              </w:rPr>
            </w:pPr>
            <w:r>
              <w:rPr>
                <w:rFonts w:ascii="Courier New" w:cs="Courier New" w:eastAsia="Courier New" w:hAnsi="Courier New"/>
                <w:sz w:val="15"/>
                <w:szCs w:val="15"/>
                <w:color w:val="auto"/>
              </w:rPr>
              <w:t>May Hold Securities  . . . . . . . .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r>
      <w:tr>
        <w:trPr>
          <w:trHeight w:val="175"/>
        </w:trPr>
        <w:tc>
          <w:tcPr>
            <w:tcW w:w="1320" w:type="dxa"/>
            <w:vAlign w:val="bottom"/>
          </w:tcPr>
          <w:p>
            <w:pPr>
              <w:spacing w:after="0"/>
              <w:rPr>
                <w:sz w:val="20"/>
                <w:szCs w:val="20"/>
                <w:color w:val="auto"/>
              </w:rPr>
            </w:pPr>
            <w:r>
              <w:rPr>
                <w:rFonts w:ascii="Courier New" w:cs="Courier New" w:eastAsia="Courier New" w:hAnsi="Courier New"/>
                <w:sz w:val="15"/>
                <w:szCs w:val="15"/>
                <w:color w:val="auto"/>
              </w:rPr>
              <w:t>SECTION 606.</w:t>
            </w:r>
          </w:p>
        </w:tc>
        <w:tc>
          <w:tcPr>
            <w:tcW w:w="9580" w:type="dxa"/>
            <w:vAlign w:val="bottom"/>
          </w:tcPr>
          <w:p>
            <w:pPr>
              <w:ind w:left="220"/>
              <w:spacing w:after="0"/>
              <w:rPr>
                <w:sz w:val="20"/>
                <w:szCs w:val="20"/>
                <w:color w:val="auto"/>
              </w:rPr>
            </w:pPr>
            <w:r>
              <w:rPr>
                <w:rFonts w:ascii="Courier New" w:cs="Courier New" w:eastAsia="Courier New" w:hAnsi="Courier New"/>
                <w:sz w:val="15"/>
                <w:szCs w:val="15"/>
                <w:color w:val="auto"/>
              </w:rPr>
              <w:t>Money Held in Trust  . . . . . . . .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r>
      <w:tr>
        <w:trPr>
          <w:trHeight w:val="175"/>
        </w:trPr>
        <w:tc>
          <w:tcPr>
            <w:tcW w:w="1320" w:type="dxa"/>
            <w:vAlign w:val="bottom"/>
          </w:tcPr>
          <w:p>
            <w:pPr>
              <w:spacing w:after="0"/>
              <w:rPr>
                <w:sz w:val="20"/>
                <w:szCs w:val="20"/>
                <w:color w:val="auto"/>
              </w:rPr>
            </w:pPr>
            <w:r>
              <w:rPr>
                <w:rFonts w:ascii="Courier New" w:cs="Courier New" w:eastAsia="Courier New" w:hAnsi="Courier New"/>
                <w:sz w:val="15"/>
                <w:szCs w:val="15"/>
                <w:color w:val="auto"/>
              </w:rPr>
              <w:t>SECTION 607.</w:t>
            </w:r>
          </w:p>
        </w:tc>
        <w:tc>
          <w:tcPr>
            <w:tcW w:w="9580" w:type="dxa"/>
            <w:vAlign w:val="bottom"/>
          </w:tcPr>
          <w:p>
            <w:pPr>
              <w:ind w:left="220"/>
              <w:spacing w:after="0"/>
              <w:rPr>
                <w:sz w:val="20"/>
                <w:szCs w:val="20"/>
                <w:color w:val="auto"/>
              </w:rPr>
            </w:pPr>
            <w:r>
              <w:rPr>
                <w:rFonts w:ascii="Courier New" w:cs="Courier New" w:eastAsia="Courier New" w:hAnsi="Courier New"/>
                <w:sz w:val="15"/>
                <w:szCs w:val="15"/>
                <w:color w:val="auto"/>
              </w:rPr>
              <w:t>Compensation and Reimbursement . . .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r>
      <w:tr>
        <w:trPr>
          <w:trHeight w:val="175"/>
        </w:trPr>
        <w:tc>
          <w:tcPr>
            <w:tcW w:w="1320" w:type="dxa"/>
            <w:vAlign w:val="bottom"/>
          </w:tcPr>
          <w:p>
            <w:pPr>
              <w:spacing w:after="0"/>
              <w:rPr>
                <w:sz w:val="20"/>
                <w:szCs w:val="20"/>
                <w:color w:val="auto"/>
              </w:rPr>
            </w:pPr>
            <w:r>
              <w:rPr>
                <w:rFonts w:ascii="Courier New" w:cs="Courier New" w:eastAsia="Courier New" w:hAnsi="Courier New"/>
                <w:sz w:val="15"/>
                <w:szCs w:val="15"/>
                <w:color w:val="auto"/>
              </w:rPr>
              <w:t>SECTION 608.</w:t>
            </w:r>
          </w:p>
        </w:tc>
        <w:tc>
          <w:tcPr>
            <w:tcW w:w="9580" w:type="dxa"/>
            <w:vAlign w:val="bottom"/>
          </w:tcPr>
          <w:p>
            <w:pPr>
              <w:ind w:left="220"/>
              <w:spacing w:after="0"/>
              <w:rPr>
                <w:sz w:val="20"/>
                <w:szCs w:val="20"/>
                <w:color w:val="auto"/>
              </w:rPr>
            </w:pPr>
            <w:r>
              <w:rPr>
                <w:rFonts w:ascii="Courier New" w:cs="Courier New" w:eastAsia="Courier New" w:hAnsi="Courier New"/>
                <w:sz w:val="15"/>
                <w:szCs w:val="15"/>
                <w:color w:val="auto"/>
              </w:rPr>
              <w:t>Disqualification; Conflicting Interests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43</w:t>
            </w:r>
          </w:p>
        </w:tc>
      </w:tr>
      <w:tr>
        <w:trPr>
          <w:trHeight w:val="175"/>
        </w:trPr>
        <w:tc>
          <w:tcPr>
            <w:tcW w:w="1320" w:type="dxa"/>
            <w:vAlign w:val="bottom"/>
          </w:tcPr>
          <w:p>
            <w:pPr>
              <w:spacing w:after="0"/>
              <w:rPr>
                <w:sz w:val="20"/>
                <w:szCs w:val="20"/>
                <w:color w:val="auto"/>
              </w:rPr>
            </w:pPr>
            <w:r>
              <w:rPr>
                <w:rFonts w:ascii="Courier New" w:cs="Courier New" w:eastAsia="Courier New" w:hAnsi="Courier New"/>
                <w:sz w:val="15"/>
                <w:szCs w:val="15"/>
                <w:color w:val="auto"/>
              </w:rPr>
              <w:t>SECTION 609.</w:t>
            </w:r>
          </w:p>
        </w:tc>
        <w:tc>
          <w:tcPr>
            <w:tcW w:w="9580" w:type="dxa"/>
            <w:vAlign w:val="bottom"/>
          </w:tcPr>
          <w:p>
            <w:pPr>
              <w:ind w:left="220"/>
              <w:spacing w:after="0"/>
              <w:rPr>
                <w:sz w:val="20"/>
                <w:szCs w:val="20"/>
                <w:color w:val="auto"/>
              </w:rPr>
            </w:pPr>
            <w:r>
              <w:rPr>
                <w:rFonts w:ascii="Courier New" w:cs="Courier New" w:eastAsia="Courier New" w:hAnsi="Courier New"/>
                <w:sz w:val="15"/>
                <w:szCs w:val="15"/>
                <w:color w:val="auto"/>
              </w:rPr>
              <w:t>Corporate Trustee Required; Eligibility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43</w:t>
            </w:r>
          </w:p>
        </w:tc>
      </w:tr>
      <w:tr>
        <w:trPr>
          <w:trHeight w:val="175"/>
        </w:trPr>
        <w:tc>
          <w:tcPr>
            <w:tcW w:w="1320" w:type="dxa"/>
            <w:vAlign w:val="bottom"/>
          </w:tcPr>
          <w:p>
            <w:pPr>
              <w:spacing w:after="0"/>
              <w:rPr>
                <w:sz w:val="20"/>
                <w:szCs w:val="20"/>
                <w:color w:val="auto"/>
              </w:rPr>
            </w:pPr>
            <w:r>
              <w:rPr>
                <w:rFonts w:ascii="Courier New" w:cs="Courier New" w:eastAsia="Courier New" w:hAnsi="Courier New"/>
                <w:sz w:val="15"/>
                <w:szCs w:val="15"/>
                <w:color w:val="auto"/>
              </w:rPr>
              <w:t>SECTION 610.</w:t>
            </w:r>
          </w:p>
        </w:tc>
        <w:tc>
          <w:tcPr>
            <w:tcW w:w="9580" w:type="dxa"/>
            <w:vAlign w:val="bottom"/>
          </w:tcPr>
          <w:p>
            <w:pPr>
              <w:ind w:left="220"/>
              <w:spacing w:after="0"/>
              <w:rPr>
                <w:sz w:val="20"/>
                <w:szCs w:val="20"/>
                <w:color w:val="auto"/>
              </w:rPr>
            </w:pPr>
            <w:r>
              <w:rPr>
                <w:rFonts w:ascii="Courier New" w:cs="Courier New" w:eastAsia="Courier New" w:hAnsi="Courier New"/>
                <w:sz w:val="15"/>
                <w:szCs w:val="15"/>
                <w:color w:val="auto"/>
              </w:rPr>
              <w:t>Resignation and Removal; Appointment of Successor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43</w:t>
            </w:r>
          </w:p>
        </w:tc>
      </w:tr>
      <w:tr>
        <w:trPr>
          <w:trHeight w:val="175"/>
        </w:trPr>
        <w:tc>
          <w:tcPr>
            <w:tcW w:w="1320" w:type="dxa"/>
            <w:vAlign w:val="bottom"/>
          </w:tcPr>
          <w:p>
            <w:pPr>
              <w:spacing w:after="0"/>
              <w:rPr>
                <w:sz w:val="20"/>
                <w:szCs w:val="20"/>
                <w:color w:val="auto"/>
              </w:rPr>
            </w:pPr>
            <w:r>
              <w:rPr>
                <w:rFonts w:ascii="Courier New" w:cs="Courier New" w:eastAsia="Courier New" w:hAnsi="Courier New"/>
                <w:sz w:val="15"/>
                <w:szCs w:val="15"/>
                <w:color w:val="auto"/>
              </w:rPr>
              <w:t>SECTION 611.</w:t>
            </w:r>
          </w:p>
        </w:tc>
        <w:tc>
          <w:tcPr>
            <w:tcW w:w="9580" w:type="dxa"/>
            <w:vAlign w:val="bottom"/>
          </w:tcPr>
          <w:p>
            <w:pPr>
              <w:ind w:left="220"/>
              <w:spacing w:after="0"/>
              <w:rPr>
                <w:sz w:val="20"/>
                <w:szCs w:val="20"/>
                <w:color w:val="auto"/>
              </w:rPr>
            </w:pPr>
            <w:r>
              <w:rPr>
                <w:rFonts w:ascii="Courier New" w:cs="Courier New" w:eastAsia="Courier New" w:hAnsi="Courier New"/>
                <w:sz w:val="15"/>
                <w:szCs w:val="15"/>
                <w:color w:val="auto"/>
              </w:rPr>
              <w:t>Acceptance of Appointment by Successor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45</w:t>
            </w:r>
          </w:p>
        </w:tc>
      </w:tr>
      <w:tr>
        <w:trPr>
          <w:trHeight w:val="175"/>
        </w:trPr>
        <w:tc>
          <w:tcPr>
            <w:tcW w:w="1320" w:type="dxa"/>
            <w:vAlign w:val="bottom"/>
          </w:tcPr>
          <w:p>
            <w:pPr>
              <w:spacing w:after="0"/>
              <w:rPr>
                <w:sz w:val="20"/>
                <w:szCs w:val="20"/>
                <w:color w:val="auto"/>
              </w:rPr>
            </w:pPr>
            <w:r>
              <w:rPr>
                <w:rFonts w:ascii="Courier New" w:cs="Courier New" w:eastAsia="Courier New" w:hAnsi="Courier New"/>
                <w:sz w:val="15"/>
                <w:szCs w:val="15"/>
                <w:color w:val="auto"/>
              </w:rPr>
              <w:t>SECTION 612.</w:t>
            </w:r>
          </w:p>
        </w:tc>
        <w:tc>
          <w:tcPr>
            <w:tcW w:w="9580" w:type="dxa"/>
            <w:vAlign w:val="bottom"/>
          </w:tcPr>
          <w:p>
            <w:pPr>
              <w:ind w:left="220"/>
              <w:spacing w:after="0"/>
              <w:rPr>
                <w:sz w:val="20"/>
                <w:szCs w:val="20"/>
                <w:color w:val="auto"/>
              </w:rPr>
            </w:pPr>
            <w:r>
              <w:rPr>
                <w:rFonts w:ascii="Courier New" w:cs="Courier New" w:eastAsia="Courier New" w:hAnsi="Courier New"/>
                <w:sz w:val="15"/>
                <w:szCs w:val="15"/>
                <w:color w:val="auto"/>
              </w:rPr>
              <w:t>Merger, Conversion, Consolidation or Succession to Business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46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20"/>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jc w:val="center"/>
        <w:ind w:right="3920"/>
        <w:spacing w:after="0"/>
        <w:rPr>
          <w:sz w:val="20"/>
          <w:szCs w:val="20"/>
          <w:color w:val="auto"/>
        </w:rPr>
      </w:pPr>
      <w:r>
        <w:rPr>
          <w:rFonts w:ascii="Courier New" w:cs="Courier New" w:eastAsia="Courier New" w:hAnsi="Courier New"/>
          <w:sz w:val="15"/>
          <w:szCs w:val="15"/>
          <w:color w:val="auto"/>
        </w:rPr>
        <w:t>SUBORDINATED INDENTURE</w:t>
      </w:r>
    </w:p>
    <w:p>
      <w:pPr>
        <w:spacing w:after="0" w:line="5" w:lineRule="exact"/>
        <w:rPr>
          <w:sz w:val="20"/>
          <w:szCs w:val="20"/>
          <w:color w:val="auto"/>
        </w:rPr>
      </w:pPr>
    </w:p>
    <w:p>
      <w:pPr>
        <w:jc w:val="center"/>
        <w:ind w:right="3920"/>
        <w:spacing w:after="0"/>
        <w:rPr>
          <w:sz w:val="20"/>
          <w:szCs w:val="20"/>
          <w:color w:val="auto"/>
        </w:rPr>
      </w:pPr>
      <w:r>
        <w:rPr>
          <w:rFonts w:ascii="Courier New" w:cs="Courier New" w:eastAsia="Courier New" w:hAnsi="Courier New"/>
          <w:sz w:val="15"/>
          <w:szCs w:val="15"/>
          <w:color w:val="auto"/>
        </w:rPr>
        <w:t>- ii -</w:t>
      </w:r>
    </w:p>
    <w:p>
      <w:pPr>
        <w:sectPr>
          <w:pgSz w:w="11900" w:h="16838" w:orient="portrait"/>
          <w:cols w:equalWidth="0" w:num="1">
            <w:col w:w="11180"/>
          </w:cols>
          <w:pgMar w:left="240" w:top="293" w:right="47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70"/>
        </w:trPr>
        <w:tc>
          <w:tcPr>
            <w:tcW w:w="1360" w:type="dxa"/>
            <w:vAlign w:val="bottom"/>
          </w:tcPr>
          <w:p>
            <w:pPr>
              <w:ind w:left="260"/>
              <w:spacing w:after="0"/>
              <w:rPr>
                <w:sz w:val="20"/>
                <w:szCs w:val="20"/>
                <w:color w:val="auto"/>
              </w:rPr>
            </w:pPr>
            <w:r>
              <w:rPr>
                <w:rFonts w:ascii="Courier New" w:cs="Courier New" w:eastAsia="Courier New" w:hAnsi="Courier New"/>
                <w:sz w:val="15"/>
                <w:szCs w:val="15"/>
                <w:color w:val="auto"/>
              </w:rPr>
              <w:t>5</w:t>
            </w:r>
          </w:p>
        </w:tc>
        <w:tc>
          <w:tcPr>
            <w:tcW w:w="954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524"/>
        </w:trPr>
        <w:tc>
          <w:tcPr>
            <w:tcW w:w="1360" w:type="dxa"/>
            <w:vAlign w:val="bottom"/>
          </w:tcPr>
          <w:p>
            <w:pPr>
              <w:spacing w:after="0"/>
              <w:rPr>
                <w:sz w:val="20"/>
                <w:szCs w:val="20"/>
                <w:color w:val="auto"/>
              </w:rPr>
            </w:pPr>
            <w:r>
              <w:rPr>
                <w:rFonts w:ascii="Courier New" w:cs="Courier New" w:eastAsia="Courier New" w:hAnsi="Courier New"/>
                <w:sz w:val="15"/>
                <w:szCs w:val="15"/>
                <w:color w:val="auto"/>
              </w:rPr>
              <w:t>SECTION 613.</w:t>
            </w:r>
          </w:p>
        </w:tc>
        <w:tc>
          <w:tcPr>
            <w:tcW w:w="9540" w:type="dxa"/>
            <w:vAlign w:val="bottom"/>
          </w:tcPr>
          <w:p>
            <w:pPr>
              <w:ind w:left="180"/>
              <w:spacing w:after="0"/>
              <w:rPr>
                <w:sz w:val="20"/>
                <w:szCs w:val="20"/>
                <w:color w:val="auto"/>
              </w:rPr>
            </w:pPr>
            <w:r>
              <w:rPr>
                <w:rFonts w:ascii="Courier New" w:cs="Courier New" w:eastAsia="Courier New" w:hAnsi="Courier New"/>
                <w:sz w:val="15"/>
                <w:szCs w:val="15"/>
                <w:color w:val="auto"/>
              </w:rPr>
              <w:t>Preferential Collection of Claims Against Company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46</w:t>
            </w:r>
          </w:p>
        </w:tc>
      </w:tr>
      <w:tr>
        <w:trPr>
          <w:trHeight w:val="175"/>
        </w:trPr>
        <w:tc>
          <w:tcPr>
            <w:tcW w:w="1360" w:type="dxa"/>
            <w:vAlign w:val="bottom"/>
          </w:tcPr>
          <w:p>
            <w:pPr>
              <w:spacing w:after="0"/>
              <w:rPr>
                <w:sz w:val="20"/>
                <w:szCs w:val="20"/>
                <w:color w:val="auto"/>
              </w:rPr>
            </w:pPr>
            <w:r>
              <w:rPr>
                <w:rFonts w:ascii="Courier New" w:cs="Courier New" w:eastAsia="Courier New" w:hAnsi="Courier New"/>
                <w:sz w:val="15"/>
                <w:szCs w:val="15"/>
                <w:color w:val="auto"/>
              </w:rPr>
              <w:t>SECTION 614.</w:t>
            </w:r>
          </w:p>
        </w:tc>
        <w:tc>
          <w:tcPr>
            <w:tcW w:w="9540" w:type="dxa"/>
            <w:vAlign w:val="bottom"/>
          </w:tcPr>
          <w:p>
            <w:pPr>
              <w:ind w:left="180"/>
              <w:spacing w:after="0"/>
              <w:rPr>
                <w:sz w:val="20"/>
                <w:szCs w:val="20"/>
                <w:color w:val="auto"/>
              </w:rPr>
            </w:pPr>
            <w:r>
              <w:rPr>
                <w:rFonts w:ascii="Courier New" w:cs="Courier New" w:eastAsia="Courier New" w:hAnsi="Courier New"/>
                <w:sz w:val="15"/>
                <w:szCs w:val="15"/>
                <w:color w:val="auto"/>
              </w:rPr>
              <w:t>Appointment of Authenticating Agent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46</w:t>
            </w:r>
          </w:p>
        </w:tc>
      </w:tr>
      <w:tr>
        <w:trPr>
          <w:trHeight w:val="350"/>
        </w:trPr>
        <w:tc>
          <w:tcPr>
            <w:tcW w:w="1360" w:type="dxa"/>
            <w:vAlign w:val="bottom"/>
          </w:tcPr>
          <w:p>
            <w:pPr>
              <w:spacing w:after="0"/>
              <w:rPr>
                <w:sz w:val="24"/>
                <w:szCs w:val="24"/>
                <w:color w:val="auto"/>
              </w:rPr>
            </w:pPr>
          </w:p>
        </w:tc>
        <w:tc>
          <w:tcPr>
            <w:tcW w:w="9540" w:type="dxa"/>
            <w:vAlign w:val="bottom"/>
          </w:tcPr>
          <w:p>
            <w:pPr>
              <w:jc w:val="center"/>
              <w:ind w:right="1004"/>
              <w:spacing w:after="0"/>
              <w:rPr>
                <w:sz w:val="20"/>
                <w:szCs w:val="20"/>
                <w:color w:val="auto"/>
              </w:rPr>
            </w:pPr>
            <w:r>
              <w:rPr>
                <w:rFonts w:ascii="Courier New" w:cs="Courier New" w:eastAsia="Courier New" w:hAnsi="Courier New"/>
                <w:sz w:val="15"/>
                <w:szCs w:val="15"/>
                <w:color w:val="auto"/>
              </w:rPr>
              <w:t>ARTICLE SEVEN</w:t>
            </w:r>
          </w:p>
        </w:tc>
        <w:tc>
          <w:tcPr>
            <w:tcW w:w="280" w:type="dxa"/>
            <w:vAlign w:val="bottom"/>
          </w:tcPr>
          <w:p>
            <w:pPr>
              <w:spacing w:after="0"/>
              <w:rPr>
                <w:sz w:val="24"/>
                <w:szCs w:val="24"/>
                <w:color w:val="auto"/>
              </w:rPr>
            </w:pPr>
          </w:p>
        </w:tc>
      </w:tr>
      <w:tr>
        <w:trPr>
          <w:trHeight w:val="175"/>
        </w:trPr>
        <w:tc>
          <w:tcPr>
            <w:tcW w:w="1360" w:type="dxa"/>
            <w:vAlign w:val="bottom"/>
          </w:tcPr>
          <w:p>
            <w:pPr>
              <w:spacing w:after="0"/>
              <w:rPr>
                <w:sz w:val="15"/>
                <w:szCs w:val="15"/>
                <w:color w:val="auto"/>
              </w:rPr>
            </w:pPr>
          </w:p>
        </w:tc>
        <w:tc>
          <w:tcPr>
            <w:tcW w:w="9540" w:type="dxa"/>
            <w:vAlign w:val="bottom"/>
          </w:tcPr>
          <w:p>
            <w:pPr>
              <w:jc w:val="center"/>
              <w:ind w:right="1024"/>
              <w:spacing w:after="0"/>
              <w:rPr>
                <w:sz w:val="20"/>
                <w:szCs w:val="20"/>
                <w:color w:val="auto"/>
              </w:rPr>
            </w:pPr>
            <w:r>
              <w:rPr>
                <w:rFonts w:ascii="Courier New" w:cs="Courier New" w:eastAsia="Courier New" w:hAnsi="Courier New"/>
                <w:sz w:val="15"/>
                <w:szCs w:val="15"/>
                <w:color w:val="auto"/>
              </w:rPr>
              <w:t>HOLDERS' LISTS AND REPORTS BY</w:t>
            </w:r>
          </w:p>
        </w:tc>
        <w:tc>
          <w:tcPr>
            <w:tcW w:w="280" w:type="dxa"/>
            <w:vAlign w:val="bottom"/>
          </w:tcPr>
          <w:p>
            <w:pPr>
              <w:spacing w:after="0"/>
              <w:rPr>
                <w:sz w:val="15"/>
                <w:szCs w:val="15"/>
                <w:color w:val="auto"/>
              </w:rPr>
            </w:pPr>
          </w:p>
        </w:tc>
      </w:tr>
      <w:tr>
        <w:trPr>
          <w:trHeight w:val="175"/>
        </w:trPr>
        <w:tc>
          <w:tcPr>
            <w:tcW w:w="1360" w:type="dxa"/>
            <w:vAlign w:val="bottom"/>
          </w:tcPr>
          <w:p>
            <w:pPr>
              <w:spacing w:after="0"/>
              <w:rPr>
                <w:sz w:val="15"/>
                <w:szCs w:val="15"/>
                <w:color w:val="auto"/>
              </w:rPr>
            </w:pPr>
          </w:p>
        </w:tc>
        <w:tc>
          <w:tcPr>
            <w:tcW w:w="9540" w:type="dxa"/>
            <w:vAlign w:val="bottom"/>
          </w:tcPr>
          <w:p>
            <w:pPr>
              <w:jc w:val="center"/>
              <w:ind w:right="1024"/>
              <w:spacing w:after="0"/>
              <w:rPr>
                <w:sz w:val="20"/>
                <w:szCs w:val="20"/>
                <w:color w:val="auto"/>
              </w:rPr>
            </w:pPr>
            <w:r>
              <w:rPr>
                <w:rFonts w:ascii="Courier New" w:cs="Courier New" w:eastAsia="Courier New" w:hAnsi="Courier New"/>
                <w:sz w:val="15"/>
                <w:szCs w:val="15"/>
                <w:color w:val="auto"/>
              </w:rPr>
              <w:t>TRUSTEE AND COMPANY</w:t>
            </w:r>
          </w:p>
        </w:tc>
        <w:tc>
          <w:tcPr>
            <w:tcW w:w="280" w:type="dxa"/>
            <w:vAlign w:val="bottom"/>
          </w:tcPr>
          <w:p>
            <w:pPr>
              <w:spacing w:after="0"/>
              <w:rPr>
                <w:sz w:val="15"/>
                <w:szCs w:val="15"/>
                <w:color w:val="auto"/>
              </w:rPr>
            </w:pPr>
          </w:p>
        </w:tc>
      </w:tr>
      <w:tr>
        <w:trPr>
          <w:trHeight w:val="175"/>
        </w:trPr>
        <w:tc>
          <w:tcPr>
            <w:tcW w:w="1360" w:type="dxa"/>
            <w:vAlign w:val="bottom"/>
          </w:tcPr>
          <w:p>
            <w:pPr>
              <w:spacing w:after="0"/>
              <w:rPr>
                <w:sz w:val="20"/>
                <w:szCs w:val="20"/>
                <w:color w:val="auto"/>
              </w:rPr>
            </w:pPr>
            <w:r>
              <w:rPr>
                <w:rFonts w:ascii="Courier New" w:cs="Courier New" w:eastAsia="Courier New" w:hAnsi="Courier New"/>
                <w:sz w:val="15"/>
                <w:szCs w:val="15"/>
                <w:color w:val="auto"/>
              </w:rPr>
              <w:t>SECTION 701.</w:t>
            </w:r>
          </w:p>
        </w:tc>
        <w:tc>
          <w:tcPr>
            <w:tcW w:w="9540" w:type="dxa"/>
            <w:vAlign w:val="bottom"/>
          </w:tcPr>
          <w:p>
            <w:pPr>
              <w:ind w:left="180"/>
              <w:spacing w:after="0"/>
              <w:rPr>
                <w:sz w:val="20"/>
                <w:szCs w:val="20"/>
                <w:color w:val="auto"/>
              </w:rPr>
            </w:pPr>
            <w:r>
              <w:rPr>
                <w:rFonts w:ascii="Courier New" w:cs="Courier New" w:eastAsia="Courier New" w:hAnsi="Courier New"/>
                <w:sz w:val="15"/>
                <w:szCs w:val="15"/>
                <w:color w:val="auto"/>
              </w:rPr>
              <w:t>Company to Furnish Trustee Names and Addresses of Holders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48</w:t>
            </w:r>
          </w:p>
        </w:tc>
      </w:tr>
      <w:tr>
        <w:trPr>
          <w:trHeight w:val="175"/>
        </w:trPr>
        <w:tc>
          <w:tcPr>
            <w:tcW w:w="1360" w:type="dxa"/>
            <w:vAlign w:val="bottom"/>
          </w:tcPr>
          <w:p>
            <w:pPr>
              <w:spacing w:after="0"/>
              <w:rPr>
                <w:sz w:val="20"/>
                <w:szCs w:val="20"/>
                <w:color w:val="auto"/>
              </w:rPr>
            </w:pPr>
            <w:r>
              <w:rPr>
                <w:rFonts w:ascii="Courier New" w:cs="Courier New" w:eastAsia="Courier New" w:hAnsi="Courier New"/>
                <w:sz w:val="15"/>
                <w:szCs w:val="15"/>
                <w:color w:val="auto"/>
              </w:rPr>
              <w:t>SECTION 702.</w:t>
            </w:r>
          </w:p>
        </w:tc>
        <w:tc>
          <w:tcPr>
            <w:tcW w:w="9540" w:type="dxa"/>
            <w:vAlign w:val="bottom"/>
          </w:tcPr>
          <w:p>
            <w:pPr>
              <w:ind w:left="180"/>
              <w:spacing w:after="0"/>
              <w:rPr>
                <w:sz w:val="20"/>
                <w:szCs w:val="20"/>
                <w:color w:val="auto"/>
              </w:rPr>
            </w:pPr>
            <w:r>
              <w:rPr>
                <w:rFonts w:ascii="Courier New" w:cs="Courier New" w:eastAsia="Courier New" w:hAnsi="Courier New"/>
                <w:sz w:val="15"/>
                <w:szCs w:val="15"/>
                <w:color w:val="auto"/>
              </w:rPr>
              <w:t>Preservation of Information:  Communications to Holders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49</w:t>
            </w:r>
          </w:p>
        </w:tc>
      </w:tr>
      <w:tr>
        <w:trPr>
          <w:trHeight w:val="175"/>
        </w:trPr>
        <w:tc>
          <w:tcPr>
            <w:tcW w:w="1360" w:type="dxa"/>
            <w:vAlign w:val="bottom"/>
          </w:tcPr>
          <w:p>
            <w:pPr>
              <w:spacing w:after="0"/>
              <w:rPr>
                <w:sz w:val="20"/>
                <w:szCs w:val="20"/>
                <w:color w:val="auto"/>
              </w:rPr>
            </w:pPr>
            <w:r>
              <w:rPr>
                <w:rFonts w:ascii="Courier New" w:cs="Courier New" w:eastAsia="Courier New" w:hAnsi="Courier New"/>
                <w:sz w:val="15"/>
                <w:szCs w:val="15"/>
                <w:color w:val="auto"/>
              </w:rPr>
              <w:t>SECTION 703.</w:t>
            </w:r>
          </w:p>
        </w:tc>
        <w:tc>
          <w:tcPr>
            <w:tcW w:w="9540" w:type="dxa"/>
            <w:vAlign w:val="bottom"/>
          </w:tcPr>
          <w:p>
            <w:pPr>
              <w:ind w:left="180"/>
              <w:spacing w:after="0"/>
              <w:rPr>
                <w:sz w:val="20"/>
                <w:szCs w:val="20"/>
                <w:color w:val="auto"/>
              </w:rPr>
            </w:pPr>
            <w:r>
              <w:rPr>
                <w:rFonts w:ascii="Courier New" w:cs="Courier New" w:eastAsia="Courier New" w:hAnsi="Courier New"/>
                <w:sz w:val="15"/>
                <w:szCs w:val="15"/>
                <w:color w:val="auto"/>
              </w:rPr>
              <w:t>Reports by Trustee . . . . . . . . .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49</w:t>
            </w:r>
          </w:p>
        </w:tc>
      </w:tr>
      <w:tr>
        <w:trPr>
          <w:trHeight w:val="175"/>
        </w:trPr>
        <w:tc>
          <w:tcPr>
            <w:tcW w:w="1360" w:type="dxa"/>
            <w:vAlign w:val="bottom"/>
          </w:tcPr>
          <w:p>
            <w:pPr>
              <w:spacing w:after="0"/>
              <w:rPr>
                <w:sz w:val="20"/>
                <w:szCs w:val="20"/>
                <w:color w:val="auto"/>
              </w:rPr>
            </w:pPr>
            <w:r>
              <w:rPr>
                <w:rFonts w:ascii="Courier New" w:cs="Courier New" w:eastAsia="Courier New" w:hAnsi="Courier New"/>
                <w:sz w:val="15"/>
                <w:szCs w:val="15"/>
                <w:color w:val="auto"/>
              </w:rPr>
              <w:t>SECTION 704.</w:t>
            </w:r>
          </w:p>
        </w:tc>
        <w:tc>
          <w:tcPr>
            <w:tcW w:w="9540" w:type="dxa"/>
            <w:vAlign w:val="bottom"/>
          </w:tcPr>
          <w:p>
            <w:pPr>
              <w:ind w:left="180"/>
              <w:spacing w:after="0"/>
              <w:rPr>
                <w:sz w:val="20"/>
                <w:szCs w:val="20"/>
                <w:color w:val="auto"/>
              </w:rPr>
            </w:pPr>
            <w:r>
              <w:rPr>
                <w:rFonts w:ascii="Courier New" w:cs="Courier New" w:eastAsia="Courier New" w:hAnsi="Courier New"/>
                <w:sz w:val="15"/>
                <w:szCs w:val="15"/>
                <w:color w:val="auto"/>
              </w:rPr>
              <w:t>Reports by Company . . . . . . . . .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49</w:t>
            </w:r>
          </w:p>
        </w:tc>
      </w:tr>
      <w:tr>
        <w:trPr>
          <w:trHeight w:val="350"/>
        </w:trPr>
        <w:tc>
          <w:tcPr>
            <w:tcW w:w="1360" w:type="dxa"/>
            <w:vAlign w:val="bottom"/>
          </w:tcPr>
          <w:p>
            <w:pPr>
              <w:spacing w:after="0"/>
              <w:rPr>
                <w:sz w:val="24"/>
                <w:szCs w:val="24"/>
                <w:color w:val="auto"/>
              </w:rPr>
            </w:pPr>
          </w:p>
        </w:tc>
        <w:tc>
          <w:tcPr>
            <w:tcW w:w="9540" w:type="dxa"/>
            <w:vAlign w:val="bottom"/>
          </w:tcPr>
          <w:p>
            <w:pPr>
              <w:jc w:val="center"/>
              <w:ind w:right="1004"/>
              <w:spacing w:after="0"/>
              <w:rPr>
                <w:sz w:val="20"/>
                <w:szCs w:val="20"/>
                <w:color w:val="auto"/>
              </w:rPr>
            </w:pPr>
            <w:r>
              <w:rPr>
                <w:rFonts w:ascii="Courier New" w:cs="Courier New" w:eastAsia="Courier New" w:hAnsi="Courier New"/>
                <w:sz w:val="15"/>
                <w:szCs w:val="15"/>
                <w:color w:val="auto"/>
              </w:rPr>
              <w:t>ARTICLE EIGHT</w:t>
            </w:r>
          </w:p>
        </w:tc>
        <w:tc>
          <w:tcPr>
            <w:tcW w:w="280" w:type="dxa"/>
            <w:vAlign w:val="bottom"/>
          </w:tcPr>
          <w:p>
            <w:pPr>
              <w:spacing w:after="0"/>
              <w:rPr>
                <w:sz w:val="24"/>
                <w:szCs w:val="24"/>
                <w:color w:val="auto"/>
              </w:rPr>
            </w:pPr>
          </w:p>
        </w:tc>
      </w:tr>
      <w:tr>
        <w:trPr>
          <w:trHeight w:val="175"/>
        </w:trPr>
        <w:tc>
          <w:tcPr>
            <w:tcW w:w="1360" w:type="dxa"/>
            <w:vAlign w:val="bottom"/>
          </w:tcPr>
          <w:p>
            <w:pPr>
              <w:spacing w:after="0"/>
              <w:rPr>
                <w:sz w:val="15"/>
                <w:szCs w:val="15"/>
                <w:color w:val="auto"/>
              </w:rPr>
            </w:pPr>
          </w:p>
        </w:tc>
        <w:tc>
          <w:tcPr>
            <w:tcW w:w="9540" w:type="dxa"/>
            <w:vAlign w:val="bottom"/>
          </w:tcPr>
          <w:p>
            <w:pPr>
              <w:ind w:left="2720"/>
              <w:spacing w:after="0"/>
              <w:rPr>
                <w:sz w:val="20"/>
                <w:szCs w:val="20"/>
                <w:color w:val="auto"/>
              </w:rPr>
            </w:pPr>
            <w:r>
              <w:rPr>
                <w:rFonts w:ascii="Courier New" w:cs="Courier New" w:eastAsia="Courier New" w:hAnsi="Courier New"/>
                <w:sz w:val="15"/>
                <w:szCs w:val="15"/>
                <w:color w:val="auto"/>
              </w:rPr>
              <w:t>CONSOLIDATION, MERGER, CONVEYANCE,</w:t>
            </w:r>
          </w:p>
        </w:tc>
        <w:tc>
          <w:tcPr>
            <w:tcW w:w="280" w:type="dxa"/>
            <w:vAlign w:val="bottom"/>
          </w:tcPr>
          <w:p>
            <w:pPr>
              <w:spacing w:after="0"/>
              <w:rPr>
                <w:sz w:val="15"/>
                <w:szCs w:val="15"/>
                <w:color w:val="auto"/>
              </w:rPr>
            </w:pPr>
          </w:p>
        </w:tc>
      </w:tr>
      <w:tr>
        <w:trPr>
          <w:trHeight w:val="175"/>
        </w:trPr>
        <w:tc>
          <w:tcPr>
            <w:tcW w:w="1360" w:type="dxa"/>
            <w:vAlign w:val="bottom"/>
          </w:tcPr>
          <w:p>
            <w:pPr>
              <w:spacing w:after="0"/>
              <w:rPr>
                <w:sz w:val="15"/>
                <w:szCs w:val="15"/>
                <w:color w:val="auto"/>
              </w:rPr>
            </w:pPr>
          </w:p>
        </w:tc>
        <w:tc>
          <w:tcPr>
            <w:tcW w:w="9540" w:type="dxa"/>
            <w:vAlign w:val="bottom"/>
          </w:tcPr>
          <w:p>
            <w:pPr>
              <w:jc w:val="center"/>
              <w:ind w:right="1024"/>
              <w:spacing w:after="0"/>
              <w:rPr>
                <w:sz w:val="20"/>
                <w:szCs w:val="20"/>
                <w:color w:val="auto"/>
              </w:rPr>
            </w:pPr>
            <w:r>
              <w:rPr>
                <w:rFonts w:ascii="Courier New" w:cs="Courier New" w:eastAsia="Courier New" w:hAnsi="Courier New"/>
                <w:sz w:val="15"/>
                <w:szCs w:val="15"/>
                <w:color w:val="auto"/>
              </w:rPr>
              <w:t>TRANSFER OR LEASE</w:t>
            </w:r>
          </w:p>
        </w:tc>
        <w:tc>
          <w:tcPr>
            <w:tcW w:w="280" w:type="dxa"/>
            <w:vAlign w:val="bottom"/>
          </w:tcPr>
          <w:p>
            <w:pPr>
              <w:spacing w:after="0"/>
              <w:rPr>
                <w:sz w:val="15"/>
                <w:szCs w:val="15"/>
                <w:color w:val="auto"/>
              </w:rPr>
            </w:pPr>
          </w:p>
        </w:tc>
      </w:tr>
      <w:tr>
        <w:trPr>
          <w:trHeight w:val="175"/>
        </w:trPr>
        <w:tc>
          <w:tcPr>
            <w:tcW w:w="1360" w:type="dxa"/>
            <w:vAlign w:val="bottom"/>
          </w:tcPr>
          <w:p>
            <w:pPr>
              <w:spacing w:after="0"/>
              <w:rPr>
                <w:sz w:val="20"/>
                <w:szCs w:val="20"/>
                <w:color w:val="auto"/>
              </w:rPr>
            </w:pPr>
            <w:r>
              <w:rPr>
                <w:rFonts w:ascii="Courier New" w:cs="Courier New" w:eastAsia="Courier New" w:hAnsi="Courier New"/>
                <w:sz w:val="15"/>
                <w:szCs w:val="15"/>
                <w:color w:val="auto"/>
              </w:rPr>
              <w:t>SECTION 801.</w:t>
            </w:r>
          </w:p>
        </w:tc>
        <w:tc>
          <w:tcPr>
            <w:tcW w:w="9540" w:type="dxa"/>
            <w:vAlign w:val="bottom"/>
          </w:tcPr>
          <w:p>
            <w:pPr>
              <w:ind w:left="180"/>
              <w:spacing w:after="0"/>
              <w:rPr>
                <w:sz w:val="20"/>
                <w:szCs w:val="20"/>
                <w:color w:val="auto"/>
              </w:rPr>
            </w:pPr>
            <w:r>
              <w:rPr>
                <w:rFonts w:ascii="Courier New" w:cs="Courier New" w:eastAsia="Courier New" w:hAnsi="Courier New"/>
                <w:sz w:val="15"/>
                <w:szCs w:val="15"/>
                <w:color w:val="auto"/>
              </w:rPr>
              <w:t>Company May Consolidate, Etc., Only on Certain Terms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50</w:t>
            </w:r>
          </w:p>
        </w:tc>
      </w:tr>
      <w:tr>
        <w:trPr>
          <w:trHeight w:val="175"/>
        </w:trPr>
        <w:tc>
          <w:tcPr>
            <w:tcW w:w="1360" w:type="dxa"/>
            <w:vAlign w:val="bottom"/>
          </w:tcPr>
          <w:p>
            <w:pPr>
              <w:spacing w:after="0"/>
              <w:rPr>
                <w:sz w:val="20"/>
                <w:szCs w:val="20"/>
                <w:color w:val="auto"/>
              </w:rPr>
            </w:pPr>
            <w:r>
              <w:rPr>
                <w:rFonts w:ascii="Courier New" w:cs="Courier New" w:eastAsia="Courier New" w:hAnsi="Courier New"/>
                <w:sz w:val="15"/>
                <w:szCs w:val="15"/>
                <w:color w:val="auto"/>
              </w:rPr>
              <w:t>SECTION 802.</w:t>
            </w:r>
          </w:p>
        </w:tc>
        <w:tc>
          <w:tcPr>
            <w:tcW w:w="9540" w:type="dxa"/>
            <w:vAlign w:val="bottom"/>
          </w:tcPr>
          <w:p>
            <w:pPr>
              <w:ind w:left="180"/>
              <w:spacing w:after="0"/>
              <w:rPr>
                <w:sz w:val="20"/>
                <w:szCs w:val="20"/>
                <w:color w:val="auto"/>
              </w:rPr>
            </w:pPr>
            <w:r>
              <w:rPr>
                <w:rFonts w:ascii="Courier New" w:cs="Courier New" w:eastAsia="Courier New" w:hAnsi="Courier New"/>
                <w:sz w:val="15"/>
                <w:szCs w:val="15"/>
                <w:color w:val="auto"/>
              </w:rPr>
              <w:t>Successor Substituted  . . . . . . .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50</w:t>
            </w:r>
          </w:p>
        </w:tc>
      </w:tr>
      <w:tr>
        <w:trPr>
          <w:trHeight w:val="350"/>
        </w:trPr>
        <w:tc>
          <w:tcPr>
            <w:tcW w:w="1360" w:type="dxa"/>
            <w:vAlign w:val="bottom"/>
          </w:tcPr>
          <w:p>
            <w:pPr>
              <w:spacing w:after="0"/>
              <w:rPr>
                <w:sz w:val="24"/>
                <w:szCs w:val="24"/>
                <w:color w:val="auto"/>
              </w:rPr>
            </w:pPr>
          </w:p>
        </w:tc>
        <w:tc>
          <w:tcPr>
            <w:tcW w:w="9540" w:type="dxa"/>
            <w:vAlign w:val="bottom"/>
          </w:tcPr>
          <w:p>
            <w:pPr>
              <w:ind w:left="3720"/>
              <w:spacing w:after="0"/>
              <w:rPr>
                <w:sz w:val="20"/>
                <w:szCs w:val="20"/>
                <w:color w:val="auto"/>
              </w:rPr>
            </w:pPr>
            <w:r>
              <w:rPr>
                <w:rFonts w:ascii="Courier New" w:cs="Courier New" w:eastAsia="Courier New" w:hAnsi="Courier New"/>
                <w:sz w:val="15"/>
                <w:szCs w:val="15"/>
                <w:color w:val="auto"/>
              </w:rPr>
              <w:t>ARTICLE NINE</w:t>
            </w:r>
          </w:p>
        </w:tc>
        <w:tc>
          <w:tcPr>
            <w:tcW w:w="280" w:type="dxa"/>
            <w:vAlign w:val="bottom"/>
          </w:tcPr>
          <w:p>
            <w:pPr>
              <w:spacing w:after="0"/>
              <w:rPr>
                <w:sz w:val="24"/>
                <w:szCs w:val="24"/>
                <w:color w:val="auto"/>
              </w:rPr>
            </w:pPr>
          </w:p>
        </w:tc>
      </w:tr>
      <w:tr>
        <w:trPr>
          <w:trHeight w:val="175"/>
        </w:trPr>
        <w:tc>
          <w:tcPr>
            <w:tcW w:w="1360" w:type="dxa"/>
            <w:vAlign w:val="bottom"/>
          </w:tcPr>
          <w:p>
            <w:pPr>
              <w:spacing w:after="0"/>
              <w:rPr>
                <w:sz w:val="15"/>
                <w:szCs w:val="15"/>
                <w:color w:val="auto"/>
              </w:rPr>
            </w:pPr>
          </w:p>
        </w:tc>
        <w:tc>
          <w:tcPr>
            <w:tcW w:w="9540" w:type="dxa"/>
            <w:vAlign w:val="bottom"/>
          </w:tcPr>
          <w:p>
            <w:pPr>
              <w:jc w:val="center"/>
              <w:ind w:right="1024"/>
              <w:spacing w:after="0"/>
              <w:rPr>
                <w:sz w:val="20"/>
                <w:szCs w:val="20"/>
                <w:color w:val="auto"/>
              </w:rPr>
            </w:pPr>
            <w:r>
              <w:rPr>
                <w:rFonts w:ascii="Courier New" w:cs="Courier New" w:eastAsia="Courier New" w:hAnsi="Courier New"/>
                <w:sz w:val="15"/>
                <w:szCs w:val="15"/>
                <w:color w:val="auto"/>
              </w:rPr>
              <w:t>SUPPLEMENTAL INDENTURES</w:t>
            </w:r>
          </w:p>
        </w:tc>
        <w:tc>
          <w:tcPr>
            <w:tcW w:w="280" w:type="dxa"/>
            <w:vAlign w:val="bottom"/>
          </w:tcPr>
          <w:p>
            <w:pPr>
              <w:spacing w:after="0"/>
              <w:rPr>
                <w:sz w:val="15"/>
                <w:szCs w:val="15"/>
                <w:color w:val="auto"/>
              </w:rPr>
            </w:pPr>
          </w:p>
        </w:tc>
      </w:tr>
      <w:tr>
        <w:trPr>
          <w:trHeight w:val="175"/>
        </w:trPr>
        <w:tc>
          <w:tcPr>
            <w:tcW w:w="1360" w:type="dxa"/>
            <w:vAlign w:val="bottom"/>
          </w:tcPr>
          <w:p>
            <w:pPr>
              <w:spacing w:after="0"/>
              <w:rPr>
                <w:sz w:val="20"/>
                <w:szCs w:val="20"/>
                <w:color w:val="auto"/>
              </w:rPr>
            </w:pPr>
            <w:r>
              <w:rPr>
                <w:rFonts w:ascii="Courier New" w:cs="Courier New" w:eastAsia="Courier New" w:hAnsi="Courier New"/>
                <w:sz w:val="15"/>
                <w:szCs w:val="15"/>
                <w:color w:val="auto"/>
              </w:rPr>
              <w:t>SECTION 901.</w:t>
            </w:r>
          </w:p>
        </w:tc>
        <w:tc>
          <w:tcPr>
            <w:tcW w:w="9540" w:type="dxa"/>
            <w:vAlign w:val="bottom"/>
          </w:tcPr>
          <w:p>
            <w:pPr>
              <w:ind w:left="180"/>
              <w:spacing w:after="0"/>
              <w:rPr>
                <w:sz w:val="20"/>
                <w:szCs w:val="20"/>
                <w:color w:val="auto"/>
              </w:rPr>
            </w:pPr>
            <w:r>
              <w:rPr>
                <w:rFonts w:ascii="Courier New" w:cs="Courier New" w:eastAsia="Courier New" w:hAnsi="Courier New"/>
                <w:sz w:val="15"/>
                <w:szCs w:val="15"/>
                <w:color w:val="auto"/>
              </w:rPr>
              <w:t>Supplemental Indentures without Consent of Holders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51</w:t>
            </w:r>
          </w:p>
        </w:tc>
      </w:tr>
      <w:tr>
        <w:trPr>
          <w:trHeight w:val="175"/>
        </w:trPr>
        <w:tc>
          <w:tcPr>
            <w:tcW w:w="1360" w:type="dxa"/>
            <w:vAlign w:val="bottom"/>
          </w:tcPr>
          <w:p>
            <w:pPr>
              <w:spacing w:after="0"/>
              <w:rPr>
                <w:sz w:val="20"/>
                <w:szCs w:val="20"/>
                <w:color w:val="auto"/>
              </w:rPr>
            </w:pPr>
            <w:r>
              <w:rPr>
                <w:rFonts w:ascii="Courier New" w:cs="Courier New" w:eastAsia="Courier New" w:hAnsi="Courier New"/>
                <w:sz w:val="15"/>
                <w:szCs w:val="15"/>
                <w:color w:val="auto"/>
              </w:rPr>
              <w:t>SECTION 902.</w:t>
            </w:r>
          </w:p>
        </w:tc>
        <w:tc>
          <w:tcPr>
            <w:tcW w:w="9540" w:type="dxa"/>
            <w:vAlign w:val="bottom"/>
          </w:tcPr>
          <w:p>
            <w:pPr>
              <w:ind w:left="180"/>
              <w:spacing w:after="0"/>
              <w:rPr>
                <w:sz w:val="20"/>
                <w:szCs w:val="20"/>
                <w:color w:val="auto"/>
              </w:rPr>
            </w:pPr>
            <w:r>
              <w:rPr>
                <w:rFonts w:ascii="Courier New" w:cs="Courier New" w:eastAsia="Courier New" w:hAnsi="Courier New"/>
                <w:sz w:val="15"/>
                <w:szCs w:val="15"/>
                <w:color w:val="auto"/>
              </w:rPr>
              <w:t>Supplemental Indentures with Consent of Holders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52</w:t>
            </w:r>
          </w:p>
        </w:tc>
      </w:tr>
      <w:tr>
        <w:trPr>
          <w:trHeight w:val="175"/>
        </w:trPr>
        <w:tc>
          <w:tcPr>
            <w:tcW w:w="1360" w:type="dxa"/>
            <w:vAlign w:val="bottom"/>
          </w:tcPr>
          <w:p>
            <w:pPr>
              <w:spacing w:after="0"/>
              <w:rPr>
                <w:sz w:val="20"/>
                <w:szCs w:val="20"/>
                <w:color w:val="auto"/>
              </w:rPr>
            </w:pPr>
            <w:r>
              <w:rPr>
                <w:rFonts w:ascii="Courier New" w:cs="Courier New" w:eastAsia="Courier New" w:hAnsi="Courier New"/>
                <w:sz w:val="15"/>
                <w:szCs w:val="15"/>
                <w:color w:val="auto"/>
              </w:rPr>
              <w:t>SECTION 903.</w:t>
            </w:r>
          </w:p>
        </w:tc>
        <w:tc>
          <w:tcPr>
            <w:tcW w:w="9540" w:type="dxa"/>
            <w:vAlign w:val="bottom"/>
          </w:tcPr>
          <w:p>
            <w:pPr>
              <w:ind w:left="180"/>
              <w:spacing w:after="0"/>
              <w:rPr>
                <w:sz w:val="20"/>
                <w:szCs w:val="20"/>
                <w:color w:val="auto"/>
              </w:rPr>
            </w:pPr>
            <w:r>
              <w:rPr>
                <w:rFonts w:ascii="Courier New" w:cs="Courier New" w:eastAsia="Courier New" w:hAnsi="Courier New"/>
                <w:sz w:val="15"/>
                <w:szCs w:val="15"/>
                <w:color w:val="auto"/>
              </w:rPr>
              <w:t>Execution of Supplemental Indentures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53</w:t>
            </w:r>
          </w:p>
        </w:tc>
      </w:tr>
      <w:tr>
        <w:trPr>
          <w:trHeight w:val="175"/>
        </w:trPr>
        <w:tc>
          <w:tcPr>
            <w:tcW w:w="1360" w:type="dxa"/>
            <w:vAlign w:val="bottom"/>
          </w:tcPr>
          <w:p>
            <w:pPr>
              <w:spacing w:after="0"/>
              <w:rPr>
                <w:sz w:val="20"/>
                <w:szCs w:val="20"/>
                <w:color w:val="auto"/>
              </w:rPr>
            </w:pPr>
            <w:r>
              <w:rPr>
                <w:rFonts w:ascii="Courier New" w:cs="Courier New" w:eastAsia="Courier New" w:hAnsi="Courier New"/>
                <w:sz w:val="15"/>
                <w:szCs w:val="15"/>
                <w:color w:val="auto"/>
              </w:rPr>
              <w:t>SECTION 904.</w:t>
            </w:r>
          </w:p>
        </w:tc>
        <w:tc>
          <w:tcPr>
            <w:tcW w:w="9540" w:type="dxa"/>
            <w:vAlign w:val="bottom"/>
          </w:tcPr>
          <w:p>
            <w:pPr>
              <w:ind w:left="180"/>
              <w:spacing w:after="0"/>
              <w:rPr>
                <w:sz w:val="20"/>
                <w:szCs w:val="20"/>
                <w:color w:val="auto"/>
              </w:rPr>
            </w:pPr>
            <w:r>
              <w:rPr>
                <w:rFonts w:ascii="Courier New" w:cs="Courier New" w:eastAsia="Courier New" w:hAnsi="Courier New"/>
                <w:sz w:val="15"/>
                <w:szCs w:val="15"/>
                <w:color w:val="auto"/>
              </w:rPr>
              <w:t>Effect of Supplemental Indentures  .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54</w:t>
            </w:r>
          </w:p>
        </w:tc>
      </w:tr>
      <w:tr>
        <w:trPr>
          <w:trHeight w:val="175"/>
        </w:trPr>
        <w:tc>
          <w:tcPr>
            <w:tcW w:w="1360" w:type="dxa"/>
            <w:vAlign w:val="bottom"/>
          </w:tcPr>
          <w:p>
            <w:pPr>
              <w:spacing w:after="0"/>
              <w:rPr>
                <w:sz w:val="20"/>
                <w:szCs w:val="20"/>
                <w:color w:val="auto"/>
              </w:rPr>
            </w:pPr>
            <w:r>
              <w:rPr>
                <w:rFonts w:ascii="Courier New" w:cs="Courier New" w:eastAsia="Courier New" w:hAnsi="Courier New"/>
                <w:sz w:val="15"/>
                <w:szCs w:val="15"/>
                <w:color w:val="auto"/>
              </w:rPr>
              <w:t>SECTION 905.</w:t>
            </w:r>
          </w:p>
        </w:tc>
        <w:tc>
          <w:tcPr>
            <w:tcW w:w="9540" w:type="dxa"/>
            <w:vAlign w:val="bottom"/>
          </w:tcPr>
          <w:p>
            <w:pPr>
              <w:ind w:left="180"/>
              <w:spacing w:after="0"/>
              <w:rPr>
                <w:sz w:val="20"/>
                <w:szCs w:val="20"/>
                <w:color w:val="auto"/>
              </w:rPr>
            </w:pPr>
            <w:r>
              <w:rPr>
                <w:rFonts w:ascii="Courier New" w:cs="Courier New" w:eastAsia="Courier New" w:hAnsi="Courier New"/>
                <w:sz w:val="15"/>
                <w:szCs w:val="15"/>
                <w:color w:val="auto"/>
              </w:rPr>
              <w:t>Conformity with Trust Indenture Act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54</w:t>
            </w:r>
          </w:p>
        </w:tc>
      </w:tr>
      <w:tr>
        <w:trPr>
          <w:trHeight w:val="175"/>
        </w:trPr>
        <w:tc>
          <w:tcPr>
            <w:tcW w:w="1360" w:type="dxa"/>
            <w:vAlign w:val="bottom"/>
          </w:tcPr>
          <w:p>
            <w:pPr>
              <w:spacing w:after="0"/>
              <w:rPr>
                <w:sz w:val="20"/>
                <w:szCs w:val="20"/>
                <w:color w:val="auto"/>
              </w:rPr>
            </w:pPr>
            <w:r>
              <w:rPr>
                <w:rFonts w:ascii="Courier New" w:cs="Courier New" w:eastAsia="Courier New" w:hAnsi="Courier New"/>
                <w:sz w:val="15"/>
                <w:szCs w:val="15"/>
                <w:color w:val="auto"/>
              </w:rPr>
              <w:t>SECTION 906.</w:t>
            </w:r>
          </w:p>
        </w:tc>
        <w:tc>
          <w:tcPr>
            <w:tcW w:w="9540" w:type="dxa"/>
            <w:vAlign w:val="bottom"/>
          </w:tcPr>
          <w:p>
            <w:pPr>
              <w:ind w:left="180"/>
              <w:spacing w:after="0"/>
              <w:rPr>
                <w:sz w:val="20"/>
                <w:szCs w:val="20"/>
                <w:color w:val="auto"/>
              </w:rPr>
            </w:pPr>
            <w:r>
              <w:rPr>
                <w:rFonts w:ascii="Courier New" w:cs="Courier New" w:eastAsia="Courier New" w:hAnsi="Courier New"/>
                <w:sz w:val="15"/>
                <w:szCs w:val="15"/>
                <w:color w:val="auto"/>
              </w:rPr>
              <w:t>Reference in Securities to Supplemental Indentures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54</w:t>
            </w:r>
          </w:p>
        </w:tc>
      </w:tr>
      <w:tr>
        <w:trPr>
          <w:trHeight w:val="175"/>
        </w:trPr>
        <w:tc>
          <w:tcPr>
            <w:tcW w:w="1360" w:type="dxa"/>
            <w:vAlign w:val="bottom"/>
          </w:tcPr>
          <w:p>
            <w:pPr>
              <w:spacing w:after="0"/>
              <w:rPr>
                <w:sz w:val="20"/>
                <w:szCs w:val="20"/>
                <w:color w:val="auto"/>
              </w:rPr>
            </w:pPr>
            <w:r>
              <w:rPr>
                <w:rFonts w:ascii="Courier New" w:cs="Courier New" w:eastAsia="Courier New" w:hAnsi="Courier New"/>
                <w:sz w:val="15"/>
                <w:szCs w:val="15"/>
                <w:color w:val="auto"/>
              </w:rPr>
              <w:t>SECTION 907.</w:t>
            </w:r>
          </w:p>
        </w:tc>
        <w:tc>
          <w:tcPr>
            <w:tcW w:w="9540" w:type="dxa"/>
            <w:vAlign w:val="bottom"/>
          </w:tcPr>
          <w:p>
            <w:pPr>
              <w:ind w:left="180"/>
              <w:spacing w:after="0"/>
              <w:rPr>
                <w:sz w:val="20"/>
                <w:szCs w:val="20"/>
                <w:color w:val="auto"/>
              </w:rPr>
            </w:pPr>
            <w:r>
              <w:rPr>
                <w:rFonts w:ascii="Courier New" w:cs="Courier New" w:eastAsia="Courier New" w:hAnsi="Courier New"/>
                <w:sz w:val="15"/>
                <w:szCs w:val="15"/>
                <w:color w:val="auto"/>
              </w:rPr>
              <w:t>Subordination Unimpaired.  . . . . .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54</w:t>
            </w:r>
          </w:p>
        </w:tc>
      </w:tr>
      <w:tr>
        <w:trPr>
          <w:trHeight w:val="350"/>
        </w:trPr>
        <w:tc>
          <w:tcPr>
            <w:tcW w:w="1360" w:type="dxa"/>
            <w:vAlign w:val="bottom"/>
          </w:tcPr>
          <w:p>
            <w:pPr>
              <w:spacing w:after="0"/>
              <w:rPr>
                <w:sz w:val="24"/>
                <w:szCs w:val="24"/>
                <w:color w:val="auto"/>
              </w:rPr>
            </w:pPr>
          </w:p>
        </w:tc>
        <w:tc>
          <w:tcPr>
            <w:tcW w:w="9540" w:type="dxa"/>
            <w:vAlign w:val="bottom"/>
          </w:tcPr>
          <w:p>
            <w:pPr>
              <w:jc w:val="center"/>
              <w:ind w:right="1024"/>
              <w:spacing w:after="0"/>
              <w:rPr>
                <w:sz w:val="20"/>
                <w:szCs w:val="20"/>
                <w:color w:val="auto"/>
              </w:rPr>
            </w:pPr>
            <w:r>
              <w:rPr>
                <w:rFonts w:ascii="Courier New" w:cs="Courier New" w:eastAsia="Courier New" w:hAnsi="Courier New"/>
                <w:sz w:val="15"/>
                <w:szCs w:val="15"/>
                <w:color w:val="auto"/>
              </w:rPr>
              <w:t>ARTICLE TEN</w:t>
            </w:r>
          </w:p>
        </w:tc>
        <w:tc>
          <w:tcPr>
            <w:tcW w:w="280" w:type="dxa"/>
            <w:vAlign w:val="bottom"/>
          </w:tcPr>
          <w:p>
            <w:pPr>
              <w:spacing w:after="0"/>
              <w:rPr>
                <w:sz w:val="24"/>
                <w:szCs w:val="24"/>
                <w:color w:val="auto"/>
              </w:rPr>
            </w:pPr>
          </w:p>
        </w:tc>
      </w:tr>
      <w:tr>
        <w:trPr>
          <w:trHeight w:val="175"/>
        </w:trPr>
        <w:tc>
          <w:tcPr>
            <w:tcW w:w="1360" w:type="dxa"/>
            <w:vAlign w:val="bottom"/>
          </w:tcPr>
          <w:p>
            <w:pPr>
              <w:spacing w:after="0"/>
              <w:rPr>
                <w:sz w:val="15"/>
                <w:szCs w:val="15"/>
                <w:color w:val="auto"/>
              </w:rPr>
            </w:pPr>
          </w:p>
        </w:tc>
        <w:tc>
          <w:tcPr>
            <w:tcW w:w="9540" w:type="dxa"/>
            <w:vAlign w:val="bottom"/>
          </w:tcPr>
          <w:p>
            <w:pPr>
              <w:jc w:val="center"/>
              <w:ind w:right="1004"/>
              <w:spacing w:after="0"/>
              <w:rPr>
                <w:sz w:val="20"/>
                <w:szCs w:val="20"/>
                <w:color w:val="auto"/>
              </w:rPr>
            </w:pPr>
            <w:r>
              <w:rPr>
                <w:rFonts w:ascii="Courier New" w:cs="Courier New" w:eastAsia="Courier New" w:hAnsi="Courier New"/>
                <w:sz w:val="15"/>
                <w:szCs w:val="15"/>
                <w:color w:val="auto"/>
              </w:rPr>
              <w:t>COVENANTS</w:t>
            </w:r>
          </w:p>
        </w:tc>
        <w:tc>
          <w:tcPr>
            <w:tcW w:w="280" w:type="dxa"/>
            <w:vAlign w:val="bottom"/>
          </w:tcPr>
          <w:p>
            <w:pPr>
              <w:spacing w:after="0"/>
              <w:rPr>
                <w:sz w:val="15"/>
                <w:szCs w:val="15"/>
                <w:color w:val="auto"/>
              </w:rPr>
            </w:pPr>
          </w:p>
        </w:tc>
      </w:tr>
      <w:tr>
        <w:trPr>
          <w:trHeight w:val="175"/>
        </w:trPr>
        <w:tc>
          <w:tcPr>
            <w:tcW w:w="1360" w:type="dxa"/>
            <w:vAlign w:val="bottom"/>
          </w:tcPr>
          <w:p>
            <w:pPr>
              <w:spacing w:after="0"/>
              <w:rPr>
                <w:sz w:val="20"/>
                <w:szCs w:val="20"/>
                <w:color w:val="auto"/>
              </w:rPr>
            </w:pPr>
            <w:r>
              <w:rPr>
                <w:rFonts w:ascii="Courier New" w:cs="Courier New" w:eastAsia="Courier New" w:hAnsi="Courier New"/>
                <w:sz w:val="15"/>
                <w:szCs w:val="15"/>
                <w:color w:val="auto"/>
              </w:rPr>
              <w:t>SECTION 1001.</w:t>
            </w:r>
          </w:p>
        </w:tc>
        <w:tc>
          <w:tcPr>
            <w:tcW w:w="9540" w:type="dxa"/>
            <w:vAlign w:val="bottom"/>
          </w:tcPr>
          <w:p>
            <w:pPr>
              <w:ind w:left="180"/>
              <w:spacing w:after="0"/>
              <w:rPr>
                <w:sz w:val="20"/>
                <w:szCs w:val="20"/>
                <w:color w:val="auto"/>
              </w:rPr>
            </w:pPr>
            <w:r>
              <w:rPr>
                <w:rFonts w:ascii="Courier New" w:cs="Courier New" w:eastAsia="Courier New" w:hAnsi="Courier New"/>
                <w:sz w:val="15"/>
                <w:szCs w:val="15"/>
                <w:color w:val="auto"/>
              </w:rPr>
              <w:t>Payment of Principal, Premium and Interest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54</w:t>
            </w:r>
          </w:p>
        </w:tc>
      </w:tr>
      <w:tr>
        <w:trPr>
          <w:trHeight w:val="175"/>
        </w:trPr>
        <w:tc>
          <w:tcPr>
            <w:tcW w:w="1360" w:type="dxa"/>
            <w:vAlign w:val="bottom"/>
          </w:tcPr>
          <w:p>
            <w:pPr>
              <w:spacing w:after="0"/>
              <w:rPr>
                <w:sz w:val="20"/>
                <w:szCs w:val="20"/>
                <w:color w:val="auto"/>
              </w:rPr>
            </w:pPr>
            <w:r>
              <w:rPr>
                <w:rFonts w:ascii="Courier New" w:cs="Courier New" w:eastAsia="Courier New" w:hAnsi="Courier New"/>
                <w:sz w:val="15"/>
                <w:szCs w:val="15"/>
                <w:color w:val="auto"/>
              </w:rPr>
              <w:t>SECTION 1002.</w:t>
            </w:r>
          </w:p>
        </w:tc>
        <w:tc>
          <w:tcPr>
            <w:tcW w:w="9540" w:type="dxa"/>
            <w:vAlign w:val="bottom"/>
          </w:tcPr>
          <w:p>
            <w:pPr>
              <w:ind w:left="180"/>
              <w:spacing w:after="0"/>
              <w:rPr>
                <w:sz w:val="20"/>
                <w:szCs w:val="20"/>
                <w:color w:val="auto"/>
              </w:rPr>
            </w:pPr>
            <w:r>
              <w:rPr>
                <w:rFonts w:ascii="Courier New" w:cs="Courier New" w:eastAsia="Courier New" w:hAnsi="Courier New"/>
                <w:sz w:val="15"/>
                <w:szCs w:val="15"/>
                <w:color w:val="auto"/>
              </w:rPr>
              <w:t>Maintenance of Office or Agency  . .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55</w:t>
            </w:r>
          </w:p>
        </w:tc>
      </w:tr>
      <w:tr>
        <w:trPr>
          <w:trHeight w:val="175"/>
        </w:trPr>
        <w:tc>
          <w:tcPr>
            <w:tcW w:w="1360" w:type="dxa"/>
            <w:vAlign w:val="bottom"/>
          </w:tcPr>
          <w:p>
            <w:pPr>
              <w:spacing w:after="0"/>
              <w:rPr>
                <w:sz w:val="20"/>
                <w:szCs w:val="20"/>
                <w:color w:val="auto"/>
              </w:rPr>
            </w:pPr>
            <w:r>
              <w:rPr>
                <w:rFonts w:ascii="Courier New" w:cs="Courier New" w:eastAsia="Courier New" w:hAnsi="Courier New"/>
                <w:sz w:val="15"/>
                <w:szCs w:val="15"/>
                <w:color w:val="auto"/>
              </w:rPr>
              <w:t>SECTION 1003.</w:t>
            </w:r>
          </w:p>
        </w:tc>
        <w:tc>
          <w:tcPr>
            <w:tcW w:w="9540" w:type="dxa"/>
            <w:vAlign w:val="bottom"/>
          </w:tcPr>
          <w:p>
            <w:pPr>
              <w:ind w:left="180"/>
              <w:spacing w:after="0"/>
              <w:rPr>
                <w:sz w:val="20"/>
                <w:szCs w:val="20"/>
                <w:color w:val="auto"/>
              </w:rPr>
            </w:pPr>
            <w:r>
              <w:rPr>
                <w:rFonts w:ascii="Courier New" w:cs="Courier New" w:eastAsia="Courier New" w:hAnsi="Courier New"/>
                <w:sz w:val="15"/>
                <w:szCs w:val="15"/>
                <w:color w:val="auto"/>
              </w:rPr>
              <w:t>Money for Securities Payments to Be Held in Trust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56</w:t>
            </w:r>
          </w:p>
        </w:tc>
      </w:tr>
      <w:tr>
        <w:trPr>
          <w:trHeight w:val="175"/>
        </w:trPr>
        <w:tc>
          <w:tcPr>
            <w:tcW w:w="1360" w:type="dxa"/>
            <w:vAlign w:val="bottom"/>
          </w:tcPr>
          <w:p>
            <w:pPr>
              <w:spacing w:after="0"/>
              <w:rPr>
                <w:sz w:val="20"/>
                <w:szCs w:val="20"/>
                <w:color w:val="auto"/>
              </w:rPr>
            </w:pPr>
            <w:r>
              <w:rPr>
                <w:rFonts w:ascii="Courier New" w:cs="Courier New" w:eastAsia="Courier New" w:hAnsi="Courier New"/>
                <w:sz w:val="15"/>
                <w:szCs w:val="15"/>
                <w:color w:val="auto"/>
              </w:rPr>
              <w:t>SECTION 1004.</w:t>
            </w:r>
          </w:p>
        </w:tc>
        <w:tc>
          <w:tcPr>
            <w:tcW w:w="9540" w:type="dxa"/>
            <w:vAlign w:val="bottom"/>
          </w:tcPr>
          <w:p>
            <w:pPr>
              <w:ind w:left="180"/>
              <w:spacing w:after="0"/>
              <w:rPr>
                <w:sz w:val="20"/>
                <w:szCs w:val="20"/>
                <w:color w:val="auto"/>
              </w:rPr>
            </w:pPr>
            <w:r>
              <w:rPr>
                <w:rFonts w:ascii="Courier New" w:cs="Courier New" w:eastAsia="Courier New" w:hAnsi="Courier New"/>
                <w:sz w:val="15"/>
                <w:szCs w:val="15"/>
                <w:color w:val="auto"/>
              </w:rPr>
              <w:t>Additional Amounts . . . . . . . . .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57</w:t>
            </w:r>
          </w:p>
        </w:tc>
      </w:tr>
      <w:tr>
        <w:trPr>
          <w:trHeight w:val="175"/>
        </w:trPr>
        <w:tc>
          <w:tcPr>
            <w:tcW w:w="1360" w:type="dxa"/>
            <w:vAlign w:val="bottom"/>
          </w:tcPr>
          <w:p>
            <w:pPr>
              <w:spacing w:after="0"/>
              <w:rPr>
                <w:sz w:val="20"/>
                <w:szCs w:val="20"/>
                <w:color w:val="auto"/>
              </w:rPr>
            </w:pPr>
            <w:r>
              <w:rPr>
                <w:rFonts w:ascii="Courier New" w:cs="Courier New" w:eastAsia="Courier New" w:hAnsi="Courier New"/>
                <w:sz w:val="15"/>
                <w:szCs w:val="15"/>
                <w:color w:val="auto"/>
              </w:rPr>
              <w:t>SECTION 1005.</w:t>
            </w:r>
          </w:p>
        </w:tc>
        <w:tc>
          <w:tcPr>
            <w:tcW w:w="9540" w:type="dxa"/>
            <w:vAlign w:val="bottom"/>
          </w:tcPr>
          <w:p>
            <w:pPr>
              <w:ind w:left="180"/>
              <w:spacing w:after="0"/>
              <w:rPr>
                <w:sz w:val="20"/>
                <w:szCs w:val="20"/>
                <w:color w:val="auto"/>
              </w:rPr>
            </w:pPr>
            <w:r>
              <w:rPr>
                <w:rFonts w:ascii="Courier New" w:cs="Courier New" w:eastAsia="Courier New" w:hAnsi="Courier New"/>
                <w:sz w:val="15"/>
                <w:szCs w:val="15"/>
                <w:color w:val="auto"/>
              </w:rPr>
              <w:t>Purchase of Securities by Company or Subsidiary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58</w:t>
            </w:r>
          </w:p>
        </w:tc>
      </w:tr>
      <w:tr>
        <w:trPr>
          <w:trHeight w:val="175"/>
        </w:trPr>
        <w:tc>
          <w:tcPr>
            <w:tcW w:w="1360" w:type="dxa"/>
            <w:vAlign w:val="bottom"/>
          </w:tcPr>
          <w:p>
            <w:pPr>
              <w:spacing w:after="0"/>
              <w:rPr>
                <w:sz w:val="20"/>
                <w:szCs w:val="20"/>
                <w:color w:val="auto"/>
              </w:rPr>
            </w:pPr>
            <w:r>
              <w:rPr>
                <w:rFonts w:ascii="Courier New" w:cs="Courier New" w:eastAsia="Courier New" w:hAnsi="Courier New"/>
                <w:sz w:val="15"/>
                <w:szCs w:val="15"/>
                <w:color w:val="auto"/>
              </w:rPr>
              <w:t>SECTION 1006.</w:t>
            </w:r>
          </w:p>
        </w:tc>
        <w:tc>
          <w:tcPr>
            <w:tcW w:w="9540" w:type="dxa"/>
            <w:vAlign w:val="bottom"/>
          </w:tcPr>
          <w:p>
            <w:pPr>
              <w:ind w:left="180"/>
              <w:spacing w:after="0"/>
              <w:rPr>
                <w:sz w:val="20"/>
                <w:szCs w:val="20"/>
                <w:color w:val="auto"/>
              </w:rPr>
            </w:pPr>
            <w:r>
              <w:rPr>
                <w:rFonts w:ascii="Courier New" w:cs="Courier New" w:eastAsia="Courier New" w:hAnsi="Courier New"/>
                <w:sz w:val="15"/>
                <w:szCs w:val="15"/>
                <w:color w:val="auto"/>
              </w:rPr>
              <w:t>Appointments to Fill Vacancies in Trustee's Office.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58</w:t>
            </w:r>
          </w:p>
        </w:tc>
      </w:tr>
      <w:tr>
        <w:trPr>
          <w:trHeight w:val="175"/>
        </w:trPr>
        <w:tc>
          <w:tcPr>
            <w:tcW w:w="1360" w:type="dxa"/>
            <w:vAlign w:val="bottom"/>
          </w:tcPr>
          <w:p>
            <w:pPr>
              <w:spacing w:after="0"/>
              <w:rPr>
                <w:sz w:val="20"/>
                <w:szCs w:val="20"/>
                <w:color w:val="auto"/>
              </w:rPr>
            </w:pPr>
            <w:r>
              <w:rPr>
                <w:rFonts w:ascii="Courier New" w:cs="Courier New" w:eastAsia="Courier New" w:hAnsi="Courier New"/>
                <w:sz w:val="15"/>
                <w:szCs w:val="15"/>
                <w:color w:val="auto"/>
              </w:rPr>
              <w:t>SECTION 1007.</w:t>
            </w:r>
          </w:p>
        </w:tc>
        <w:tc>
          <w:tcPr>
            <w:tcW w:w="9540" w:type="dxa"/>
            <w:vAlign w:val="bottom"/>
          </w:tcPr>
          <w:p>
            <w:pPr>
              <w:ind w:left="180"/>
              <w:spacing w:after="0"/>
              <w:rPr>
                <w:sz w:val="20"/>
                <w:szCs w:val="20"/>
                <w:color w:val="auto"/>
              </w:rPr>
            </w:pPr>
            <w:r>
              <w:rPr>
                <w:rFonts w:ascii="Courier New" w:cs="Courier New" w:eastAsia="Courier New" w:hAnsi="Courier New"/>
                <w:sz w:val="15"/>
                <w:szCs w:val="15"/>
                <w:color w:val="auto"/>
              </w:rPr>
              <w:t>Statement by Officer as to Default .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58</w:t>
            </w:r>
          </w:p>
        </w:tc>
      </w:tr>
      <w:tr>
        <w:trPr>
          <w:trHeight w:val="175"/>
        </w:trPr>
        <w:tc>
          <w:tcPr>
            <w:tcW w:w="1360" w:type="dxa"/>
            <w:vAlign w:val="bottom"/>
          </w:tcPr>
          <w:p>
            <w:pPr>
              <w:spacing w:after="0"/>
              <w:rPr>
                <w:sz w:val="20"/>
                <w:szCs w:val="20"/>
                <w:color w:val="auto"/>
              </w:rPr>
            </w:pPr>
            <w:r>
              <w:rPr>
                <w:rFonts w:ascii="Courier New" w:cs="Courier New" w:eastAsia="Courier New" w:hAnsi="Courier New"/>
                <w:sz w:val="15"/>
                <w:szCs w:val="15"/>
                <w:color w:val="auto"/>
              </w:rPr>
              <w:t>SECTION 1008.</w:t>
            </w:r>
          </w:p>
        </w:tc>
        <w:tc>
          <w:tcPr>
            <w:tcW w:w="9540" w:type="dxa"/>
            <w:vAlign w:val="bottom"/>
          </w:tcPr>
          <w:p>
            <w:pPr>
              <w:ind w:left="180"/>
              <w:spacing w:after="0"/>
              <w:rPr>
                <w:sz w:val="20"/>
                <w:szCs w:val="20"/>
                <w:color w:val="auto"/>
              </w:rPr>
            </w:pPr>
            <w:r>
              <w:rPr>
                <w:rFonts w:ascii="Courier New" w:cs="Courier New" w:eastAsia="Courier New" w:hAnsi="Courier New"/>
                <w:sz w:val="15"/>
                <w:szCs w:val="15"/>
                <w:color w:val="auto"/>
              </w:rPr>
              <w:t>Waiver of Certain Covenants  . . . .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59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20"/>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jc w:val="center"/>
        <w:ind w:right="3920"/>
        <w:spacing w:after="0"/>
        <w:rPr>
          <w:sz w:val="20"/>
          <w:szCs w:val="20"/>
          <w:color w:val="auto"/>
        </w:rPr>
      </w:pPr>
      <w:r>
        <w:rPr>
          <w:rFonts w:ascii="Courier New" w:cs="Courier New" w:eastAsia="Courier New" w:hAnsi="Courier New"/>
          <w:sz w:val="15"/>
          <w:szCs w:val="15"/>
          <w:color w:val="auto"/>
        </w:rPr>
        <w:t>SUBORDINATED INDENTURE</w:t>
      </w:r>
    </w:p>
    <w:p>
      <w:pPr>
        <w:spacing w:after="0" w:line="5" w:lineRule="exact"/>
        <w:rPr>
          <w:sz w:val="20"/>
          <w:szCs w:val="20"/>
          <w:color w:val="auto"/>
        </w:rPr>
      </w:pPr>
    </w:p>
    <w:p>
      <w:pPr>
        <w:jc w:val="center"/>
        <w:ind w:right="4020"/>
        <w:spacing w:after="0"/>
        <w:rPr>
          <w:sz w:val="20"/>
          <w:szCs w:val="20"/>
          <w:color w:val="auto"/>
        </w:rPr>
      </w:pPr>
      <w:r>
        <w:rPr>
          <w:rFonts w:ascii="Courier New" w:cs="Courier New" w:eastAsia="Courier New" w:hAnsi="Courier New"/>
          <w:sz w:val="15"/>
          <w:szCs w:val="15"/>
          <w:color w:val="auto"/>
        </w:rPr>
        <w:t>- iii -</w:t>
      </w:r>
    </w:p>
    <w:p>
      <w:pPr>
        <w:sectPr>
          <w:pgSz w:w="11900" w:h="16838" w:orient="portrait"/>
          <w:cols w:equalWidth="0" w:num="1">
            <w:col w:w="11180"/>
          </w:cols>
          <w:pgMar w:left="240" w:top="293" w:right="47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170"/>
        </w:trPr>
        <w:tc>
          <w:tcPr>
            <w:tcW w:w="1360" w:type="dxa"/>
            <w:vAlign w:val="bottom"/>
          </w:tcPr>
          <w:p>
            <w:pPr>
              <w:ind w:left="260"/>
              <w:spacing w:after="0"/>
              <w:rPr>
                <w:sz w:val="20"/>
                <w:szCs w:val="20"/>
                <w:color w:val="auto"/>
              </w:rPr>
            </w:pPr>
            <w:r>
              <w:rPr>
                <w:rFonts w:ascii="Courier New" w:cs="Courier New" w:eastAsia="Courier New" w:hAnsi="Courier New"/>
                <w:sz w:val="15"/>
                <w:szCs w:val="15"/>
                <w:color w:val="auto"/>
              </w:rPr>
              <w:t>6</w:t>
            </w:r>
          </w:p>
        </w:tc>
        <w:tc>
          <w:tcPr>
            <w:tcW w:w="954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524"/>
        </w:trPr>
        <w:tc>
          <w:tcPr>
            <w:tcW w:w="1360" w:type="dxa"/>
            <w:vAlign w:val="bottom"/>
          </w:tcPr>
          <w:p>
            <w:pPr>
              <w:spacing w:after="0"/>
              <w:rPr>
                <w:sz w:val="24"/>
                <w:szCs w:val="24"/>
                <w:color w:val="auto"/>
              </w:rPr>
            </w:pPr>
          </w:p>
        </w:tc>
        <w:tc>
          <w:tcPr>
            <w:tcW w:w="9540" w:type="dxa"/>
            <w:vAlign w:val="bottom"/>
          </w:tcPr>
          <w:p>
            <w:pPr>
              <w:jc w:val="center"/>
              <w:ind w:right="924"/>
              <w:spacing w:after="0"/>
              <w:rPr>
                <w:sz w:val="20"/>
                <w:szCs w:val="20"/>
                <w:color w:val="auto"/>
              </w:rPr>
            </w:pPr>
            <w:r>
              <w:rPr>
                <w:rFonts w:ascii="Courier New" w:cs="Courier New" w:eastAsia="Courier New" w:hAnsi="Courier New"/>
                <w:sz w:val="15"/>
                <w:szCs w:val="15"/>
                <w:color w:val="auto"/>
                <w:w w:val="99"/>
              </w:rPr>
              <w:t>ARTICLE ELEVEN</w:t>
            </w:r>
          </w:p>
        </w:tc>
        <w:tc>
          <w:tcPr>
            <w:tcW w:w="280" w:type="dxa"/>
            <w:vAlign w:val="bottom"/>
          </w:tcPr>
          <w:p>
            <w:pPr>
              <w:spacing w:after="0"/>
              <w:rPr>
                <w:sz w:val="24"/>
                <w:szCs w:val="24"/>
                <w:color w:val="auto"/>
              </w:rPr>
            </w:pPr>
          </w:p>
        </w:tc>
      </w:tr>
      <w:tr>
        <w:trPr>
          <w:trHeight w:val="175"/>
        </w:trPr>
        <w:tc>
          <w:tcPr>
            <w:tcW w:w="1360" w:type="dxa"/>
            <w:vAlign w:val="bottom"/>
          </w:tcPr>
          <w:p>
            <w:pPr>
              <w:spacing w:after="0"/>
              <w:rPr>
                <w:sz w:val="15"/>
                <w:szCs w:val="15"/>
                <w:color w:val="auto"/>
              </w:rPr>
            </w:pPr>
          </w:p>
        </w:tc>
        <w:tc>
          <w:tcPr>
            <w:tcW w:w="9540" w:type="dxa"/>
            <w:vAlign w:val="bottom"/>
          </w:tcPr>
          <w:p>
            <w:pPr>
              <w:jc w:val="center"/>
              <w:ind w:right="924"/>
              <w:spacing w:after="0"/>
              <w:rPr>
                <w:sz w:val="20"/>
                <w:szCs w:val="20"/>
                <w:color w:val="auto"/>
              </w:rPr>
            </w:pPr>
            <w:r>
              <w:rPr>
                <w:rFonts w:ascii="Courier New" w:cs="Courier New" w:eastAsia="Courier New" w:hAnsi="Courier New"/>
                <w:sz w:val="15"/>
                <w:szCs w:val="15"/>
                <w:color w:val="auto"/>
              </w:rPr>
              <w:t>REDEMPTION OF SECURITIES</w:t>
            </w:r>
          </w:p>
        </w:tc>
        <w:tc>
          <w:tcPr>
            <w:tcW w:w="280" w:type="dxa"/>
            <w:vAlign w:val="bottom"/>
          </w:tcPr>
          <w:p>
            <w:pPr>
              <w:spacing w:after="0"/>
              <w:rPr>
                <w:sz w:val="15"/>
                <w:szCs w:val="15"/>
                <w:color w:val="auto"/>
              </w:rPr>
            </w:pPr>
          </w:p>
        </w:tc>
      </w:tr>
      <w:tr>
        <w:trPr>
          <w:trHeight w:val="175"/>
        </w:trPr>
        <w:tc>
          <w:tcPr>
            <w:tcW w:w="1360" w:type="dxa"/>
            <w:vAlign w:val="bottom"/>
          </w:tcPr>
          <w:p>
            <w:pPr>
              <w:spacing w:after="0"/>
              <w:rPr>
                <w:sz w:val="20"/>
                <w:szCs w:val="20"/>
                <w:color w:val="auto"/>
              </w:rPr>
            </w:pPr>
            <w:r>
              <w:rPr>
                <w:rFonts w:ascii="Courier New" w:cs="Courier New" w:eastAsia="Courier New" w:hAnsi="Courier New"/>
                <w:sz w:val="15"/>
                <w:szCs w:val="15"/>
                <w:color w:val="auto"/>
              </w:rPr>
              <w:t>SECTION 1101.</w:t>
            </w:r>
          </w:p>
        </w:tc>
        <w:tc>
          <w:tcPr>
            <w:tcW w:w="9540" w:type="dxa"/>
            <w:vAlign w:val="bottom"/>
          </w:tcPr>
          <w:p>
            <w:pPr>
              <w:ind w:left="180"/>
              <w:spacing w:after="0"/>
              <w:rPr>
                <w:sz w:val="20"/>
                <w:szCs w:val="20"/>
                <w:color w:val="auto"/>
              </w:rPr>
            </w:pPr>
            <w:r>
              <w:rPr>
                <w:rFonts w:ascii="Courier New" w:cs="Courier New" w:eastAsia="Courier New" w:hAnsi="Courier New"/>
                <w:sz w:val="15"/>
                <w:szCs w:val="15"/>
                <w:color w:val="auto"/>
              </w:rPr>
              <w:t>Applicability of Article . . . . . .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59</w:t>
            </w:r>
          </w:p>
        </w:tc>
      </w:tr>
      <w:tr>
        <w:trPr>
          <w:trHeight w:val="175"/>
        </w:trPr>
        <w:tc>
          <w:tcPr>
            <w:tcW w:w="1360" w:type="dxa"/>
            <w:vAlign w:val="bottom"/>
          </w:tcPr>
          <w:p>
            <w:pPr>
              <w:spacing w:after="0"/>
              <w:rPr>
                <w:sz w:val="20"/>
                <w:szCs w:val="20"/>
                <w:color w:val="auto"/>
              </w:rPr>
            </w:pPr>
            <w:r>
              <w:rPr>
                <w:rFonts w:ascii="Courier New" w:cs="Courier New" w:eastAsia="Courier New" w:hAnsi="Courier New"/>
                <w:sz w:val="15"/>
                <w:szCs w:val="15"/>
                <w:color w:val="auto"/>
              </w:rPr>
              <w:t>SECTION 1102.</w:t>
            </w:r>
          </w:p>
        </w:tc>
        <w:tc>
          <w:tcPr>
            <w:tcW w:w="9540" w:type="dxa"/>
            <w:vAlign w:val="bottom"/>
          </w:tcPr>
          <w:p>
            <w:pPr>
              <w:ind w:left="180"/>
              <w:spacing w:after="0"/>
              <w:rPr>
                <w:sz w:val="20"/>
                <w:szCs w:val="20"/>
                <w:color w:val="auto"/>
              </w:rPr>
            </w:pPr>
            <w:r>
              <w:rPr>
                <w:rFonts w:ascii="Courier New" w:cs="Courier New" w:eastAsia="Courier New" w:hAnsi="Courier New"/>
                <w:sz w:val="15"/>
                <w:szCs w:val="15"/>
                <w:color w:val="auto"/>
              </w:rPr>
              <w:t>Election to Redeem; Notice to Trustee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59</w:t>
            </w:r>
          </w:p>
        </w:tc>
      </w:tr>
      <w:tr>
        <w:trPr>
          <w:trHeight w:val="175"/>
        </w:trPr>
        <w:tc>
          <w:tcPr>
            <w:tcW w:w="1360" w:type="dxa"/>
            <w:vAlign w:val="bottom"/>
          </w:tcPr>
          <w:p>
            <w:pPr>
              <w:spacing w:after="0"/>
              <w:rPr>
                <w:sz w:val="20"/>
                <w:szCs w:val="20"/>
                <w:color w:val="auto"/>
              </w:rPr>
            </w:pPr>
            <w:r>
              <w:rPr>
                <w:rFonts w:ascii="Courier New" w:cs="Courier New" w:eastAsia="Courier New" w:hAnsi="Courier New"/>
                <w:sz w:val="15"/>
                <w:szCs w:val="15"/>
                <w:color w:val="auto"/>
              </w:rPr>
              <w:t>SECTION 1103.</w:t>
            </w:r>
          </w:p>
        </w:tc>
        <w:tc>
          <w:tcPr>
            <w:tcW w:w="9540" w:type="dxa"/>
            <w:vAlign w:val="bottom"/>
          </w:tcPr>
          <w:p>
            <w:pPr>
              <w:ind w:left="180"/>
              <w:spacing w:after="0"/>
              <w:rPr>
                <w:sz w:val="20"/>
                <w:szCs w:val="20"/>
                <w:color w:val="auto"/>
              </w:rPr>
            </w:pPr>
            <w:r>
              <w:rPr>
                <w:rFonts w:ascii="Courier New" w:cs="Courier New" w:eastAsia="Courier New" w:hAnsi="Courier New"/>
                <w:sz w:val="15"/>
                <w:szCs w:val="15"/>
                <w:color w:val="auto"/>
              </w:rPr>
              <w:t>Selection of Securities to Be Redeemed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59</w:t>
            </w:r>
          </w:p>
        </w:tc>
      </w:tr>
      <w:tr>
        <w:trPr>
          <w:trHeight w:val="175"/>
        </w:trPr>
        <w:tc>
          <w:tcPr>
            <w:tcW w:w="1360" w:type="dxa"/>
            <w:vAlign w:val="bottom"/>
          </w:tcPr>
          <w:p>
            <w:pPr>
              <w:spacing w:after="0"/>
              <w:rPr>
                <w:sz w:val="20"/>
                <w:szCs w:val="20"/>
                <w:color w:val="auto"/>
              </w:rPr>
            </w:pPr>
            <w:r>
              <w:rPr>
                <w:rFonts w:ascii="Courier New" w:cs="Courier New" w:eastAsia="Courier New" w:hAnsi="Courier New"/>
                <w:sz w:val="15"/>
                <w:szCs w:val="15"/>
                <w:color w:val="auto"/>
              </w:rPr>
              <w:t>SECTION 1104.</w:t>
            </w:r>
          </w:p>
        </w:tc>
        <w:tc>
          <w:tcPr>
            <w:tcW w:w="9540" w:type="dxa"/>
            <w:vAlign w:val="bottom"/>
          </w:tcPr>
          <w:p>
            <w:pPr>
              <w:ind w:left="180"/>
              <w:spacing w:after="0"/>
              <w:rPr>
                <w:sz w:val="20"/>
                <w:szCs w:val="20"/>
                <w:color w:val="auto"/>
              </w:rPr>
            </w:pPr>
            <w:r>
              <w:rPr>
                <w:rFonts w:ascii="Courier New" w:cs="Courier New" w:eastAsia="Courier New" w:hAnsi="Courier New"/>
                <w:sz w:val="15"/>
                <w:szCs w:val="15"/>
                <w:color w:val="auto"/>
              </w:rPr>
              <w:t>Notice of Redemption . . . . . . . .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60</w:t>
            </w:r>
          </w:p>
        </w:tc>
      </w:tr>
      <w:tr>
        <w:trPr>
          <w:trHeight w:val="175"/>
        </w:trPr>
        <w:tc>
          <w:tcPr>
            <w:tcW w:w="1360" w:type="dxa"/>
            <w:vAlign w:val="bottom"/>
          </w:tcPr>
          <w:p>
            <w:pPr>
              <w:spacing w:after="0"/>
              <w:rPr>
                <w:sz w:val="20"/>
                <w:szCs w:val="20"/>
                <w:color w:val="auto"/>
              </w:rPr>
            </w:pPr>
            <w:r>
              <w:rPr>
                <w:rFonts w:ascii="Courier New" w:cs="Courier New" w:eastAsia="Courier New" w:hAnsi="Courier New"/>
                <w:sz w:val="15"/>
                <w:szCs w:val="15"/>
                <w:color w:val="auto"/>
              </w:rPr>
              <w:t>SECTION 1105.</w:t>
            </w:r>
          </w:p>
        </w:tc>
        <w:tc>
          <w:tcPr>
            <w:tcW w:w="9540" w:type="dxa"/>
            <w:vAlign w:val="bottom"/>
          </w:tcPr>
          <w:p>
            <w:pPr>
              <w:ind w:left="180"/>
              <w:spacing w:after="0"/>
              <w:rPr>
                <w:sz w:val="20"/>
                <w:szCs w:val="20"/>
                <w:color w:val="auto"/>
              </w:rPr>
            </w:pPr>
            <w:r>
              <w:rPr>
                <w:rFonts w:ascii="Courier New" w:cs="Courier New" w:eastAsia="Courier New" w:hAnsi="Courier New"/>
                <w:sz w:val="15"/>
                <w:szCs w:val="15"/>
                <w:color w:val="auto"/>
              </w:rPr>
              <w:t>Deposit of Redemption Price  . . . .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61</w:t>
            </w:r>
          </w:p>
        </w:tc>
      </w:tr>
      <w:tr>
        <w:trPr>
          <w:trHeight w:val="175"/>
        </w:trPr>
        <w:tc>
          <w:tcPr>
            <w:tcW w:w="1360" w:type="dxa"/>
            <w:vAlign w:val="bottom"/>
          </w:tcPr>
          <w:p>
            <w:pPr>
              <w:spacing w:after="0"/>
              <w:rPr>
                <w:sz w:val="20"/>
                <w:szCs w:val="20"/>
                <w:color w:val="auto"/>
              </w:rPr>
            </w:pPr>
            <w:r>
              <w:rPr>
                <w:rFonts w:ascii="Courier New" w:cs="Courier New" w:eastAsia="Courier New" w:hAnsi="Courier New"/>
                <w:sz w:val="15"/>
                <w:szCs w:val="15"/>
                <w:color w:val="auto"/>
              </w:rPr>
              <w:t>SECTION 1106.</w:t>
            </w:r>
          </w:p>
        </w:tc>
        <w:tc>
          <w:tcPr>
            <w:tcW w:w="9540" w:type="dxa"/>
            <w:vAlign w:val="bottom"/>
          </w:tcPr>
          <w:p>
            <w:pPr>
              <w:ind w:left="180"/>
              <w:spacing w:after="0"/>
              <w:rPr>
                <w:sz w:val="20"/>
                <w:szCs w:val="20"/>
                <w:color w:val="auto"/>
              </w:rPr>
            </w:pPr>
            <w:r>
              <w:rPr>
                <w:rFonts w:ascii="Courier New" w:cs="Courier New" w:eastAsia="Courier New" w:hAnsi="Courier New"/>
                <w:sz w:val="15"/>
                <w:szCs w:val="15"/>
                <w:color w:val="auto"/>
              </w:rPr>
              <w:t>Securities Payable on Redemption Date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61</w:t>
            </w:r>
          </w:p>
        </w:tc>
      </w:tr>
      <w:tr>
        <w:trPr>
          <w:trHeight w:val="175"/>
        </w:trPr>
        <w:tc>
          <w:tcPr>
            <w:tcW w:w="1360" w:type="dxa"/>
            <w:vAlign w:val="bottom"/>
          </w:tcPr>
          <w:p>
            <w:pPr>
              <w:spacing w:after="0"/>
              <w:rPr>
                <w:sz w:val="20"/>
                <w:szCs w:val="20"/>
                <w:color w:val="auto"/>
              </w:rPr>
            </w:pPr>
            <w:r>
              <w:rPr>
                <w:rFonts w:ascii="Courier New" w:cs="Courier New" w:eastAsia="Courier New" w:hAnsi="Courier New"/>
                <w:sz w:val="15"/>
                <w:szCs w:val="15"/>
                <w:color w:val="auto"/>
              </w:rPr>
              <w:t>SECTION 1107.</w:t>
            </w:r>
          </w:p>
        </w:tc>
        <w:tc>
          <w:tcPr>
            <w:tcW w:w="9540" w:type="dxa"/>
            <w:vAlign w:val="bottom"/>
          </w:tcPr>
          <w:p>
            <w:pPr>
              <w:ind w:left="180"/>
              <w:spacing w:after="0"/>
              <w:rPr>
                <w:sz w:val="20"/>
                <w:szCs w:val="20"/>
                <w:color w:val="auto"/>
              </w:rPr>
            </w:pPr>
            <w:r>
              <w:rPr>
                <w:rFonts w:ascii="Courier New" w:cs="Courier New" w:eastAsia="Courier New" w:hAnsi="Courier New"/>
                <w:sz w:val="15"/>
                <w:szCs w:val="15"/>
                <w:color w:val="auto"/>
              </w:rPr>
              <w:t>Securities Redeemed in Part  . . . .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62</w:t>
            </w:r>
          </w:p>
        </w:tc>
      </w:tr>
      <w:tr>
        <w:trPr>
          <w:trHeight w:val="350"/>
        </w:trPr>
        <w:tc>
          <w:tcPr>
            <w:tcW w:w="1360" w:type="dxa"/>
            <w:vAlign w:val="bottom"/>
          </w:tcPr>
          <w:p>
            <w:pPr>
              <w:spacing w:after="0"/>
              <w:rPr>
                <w:sz w:val="24"/>
                <w:szCs w:val="24"/>
                <w:color w:val="auto"/>
              </w:rPr>
            </w:pPr>
          </w:p>
        </w:tc>
        <w:tc>
          <w:tcPr>
            <w:tcW w:w="9540" w:type="dxa"/>
            <w:vAlign w:val="bottom"/>
          </w:tcPr>
          <w:p>
            <w:pPr>
              <w:jc w:val="center"/>
              <w:ind w:right="924"/>
              <w:spacing w:after="0"/>
              <w:rPr>
                <w:sz w:val="20"/>
                <w:szCs w:val="20"/>
                <w:color w:val="auto"/>
              </w:rPr>
            </w:pPr>
            <w:r>
              <w:rPr>
                <w:rFonts w:ascii="Courier New" w:cs="Courier New" w:eastAsia="Courier New" w:hAnsi="Courier New"/>
                <w:sz w:val="15"/>
                <w:szCs w:val="15"/>
                <w:color w:val="auto"/>
                <w:w w:val="99"/>
              </w:rPr>
              <w:t>ARTICLE TWELVE</w:t>
            </w:r>
          </w:p>
        </w:tc>
        <w:tc>
          <w:tcPr>
            <w:tcW w:w="280" w:type="dxa"/>
            <w:vAlign w:val="bottom"/>
          </w:tcPr>
          <w:p>
            <w:pPr>
              <w:spacing w:after="0"/>
              <w:rPr>
                <w:sz w:val="24"/>
                <w:szCs w:val="24"/>
                <w:color w:val="auto"/>
              </w:rPr>
            </w:pPr>
          </w:p>
        </w:tc>
      </w:tr>
      <w:tr>
        <w:trPr>
          <w:trHeight w:val="175"/>
        </w:trPr>
        <w:tc>
          <w:tcPr>
            <w:tcW w:w="1360" w:type="dxa"/>
            <w:vAlign w:val="bottom"/>
          </w:tcPr>
          <w:p>
            <w:pPr>
              <w:spacing w:after="0"/>
              <w:rPr>
                <w:sz w:val="15"/>
                <w:szCs w:val="15"/>
                <w:color w:val="auto"/>
              </w:rPr>
            </w:pPr>
          </w:p>
        </w:tc>
        <w:tc>
          <w:tcPr>
            <w:tcW w:w="9540" w:type="dxa"/>
            <w:vAlign w:val="bottom"/>
          </w:tcPr>
          <w:p>
            <w:pPr>
              <w:ind w:left="3640"/>
              <w:spacing w:after="0"/>
              <w:rPr>
                <w:sz w:val="20"/>
                <w:szCs w:val="20"/>
                <w:color w:val="auto"/>
              </w:rPr>
            </w:pPr>
            <w:r>
              <w:rPr>
                <w:rFonts w:ascii="Courier New" w:cs="Courier New" w:eastAsia="Courier New" w:hAnsi="Courier New"/>
                <w:sz w:val="15"/>
                <w:szCs w:val="15"/>
                <w:color w:val="auto"/>
              </w:rPr>
              <w:t>SINKING FUNDS</w:t>
            </w:r>
          </w:p>
        </w:tc>
        <w:tc>
          <w:tcPr>
            <w:tcW w:w="280" w:type="dxa"/>
            <w:vAlign w:val="bottom"/>
          </w:tcPr>
          <w:p>
            <w:pPr>
              <w:spacing w:after="0"/>
              <w:rPr>
                <w:sz w:val="15"/>
                <w:szCs w:val="15"/>
                <w:color w:val="auto"/>
              </w:rPr>
            </w:pPr>
          </w:p>
        </w:tc>
      </w:tr>
      <w:tr>
        <w:trPr>
          <w:trHeight w:val="175"/>
        </w:trPr>
        <w:tc>
          <w:tcPr>
            <w:tcW w:w="1360" w:type="dxa"/>
            <w:vAlign w:val="bottom"/>
          </w:tcPr>
          <w:p>
            <w:pPr>
              <w:spacing w:after="0"/>
              <w:rPr>
                <w:sz w:val="20"/>
                <w:szCs w:val="20"/>
                <w:color w:val="auto"/>
              </w:rPr>
            </w:pPr>
            <w:r>
              <w:rPr>
                <w:rFonts w:ascii="Courier New" w:cs="Courier New" w:eastAsia="Courier New" w:hAnsi="Courier New"/>
                <w:sz w:val="15"/>
                <w:szCs w:val="15"/>
                <w:color w:val="auto"/>
              </w:rPr>
              <w:t>SECTION 1201.</w:t>
            </w:r>
          </w:p>
        </w:tc>
        <w:tc>
          <w:tcPr>
            <w:tcW w:w="9540" w:type="dxa"/>
            <w:vAlign w:val="bottom"/>
          </w:tcPr>
          <w:p>
            <w:pPr>
              <w:ind w:left="180"/>
              <w:spacing w:after="0"/>
              <w:rPr>
                <w:sz w:val="20"/>
                <w:szCs w:val="20"/>
                <w:color w:val="auto"/>
              </w:rPr>
            </w:pPr>
            <w:r>
              <w:rPr>
                <w:rFonts w:ascii="Courier New" w:cs="Courier New" w:eastAsia="Courier New" w:hAnsi="Courier New"/>
                <w:sz w:val="15"/>
                <w:szCs w:val="15"/>
                <w:color w:val="auto"/>
              </w:rPr>
              <w:t>Applicability of Article . . . . . .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63</w:t>
            </w:r>
          </w:p>
        </w:tc>
      </w:tr>
      <w:tr>
        <w:trPr>
          <w:trHeight w:val="175"/>
        </w:trPr>
        <w:tc>
          <w:tcPr>
            <w:tcW w:w="1360" w:type="dxa"/>
            <w:vAlign w:val="bottom"/>
          </w:tcPr>
          <w:p>
            <w:pPr>
              <w:spacing w:after="0"/>
              <w:rPr>
                <w:sz w:val="20"/>
                <w:szCs w:val="20"/>
                <w:color w:val="auto"/>
              </w:rPr>
            </w:pPr>
            <w:r>
              <w:rPr>
                <w:rFonts w:ascii="Courier New" w:cs="Courier New" w:eastAsia="Courier New" w:hAnsi="Courier New"/>
                <w:sz w:val="15"/>
                <w:szCs w:val="15"/>
                <w:color w:val="auto"/>
              </w:rPr>
              <w:t>SECTION 1202.</w:t>
            </w:r>
          </w:p>
        </w:tc>
        <w:tc>
          <w:tcPr>
            <w:tcW w:w="9540" w:type="dxa"/>
            <w:vAlign w:val="bottom"/>
          </w:tcPr>
          <w:p>
            <w:pPr>
              <w:ind w:left="180"/>
              <w:spacing w:after="0"/>
              <w:rPr>
                <w:sz w:val="20"/>
                <w:szCs w:val="20"/>
                <w:color w:val="auto"/>
              </w:rPr>
            </w:pPr>
            <w:r>
              <w:rPr>
                <w:rFonts w:ascii="Courier New" w:cs="Courier New" w:eastAsia="Courier New" w:hAnsi="Courier New"/>
                <w:sz w:val="15"/>
                <w:szCs w:val="15"/>
                <w:color w:val="auto"/>
              </w:rPr>
              <w:t>Satisfaction of Sinking Fund Payments with Securities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63</w:t>
            </w:r>
          </w:p>
        </w:tc>
      </w:tr>
      <w:tr>
        <w:trPr>
          <w:trHeight w:val="175"/>
        </w:trPr>
        <w:tc>
          <w:tcPr>
            <w:tcW w:w="1360" w:type="dxa"/>
            <w:vAlign w:val="bottom"/>
          </w:tcPr>
          <w:p>
            <w:pPr>
              <w:spacing w:after="0"/>
              <w:rPr>
                <w:sz w:val="20"/>
                <w:szCs w:val="20"/>
                <w:color w:val="auto"/>
              </w:rPr>
            </w:pPr>
            <w:r>
              <w:rPr>
                <w:rFonts w:ascii="Courier New" w:cs="Courier New" w:eastAsia="Courier New" w:hAnsi="Courier New"/>
                <w:sz w:val="15"/>
                <w:szCs w:val="15"/>
                <w:color w:val="auto"/>
              </w:rPr>
              <w:t>SECTION 1203.</w:t>
            </w:r>
          </w:p>
        </w:tc>
        <w:tc>
          <w:tcPr>
            <w:tcW w:w="9540" w:type="dxa"/>
            <w:vAlign w:val="bottom"/>
          </w:tcPr>
          <w:p>
            <w:pPr>
              <w:ind w:left="180"/>
              <w:spacing w:after="0"/>
              <w:rPr>
                <w:sz w:val="20"/>
                <w:szCs w:val="20"/>
                <w:color w:val="auto"/>
              </w:rPr>
            </w:pPr>
            <w:r>
              <w:rPr>
                <w:rFonts w:ascii="Courier New" w:cs="Courier New" w:eastAsia="Courier New" w:hAnsi="Courier New"/>
                <w:sz w:val="15"/>
                <w:szCs w:val="15"/>
                <w:color w:val="auto"/>
              </w:rPr>
              <w:t>Redemption of Securities for Sinking Fund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63</w:t>
            </w:r>
          </w:p>
        </w:tc>
      </w:tr>
      <w:tr>
        <w:trPr>
          <w:trHeight w:val="350"/>
        </w:trPr>
        <w:tc>
          <w:tcPr>
            <w:tcW w:w="1360" w:type="dxa"/>
            <w:vAlign w:val="bottom"/>
          </w:tcPr>
          <w:p>
            <w:pPr>
              <w:spacing w:after="0"/>
              <w:rPr>
                <w:sz w:val="24"/>
                <w:szCs w:val="24"/>
                <w:color w:val="auto"/>
              </w:rPr>
            </w:pPr>
          </w:p>
        </w:tc>
        <w:tc>
          <w:tcPr>
            <w:tcW w:w="9540" w:type="dxa"/>
            <w:vAlign w:val="bottom"/>
          </w:tcPr>
          <w:p>
            <w:pPr>
              <w:jc w:val="center"/>
              <w:ind w:right="924"/>
              <w:spacing w:after="0"/>
              <w:rPr>
                <w:sz w:val="20"/>
                <w:szCs w:val="20"/>
                <w:color w:val="auto"/>
              </w:rPr>
            </w:pPr>
            <w:r>
              <w:rPr>
                <w:rFonts w:ascii="Courier New" w:cs="Courier New" w:eastAsia="Courier New" w:hAnsi="Courier New"/>
                <w:sz w:val="15"/>
                <w:szCs w:val="15"/>
                <w:color w:val="auto"/>
              </w:rPr>
              <w:t>ARTICLE THIRTEEN</w:t>
            </w:r>
          </w:p>
        </w:tc>
        <w:tc>
          <w:tcPr>
            <w:tcW w:w="280" w:type="dxa"/>
            <w:vAlign w:val="bottom"/>
          </w:tcPr>
          <w:p>
            <w:pPr>
              <w:spacing w:after="0"/>
              <w:rPr>
                <w:sz w:val="24"/>
                <w:szCs w:val="24"/>
                <w:color w:val="auto"/>
              </w:rPr>
            </w:pPr>
          </w:p>
        </w:tc>
      </w:tr>
      <w:tr>
        <w:trPr>
          <w:trHeight w:val="175"/>
        </w:trPr>
        <w:tc>
          <w:tcPr>
            <w:tcW w:w="1360" w:type="dxa"/>
            <w:vAlign w:val="bottom"/>
          </w:tcPr>
          <w:p>
            <w:pPr>
              <w:spacing w:after="0"/>
              <w:rPr>
                <w:sz w:val="15"/>
                <w:szCs w:val="15"/>
                <w:color w:val="auto"/>
              </w:rPr>
            </w:pPr>
          </w:p>
        </w:tc>
        <w:tc>
          <w:tcPr>
            <w:tcW w:w="9540" w:type="dxa"/>
            <w:vAlign w:val="bottom"/>
          </w:tcPr>
          <w:p>
            <w:pPr>
              <w:jc w:val="center"/>
              <w:ind w:right="924"/>
              <w:spacing w:after="0"/>
              <w:rPr>
                <w:sz w:val="20"/>
                <w:szCs w:val="20"/>
                <w:color w:val="auto"/>
              </w:rPr>
            </w:pPr>
            <w:r>
              <w:rPr>
                <w:rFonts w:ascii="Courier New" w:cs="Courier New" w:eastAsia="Courier New" w:hAnsi="Courier New"/>
                <w:sz w:val="15"/>
                <w:szCs w:val="15"/>
                <w:color w:val="auto"/>
              </w:rPr>
              <w:t>DEFEASANCE AND COVENANT DEFEASANCE</w:t>
            </w:r>
          </w:p>
        </w:tc>
        <w:tc>
          <w:tcPr>
            <w:tcW w:w="280" w:type="dxa"/>
            <w:vAlign w:val="bottom"/>
          </w:tcPr>
          <w:p>
            <w:pPr>
              <w:spacing w:after="0"/>
              <w:rPr>
                <w:sz w:val="15"/>
                <w:szCs w:val="15"/>
                <w:color w:val="auto"/>
              </w:rPr>
            </w:pPr>
          </w:p>
        </w:tc>
      </w:tr>
      <w:tr>
        <w:trPr>
          <w:trHeight w:val="175"/>
        </w:trPr>
        <w:tc>
          <w:tcPr>
            <w:tcW w:w="1360" w:type="dxa"/>
            <w:vAlign w:val="bottom"/>
          </w:tcPr>
          <w:p>
            <w:pPr>
              <w:spacing w:after="0"/>
              <w:rPr>
                <w:sz w:val="20"/>
                <w:szCs w:val="20"/>
                <w:color w:val="auto"/>
              </w:rPr>
            </w:pPr>
            <w:r>
              <w:rPr>
                <w:rFonts w:ascii="Courier New" w:cs="Courier New" w:eastAsia="Courier New" w:hAnsi="Courier New"/>
                <w:sz w:val="15"/>
                <w:szCs w:val="15"/>
                <w:color w:val="auto"/>
              </w:rPr>
              <w:t>SECTION 1301.</w:t>
            </w:r>
          </w:p>
        </w:tc>
        <w:tc>
          <w:tcPr>
            <w:tcW w:w="9540" w:type="dxa"/>
            <w:vAlign w:val="bottom"/>
          </w:tcPr>
          <w:p>
            <w:pPr>
              <w:ind w:left="180"/>
              <w:spacing w:after="0"/>
              <w:rPr>
                <w:sz w:val="20"/>
                <w:szCs w:val="20"/>
                <w:color w:val="auto"/>
              </w:rPr>
            </w:pPr>
            <w:r>
              <w:rPr>
                <w:rFonts w:ascii="Courier New" w:cs="Courier New" w:eastAsia="Courier New" w:hAnsi="Courier New"/>
                <w:sz w:val="15"/>
                <w:szCs w:val="15"/>
                <w:color w:val="auto"/>
              </w:rPr>
              <w:t>Company's Option to Effect Defeasance or Covenant Defeasance.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64</w:t>
            </w:r>
          </w:p>
        </w:tc>
      </w:tr>
      <w:tr>
        <w:trPr>
          <w:trHeight w:val="175"/>
        </w:trPr>
        <w:tc>
          <w:tcPr>
            <w:tcW w:w="1360" w:type="dxa"/>
            <w:vAlign w:val="bottom"/>
          </w:tcPr>
          <w:p>
            <w:pPr>
              <w:spacing w:after="0"/>
              <w:rPr>
                <w:sz w:val="20"/>
                <w:szCs w:val="20"/>
                <w:color w:val="auto"/>
              </w:rPr>
            </w:pPr>
            <w:r>
              <w:rPr>
                <w:rFonts w:ascii="Courier New" w:cs="Courier New" w:eastAsia="Courier New" w:hAnsi="Courier New"/>
                <w:sz w:val="15"/>
                <w:szCs w:val="15"/>
                <w:color w:val="auto"/>
              </w:rPr>
              <w:t>SECTION 1302.</w:t>
            </w:r>
          </w:p>
        </w:tc>
        <w:tc>
          <w:tcPr>
            <w:tcW w:w="9540" w:type="dxa"/>
            <w:vAlign w:val="bottom"/>
          </w:tcPr>
          <w:p>
            <w:pPr>
              <w:ind w:left="180"/>
              <w:spacing w:after="0"/>
              <w:rPr>
                <w:sz w:val="20"/>
                <w:szCs w:val="20"/>
                <w:color w:val="auto"/>
              </w:rPr>
            </w:pPr>
            <w:r>
              <w:rPr>
                <w:rFonts w:ascii="Courier New" w:cs="Courier New" w:eastAsia="Courier New" w:hAnsi="Courier New"/>
                <w:sz w:val="15"/>
                <w:szCs w:val="15"/>
                <w:color w:val="auto"/>
              </w:rPr>
              <w:t>Defeasance and Discharge . . . . . .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64</w:t>
            </w:r>
          </w:p>
        </w:tc>
      </w:tr>
      <w:tr>
        <w:trPr>
          <w:trHeight w:val="175"/>
        </w:trPr>
        <w:tc>
          <w:tcPr>
            <w:tcW w:w="1360" w:type="dxa"/>
            <w:vAlign w:val="bottom"/>
          </w:tcPr>
          <w:p>
            <w:pPr>
              <w:spacing w:after="0"/>
              <w:rPr>
                <w:sz w:val="20"/>
                <w:szCs w:val="20"/>
                <w:color w:val="auto"/>
              </w:rPr>
            </w:pPr>
            <w:r>
              <w:rPr>
                <w:rFonts w:ascii="Courier New" w:cs="Courier New" w:eastAsia="Courier New" w:hAnsi="Courier New"/>
                <w:sz w:val="15"/>
                <w:szCs w:val="15"/>
                <w:color w:val="auto"/>
              </w:rPr>
              <w:t>SECTION 1303.</w:t>
            </w:r>
          </w:p>
        </w:tc>
        <w:tc>
          <w:tcPr>
            <w:tcW w:w="9540" w:type="dxa"/>
            <w:vAlign w:val="bottom"/>
          </w:tcPr>
          <w:p>
            <w:pPr>
              <w:ind w:left="180"/>
              <w:spacing w:after="0"/>
              <w:rPr>
                <w:sz w:val="20"/>
                <w:szCs w:val="20"/>
                <w:color w:val="auto"/>
              </w:rPr>
            </w:pPr>
            <w:r>
              <w:rPr>
                <w:rFonts w:ascii="Courier New" w:cs="Courier New" w:eastAsia="Courier New" w:hAnsi="Courier New"/>
                <w:sz w:val="15"/>
                <w:szCs w:val="15"/>
                <w:color w:val="auto"/>
              </w:rPr>
              <w:t>Covenant Defeasance  . . . . . . . .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64</w:t>
            </w:r>
          </w:p>
        </w:tc>
      </w:tr>
      <w:tr>
        <w:trPr>
          <w:trHeight w:val="175"/>
        </w:trPr>
        <w:tc>
          <w:tcPr>
            <w:tcW w:w="1360" w:type="dxa"/>
            <w:vAlign w:val="bottom"/>
          </w:tcPr>
          <w:p>
            <w:pPr>
              <w:spacing w:after="0"/>
              <w:rPr>
                <w:sz w:val="20"/>
                <w:szCs w:val="20"/>
                <w:color w:val="auto"/>
              </w:rPr>
            </w:pPr>
            <w:r>
              <w:rPr>
                <w:rFonts w:ascii="Courier New" w:cs="Courier New" w:eastAsia="Courier New" w:hAnsi="Courier New"/>
                <w:sz w:val="15"/>
                <w:szCs w:val="15"/>
                <w:color w:val="auto"/>
              </w:rPr>
              <w:t>SECTION 1304.</w:t>
            </w:r>
          </w:p>
        </w:tc>
        <w:tc>
          <w:tcPr>
            <w:tcW w:w="9540" w:type="dxa"/>
            <w:vAlign w:val="bottom"/>
          </w:tcPr>
          <w:p>
            <w:pPr>
              <w:ind w:left="180"/>
              <w:spacing w:after="0"/>
              <w:rPr>
                <w:sz w:val="20"/>
                <w:szCs w:val="20"/>
                <w:color w:val="auto"/>
              </w:rPr>
            </w:pPr>
            <w:r>
              <w:rPr>
                <w:rFonts w:ascii="Courier New" w:cs="Courier New" w:eastAsia="Courier New" w:hAnsi="Courier New"/>
                <w:sz w:val="15"/>
                <w:szCs w:val="15"/>
                <w:color w:val="auto"/>
              </w:rPr>
              <w:t>Conditions to Defeasance or Covenant Defeasance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65</w:t>
            </w:r>
          </w:p>
        </w:tc>
      </w:tr>
      <w:tr>
        <w:trPr>
          <w:trHeight w:val="175"/>
        </w:trPr>
        <w:tc>
          <w:tcPr>
            <w:tcW w:w="1360" w:type="dxa"/>
            <w:vAlign w:val="bottom"/>
          </w:tcPr>
          <w:p>
            <w:pPr>
              <w:spacing w:after="0"/>
              <w:rPr>
                <w:sz w:val="20"/>
                <w:szCs w:val="20"/>
                <w:color w:val="auto"/>
              </w:rPr>
            </w:pPr>
            <w:r>
              <w:rPr>
                <w:rFonts w:ascii="Courier New" w:cs="Courier New" w:eastAsia="Courier New" w:hAnsi="Courier New"/>
                <w:sz w:val="15"/>
                <w:szCs w:val="15"/>
                <w:color w:val="auto"/>
              </w:rPr>
              <w:t>SECTION 1305.</w:t>
            </w:r>
          </w:p>
        </w:tc>
        <w:tc>
          <w:tcPr>
            <w:tcW w:w="9540" w:type="dxa"/>
            <w:vAlign w:val="bottom"/>
          </w:tcPr>
          <w:p>
            <w:pPr>
              <w:ind w:left="180"/>
              <w:spacing w:after="0"/>
              <w:rPr>
                <w:sz w:val="20"/>
                <w:szCs w:val="20"/>
                <w:color w:val="auto"/>
              </w:rPr>
            </w:pPr>
            <w:r>
              <w:rPr>
                <w:rFonts w:ascii="Courier New" w:cs="Courier New" w:eastAsia="Courier New" w:hAnsi="Courier New"/>
                <w:sz w:val="15"/>
                <w:szCs w:val="15"/>
                <w:color w:val="auto"/>
              </w:rPr>
              <w:t>Deposited Money and U.S. Government Obligations to Be Held</w:t>
            </w:r>
          </w:p>
        </w:tc>
        <w:tc>
          <w:tcPr>
            <w:tcW w:w="280" w:type="dxa"/>
            <w:vAlign w:val="bottom"/>
          </w:tcPr>
          <w:p>
            <w:pPr>
              <w:spacing w:after="0"/>
              <w:rPr>
                <w:sz w:val="15"/>
                <w:szCs w:val="15"/>
                <w:color w:val="auto"/>
              </w:rPr>
            </w:pPr>
          </w:p>
        </w:tc>
      </w:tr>
      <w:tr>
        <w:trPr>
          <w:trHeight w:val="175"/>
        </w:trPr>
        <w:tc>
          <w:tcPr>
            <w:tcW w:w="1360" w:type="dxa"/>
            <w:vAlign w:val="bottom"/>
          </w:tcPr>
          <w:p>
            <w:pPr>
              <w:spacing w:after="0"/>
              <w:rPr>
                <w:sz w:val="15"/>
                <w:szCs w:val="15"/>
                <w:color w:val="auto"/>
              </w:rPr>
            </w:pPr>
          </w:p>
        </w:tc>
        <w:tc>
          <w:tcPr>
            <w:tcW w:w="9540" w:type="dxa"/>
            <w:vAlign w:val="bottom"/>
          </w:tcPr>
          <w:p>
            <w:pPr>
              <w:ind w:left="1000"/>
              <w:spacing w:after="0"/>
              <w:rPr>
                <w:sz w:val="20"/>
                <w:szCs w:val="20"/>
                <w:color w:val="auto"/>
              </w:rPr>
            </w:pPr>
            <w:r>
              <w:rPr>
                <w:rFonts w:ascii="Courier New" w:cs="Courier New" w:eastAsia="Courier New" w:hAnsi="Courier New"/>
                <w:sz w:val="15"/>
                <w:szCs w:val="15"/>
                <w:color w:val="auto"/>
              </w:rPr>
              <w:t>in Trust; Other Miscellaneous Provisions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67</w:t>
            </w:r>
          </w:p>
        </w:tc>
      </w:tr>
      <w:tr>
        <w:trPr>
          <w:trHeight w:val="175"/>
        </w:trPr>
        <w:tc>
          <w:tcPr>
            <w:tcW w:w="1360" w:type="dxa"/>
            <w:vAlign w:val="bottom"/>
          </w:tcPr>
          <w:p>
            <w:pPr>
              <w:spacing w:after="0"/>
              <w:rPr>
                <w:sz w:val="20"/>
                <w:szCs w:val="20"/>
                <w:color w:val="auto"/>
              </w:rPr>
            </w:pPr>
            <w:r>
              <w:rPr>
                <w:rFonts w:ascii="Courier New" w:cs="Courier New" w:eastAsia="Courier New" w:hAnsi="Courier New"/>
                <w:sz w:val="15"/>
                <w:szCs w:val="15"/>
                <w:color w:val="auto"/>
              </w:rPr>
              <w:t>SECTION 1306.</w:t>
            </w:r>
          </w:p>
        </w:tc>
        <w:tc>
          <w:tcPr>
            <w:tcW w:w="9540" w:type="dxa"/>
            <w:vAlign w:val="bottom"/>
          </w:tcPr>
          <w:p>
            <w:pPr>
              <w:ind w:left="180"/>
              <w:spacing w:after="0"/>
              <w:rPr>
                <w:sz w:val="20"/>
                <w:szCs w:val="20"/>
                <w:color w:val="auto"/>
              </w:rPr>
            </w:pPr>
            <w:r>
              <w:rPr>
                <w:rFonts w:ascii="Courier New" w:cs="Courier New" w:eastAsia="Courier New" w:hAnsi="Courier New"/>
                <w:sz w:val="15"/>
                <w:szCs w:val="15"/>
                <w:color w:val="auto"/>
              </w:rPr>
              <w:t>Reinstatement  . . . . . . . . . . .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67</w:t>
            </w:r>
          </w:p>
        </w:tc>
      </w:tr>
      <w:tr>
        <w:trPr>
          <w:trHeight w:val="350"/>
        </w:trPr>
        <w:tc>
          <w:tcPr>
            <w:tcW w:w="1360" w:type="dxa"/>
            <w:vAlign w:val="bottom"/>
          </w:tcPr>
          <w:p>
            <w:pPr>
              <w:spacing w:after="0"/>
              <w:rPr>
                <w:sz w:val="24"/>
                <w:szCs w:val="24"/>
                <w:color w:val="auto"/>
              </w:rPr>
            </w:pPr>
          </w:p>
        </w:tc>
        <w:tc>
          <w:tcPr>
            <w:tcW w:w="9540" w:type="dxa"/>
            <w:vAlign w:val="bottom"/>
          </w:tcPr>
          <w:p>
            <w:pPr>
              <w:jc w:val="center"/>
              <w:ind w:right="924"/>
              <w:spacing w:after="0"/>
              <w:rPr>
                <w:sz w:val="20"/>
                <w:szCs w:val="20"/>
                <w:color w:val="auto"/>
              </w:rPr>
            </w:pPr>
            <w:r>
              <w:rPr>
                <w:rFonts w:ascii="Courier New" w:cs="Courier New" w:eastAsia="Courier New" w:hAnsi="Courier New"/>
                <w:sz w:val="15"/>
                <w:szCs w:val="15"/>
                <w:color w:val="auto"/>
              </w:rPr>
              <w:t>ARTICLE FOURTEEN</w:t>
            </w:r>
          </w:p>
        </w:tc>
        <w:tc>
          <w:tcPr>
            <w:tcW w:w="280" w:type="dxa"/>
            <w:vAlign w:val="bottom"/>
          </w:tcPr>
          <w:p>
            <w:pPr>
              <w:spacing w:after="0"/>
              <w:rPr>
                <w:sz w:val="24"/>
                <w:szCs w:val="24"/>
                <w:color w:val="auto"/>
              </w:rPr>
            </w:pPr>
          </w:p>
        </w:tc>
      </w:tr>
      <w:tr>
        <w:trPr>
          <w:trHeight w:val="175"/>
        </w:trPr>
        <w:tc>
          <w:tcPr>
            <w:tcW w:w="1360" w:type="dxa"/>
            <w:vAlign w:val="bottom"/>
          </w:tcPr>
          <w:p>
            <w:pPr>
              <w:spacing w:after="0"/>
              <w:rPr>
                <w:sz w:val="15"/>
                <w:szCs w:val="15"/>
                <w:color w:val="auto"/>
              </w:rPr>
            </w:pPr>
          </w:p>
        </w:tc>
        <w:tc>
          <w:tcPr>
            <w:tcW w:w="9540" w:type="dxa"/>
            <w:vAlign w:val="bottom"/>
          </w:tcPr>
          <w:p>
            <w:pPr>
              <w:ind w:left="2720"/>
              <w:spacing w:after="0"/>
              <w:rPr>
                <w:sz w:val="20"/>
                <w:szCs w:val="20"/>
                <w:color w:val="auto"/>
              </w:rPr>
            </w:pPr>
            <w:r>
              <w:rPr>
                <w:rFonts w:ascii="Courier New" w:cs="Courier New" w:eastAsia="Courier New" w:hAnsi="Courier New"/>
                <w:sz w:val="15"/>
                <w:szCs w:val="15"/>
                <w:color w:val="auto"/>
              </w:rPr>
              <w:t>MEETINGS OF HOLDERS OF SECURITIES</w:t>
            </w:r>
          </w:p>
        </w:tc>
        <w:tc>
          <w:tcPr>
            <w:tcW w:w="280" w:type="dxa"/>
            <w:vAlign w:val="bottom"/>
          </w:tcPr>
          <w:p>
            <w:pPr>
              <w:spacing w:after="0"/>
              <w:rPr>
                <w:sz w:val="15"/>
                <w:szCs w:val="15"/>
                <w:color w:val="auto"/>
              </w:rPr>
            </w:pPr>
          </w:p>
        </w:tc>
      </w:tr>
      <w:tr>
        <w:trPr>
          <w:trHeight w:val="175"/>
        </w:trPr>
        <w:tc>
          <w:tcPr>
            <w:tcW w:w="1360" w:type="dxa"/>
            <w:vAlign w:val="bottom"/>
          </w:tcPr>
          <w:p>
            <w:pPr>
              <w:spacing w:after="0"/>
              <w:rPr>
                <w:sz w:val="20"/>
                <w:szCs w:val="20"/>
                <w:color w:val="auto"/>
              </w:rPr>
            </w:pPr>
            <w:r>
              <w:rPr>
                <w:rFonts w:ascii="Courier New" w:cs="Courier New" w:eastAsia="Courier New" w:hAnsi="Courier New"/>
                <w:sz w:val="15"/>
                <w:szCs w:val="15"/>
                <w:color w:val="auto"/>
              </w:rPr>
              <w:t>SECTION 1401.</w:t>
            </w:r>
          </w:p>
        </w:tc>
        <w:tc>
          <w:tcPr>
            <w:tcW w:w="9540" w:type="dxa"/>
            <w:vAlign w:val="bottom"/>
          </w:tcPr>
          <w:p>
            <w:pPr>
              <w:ind w:left="180"/>
              <w:spacing w:after="0"/>
              <w:rPr>
                <w:sz w:val="20"/>
                <w:szCs w:val="20"/>
                <w:color w:val="auto"/>
              </w:rPr>
            </w:pPr>
            <w:r>
              <w:rPr>
                <w:rFonts w:ascii="Courier New" w:cs="Courier New" w:eastAsia="Courier New" w:hAnsi="Courier New"/>
                <w:sz w:val="15"/>
                <w:szCs w:val="15"/>
                <w:color w:val="auto"/>
              </w:rPr>
              <w:t>Purposes for Which Meetings May Be Called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68</w:t>
            </w:r>
          </w:p>
        </w:tc>
      </w:tr>
      <w:tr>
        <w:trPr>
          <w:trHeight w:val="175"/>
        </w:trPr>
        <w:tc>
          <w:tcPr>
            <w:tcW w:w="1360" w:type="dxa"/>
            <w:vAlign w:val="bottom"/>
          </w:tcPr>
          <w:p>
            <w:pPr>
              <w:spacing w:after="0"/>
              <w:rPr>
                <w:sz w:val="20"/>
                <w:szCs w:val="20"/>
                <w:color w:val="auto"/>
              </w:rPr>
            </w:pPr>
            <w:r>
              <w:rPr>
                <w:rFonts w:ascii="Courier New" w:cs="Courier New" w:eastAsia="Courier New" w:hAnsi="Courier New"/>
                <w:sz w:val="15"/>
                <w:szCs w:val="15"/>
                <w:color w:val="auto"/>
              </w:rPr>
              <w:t>SECTION 1402.</w:t>
            </w:r>
          </w:p>
        </w:tc>
        <w:tc>
          <w:tcPr>
            <w:tcW w:w="9540" w:type="dxa"/>
            <w:vAlign w:val="bottom"/>
          </w:tcPr>
          <w:p>
            <w:pPr>
              <w:ind w:left="180"/>
              <w:spacing w:after="0"/>
              <w:rPr>
                <w:sz w:val="20"/>
                <w:szCs w:val="20"/>
                <w:color w:val="auto"/>
              </w:rPr>
            </w:pPr>
            <w:r>
              <w:rPr>
                <w:rFonts w:ascii="Courier New" w:cs="Courier New" w:eastAsia="Courier New" w:hAnsi="Courier New"/>
                <w:sz w:val="15"/>
                <w:szCs w:val="15"/>
                <w:color w:val="auto"/>
              </w:rPr>
              <w:t>Call, Notice and Place of Meetings .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68</w:t>
            </w:r>
          </w:p>
        </w:tc>
      </w:tr>
      <w:tr>
        <w:trPr>
          <w:trHeight w:val="175"/>
        </w:trPr>
        <w:tc>
          <w:tcPr>
            <w:tcW w:w="1360" w:type="dxa"/>
            <w:vAlign w:val="bottom"/>
          </w:tcPr>
          <w:p>
            <w:pPr>
              <w:spacing w:after="0"/>
              <w:rPr>
                <w:sz w:val="20"/>
                <w:szCs w:val="20"/>
                <w:color w:val="auto"/>
              </w:rPr>
            </w:pPr>
            <w:r>
              <w:rPr>
                <w:rFonts w:ascii="Courier New" w:cs="Courier New" w:eastAsia="Courier New" w:hAnsi="Courier New"/>
                <w:sz w:val="15"/>
                <w:szCs w:val="15"/>
                <w:color w:val="auto"/>
              </w:rPr>
              <w:t>SECTION 1403.</w:t>
            </w:r>
          </w:p>
        </w:tc>
        <w:tc>
          <w:tcPr>
            <w:tcW w:w="9540" w:type="dxa"/>
            <w:vAlign w:val="bottom"/>
          </w:tcPr>
          <w:p>
            <w:pPr>
              <w:ind w:left="180"/>
              <w:spacing w:after="0"/>
              <w:rPr>
                <w:sz w:val="20"/>
                <w:szCs w:val="20"/>
                <w:color w:val="auto"/>
              </w:rPr>
            </w:pPr>
            <w:r>
              <w:rPr>
                <w:rFonts w:ascii="Courier New" w:cs="Courier New" w:eastAsia="Courier New" w:hAnsi="Courier New"/>
                <w:sz w:val="15"/>
                <w:szCs w:val="15"/>
                <w:color w:val="auto"/>
              </w:rPr>
              <w:t>Persons Entitled to Vote at Meetings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68</w:t>
            </w:r>
          </w:p>
        </w:tc>
      </w:tr>
      <w:tr>
        <w:trPr>
          <w:trHeight w:val="175"/>
        </w:trPr>
        <w:tc>
          <w:tcPr>
            <w:tcW w:w="1360" w:type="dxa"/>
            <w:vAlign w:val="bottom"/>
          </w:tcPr>
          <w:p>
            <w:pPr>
              <w:spacing w:after="0"/>
              <w:rPr>
                <w:sz w:val="20"/>
                <w:szCs w:val="20"/>
                <w:color w:val="auto"/>
              </w:rPr>
            </w:pPr>
            <w:r>
              <w:rPr>
                <w:rFonts w:ascii="Courier New" w:cs="Courier New" w:eastAsia="Courier New" w:hAnsi="Courier New"/>
                <w:sz w:val="15"/>
                <w:szCs w:val="15"/>
                <w:color w:val="auto"/>
              </w:rPr>
              <w:t>SECTION 1404.</w:t>
            </w:r>
          </w:p>
        </w:tc>
        <w:tc>
          <w:tcPr>
            <w:tcW w:w="9540" w:type="dxa"/>
            <w:vAlign w:val="bottom"/>
          </w:tcPr>
          <w:p>
            <w:pPr>
              <w:ind w:left="180"/>
              <w:spacing w:after="0"/>
              <w:rPr>
                <w:sz w:val="20"/>
                <w:szCs w:val="20"/>
                <w:color w:val="auto"/>
              </w:rPr>
            </w:pPr>
            <w:r>
              <w:rPr>
                <w:rFonts w:ascii="Courier New" w:cs="Courier New" w:eastAsia="Courier New" w:hAnsi="Courier New"/>
                <w:sz w:val="15"/>
                <w:szCs w:val="15"/>
                <w:color w:val="auto"/>
              </w:rPr>
              <w:t>Quorum; Action . . . . . . . . . . .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69</w:t>
            </w:r>
          </w:p>
        </w:tc>
      </w:tr>
      <w:tr>
        <w:trPr>
          <w:trHeight w:val="175"/>
        </w:trPr>
        <w:tc>
          <w:tcPr>
            <w:tcW w:w="1360" w:type="dxa"/>
            <w:vAlign w:val="bottom"/>
          </w:tcPr>
          <w:p>
            <w:pPr>
              <w:spacing w:after="0"/>
              <w:rPr>
                <w:sz w:val="20"/>
                <w:szCs w:val="20"/>
                <w:color w:val="auto"/>
              </w:rPr>
            </w:pPr>
            <w:r>
              <w:rPr>
                <w:rFonts w:ascii="Courier New" w:cs="Courier New" w:eastAsia="Courier New" w:hAnsi="Courier New"/>
                <w:sz w:val="15"/>
                <w:szCs w:val="15"/>
                <w:color w:val="auto"/>
              </w:rPr>
              <w:t>SECTION 1405.</w:t>
            </w:r>
          </w:p>
        </w:tc>
        <w:tc>
          <w:tcPr>
            <w:tcW w:w="9540" w:type="dxa"/>
            <w:vAlign w:val="bottom"/>
          </w:tcPr>
          <w:p>
            <w:pPr>
              <w:ind w:left="180"/>
              <w:spacing w:after="0"/>
              <w:rPr>
                <w:sz w:val="20"/>
                <w:szCs w:val="20"/>
                <w:color w:val="auto"/>
              </w:rPr>
            </w:pPr>
            <w:r>
              <w:rPr>
                <w:rFonts w:ascii="Courier New" w:cs="Courier New" w:eastAsia="Courier New" w:hAnsi="Courier New"/>
                <w:sz w:val="15"/>
                <w:szCs w:val="15"/>
                <w:color w:val="auto"/>
              </w:rPr>
              <w:t>Determination of Voting Rights; Conduct and Adjournment of</w:t>
            </w:r>
          </w:p>
        </w:tc>
        <w:tc>
          <w:tcPr>
            <w:tcW w:w="280" w:type="dxa"/>
            <w:vAlign w:val="bottom"/>
          </w:tcPr>
          <w:p>
            <w:pPr>
              <w:spacing w:after="0"/>
              <w:rPr>
                <w:sz w:val="15"/>
                <w:szCs w:val="15"/>
                <w:color w:val="auto"/>
              </w:rPr>
            </w:pPr>
          </w:p>
        </w:tc>
      </w:tr>
      <w:tr>
        <w:trPr>
          <w:trHeight w:val="175"/>
        </w:trPr>
        <w:tc>
          <w:tcPr>
            <w:tcW w:w="1360" w:type="dxa"/>
            <w:vAlign w:val="bottom"/>
          </w:tcPr>
          <w:p>
            <w:pPr>
              <w:spacing w:after="0"/>
              <w:rPr>
                <w:sz w:val="15"/>
                <w:szCs w:val="15"/>
                <w:color w:val="auto"/>
              </w:rPr>
            </w:pPr>
          </w:p>
        </w:tc>
        <w:tc>
          <w:tcPr>
            <w:tcW w:w="9540" w:type="dxa"/>
            <w:vAlign w:val="bottom"/>
          </w:tcPr>
          <w:p>
            <w:pPr>
              <w:ind w:left="1000"/>
              <w:spacing w:after="0"/>
              <w:rPr>
                <w:sz w:val="20"/>
                <w:szCs w:val="20"/>
                <w:color w:val="auto"/>
              </w:rPr>
            </w:pPr>
            <w:r>
              <w:rPr>
                <w:rFonts w:ascii="Courier New" w:cs="Courier New" w:eastAsia="Courier New" w:hAnsi="Courier New"/>
                <w:sz w:val="15"/>
                <w:szCs w:val="15"/>
                <w:color w:val="auto"/>
              </w:rPr>
              <w:t>Meetings  . . . . . . . . .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69</w:t>
            </w:r>
          </w:p>
        </w:tc>
      </w:tr>
      <w:tr>
        <w:trPr>
          <w:trHeight w:val="175"/>
        </w:trPr>
        <w:tc>
          <w:tcPr>
            <w:tcW w:w="1360" w:type="dxa"/>
            <w:vAlign w:val="bottom"/>
          </w:tcPr>
          <w:p>
            <w:pPr>
              <w:spacing w:after="0"/>
              <w:rPr>
                <w:sz w:val="20"/>
                <w:szCs w:val="20"/>
                <w:color w:val="auto"/>
              </w:rPr>
            </w:pPr>
            <w:r>
              <w:rPr>
                <w:rFonts w:ascii="Courier New" w:cs="Courier New" w:eastAsia="Courier New" w:hAnsi="Courier New"/>
                <w:sz w:val="15"/>
                <w:szCs w:val="15"/>
                <w:color w:val="auto"/>
              </w:rPr>
              <w:t>SECTION 1406.</w:t>
            </w:r>
          </w:p>
        </w:tc>
        <w:tc>
          <w:tcPr>
            <w:tcW w:w="9540" w:type="dxa"/>
            <w:vAlign w:val="bottom"/>
          </w:tcPr>
          <w:p>
            <w:pPr>
              <w:ind w:left="180"/>
              <w:spacing w:after="0"/>
              <w:rPr>
                <w:sz w:val="20"/>
                <w:szCs w:val="20"/>
                <w:color w:val="auto"/>
              </w:rPr>
            </w:pPr>
            <w:r>
              <w:rPr>
                <w:rFonts w:ascii="Courier New" w:cs="Courier New" w:eastAsia="Courier New" w:hAnsi="Courier New"/>
                <w:sz w:val="15"/>
                <w:szCs w:val="15"/>
                <w:color w:val="auto"/>
              </w:rPr>
              <w:t>Counting Votes and Recording Action of Meetings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70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20"/>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jc w:val="center"/>
        <w:ind w:right="3920"/>
        <w:spacing w:after="0"/>
        <w:rPr>
          <w:sz w:val="20"/>
          <w:szCs w:val="20"/>
          <w:color w:val="auto"/>
        </w:rPr>
      </w:pPr>
      <w:r>
        <w:rPr>
          <w:rFonts w:ascii="Courier New" w:cs="Courier New" w:eastAsia="Courier New" w:hAnsi="Courier New"/>
          <w:sz w:val="15"/>
          <w:szCs w:val="15"/>
          <w:color w:val="auto"/>
        </w:rPr>
        <w:t>SUBORDINATED INDENTURE</w:t>
      </w:r>
    </w:p>
    <w:p>
      <w:pPr>
        <w:spacing w:after="0" w:line="5" w:lineRule="exact"/>
        <w:rPr>
          <w:sz w:val="20"/>
          <w:szCs w:val="20"/>
          <w:color w:val="auto"/>
        </w:rPr>
      </w:pPr>
    </w:p>
    <w:p>
      <w:pPr>
        <w:jc w:val="center"/>
        <w:ind w:right="3920"/>
        <w:spacing w:after="0"/>
        <w:rPr>
          <w:sz w:val="20"/>
          <w:szCs w:val="20"/>
          <w:color w:val="auto"/>
        </w:rPr>
      </w:pPr>
      <w:r>
        <w:rPr>
          <w:rFonts w:ascii="Courier New" w:cs="Courier New" w:eastAsia="Courier New" w:hAnsi="Courier New"/>
          <w:sz w:val="15"/>
          <w:szCs w:val="15"/>
          <w:color w:val="auto"/>
        </w:rPr>
        <w:t>- iv -</w:t>
      </w:r>
    </w:p>
    <w:p>
      <w:pPr>
        <w:sectPr>
          <w:pgSz w:w="11900" w:h="16838" w:orient="portrait"/>
          <w:cols w:equalWidth="0" w:num="1">
            <w:col w:w="11180"/>
          </w:cols>
          <w:pgMar w:left="240" w:top="293" w:right="47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170"/>
        </w:trPr>
        <w:tc>
          <w:tcPr>
            <w:tcW w:w="1360" w:type="dxa"/>
            <w:vAlign w:val="bottom"/>
          </w:tcPr>
          <w:p>
            <w:pPr>
              <w:ind w:left="260"/>
              <w:spacing w:after="0"/>
              <w:rPr>
                <w:sz w:val="20"/>
                <w:szCs w:val="20"/>
                <w:color w:val="auto"/>
              </w:rPr>
            </w:pPr>
            <w:r>
              <w:rPr>
                <w:rFonts w:ascii="Courier New" w:cs="Courier New" w:eastAsia="Courier New" w:hAnsi="Courier New"/>
                <w:sz w:val="15"/>
                <w:szCs w:val="15"/>
                <w:color w:val="auto"/>
              </w:rPr>
              <w:t>7</w:t>
            </w:r>
          </w:p>
        </w:tc>
        <w:tc>
          <w:tcPr>
            <w:tcW w:w="954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524"/>
        </w:trPr>
        <w:tc>
          <w:tcPr>
            <w:tcW w:w="1360" w:type="dxa"/>
            <w:vAlign w:val="bottom"/>
          </w:tcPr>
          <w:p>
            <w:pPr>
              <w:spacing w:after="0"/>
              <w:rPr>
                <w:sz w:val="24"/>
                <w:szCs w:val="24"/>
                <w:color w:val="auto"/>
              </w:rPr>
            </w:pPr>
          </w:p>
        </w:tc>
        <w:tc>
          <w:tcPr>
            <w:tcW w:w="9540" w:type="dxa"/>
            <w:vAlign w:val="bottom"/>
          </w:tcPr>
          <w:p>
            <w:pPr>
              <w:jc w:val="center"/>
              <w:ind w:right="1024"/>
              <w:spacing w:after="0"/>
              <w:rPr>
                <w:sz w:val="20"/>
                <w:szCs w:val="20"/>
                <w:color w:val="auto"/>
              </w:rPr>
            </w:pPr>
            <w:r>
              <w:rPr>
                <w:rFonts w:ascii="Courier New" w:cs="Courier New" w:eastAsia="Courier New" w:hAnsi="Courier New"/>
                <w:sz w:val="15"/>
                <w:szCs w:val="15"/>
                <w:color w:val="auto"/>
              </w:rPr>
              <w:t>ARTICLE FIFTEEN</w:t>
            </w:r>
          </w:p>
        </w:tc>
        <w:tc>
          <w:tcPr>
            <w:tcW w:w="280" w:type="dxa"/>
            <w:vAlign w:val="bottom"/>
          </w:tcPr>
          <w:p>
            <w:pPr>
              <w:spacing w:after="0"/>
              <w:rPr>
                <w:sz w:val="24"/>
                <w:szCs w:val="24"/>
                <w:color w:val="auto"/>
              </w:rPr>
            </w:pPr>
          </w:p>
        </w:tc>
      </w:tr>
      <w:tr>
        <w:trPr>
          <w:trHeight w:val="175"/>
        </w:trPr>
        <w:tc>
          <w:tcPr>
            <w:tcW w:w="1360" w:type="dxa"/>
            <w:vAlign w:val="bottom"/>
          </w:tcPr>
          <w:p>
            <w:pPr>
              <w:spacing w:after="0"/>
              <w:rPr>
                <w:sz w:val="15"/>
                <w:szCs w:val="15"/>
                <w:color w:val="auto"/>
              </w:rPr>
            </w:pPr>
          </w:p>
        </w:tc>
        <w:tc>
          <w:tcPr>
            <w:tcW w:w="9540" w:type="dxa"/>
            <w:vAlign w:val="bottom"/>
          </w:tcPr>
          <w:p>
            <w:pPr>
              <w:ind w:left="3180"/>
              <w:spacing w:after="0"/>
              <w:rPr>
                <w:sz w:val="20"/>
                <w:szCs w:val="20"/>
                <w:color w:val="auto"/>
              </w:rPr>
            </w:pPr>
            <w:r>
              <w:rPr>
                <w:rFonts w:ascii="Courier New" w:cs="Courier New" w:eastAsia="Courier New" w:hAnsi="Courier New"/>
                <w:sz w:val="15"/>
                <w:szCs w:val="15"/>
                <w:color w:val="auto"/>
              </w:rPr>
              <w:t>CONVERSION OF SECURITIES</w:t>
            </w:r>
          </w:p>
        </w:tc>
        <w:tc>
          <w:tcPr>
            <w:tcW w:w="280" w:type="dxa"/>
            <w:vAlign w:val="bottom"/>
          </w:tcPr>
          <w:p>
            <w:pPr>
              <w:spacing w:after="0"/>
              <w:rPr>
                <w:sz w:val="15"/>
                <w:szCs w:val="15"/>
                <w:color w:val="auto"/>
              </w:rPr>
            </w:pPr>
          </w:p>
        </w:tc>
      </w:tr>
      <w:tr>
        <w:trPr>
          <w:trHeight w:val="175"/>
        </w:trPr>
        <w:tc>
          <w:tcPr>
            <w:tcW w:w="1360" w:type="dxa"/>
            <w:vAlign w:val="bottom"/>
          </w:tcPr>
          <w:p>
            <w:pPr>
              <w:spacing w:after="0"/>
              <w:rPr>
                <w:sz w:val="20"/>
                <w:szCs w:val="20"/>
                <w:color w:val="auto"/>
              </w:rPr>
            </w:pPr>
            <w:r>
              <w:rPr>
                <w:rFonts w:ascii="Courier New" w:cs="Courier New" w:eastAsia="Courier New" w:hAnsi="Courier New"/>
                <w:sz w:val="15"/>
                <w:szCs w:val="15"/>
                <w:color w:val="auto"/>
              </w:rPr>
              <w:t>SECTION 1501.</w:t>
            </w:r>
          </w:p>
        </w:tc>
        <w:tc>
          <w:tcPr>
            <w:tcW w:w="9540" w:type="dxa"/>
            <w:vAlign w:val="bottom"/>
          </w:tcPr>
          <w:p>
            <w:pPr>
              <w:ind w:left="180"/>
              <w:spacing w:after="0"/>
              <w:rPr>
                <w:sz w:val="20"/>
                <w:szCs w:val="20"/>
                <w:color w:val="auto"/>
              </w:rPr>
            </w:pPr>
            <w:r>
              <w:rPr>
                <w:rFonts w:ascii="Courier New" w:cs="Courier New" w:eastAsia="Courier New" w:hAnsi="Courier New"/>
                <w:sz w:val="15"/>
                <w:szCs w:val="15"/>
                <w:color w:val="auto"/>
              </w:rPr>
              <w:t>Applicability of Article.  . . . . .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71</w:t>
            </w:r>
          </w:p>
        </w:tc>
      </w:tr>
      <w:tr>
        <w:trPr>
          <w:trHeight w:val="175"/>
        </w:trPr>
        <w:tc>
          <w:tcPr>
            <w:tcW w:w="1360" w:type="dxa"/>
            <w:vAlign w:val="bottom"/>
          </w:tcPr>
          <w:p>
            <w:pPr>
              <w:spacing w:after="0"/>
              <w:rPr>
                <w:sz w:val="20"/>
                <w:szCs w:val="20"/>
                <w:color w:val="auto"/>
              </w:rPr>
            </w:pPr>
            <w:r>
              <w:rPr>
                <w:rFonts w:ascii="Courier New" w:cs="Courier New" w:eastAsia="Courier New" w:hAnsi="Courier New"/>
                <w:sz w:val="15"/>
                <w:szCs w:val="15"/>
                <w:color w:val="auto"/>
              </w:rPr>
              <w:t>SECTION 1502.</w:t>
            </w:r>
          </w:p>
        </w:tc>
        <w:tc>
          <w:tcPr>
            <w:tcW w:w="9540" w:type="dxa"/>
            <w:vAlign w:val="bottom"/>
          </w:tcPr>
          <w:p>
            <w:pPr>
              <w:ind w:left="180"/>
              <w:spacing w:after="0"/>
              <w:rPr>
                <w:sz w:val="20"/>
                <w:szCs w:val="20"/>
                <w:color w:val="auto"/>
              </w:rPr>
            </w:pPr>
            <w:r>
              <w:rPr>
                <w:rFonts w:ascii="Courier New" w:cs="Courier New" w:eastAsia="Courier New" w:hAnsi="Courier New"/>
                <w:sz w:val="15"/>
                <w:szCs w:val="15"/>
                <w:color w:val="auto"/>
              </w:rPr>
              <w:t>Exercise of Conversion Privilege.  .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71</w:t>
            </w:r>
          </w:p>
        </w:tc>
      </w:tr>
      <w:tr>
        <w:trPr>
          <w:trHeight w:val="175"/>
        </w:trPr>
        <w:tc>
          <w:tcPr>
            <w:tcW w:w="1360" w:type="dxa"/>
            <w:vAlign w:val="bottom"/>
          </w:tcPr>
          <w:p>
            <w:pPr>
              <w:spacing w:after="0"/>
              <w:rPr>
                <w:sz w:val="20"/>
                <w:szCs w:val="20"/>
                <w:color w:val="auto"/>
              </w:rPr>
            </w:pPr>
            <w:r>
              <w:rPr>
                <w:rFonts w:ascii="Courier New" w:cs="Courier New" w:eastAsia="Courier New" w:hAnsi="Courier New"/>
                <w:sz w:val="15"/>
                <w:szCs w:val="15"/>
                <w:color w:val="auto"/>
              </w:rPr>
              <w:t>SECTION 1503.</w:t>
            </w:r>
          </w:p>
        </w:tc>
        <w:tc>
          <w:tcPr>
            <w:tcW w:w="9540" w:type="dxa"/>
            <w:vAlign w:val="bottom"/>
          </w:tcPr>
          <w:p>
            <w:pPr>
              <w:ind w:left="180"/>
              <w:spacing w:after="0"/>
              <w:rPr>
                <w:sz w:val="20"/>
                <w:szCs w:val="20"/>
                <w:color w:val="auto"/>
              </w:rPr>
            </w:pPr>
            <w:r>
              <w:rPr>
                <w:rFonts w:ascii="Courier New" w:cs="Courier New" w:eastAsia="Courier New" w:hAnsi="Courier New"/>
                <w:sz w:val="15"/>
                <w:szCs w:val="15"/>
                <w:color w:val="auto"/>
              </w:rPr>
              <w:t>Fractional Interests.  . . . . . . .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72</w:t>
            </w:r>
          </w:p>
        </w:tc>
      </w:tr>
      <w:tr>
        <w:trPr>
          <w:trHeight w:val="175"/>
        </w:trPr>
        <w:tc>
          <w:tcPr>
            <w:tcW w:w="1360" w:type="dxa"/>
            <w:vAlign w:val="bottom"/>
          </w:tcPr>
          <w:p>
            <w:pPr>
              <w:spacing w:after="0"/>
              <w:rPr>
                <w:sz w:val="20"/>
                <w:szCs w:val="20"/>
                <w:color w:val="auto"/>
              </w:rPr>
            </w:pPr>
            <w:r>
              <w:rPr>
                <w:rFonts w:ascii="Courier New" w:cs="Courier New" w:eastAsia="Courier New" w:hAnsi="Courier New"/>
                <w:sz w:val="15"/>
                <w:szCs w:val="15"/>
                <w:color w:val="auto"/>
              </w:rPr>
              <w:t>SECTION 1504.</w:t>
            </w:r>
          </w:p>
        </w:tc>
        <w:tc>
          <w:tcPr>
            <w:tcW w:w="9540" w:type="dxa"/>
            <w:vAlign w:val="bottom"/>
          </w:tcPr>
          <w:p>
            <w:pPr>
              <w:ind w:left="180"/>
              <w:spacing w:after="0"/>
              <w:rPr>
                <w:sz w:val="20"/>
                <w:szCs w:val="20"/>
                <w:color w:val="auto"/>
              </w:rPr>
            </w:pPr>
            <w:r>
              <w:rPr>
                <w:rFonts w:ascii="Courier New" w:cs="Courier New" w:eastAsia="Courier New" w:hAnsi="Courier New"/>
                <w:sz w:val="15"/>
                <w:szCs w:val="15"/>
                <w:color w:val="auto"/>
              </w:rPr>
              <w:t>Adjustment of Conversion Price.  . .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73</w:t>
            </w:r>
          </w:p>
        </w:tc>
      </w:tr>
      <w:tr>
        <w:trPr>
          <w:trHeight w:val="175"/>
        </w:trPr>
        <w:tc>
          <w:tcPr>
            <w:tcW w:w="1360" w:type="dxa"/>
            <w:vAlign w:val="bottom"/>
          </w:tcPr>
          <w:p>
            <w:pPr>
              <w:spacing w:after="0"/>
              <w:rPr>
                <w:sz w:val="20"/>
                <w:szCs w:val="20"/>
                <w:color w:val="auto"/>
              </w:rPr>
            </w:pPr>
            <w:r>
              <w:rPr>
                <w:rFonts w:ascii="Courier New" w:cs="Courier New" w:eastAsia="Courier New" w:hAnsi="Courier New"/>
                <w:sz w:val="15"/>
                <w:szCs w:val="15"/>
                <w:color w:val="auto"/>
              </w:rPr>
              <w:t>SECTION 1505.</w:t>
            </w:r>
          </w:p>
        </w:tc>
        <w:tc>
          <w:tcPr>
            <w:tcW w:w="9540" w:type="dxa"/>
            <w:vAlign w:val="bottom"/>
          </w:tcPr>
          <w:p>
            <w:pPr>
              <w:ind w:left="180"/>
              <w:spacing w:after="0"/>
              <w:rPr>
                <w:sz w:val="20"/>
                <w:szCs w:val="20"/>
                <w:color w:val="auto"/>
              </w:rPr>
            </w:pPr>
            <w:r>
              <w:rPr>
                <w:rFonts w:ascii="Courier New" w:cs="Courier New" w:eastAsia="Courier New" w:hAnsi="Courier New"/>
                <w:sz w:val="15"/>
                <w:szCs w:val="15"/>
                <w:color w:val="auto"/>
              </w:rPr>
              <w:t>Continuation of Conversion Privilege in Case of Merger, Consolidation or Sale of Assets.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75</w:t>
            </w:r>
          </w:p>
        </w:tc>
      </w:tr>
      <w:tr>
        <w:trPr>
          <w:trHeight w:val="175"/>
        </w:trPr>
        <w:tc>
          <w:tcPr>
            <w:tcW w:w="1360" w:type="dxa"/>
            <w:vAlign w:val="bottom"/>
          </w:tcPr>
          <w:p>
            <w:pPr>
              <w:spacing w:after="0"/>
              <w:rPr>
                <w:sz w:val="20"/>
                <w:szCs w:val="20"/>
                <w:color w:val="auto"/>
              </w:rPr>
            </w:pPr>
            <w:r>
              <w:rPr>
                <w:rFonts w:ascii="Courier New" w:cs="Courier New" w:eastAsia="Courier New" w:hAnsi="Courier New"/>
                <w:sz w:val="15"/>
                <w:szCs w:val="15"/>
                <w:color w:val="auto"/>
              </w:rPr>
              <w:t>SECTION 1506.</w:t>
            </w:r>
          </w:p>
        </w:tc>
        <w:tc>
          <w:tcPr>
            <w:tcW w:w="9540" w:type="dxa"/>
            <w:vAlign w:val="bottom"/>
          </w:tcPr>
          <w:p>
            <w:pPr>
              <w:ind w:left="180"/>
              <w:spacing w:after="0"/>
              <w:rPr>
                <w:sz w:val="20"/>
                <w:szCs w:val="20"/>
                <w:color w:val="auto"/>
              </w:rPr>
            </w:pPr>
            <w:r>
              <w:rPr>
                <w:rFonts w:ascii="Courier New" w:cs="Courier New" w:eastAsia="Courier New" w:hAnsi="Courier New"/>
                <w:sz w:val="15"/>
                <w:szCs w:val="15"/>
                <w:color w:val="auto"/>
              </w:rPr>
              <w:t>Notice of Certain Events.  . . . . .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76</w:t>
            </w:r>
          </w:p>
        </w:tc>
      </w:tr>
      <w:tr>
        <w:trPr>
          <w:trHeight w:val="175"/>
        </w:trPr>
        <w:tc>
          <w:tcPr>
            <w:tcW w:w="1360" w:type="dxa"/>
            <w:vAlign w:val="bottom"/>
          </w:tcPr>
          <w:p>
            <w:pPr>
              <w:spacing w:after="0"/>
              <w:rPr>
                <w:sz w:val="20"/>
                <w:szCs w:val="20"/>
                <w:color w:val="auto"/>
              </w:rPr>
            </w:pPr>
            <w:r>
              <w:rPr>
                <w:rFonts w:ascii="Courier New" w:cs="Courier New" w:eastAsia="Courier New" w:hAnsi="Courier New"/>
                <w:sz w:val="15"/>
                <w:szCs w:val="15"/>
                <w:color w:val="auto"/>
              </w:rPr>
              <w:t>SECTION 1507.</w:t>
            </w:r>
          </w:p>
        </w:tc>
        <w:tc>
          <w:tcPr>
            <w:tcW w:w="9540" w:type="dxa"/>
            <w:vAlign w:val="bottom"/>
          </w:tcPr>
          <w:p>
            <w:pPr>
              <w:ind w:left="180"/>
              <w:spacing w:after="0"/>
              <w:rPr>
                <w:sz w:val="20"/>
                <w:szCs w:val="20"/>
                <w:color w:val="auto"/>
              </w:rPr>
            </w:pPr>
            <w:r>
              <w:rPr>
                <w:rFonts w:ascii="Courier New" w:cs="Courier New" w:eastAsia="Courier New" w:hAnsi="Courier New"/>
                <w:sz w:val="15"/>
                <w:szCs w:val="15"/>
                <w:color w:val="auto"/>
              </w:rPr>
              <w:t>Taxes on Conversion. . . . . . . . .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77</w:t>
            </w:r>
          </w:p>
        </w:tc>
      </w:tr>
      <w:tr>
        <w:trPr>
          <w:trHeight w:val="175"/>
        </w:trPr>
        <w:tc>
          <w:tcPr>
            <w:tcW w:w="1360" w:type="dxa"/>
            <w:vAlign w:val="bottom"/>
          </w:tcPr>
          <w:p>
            <w:pPr>
              <w:spacing w:after="0"/>
              <w:rPr>
                <w:sz w:val="20"/>
                <w:szCs w:val="20"/>
                <w:color w:val="auto"/>
              </w:rPr>
            </w:pPr>
            <w:r>
              <w:rPr>
                <w:rFonts w:ascii="Courier New" w:cs="Courier New" w:eastAsia="Courier New" w:hAnsi="Courier New"/>
                <w:sz w:val="15"/>
                <w:szCs w:val="15"/>
                <w:color w:val="auto"/>
              </w:rPr>
              <w:t>SECTION 1508.</w:t>
            </w:r>
          </w:p>
        </w:tc>
        <w:tc>
          <w:tcPr>
            <w:tcW w:w="9540" w:type="dxa"/>
            <w:vAlign w:val="bottom"/>
          </w:tcPr>
          <w:p>
            <w:pPr>
              <w:ind w:left="180"/>
              <w:spacing w:after="0"/>
              <w:rPr>
                <w:sz w:val="20"/>
                <w:szCs w:val="20"/>
                <w:color w:val="auto"/>
              </w:rPr>
            </w:pPr>
            <w:r>
              <w:rPr>
                <w:rFonts w:ascii="Courier New" w:cs="Courier New" w:eastAsia="Courier New" w:hAnsi="Courier New"/>
                <w:sz w:val="15"/>
                <w:szCs w:val="15"/>
                <w:color w:val="auto"/>
              </w:rPr>
              <w:t>Company to Provide Stock.  . . . . .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78</w:t>
            </w:r>
          </w:p>
        </w:tc>
      </w:tr>
      <w:tr>
        <w:trPr>
          <w:trHeight w:val="175"/>
        </w:trPr>
        <w:tc>
          <w:tcPr>
            <w:tcW w:w="1360" w:type="dxa"/>
            <w:vAlign w:val="bottom"/>
          </w:tcPr>
          <w:p>
            <w:pPr>
              <w:spacing w:after="0"/>
              <w:rPr>
                <w:sz w:val="20"/>
                <w:szCs w:val="20"/>
                <w:color w:val="auto"/>
              </w:rPr>
            </w:pPr>
            <w:r>
              <w:rPr>
                <w:rFonts w:ascii="Courier New" w:cs="Courier New" w:eastAsia="Courier New" w:hAnsi="Courier New"/>
                <w:sz w:val="15"/>
                <w:szCs w:val="15"/>
                <w:color w:val="auto"/>
              </w:rPr>
              <w:t>SECTION 1509.</w:t>
            </w:r>
          </w:p>
        </w:tc>
        <w:tc>
          <w:tcPr>
            <w:tcW w:w="9540" w:type="dxa"/>
            <w:vAlign w:val="bottom"/>
          </w:tcPr>
          <w:p>
            <w:pPr>
              <w:ind w:left="180"/>
              <w:spacing w:after="0"/>
              <w:rPr>
                <w:sz w:val="20"/>
                <w:szCs w:val="20"/>
                <w:color w:val="auto"/>
              </w:rPr>
            </w:pPr>
            <w:r>
              <w:rPr>
                <w:rFonts w:ascii="Courier New" w:cs="Courier New" w:eastAsia="Courier New" w:hAnsi="Courier New"/>
                <w:sz w:val="15"/>
                <w:szCs w:val="15"/>
                <w:color w:val="auto"/>
              </w:rPr>
              <w:t>Disclaimer of Responsibility for Certain Matters.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78</w:t>
            </w:r>
          </w:p>
        </w:tc>
      </w:tr>
      <w:tr>
        <w:trPr>
          <w:trHeight w:val="175"/>
        </w:trPr>
        <w:tc>
          <w:tcPr>
            <w:tcW w:w="1360" w:type="dxa"/>
            <w:vAlign w:val="bottom"/>
          </w:tcPr>
          <w:p>
            <w:pPr>
              <w:spacing w:after="0"/>
              <w:rPr>
                <w:sz w:val="20"/>
                <w:szCs w:val="20"/>
                <w:color w:val="auto"/>
              </w:rPr>
            </w:pPr>
            <w:r>
              <w:rPr>
                <w:rFonts w:ascii="Courier New" w:cs="Courier New" w:eastAsia="Courier New" w:hAnsi="Courier New"/>
                <w:sz w:val="15"/>
                <w:szCs w:val="15"/>
                <w:color w:val="auto"/>
              </w:rPr>
              <w:t>SECTION 1510.</w:t>
            </w:r>
          </w:p>
        </w:tc>
        <w:tc>
          <w:tcPr>
            <w:tcW w:w="9540" w:type="dxa"/>
            <w:vAlign w:val="bottom"/>
          </w:tcPr>
          <w:p>
            <w:pPr>
              <w:ind w:left="180"/>
              <w:spacing w:after="0"/>
              <w:rPr>
                <w:sz w:val="20"/>
                <w:szCs w:val="20"/>
                <w:color w:val="auto"/>
              </w:rPr>
            </w:pPr>
            <w:r>
              <w:rPr>
                <w:rFonts w:ascii="Courier New" w:cs="Courier New" w:eastAsia="Courier New" w:hAnsi="Courier New"/>
                <w:sz w:val="15"/>
                <w:szCs w:val="15"/>
                <w:color w:val="auto"/>
              </w:rPr>
              <w:t>Return of Funds Deposited for Redemption of Converted Securities.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79</w:t>
            </w:r>
          </w:p>
        </w:tc>
      </w:tr>
      <w:tr>
        <w:trPr>
          <w:trHeight w:val="350"/>
        </w:trPr>
        <w:tc>
          <w:tcPr>
            <w:tcW w:w="1360" w:type="dxa"/>
            <w:vAlign w:val="bottom"/>
          </w:tcPr>
          <w:p>
            <w:pPr>
              <w:spacing w:after="0"/>
              <w:rPr>
                <w:sz w:val="24"/>
                <w:szCs w:val="24"/>
                <w:color w:val="auto"/>
              </w:rPr>
            </w:pPr>
          </w:p>
        </w:tc>
        <w:tc>
          <w:tcPr>
            <w:tcW w:w="9540" w:type="dxa"/>
            <w:vAlign w:val="bottom"/>
          </w:tcPr>
          <w:p>
            <w:pPr>
              <w:jc w:val="center"/>
              <w:ind w:right="1024"/>
              <w:spacing w:after="0"/>
              <w:rPr>
                <w:sz w:val="20"/>
                <w:szCs w:val="20"/>
                <w:color w:val="auto"/>
              </w:rPr>
            </w:pPr>
            <w:r>
              <w:rPr>
                <w:rFonts w:ascii="Courier New" w:cs="Courier New" w:eastAsia="Courier New" w:hAnsi="Courier New"/>
                <w:sz w:val="15"/>
                <w:szCs w:val="15"/>
                <w:color w:val="auto"/>
              </w:rPr>
              <w:t>ARTICLE SIXTEEN</w:t>
            </w:r>
          </w:p>
        </w:tc>
        <w:tc>
          <w:tcPr>
            <w:tcW w:w="280" w:type="dxa"/>
            <w:vAlign w:val="bottom"/>
          </w:tcPr>
          <w:p>
            <w:pPr>
              <w:spacing w:after="0"/>
              <w:rPr>
                <w:sz w:val="24"/>
                <w:szCs w:val="24"/>
                <w:color w:val="auto"/>
              </w:rPr>
            </w:pPr>
          </w:p>
        </w:tc>
      </w:tr>
      <w:tr>
        <w:trPr>
          <w:trHeight w:val="175"/>
        </w:trPr>
        <w:tc>
          <w:tcPr>
            <w:tcW w:w="1360" w:type="dxa"/>
            <w:vAlign w:val="bottom"/>
          </w:tcPr>
          <w:p>
            <w:pPr>
              <w:spacing w:after="0"/>
              <w:rPr>
                <w:sz w:val="15"/>
                <w:szCs w:val="15"/>
                <w:color w:val="auto"/>
              </w:rPr>
            </w:pPr>
          </w:p>
        </w:tc>
        <w:tc>
          <w:tcPr>
            <w:tcW w:w="9540" w:type="dxa"/>
            <w:vAlign w:val="bottom"/>
          </w:tcPr>
          <w:p>
            <w:pPr>
              <w:jc w:val="center"/>
              <w:ind w:right="1004"/>
              <w:spacing w:after="0"/>
              <w:rPr>
                <w:sz w:val="20"/>
                <w:szCs w:val="20"/>
                <w:color w:val="auto"/>
              </w:rPr>
            </w:pPr>
            <w:r>
              <w:rPr>
                <w:rFonts w:ascii="Courier New" w:cs="Courier New" w:eastAsia="Courier New" w:hAnsi="Courier New"/>
                <w:sz w:val="15"/>
                <w:szCs w:val="15"/>
                <w:color w:val="auto"/>
              </w:rPr>
              <w:t>SUBORDINATION</w:t>
            </w:r>
          </w:p>
        </w:tc>
        <w:tc>
          <w:tcPr>
            <w:tcW w:w="280" w:type="dxa"/>
            <w:vAlign w:val="bottom"/>
          </w:tcPr>
          <w:p>
            <w:pPr>
              <w:spacing w:after="0"/>
              <w:rPr>
                <w:sz w:val="15"/>
                <w:szCs w:val="15"/>
                <w:color w:val="auto"/>
              </w:rPr>
            </w:pPr>
          </w:p>
        </w:tc>
      </w:tr>
      <w:tr>
        <w:trPr>
          <w:trHeight w:val="175"/>
        </w:trPr>
        <w:tc>
          <w:tcPr>
            <w:tcW w:w="1360" w:type="dxa"/>
            <w:vAlign w:val="bottom"/>
          </w:tcPr>
          <w:p>
            <w:pPr>
              <w:spacing w:after="0"/>
              <w:rPr>
                <w:sz w:val="20"/>
                <w:szCs w:val="20"/>
                <w:color w:val="auto"/>
              </w:rPr>
            </w:pPr>
            <w:r>
              <w:rPr>
                <w:rFonts w:ascii="Courier New" w:cs="Courier New" w:eastAsia="Courier New" w:hAnsi="Courier New"/>
                <w:sz w:val="15"/>
                <w:szCs w:val="15"/>
                <w:color w:val="auto"/>
              </w:rPr>
              <w:t>SECTION 1601.</w:t>
            </w:r>
          </w:p>
        </w:tc>
        <w:tc>
          <w:tcPr>
            <w:tcW w:w="9540" w:type="dxa"/>
            <w:vAlign w:val="bottom"/>
          </w:tcPr>
          <w:p>
            <w:pPr>
              <w:ind w:left="180"/>
              <w:spacing w:after="0"/>
              <w:rPr>
                <w:sz w:val="20"/>
                <w:szCs w:val="20"/>
                <w:color w:val="auto"/>
              </w:rPr>
            </w:pPr>
            <w:r>
              <w:rPr>
                <w:rFonts w:ascii="Courier New" w:cs="Courier New" w:eastAsia="Courier New" w:hAnsi="Courier New"/>
                <w:sz w:val="15"/>
                <w:szCs w:val="15"/>
                <w:color w:val="auto"/>
              </w:rPr>
              <w:t>Securities Subordinated to Senior Indebtedness.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79</w:t>
            </w:r>
          </w:p>
        </w:tc>
      </w:tr>
      <w:tr>
        <w:trPr>
          <w:trHeight w:val="175"/>
        </w:trPr>
        <w:tc>
          <w:tcPr>
            <w:tcW w:w="1360" w:type="dxa"/>
            <w:vAlign w:val="bottom"/>
          </w:tcPr>
          <w:p>
            <w:pPr>
              <w:spacing w:after="0"/>
              <w:rPr>
                <w:sz w:val="20"/>
                <w:szCs w:val="20"/>
                <w:color w:val="auto"/>
              </w:rPr>
            </w:pPr>
            <w:r>
              <w:rPr>
                <w:rFonts w:ascii="Courier New" w:cs="Courier New" w:eastAsia="Courier New" w:hAnsi="Courier New"/>
                <w:sz w:val="15"/>
                <w:szCs w:val="15"/>
                <w:color w:val="auto"/>
              </w:rPr>
              <w:t>SECTION 1602.</w:t>
            </w:r>
          </w:p>
        </w:tc>
        <w:tc>
          <w:tcPr>
            <w:tcW w:w="9540" w:type="dxa"/>
            <w:vAlign w:val="bottom"/>
          </w:tcPr>
          <w:p>
            <w:pPr>
              <w:ind w:left="180"/>
              <w:spacing w:after="0"/>
              <w:rPr>
                <w:sz w:val="20"/>
                <w:szCs w:val="20"/>
                <w:color w:val="auto"/>
              </w:rPr>
            </w:pPr>
            <w:r>
              <w:rPr>
                <w:rFonts w:ascii="Courier New" w:cs="Courier New" w:eastAsia="Courier New" w:hAnsi="Courier New"/>
                <w:sz w:val="15"/>
                <w:szCs w:val="15"/>
                <w:color w:val="auto"/>
              </w:rPr>
              <w:t>Reliance on Certificate of Liquidating Agent; Further Evidence</w:t>
            </w:r>
          </w:p>
        </w:tc>
        <w:tc>
          <w:tcPr>
            <w:tcW w:w="280" w:type="dxa"/>
            <w:vAlign w:val="bottom"/>
          </w:tcPr>
          <w:p>
            <w:pPr>
              <w:spacing w:after="0"/>
              <w:rPr>
                <w:sz w:val="15"/>
                <w:szCs w:val="15"/>
                <w:color w:val="auto"/>
              </w:rPr>
            </w:pPr>
          </w:p>
        </w:tc>
      </w:tr>
      <w:tr>
        <w:trPr>
          <w:trHeight w:val="175"/>
        </w:trPr>
        <w:tc>
          <w:tcPr>
            <w:tcW w:w="1360" w:type="dxa"/>
            <w:vAlign w:val="bottom"/>
          </w:tcPr>
          <w:p>
            <w:pPr>
              <w:spacing w:after="0"/>
              <w:rPr>
                <w:sz w:val="15"/>
                <w:szCs w:val="15"/>
                <w:color w:val="auto"/>
              </w:rPr>
            </w:pPr>
          </w:p>
        </w:tc>
        <w:tc>
          <w:tcPr>
            <w:tcW w:w="9540" w:type="dxa"/>
            <w:vAlign w:val="bottom"/>
          </w:tcPr>
          <w:p>
            <w:pPr>
              <w:ind w:left="1000"/>
              <w:spacing w:after="0"/>
              <w:rPr>
                <w:sz w:val="20"/>
                <w:szCs w:val="20"/>
                <w:color w:val="auto"/>
              </w:rPr>
            </w:pPr>
            <w:r>
              <w:rPr>
                <w:rFonts w:ascii="Courier New" w:cs="Courier New" w:eastAsia="Courier New" w:hAnsi="Courier New"/>
                <w:sz w:val="15"/>
                <w:szCs w:val="15"/>
                <w:color w:val="auto"/>
              </w:rPr>
              <w:t>as to Ownership of Senior Indebtedness.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81</w:t>
            </w:r>
          </w:p>
        </w:tc>
      </w:tr>
      <w:tr>
        <w:trPr>
          <w:trHeight w:val="175"/>
        </w:trPr>
        <w:tc>
          <w:tcPr>
            <w:tcW w:w="1360" w:type="dxa"/>
            <w:vAlign w:val="bottom"/>
          </w:tcPr>
          <w:p>
            <w:pPr>
              <w:spacing w:after="0"/>
              <w:rPr>
                <w:sz w:val="20"/>
                <w:szCs w:val="20"/>
                <w:color w:val="auto"/>
              </w:rPr>
            </w:pPr>
            <w:r>
              <w:rPr>
                <w:rFonts w:ascii="Courier New" w:cs="Courier New" w:eastAsia="Courier New" w:hAnsi="Courier New"/>
                <w:sz w:val="15"/>
                <w:szCs w:val="15"/>
                <w:color w:val="auto"/>
              </w:rPr>
              <w:t>SECTION 1603.</w:t>
            </w:r>
          </w:p>
        </w:tc>
        <w:tc>
          <w:tcPr>
            <w:tcW w:w="9540" w:type="dxa"/>
            <w:vAlign w:val="bottom"/>
          </w:tcPr>
          <w:p>
            <w:pPr>
              <w:ind w:left="180"/>
              <w:spacing w:after="0"/>
              <w:rPr>
                <w:sz w:val="20"/>
                <w:szCs w:val="20"/>
                <w:color w:val="auto"/>
              </w:rPr>
            </w:pPr>
            <w:r>
              <w:rPr>
                <w:rFonts w:ascii="Courier New" w:cs="Courier New" w:eastAsia="Courier New" w:hAnsi="Courier New"/>
                <w:sz w:val="15"/>
                <w:szCs w:val="15"/>
                <w:color w:val="auto"/>
              </w:rPr>
              <w:t>Payment Permitted If No Default. . .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82</w:t>
            </w:r>
          </w:p>
        </w:tc>
      </w:tr>
      <w:tr>
        <w:trPr>
          <w:trHeight w:val="175"/>
        </w:trPr>
        <w:tc>
          <w:tcPr>
            <w:tcW w:w="1360" w:type="dxa"/>
            <w:vAlign w:val="bottom"/>
          </w:tcPr>
          <w:p>
            <w:pPr>
              <w:spacing w:after="0"/>
              <w:rPr>
                <w:sz w:val="20"/>
                <w:szCs w:val="20"/>
                <w:color w:val="auto"/>
              </w:rPr>
            </w:pPr>
            <w:r>
              <w:rPr>
                <w:rFonts w:ascii="Courier New" w:cs="Courier New" w:eastAsia="Courier New" w:hAnsi="Courier New"/>
                <w:sz w:val="15"/>
                <w:szCs w:val="15"/>
                <w:color w:val="auto"/>
              </w:rPr>
              <w:t>SECTION 1604.</w:t>
            </w:r>
          </w:p>
        </w:tc>
        <w:tc>
          <w:tcPr>
            <w:tcW w:w="9540" w:type="dxa"/>
            <w:vAlign w:val="bottom"/>
          </w:tcPr>
          <w:p>
            <w:pPr>
              <w:ind w:left="180"/>
              <w:spacing w:after="0"/>
              <w:rPr>
                <w:sz w:val="20"/>
                <w:szCs w:val="20"/>
                <w:color w:val="auto"/>
              </w:rPr>
            </w:pPr>
            <w:r>
              <w:rPr>
                <w:rFonts w:ascii="Courier New" w:cs="Courier New" w:eastAsia="Courier New" w:hAnsi="Courier New"/>
                <w:sz w:val="15"/>
                <w:szCs w:val="15"/>
                <w:color w:val="auto"/>
              </w:rPr>
              <w:t>Disputes with Holders of Certain Senior Indebtedness.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82</w:t>
            </w:r>
          </w:p>
        </w:tc>
      </w:tr>
      <w:tr>
        <w:trPr>
          <w:trHeight w:val="175"/>
        </w:trPr>
        <w:tc>
          <w:tcPr>
            <w:tcW w:w="1360" w:type="dxa"/>
            <w:vAlign w:val="bottom"/>
          </w:tcPr>
          <w:p>
            <w:pPr>
              <w:spacing w:after="0"/>
              <w:rPr>
                <w:sz w:val="20"/>
                <w:szCs w:val="20"/>
                <w:color w:val="auto"/>
              </w:rPr>
            </w:pPr>
            <w:r>
              <w:rPr>
                <w:rFonts w:ascii="Courier New" w:cs="Courier New" w:eastAsia="Courier New" w:hAnsi="Courier New"/>
                <w:sz w:val="15"/>
                <w:szCs w:val="15"/>
                <w:color w:val="auto"/>
              </w:rPr>
              <w:t>SECTION 1605.</w:t>
            </w:r>
          </w:p>
        </w:tc>
        <w:tc>
          <w:tcPr>
            <w:tcW w:w="9540" w:type="dxa"/>
            <w:vAlign w:val="bottom"/>
          </w:tcPr>
          <w:p>
            <w:pPr>
              <w:ind w:left="180"/>
              <w:spacing w:after="0"/>
              <w:rPr>
                <w:sz w:val="20"/>
                <w:szCs w:val="20"/>
                <w:color w:val="auto"/>
              </w:rPr>
            </w:pPr>
            <w:r>
              <w:rPr>
                <w:rFonts w:ascii="Courier New" w:cs="Courier New" w:eastAsia="Courier New" w:hAnsi="Courier New"/>
                <w:sz w:val="15"/>
                <w:szCs w:val="15"/>
                <w:color w:val="auto"/>
              </w:rPr>
              <w:t>Trustee Not Charged with Knowledge of Prohibition.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83</w:t>
            </w:r>
          </w:p>
        </w:tc>
      </w:tr>
      <w:tr>
        <w:trPr>
          <w:trHeight w:val="175"/>
        </w:trPr>
        <w:tc>
          <w:tcPr>
            <w:tcW w:w="1360" w:type="dxa"/>
            <w:vAlign w:val="bottom"/>
          </w:tcPr>
          <w:p>
            <w:pPr>
              <w:spacing w:after="0"/>
              <w:rPr>
                <w:sz w:val="20"/>
                <w:szCs w:val="20"/>
                <w:color w:val="auto"/>
              </w:rPr>
            </w:pPr>
            <w:r>
              <w:rPr>
                <w:rFonts w:ascii="Courier New" w:cs="Courier New" w:eastAsia="Courier New" w:hAnsi="Courier New"/>
                <w:sz w:val="15"/>
                <w:szCs w:val="15"/>
                <w:color w:val="auto"/>
              </w:rPr>
              <w:t>SECTION 1606.</w:t>
            </w:r>
          </w:p>
        </w:tc>
        <w:tc>
          <w:tcPr>
            <w:tcW w:w="9540" w:type="dxa"/>
            <w:vAlign w:val="bottom"/>
          </w:tcPr>
          <w:p>
            <w:pPr>
              <w:ind w:left="180"/>
              <w:spacing w:after="0"/>
              <w:rPr>
                <w:sz w:val="20"/>
                <w:szCs w:val="20"/>
                <w:color w:val="auto"/>
              </w:rPr>
            </w:pPr>
            <w:r>
              <w:rPr>
                <w:rFonts w:ascii="Courier New" w:cs="Courier New" w:eastAsia="Courier New" w:hAnsi="Courier New"/>
                <w:sz w:val="15"/>
                <w:szCs w:val="15"/>
                <w:color w:val="auto"/>
              </w:rPr>
              <w:t>Trustee to Effectuate Subordination.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83</w:t>
            </w:r>
          </w:p>
        </w:tc>
      </w:tr>
      <w:tr>
        <w:trPr>
          <w:trHeight w:val="175"/>
        </w:trPr>
        <w:tc>
          <w:tcPr>
            <w:tcW w:w="1360" w:type="dxa"/>
            <w:vAlign w:val="bottom"/>
          </w:tcPr>
          <w:p>
            <w:pPr>
              <w:spacing w:after="0"/>
              <w:rPr>
                <w:sz w:val="20"/>
                <w:szCs w:val="20"/>
                <w:color w:val="auto"/>
              </w:rPr>
            </w:pPr>
            <w:r>
              <w:rPr>
                <w:rFonts w:ascii="Courier New" w:cs="Courier New" w:eastAsia="Courier New" w:hAnsi="Courier New"/>
                <w:sz w:val="15"/>
                <w:szCs w:val="15"/>
                <w:color w:val="auto"/>
              </w:rPr>
              <w:t>SECTION 1607.</w:t>
            </w:r>
          </w:p>
        </w:tc>
        <w:tc>
          <w:tcPr>
            <w:tcW w:w="9540" w:type="dxa"/>
            <w:vAlign w:val="bottom"/>
          </w:tcPr>
          <w:p>
            <w:pPr>
              <w:ind w:left="180"/>
              <w:spacing w:after="0"/>
              <w:rPr>
                <w:sz w:val="20"/>
                <w:szCs w:val="20"/>
                <w:color w:val="auto"/>
              </w:rPr>
            </w:pPr>
            <w:r>
              <w:rPr>
                <w:rFonts w:ascii="Courier New" w:cs="Courier New" w:eastAsia="Courier New" w:hAnsi="Courier New"/>
                <w:sz w:val="15"/>
                <w:szCs w:val="15"/>
                <w:color w:val="auto"/>
              </w:rPr>
              <w:t>Rights of Trustee as Holder of Senior Indebtedness.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84</w:t>
            </w:r>
          </w:p>
        </w:tc>
      </w:tr>
      <w:tr>
        <w:trPr>
          <w:trHeight w:val="175"/>
        </w:trPr>
        <w:tc>
          <w:tcPr>
            <w:tcW w:w="1360" w:type="dxa"/>
            <w:vAlign w:val="bottom"/>
          </w:tcPr>
          <w:p>
            <w:pPr>
              <w:spacing w:after="0"/>
              <w:rPr>
                <w:sz w:val="20"/>
                <w:szCs w:val="20"/>
                <w:color w:val="auto"/>
              </w:rPr>
            </w:pPr>
            <w:r>
              <w:rPr>
                <w:rFonts w:ascii="Courier New" w:cs="Courier New" w:eastAsia="Courier New" w:hAnsi="Courier New"/>
                <w:sz w:val="15"/>
                <w:szCs w:val="15"/>
                <w:color w:val="auto"/>
              </w:rPr>
              <w:t>SECTION 1608.</w:t>
            </w:r>
          </w:p>
        </w:tc>
        <w:tc>
          <w:tcPr>
            <w:tcW w:w="9540" w:type="dxa"/>
            <w:vAlign w:val="bottom"/>
          </w:tcPr>
          <w:p>
            <w:pPr>
              <w:ind w:left="180"/>
              <w:spacing w:after="0"/>
              <w:rPr>
                <w:sz w:val="20"/>
                <w:szCs w:val="20"/>
                <w:color w:val="auto"/>
              </w:rPr>
            </w:pPr>
            <w:r>
              <w:rPr>
                <w:rFonts w:ascii="Courier New" w:cs="Courier New" w:eastAsia="Courier New" w:hAnsi="Courier New"/>
                <w:sz w:val="15"/>
                <w:szCs w:val="15"/>
                <w:color w:val="auto"/>
              </w:rPr>
              <w:t>Article Applicable to Paying Agents.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84</w:t>
            </w:r>
          </w:p>
        </w:tc>
      </w:tr>
      <w:tr>
        <w:trPr>
          <w:trHeight w:val="175"/>
        </w:trPr>
        <w:tc>
          <w:tcPr>
            <w:tcW w:w="1360" w:type="dxa"/>
            <w:vAlign w:val="bottom"/>
          </w:tcPr>
          <w:p>
            <w:pPr>
              <w:spacing w:after="0"/>
              <w:rPr>
                <w:sz w:val="20"/>
                <w:szCs w:val="20"/>
                <w:color w:val="auto"/>
              </w:rPr>
            </w:pPr>
            <w:r>
              <w:rPr>
                <w:rFonts w:ascii="Courier New" w:cs="Courier New" w:eastAsia="Courier New" w:hAnsi="Courier New"/>
                <w:sz w:val="15"/>
                <w:szCs w:val="15"/>
                <w:color w:val="auto"/>
              </w:rPr>
              <w:t>SECTION 1609.</w:t>
            </w:r>
          </w:p>
        </w:tc>
        <w:tc>
          <w:tcPr>
            <w:tcW w:w="9540" w:type="dxa"/>
            <w:vAlign w:val="bottom"/>
          </w:tcPr>
          <w:p>
            <w:pPr>
              <w:ind w:left="180"/>
              <w:spacing w:after="0"/>
              <w:rPr>
                <w:sz w:val="20"/>
                <w:szCs w:val="20"/>
                <w:color w:val="auto"/>
              </w:rPr>
            </w:pPr>
            <w:r>
              <w:rPr>
                <w:rFonts w:ascii="Courier New" w:cs="Courier New" w:eastAsia="Courier New" w:hAnsi="Courier New"/>
                <w:sz w:val="15"/>
                <w:szCs w:val="15"/>
                <w:color w:val="auto"/>
              </w:rPr>
              <w:t>Subordination Rights Not Impaired by Acts or Omissions of the Company or Holders</w:t>
            </w:r>
          </w:p>
        </w:tc>
        <w:tc>
          <w:tcPr>
            <w:tcW w:w="280" w:type="dxa"/>
            <w:vAlign w:val="bottom"/>
          </w:tcPr>
          <w:p>
            <w:pPr>
              <w:spacing w:after="0"/>
              <w:rPr>
                <w:sz w:val="15"/>
                <w:szCs w:val="15"/>
                <w:color w:val="auto"/>
              </w:rPr>
            </w:pPr>
          </w:p>
        </w:tc>
      </w:tr>
      <w:tr>
        <w:trPr>
          <w:trHeight w:val="175"/>
        </w:trPr>
        <w:tc>
          <w:tcPr>
            <w:tcW w:w="1360" w:type="dxa"/>
            <w:vAlign w:val="bottom"/>
          </w:tcPr>
          <w:p>
            <w:pPr>
              <w:spacing w:after="0"/>
              <w:rPr>
                <w:sz w:val="15"/>
                <w:szCs w:val="15"/>
                <w:color w:val="auto"/>
              </w:rPr>
            </w:pPr>
          </w:p>
        </w:tc>
        <w:tc>
          <w:tcPr>
            <w:tcW w:w="9540" w:type="dxa"/>
            <w:vAlign w:val="bottom"/>
          </w:tcPr>
          <w:p>
            <w:pPr>
              <w:ind w:left="1000"/>
              <w:spacing w:after="0"/>
              <w:rPr>
                <w:sz w:val="20"/>
                <w:szCs w:val="20"/>
                <w:color w:val="auto"/>
              </w:rPr>
            </w:pPr>
            <w:r>
              <w:rPr>
                <w:rFonts w:ascii="Courier New" w:cs="Courier New" w:eastAsia="Courier New" w:hAnsi="Courier New"/>
                <w:sz w:val="15"/>
                <w:szCs w:val="15"/>
                <w:color w:val="auto"/>
              </w:rPr>
              <w:t>of Senior Indebtedness. . . . . . . . . . . . . .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84</w:t>
            </w:r>
          </w:p>
        </w:tc>
      </w:tr>
      <w:tr>
        <w:trPr>
          <w:trHeight w:val="175"/>
        </w:trPr>
        <w:tc>
          <w:tcPr>
            <w:tcW w:w="1360" w:type="dxa"/>
            <w:vAlign w:val="bottom"/>
          </w:tcPr>
          <w:p>
            <w:pPr>
              <w:spacing w:after="0"/>
              <w:rPr>
                <w:sz w:val="20"/>
                <w:szCs w:val="20"/>
                <w:color w:val="auto"/>
              </w:rPr>
            </w:pPr>
            <w:r>
              <w:rPr>
                <w:rFonts w:ascii="Courier New" w:cs="Courier New" w:eastAsia="Courier New" w:hAnsi="Courier New"/>
                <w:sz w:val="15"/>
                <w:szCs w:val="15"/>
                <w:color w:val="auto"/>
              </w:rPr>
              <w:t>SECTION 1610.</w:t>
            </w:r>
          </w:p>
        </w:tc>
        <w:tc>
          <w:tcPr>
            <w:tcW w:w="9540" w:type="dxa"/>
            <w:vAlign w:val="bottom"/>
          </w:tcPr>
          <w:p>
            <w:pPr>
              <w:ind w:left="180"/>
              <w:spacing w:after="0"/>
              <w:rPr>
                <w:sz w:val="20"/>
                <w:szCs w:val="20"/>
                <w:color w:val="auto"/>
              </w:rPr>
            </w:pPr>
            <w:r>
              <w:rPr>
                <w:rFonts w:ascii="Courier New" w:cs="Courier New" w:eastAsia="Courier New" w:hAnsi="Courier New"/>
                <w:sz w:val="15"/>
                <w:szCs w:val="15"/>
                <w:color w:val="auto"/>
              </w:rPr>
              <w:t>Trustee Not Fiduciary for Holders of Senior Indebtedness.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84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20"/>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jc w:val="center"/>
        <w:ind w:right="3920"/>
        <w:spacing w:after="0"/>
        <w:rPr>
          <w:sz w:val="20"/>
          <w:szCs w:val="20"/>
          <w:color w:val="auto"/>
        </w:rPr>
      </w:pPr>
      <w:r>
        <w:rPr>
          <w:rFonts w:ascii="Courier New" w:cs="Courier New" w:eastAsia="Courier New" w:hAnsi="Courier New"/>
          <w:sz w:val="15"/>
          <w:szCs w:val="15"/>
          <w:color w:val="auto"/>
        </w:rPr>
        <w:t>SUBORDINATED INDENTURE</w:t>
      </w:r>
    </w:p>
    <w:p>
      <w:pPr>
        <w:spacing w:after="0" w:line="5" w:lineRule="exact"/>
        <w:rPr>
          <w:sz w:val="20"/>
          <w:szCs w:val="20"/>
          <w:color w:val="auto"/>
        </w:rPr>
      </w:pPr>
    </w:p>
    <w:p>
      <w:pPr>
        <w:jc w:val="center"/>
        <w:ind w:right="4020"/>
        <w:spacing w:after="0"/>
        <w:rPr>
          <w:sz w:val="20"/>
          <w:szCs w:val="20"/>
          <w:color w:val="auto"/>
        </w:rPr>
      </w:pPr>
      <w:r>
        <w:rPr>
          <w:rFonts w:ascii="Courier New" w:cs="Courier New" w:eastAsia="Courier New" w:hAnsi="Courier New"/>
          <w:sz w:val="15"/>
          <w:szCs w:val="15"/>
          <w:color w:val="auto"/>
        </w:rPr>
        <w:t>- v -</w:t>
      </w:r>
    </w:p>
    <w:p>
      <w:pPr>
        <w:sectPr>
          <w:pgSz w:w="11900" w:h="16838" w:orient="portrait"/>
          <w:cols w:equalWidth="0" w:num="1">
            <w:col w:w="11180"/>
          </w:cols>
          <w:pgMar w:left="240" w:top="293" w:right="479" w:bottom="1440" w:gutter="0" w:footer="0" w:header="0"/>
        </w:sectPr>
      </w:pPr>
    </w:p>
    <w:bookmarkStart w:id="62" w:name="page63"/>
    <w:bookmarkEnd w:id="62"/>
    <w:p>
      <w:pPr>
        <w:ind w:left="260"/>
        <w:spacing w:after="0"/>
        <w:rPr>
          <w:sz w:val="20"/>
          <w:szCs w:val="20"/>
          <w:color w:val="auto"/>
        </w:rPr>
      </w:pPr>
      <w:r>
        <w:rPr>
          <w:rFonts w:ascii="Courier New" w:cs="Courier New" w:eastAsia="Courier New" w:hAnsi="Courier New"/>
          <w:sz w:val="15"/>
          <w:szCs w:val="15"/>
          <w:color w:val="auto"/>
        </w:rPr>
        <w:t>8</w:t>
      </w:r>
    </w:p>
    <w:p>
      <w:pPr>
        <w:spacing w:after="0" w:line="5" w:lineRule="exact"/>
        <w:rPr>
          <w:sz w:val="20"/>
          <w:szCs w:val="20"/>
          <w:color w:val="auto"/>
        </w:rPr>
      </w:pPr>
    </w:p>
    <w:p>
      <w:pPr>
        <w:ind w:right="3139" w:firstLine="818"/>
        <w:spacing w:after="0" w:line="246" w:lineRule="auto"/>
        <w:rPr>
          <w:sz w:val="20"/>
          <w:szCs w:val="20"/>
          <w:color w:val="auto"/>
        </w:rPr>
      </w:pPr>
      <w:r>
        <w:rPr>
          <w:rFonts w:ascii="Courier New" w:cs="Courier New" w:eastAsia="Courier New" w:hAnsi="Courier New"/>
          <w:sz w:val="15"/>
          <w:szCs w:val="15"/>
          <w:color w:val="auto"/>
        </w:rPr>
        <w:t>SUBORDINATED INDENTURE, dated as of February 1, 1997, between USA Waste Services, Inc., a corporation duly organized and existing under the laws of the State of Delaware (herein called the "Company"), having its principal office at 1001 Fannin Street, Suite 4000, Houston, Texas 77002, and Texas Commerce Bank National Association, a national banking association, as Trustee (herein called the "Trustee").</w:t>
      </w:r>
    </w:p>
    <w:p>
      <w:pPr>
        <w:spacing w:after="0" w:line="178"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RECITALS OF THE COMPANY</w:t>
      </w:r>
    </w:p>
    <w:p>
      <w:pPr>
        <w:spacing w:after="0" w:line="180" w:lineRule="exact"/>
        <w:rPr>
          <w:sz w:val="20"/>
          <w:szCs w:val="20"/>
          <w:color w:val="auto"/>
        </w:rPr>
      </w:pPr>
    </w:p>
    <w:p>
      <w:pPr>
        <w:ind w:right="3419" w:firstLine="818"/>
        <w:spacing w:after="0" w:line="246" w:lineRule="auto"/>
        <w:rPr>
          <w:sz w:val="20"/>
          <w:szCs w:val="20"/>
          <w:color w:val="auto"/>
        </w:rPr>
      </w:pPr>
      <w:r>
        <w:rPr>
          <w:rFonts w:ascii="Courier New" w:cs="Courier New" w:eastAsia="Courier New" w:hAnsi="Courier New"/>
          <w:sz w:val="15"/>
          <w:szCs w:val="15"/>
          <w:color w:val="auto"/>
        </w:rPr>
        <w:t>The Company has duly authorized the execution and delivery of this Indenture to provide for the issuance from time to time of its subordinated debentures, notes or other evidences of indebtedness (herein called the "Securities"), to be issued in one or more series as in this Indenture provided.</w:t>
      </w:r>
    </w:p>
    <w:p>
      <w:pPr>
        <w:spacing w:after="0" w:line="178" w:lineRule="exact"/>
        <w:rPr>
          <w:sz w:val="20"/>
          <w:szCs w:val="20"/>
          <w:color w:val="auto"/>
        </w:rPr>
      </w:pPr>
    </w:p>
    <w:p>
      <w:pPr>
        <w:ind w:right="3219" w:firstLine="818"/>
        <w:spacing w:after="0" w:line="247" w:lineRule="auto"/>
        <w:rPr>
          <w:sz w:val="20"/>
          <w:szCs w:val="20"/>
          <w:color w:val="auto"/>
        </w:rPr>
      </w:pPr>
      <w:r>
        <w:rPr>
          <w:rFonts w:ascii="Courier New" w:cs="Courier New" w:eastAsia="Courier New" w:hAnsi="Courier New"/>
          <w:sz w:val="15"/>
          <w:szCs w:val="15"/>
          <w:color w:val="auto"/>
        </w:rPr>
        <w:t>All things necessary to make this Indenture a valid agreement of the Company, in accordance with its terms, have been done.</w:t>
      </w:r>
    </w:p>
    <w:p>
      <w:pPr>
        <w:spacing w:after="0" w:line="17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NOW, THEREFORE, THIS INDENTURE WITNESSETH:</w:t>
      </w:r>
    </w:p>
    <w:p>
      <w:pPr>
        <w:spacing w:after="0" w:line="180" w:lineRule="exact"/>
        <w:rPr>
          <w:sz w:val="20"/>
          <w:szCs w:val="20"/>
          <w:color w:val="auto"/>
        </w:rPr>
      </w:pPr>
    </w:p>
    <w:p>
      <w:pPr>
        <w:ind w:right="3139" w:firstLine="818"/>
        <w:spacing w:after="0" w:line="246" w:lineRule="auto"/>
        <w:rPr>
          <w:sz w:val="20"/>
          <w:szCs w:val="20"/>
          <w:color w:val="auto"/>
        </w:rPr>
      </w:pPr>
      <w:r>
        <w:rPr>
          <w:rFonts w:ascii="Courier New" w:cs="Courier New" w:eastAsia="Courier New" w:hAnsi="Courier New"/>
          <w:sz w:val="15"/>
          <w:szCs w:val="15"/>
          <w:color w:val="auto"/>
        </w:rPr>
        <w:t>For and in consideration of the premises and the purchase of the Securities by the Holders thereof, it is mutually agreed, for the equal and proportionate benefit of all Holders of the Securities or of a series thereof, as follows:</w:t>
      </w:r>
    </w:p>
    <w:p>
      <w:pPr>
        <w:spacing w:after="0" w:line="177"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ARTICLE ONE</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DEFINITIONS AND OTHER PROVISIONS</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OF GENERAL APPLICATION</w:t>
      </w:r>
    </w:p>
    <w:p>
      <w:pPr>
        <w:spacing w:after="0" w:line="180"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5"/>
          <w:szCs w:val="15"/>
          <w:color w:val="auto"/>
        </w:rPr>
        <w:t>SECTION 101.</w:t>
      </w:r>
      <w:r>
        <w:rPr>
          <w:sz w:val="20"/>
          <w:szCs w:val="20"/>
          <w:color w:val="auto"/>
        </w:rPr>
        <w:tab/>
      </w:r>
      <w:r>
        <w:rPr>
          <w:rFonts w:ascii="Courier New" w:cs="Courier New" w:eastAsia="Courier New" w:hAnsi="Courier New"/>
          <w:sz w:val="15"/>
          <w:szCs w:val="15"/>
          <w:color w:val="auto"/>
        </w:rPr>
        <w:t>Definitions.</w:t>
      </w:r>
    </w:p>
    <w:p>
      <w:pPr>
        <w:spacing w:after="0" w:line="180" w:lineRule="exact"/>
        <w:rPr>
          <w:sz w:val="20"/>
          <w:szCs w:val="20"/>
          <w:color w:val="auto"/>
        </w:rPr>
      </w:pPr>
    </w:p>
    <w:p>
      <w:pPr>
        <w:ind w:right="3499" w:firstLine="818"/>
        <w:spacing w:after="0" w:line="247" w:lineRule="auto"/>
        <w:rPr>
          <w:sz w:val="20"/>
          <w:szCs w:val="20"/>
          <w:color w:val="auto"/>
        </w:rPr>
      </w:pPr>
      <w:r>
        <w:rPr>
          <w:rFonts w:ascii="Courier New" w:cs="Courier New" w:eastAsia="Courier New" w:hAnsi="Courier New"/>
          <w:sz w:val="15"/>
          <w:szCs w:val="15"/>
          <w:color w:val="auto"/>
        </w:rPr>
        <w:t>For all purposes of this Indenture, except as otherwise expressly provided or unless the context otherwise requires:</w:t>
      </w:r>
    </w:p>
    <w:p>
      <w:pPr>
        <w:spacing w:after="0" w:line="175" w:lineRule="exact"/>
        <w:rPr>
          <w:sz w:val="20"/>
          <w:szCs w:val="20"/>
          <w:color w:val="auto"/>
        </w:rPr>
      </w:pPr>
    </w:p>
    <w:p>
      <w:pPr>
        <w:ind w:left="820" w:right="3039" w:firstLine="718"/>
        <w:spacing w:after="0" w:line="247" w:lineRule="auto"/>
        <w:tabs>
          <w:tab w:leader="none" w:pos="2365"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terms defined in this Article have the meanings assigned to them in this Article and include the plural as well as the singular;</w:t>
      </w:r>
    </w:p>
    <w:p>
      <w:pPr>
        <w:spacing w:after="0" w:line="174" w:lineRule="exact"/>
        <w:rPr>
          <w:rFonts w:ascii="Courier New" w:cs="Courier New" w:eastAsia="Courier New" w:hAnsi="Courier New"/>
          <w:sz w:val="15"/>
          <w:szCs w:val="15"/>
          <w:color w:val="auto"/>
        </w:rPr>
      </w:pPr>
    </w:p>
    <w:p>
      <w:pPr>
        <w:ind w:left="820" w:right="3039" w:firstLine="718"/>
        <w:spacing w:after="0" w:line="247" w:lineRule="auto"/>
        <w:tabs>
          <w:tab w:leader="none" w:pos="2365"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other terms used herein which are defined in the Trust Indenture Act, either directly or by reference therein, have the meanings assigned to them therein;</w:t>
      </w:r>
    </w:p>
    <w:p>
      <w:pPr>
        <w:spacing w:after="0" w:line="174" w:lineRule="exact"/>
        <w:rPr>
          <w:rFonts w:ascii="Courier New" w:cs="Courier New" w:eastAsia="Courier New" w:hAnsi="Courier New"/>
          <w:sz w:val="15"/>
          <w:szCs w:val="15"/>
          <w:color w:val="auto"/>
        </w:rPr>
      </w:pPr>
    </w:p>
    <w:p>
      <w:pPr>
        <w:ind w:left="820" w:right="3219" w:firstLine="718"/>
        <w:spacing w:after="0" w:line="246" w:lineRule="auto"/>
        <w:tabs>
          <w:tab w:leader="none" w:pos="2365"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accounting terms not otherwise defined herein have the meanings assigned to them in accordance with generally accepted accounting principles in the United States of America, and, except as otherwise herein expressly provided, the term "generally accepted accounting principles" with respect to any computation required or permitted hereunder shall</w:t>
      </w:r>
    </w:p>
    <w:p>
      <w:pPr>
        <w:sectPr>
          <w:pgSz w:w="11900" w:h="16838" w:orient="portrait"/>
          <w:cols w:equalWidth="0" w:num="1">
            <w:col w:w="10219"/>
          </w:cols>
          <w:pgMar w:left="240" w:top="293" w:right="1440" w:bottom="1440" w:gutter="0" w:footer="0" w:header="0"/>
        </w:sectPr>
      </w:pPr>
    </w:p>
    <w:bookmarkStart w:id="63" w:name="page64"/>
    <w:bookmarkEnd w:id="63"/>
    <w:p>
      <w:pPr>
        <w:ind w:left="260"/>
        <w:spacing w:after="0"/>
        <w:rPr>
          <w:sz w:val="20"/>
          <w:szCs w:val="20"/>
          <w:color w:val="auto"/>
        </w:rPr>
      </w:pPr>
      <w:r>
        <w:rPr>
          <w:rFonts w:ascii="Courier New" w:cs="Courier New" w:eastAsia="Courier New" w:hAnsi="Courier New"/>
          <w:sz w:val="15"/>
          <w:szCs w:val="15"/>
          <w:color w:val="auto"/>
        </w:rPr>
        <w:t>9</w:t>
      </w:r>
    </w:p>
    <w:p>
      <w:pPr>
        <w:spacing w:after="0" w:line="5" w:lineRule="exact"/>
        <w:rPr>
          <w:sz w:val="20"/>
          <w:szCs w:val="20"/>
          <w:color w:val="auto"/>
        </w:rPr>
      </w:pPr>
    </w:p>
    <w:p>
      <w:pPr>
        <w:ind w:left="820" w:right="3599"/>
        <w:spacing w:after="0" w:line="247" w:lineRule="auto"/>
        <w:rPr>
          <w:sz w:val="20"/>
          <w:szCs w:val="20"/>
          <w:color w:val="auto"/>
        </w:rPr>
      </w:pPr>
      <w:r>
        <w:rPr>
          <w:rFonts w:ascii="Courier New" w:cs="Courier New" w:eastAsia="Courier New" w:hAnsi="Courier New"/>
          <w:sz w:val="15"/>
          <w:szCs w:val="15"/>
          <w:color w:val="auto"/>
        </w:rPr>
        <w:t>mean such accounting principles as are generally accepted in the United States of America at the date of this Indenture; and</w:t>
      </w:r>
    </w:p>
    <w:p>
      <w:pPr>
        <w:spacing w:after="0" w:line="175" w:lineRule="exact"/>
        <w:rPr>
          <w:sz w:val="20"/>
          <w:szCs w:val="20"/>
          <w:color w:val="auto"/>
        </w:rPr>
      </w:pPr>
    </w:p>
    <w:p>
      <w:pPr>
        <w:ind w:left="820" w:right="3219" w:firstLine="718"/>
        <w:spacing w:after="0" w:line="246" w:lineRule="auto"/>
        <w:tabs>
          <w:tab w:leader="none" w:pos="2365"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words "herein," "hereof" and "hereunder" and other words of similar import refer to this Indenture as a whole and not to any particular Article, Section or other subdivision, and the words "date of this Indenture" and "date hereof" and other words of similar import refer to the effective date of the original execution and delivery of this Indenture, viz. November 20, 1993.</w:t>
      </w:r>
    </w:p>
    <w:p>
      <w:pPr>
        <w:spacing w:after="0" w:line="178" w:lineRule="exact"/>
        <w:rPr>
          <w:sz w:val="20"/>
          <w:szCs w:val="20"/>
          <w:color w:val="auto"/>
        </w:rPr>
      </w:pPr>
    </w:p>
    <w:p>
      <w:pPr>
        <w:ind w:right="3419" w:firstLine="818"/>
        <w:spacing w:after="0" w:line="247" w:lineRule="auto"/>
        <w:rPr>
          <w:sz w:val="20"/>
          <w:szCs w:val="20"/>
          <w:color w:val="auto"/>
        </w:rPr>
      </w:pPr>
      <w:r>
        <w:rPr>
          <w:rFonts w:ascii="Courier New" w:cs="Courier New" w:eastAsia="Courier New" w:hAnsi="Courier New"/>
          <w:sz w:val="15"/>
          <w:szCs w:val="15"/>
          <w:color w:val="auto"/>
        </w:rPr>
        <w:t>"Act," when used with respect to any Holder of a Security, has the meaning specified in Section 104.</w:t>
      </w:r>
    </w:p>
    <w:p>
      <w:pPr>
        <w:spacing w:after="0" w:line="175"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"Affiliate"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80" w:lineRule="exact"/>
        <w:rPr>
          <w:sz w:val="20"/>
          <w:szCs w:val="20"/>
          <w:color w:val="auto"/>
        </w:rPr>
      </w:pPr>
    </w:p>
    <w:p>
      <w:pPr>
        <w:ind w:right="3499" w:firstLine="818"/>
        <w:spacing w:after="0" w:line="247" w:lineRule="auto"/>
        <w:rPr>
          <w:sz w:val="20"/>
          <w:szCs w:val="20"/>
          <w:color w:val="auto"/>
        </w:rPr>
      </w:pPr>
      <w:r>
        <w:rPr>
          <w:rFonts w:ascii="Courier New" w:cs="Courier New" w:eastAsia="Courier New" w:hAnsi="Courier New"/>
          <w:sz w:val="15"/>
          <w:szCs w:val="15"/>
          <w:color w:val="auto"/>
        </w:rPr>
        <w:t>"Authenticating Agent" means any Person authorized by the Trustee pursuant to Section 614 to act on behalf of the Trustee to authenticate Securities of one or more series.</w:t>
      </w:r>
    </w:p>
    <w:p>
      <w:pPr>
        <w:spacing w:after="0" w:line="174"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"Authorized Newspaper" means a newspaper, in the English language or in an official language of the country of publication, customarily published on each Business Day, whether or not published on Saturdays, Sundays or holidays, and of general circulation in the place in connection with which the term is used or in the financial community of such place. Where successive publications are required to be made in Authorized Newspapers, the successive publications may be made in the same or in different newspapers in the same city meeting the foregoing requirements and in each case on any Business Day.</w:t>
      </w:r>
    </w:p>
    <w:p>
      <w:pPr>
        <w:spacing w:after="0" w:line="180" w:lineRule="exact"/>
        <w:rPr>
          <w:sz w:val="20"/>
          <w:szCs w:val="20"/>
          <w:color w:val="auto"/>
        </w:rPr>
      </w:pPr>
    </w:p>
    <w:p>
      <w:pPr>
        <w:ind w:right="3219" w:firstLine="818"/>
        <w:spacing w:after="0" w:line="247" w:lineRule="auto"/>
        <w:rPr>
          <w:sz w:val="20"/>
          <w:szCs w:val="20"/>
          <w:color w:val="auto"/>
        </w:rPr>
      </w:pPr>
      <w:r>
        <w:rPr>
          <w:rFonts w:ascii="Courier New" w:cs="Courier New" w:eastAsia="Courier New" w:hAnsi="Courier New"/>
          <w:sz w:val="15"/>
          <w:szCs w:val="15"/>
          <w:color w:val="auto"/>
        </w:rPr>
        <w:t>"Bankruptcy Code" means the United States Bankruptcy Code, 11 United States Code Sections 101 et seq., or any successor statute thereto.</w:t>
      </w:r>
    </w:p>
    <w:p>
      <w:pPr>
        <w:spacing w:after="0" w:line="175" w:lineRule="exact"/>
        <w:rPr>
          <w:sz w:val="20"/>
          <w:szCs w:val="20"/>
          <w:color w:val="auto"/>
        </w:rPr>
      </w:pPr>
    </w:p>
    <w:p>
      <w:pPr>
        <w:ind w:right="3139" w:firstLine="818"/>
        <w:spacing w:after="0" w:line="247" w:lineRule="auto"/>
        <w:rPr>
          <w:sz w:val="20"/>
          <w:szCs w:val="20"/>
          <w:color w:val="auto"/>
        </w:rPr>
      </w:pPr>
      <w:r>
        <w:rPr>
          <w:rFonts w:ascii="Courier New" w:cs="Courier New" w:eastAsia="Courier New" w:hAnsi="Courier New"/>
          <w:sz w:val="15"/>
          <w:szCs w:val="15"/>
          <w:color w:val="auto"/>
        </w:rPr>
        <w:t>"Bearer Security" means any Security in the form established pursuant to Section 201 which is payable to bearer, including, without limitation, a Security in temporary or permanent global form.</w:t>
      </w:r>
    </w:p>
    <w:p>
      <w:pPr>
        <w:spacing w:after="0" w:line="174" w:lineRule="exact"/>
        <w:rPr>
          <w:sz w:val="20"/>
          <w:szCs w:val="20"/>
          <w:color w:val="auto"/>
        </w:rPr>
      </w:pPr>
    </w:p>
    <w:p>
      <w:pPr>
        <w:ind w:right="3679" w:firstLine="818"/>
        <w:spacing w:after="0" w:line="247" w:lineRule="auto"/>
        <w:rPr>
          <w:sz w:val="20"/>
          <w:szCs w:val="20"/>
          <w:color w:val="auto"/>
        </w:rPr>
      </w:pPr>
      <w:r>
        <w:rPr>
          <w:rFonts w:ascii="Courier New" w:cs="Courier New" w:eastAsia="Courier New" w:hAnsi="Courier New"/>
          <w:sz w:val="15"/>
          <w:szCs w:val="15"/>
          <w:color w:val="auto"/>
        </w:rPr>
        <w:t>"Board of Directors" means either the board of directors of the Company or any duly authorized committee of that board.</w:t>
      </w:r>
    </w:p>
    <w:p>
      <w:pPr>
        <w:spacing w:after="0" w:line="175"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"Board Resolution" means a copy of a resolution certified by the Secretary or an Assistant Secretary of the Company to have been duly adopted by the Board of Directors and to be in full force and effect on the date of such certification, and delivered to the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SUBORDINATED INDENTURE</w:t>
      </w:r>
    </w:p>
    <w:p>
      <w:pPr>
        <w:spacing w:after="0" w:line="5"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- 2 -</w:t>
      </w:r>
    </w:p>
    <w:p>
      <w:pPr>
        <w:sectPr>
          <w:pgSz w:w="11900" w:h="16838" w:orient="portrait"/>
          <w:cols w:equalWidth="0" w:num="1">
            <w:col w:w="10219"/>
          </w:cols>
          <w:pgMar w:left="240" w:top="293" w:right="1440" w:bottom="1440" w:gutter="0" w:footer="0" w:header="0"/>
        </w:sectPr>
      </w:pPr>
    </w:p>
    <w:bookmarkStart w:id="64" w:name="page65"/>
    <w:bookmarkEnd w:id="64"/>
    <w:p>
      <w:pPr>
        <w:ind w:left="260"/>
        <w:spacing w:after="0"/>
        <w:rPr>
          <w:sz w:val="20"/>
          <w:szCs w:val="20"/>
          <w:color w:val="auto"/>
        </w:rPr>
      </w:pPr>
      <w:r>
        <w:rPr>
          <w:rFonts w:ascii="Courier New" w:cs="Courier New" w:eastAsia="Courier New" w:hAnsi="Courier New"/>
          <w:sz w:val="15"/>
          <w:szCs w:val="15"/>
          <w:color w:val="auto"/>
        </w:rPr>
        <w:t>10</w:t>
      </w:r>
    </w:p>
    <w:p>
      <w:pPr>
        <w:spacing w:after="0" w:line="5"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"Book-Entry Security" means a Security bearing the legend specified in Section 204, evidencing all or part of a series of Securities, issued to the Depository for such series or its nominee, and registered in the name of such Depository or nominee. Book-Entry Securities shall not be deemed to be Securities in global form for purposes of Sections 201 and 203 and Article Three of this Indenture.</w:t>
      </w:r>
    </w:p>
    <w:p>
      <w:pPr>
        <w:spacing w:after="0" w:line="178" w:lineRule="exact"/>
        <w:rPr>
          <w:sz w:val="20"/>
          <w:szCs w:val="20"/>
          <w:color w:val="auto"/>
        </w:rPr>
      </w:pPr>
    </w:p>
    <w:p>
      <w:pPr>
        <w:ind w:right="3139" w:firstLine="818"/>
        <w:spacing w:after="0" w:line="246" w:lineRule="auto"/>
        <w:rPr>
          <w:sz w:val="20"/>
          <w:szCs w:val="20"/>
          <w:color w:val="auto"/>
        </w:rPr>
      </w:pPr>
      <w:r>
        <w:rPr>
          <w:rFonts w:ascii="Courier New" w:cs="Courier New" w:eastAsia="Courier New" w:hAnsi="Courier New"/>
          <w:sz w:val="15"/>
          <w:szCs w:val="15"/>
          <w:color w:val="auto"/>
        </w:rPr>
        <w:t>"Business Day," when used with respect to any Place of Payment or any other particular location referred to in this Indenture or in the Securities, means each Monday, Tuesday, Wednesday, Thursday and Friday which is not a day on which banking institutions in that Place of Payment or other location are authorized or obligated by law or executive order to close.</w:t>
      </w:r>
    </w:p>
    <w:p>
      <w:pPr>
        <w:spacing w:after="0" w:line="178"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"Certification Date" means with respect to Securities of any series (i), if Bearer Securities of such series are not to be initially represented by a temporary global Security, the date of delivery of the definitive Bearer Security and (ii), if Bearer Securities of such series are initially represented by a temporary global Security, the earlier of (A) the Exchange Date with respect to Securities of such series and (B), if the first Interest Payment Date with respect to Securities of such series is prior to such Exchange Date, such Interest Payment Date.</w:t>
      </w:r>
    </w:p>
    <w:p>
      <w:pPr>
        <w:spacing w:after="0" w:line="180" w:lineRule="exact"/>
        <w:rPr>
          <w:sz w:val="20"/>
          <w:szCs w:val="20"/>
          <w:color w:val="auto"/>
        </w:rPr>
      </w:pPr>
    </w:p>
    <w:p>
      <w:pPr>
        <w:ind w:right="3319" w:firstLine="818"/>
        <w:spacing w:after="0" w:line="246" w:lineRule="auto"/>
        <w:rPr>
          <w:sz w:val="20"/>
          <w:szCs w:val="20"/>
          <w:color w:val="auto"/>
        </w:rPr>
      </w:pPr>
      <w:r>
        <w:rPr>
          <w:rFonts w:ascii="Courier New" w:cs="Courier New" w:eastAsia="Courier New" w:hAnsi="Courier New"/>
          <w:sz w:val="15"/>
          <w:szCs w:val="15"/>
          <w:color w:val="auto"/>
        </w:rPr>
        <w:t>"Commission" means the Securities and Exchange Commission, as from time to time constituted, created under the Securities Exchange Act of 1934, or, if at any time after the execution of this instrument such Commission is not existing and performing the duties now assigned to it under the Trust Indenture Act, then the body performing such duties at such time.</w:t>
      </w:r>
    </w:p>
    <w:p>
      <w:pPr>
        <w:spacing w:after="0" w:line="178"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"Common Depositary" has the meaning specified in Section 304.</w:t>
      </w:r>
    </w:p>
    <w:p>
      <w:pPr>
        <w:spacing w:after="0" w:line="180"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"Common Stock" means the Common Stock, par value $0.01 per share, of the Company as the same exists at the date of execution and delivery of this Indenture or other capital stock of the Company into which such Common Stock is converted, reclassified or changed from time to time.</w:t>
      </w:r>
    </w:p>
    <w:p>
      <w:pPr>
        <w:spacing w:after="0" w:line="177" w:lineRule="exact"/>
        <w:rPr>
          <w:sz w:val="20"/>
          <w:szCs w:val="20"/>
          <w:color w:val="auto"/>
        </w:rPr>
      </w:pPr>
    </w:p>
    <w:p>
      <w:pPr>
        <w:ind w:right="3319" w:firstLine="818"/>
        <w:spacing w:after="0" w:line="246" w:lineRule="auto"/>
        <w:rPr>
          <w:sz w:val="20"/>
          <w:szCs w:val="20"/>
          <w:color w:val="auto"/>
        </w:rPr>
      </w:pPr>
      <w:r>
        <w:rPr>
          <w:rFonts w:ascii="Courier New" w:cs="Courier New" w:eastAsia="Courier New" w:hAnsi="Courier New"/>
          <w:sz w:val="15"/>
          <w:szCs w:val="15"/>
          <w:color w:val="auto"/>
        </w:rPr>
        <w:t>"Company" means the Person named as the "Company" in the first paragraph of this instrument until a successor Person shall have become such pursuant to the applicable provisions of this Indenture, and thereafter "Company" shall mean such successor Person.</w:t>
      </w:r>
    </w:p>
    <w:p>
      <w:pPr>
        <w:spacing w:after="0" w:line="177"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"Company Request" or "Company Order" means a written request or order signed in the name of the Company by its Chairman of the Board, a Vice Chairman of the Board, its President or a Vice President, and by its Treasurer, an Assistant Treasurer, its Secretary or an Assistant Secretary, and delivered to the Trustee.</w:t>
      </w:r>
    </w:p>
    <w:p>
      <w:pPr>
        <w:spacing w:after="0" w:line="178" w:lineRule="exact"/>
        <w:rPr>
          <w:sz w:val="20"/>
          <w:szCs w:val="20"/>
          <w:color w:val="auto"/>
        </w:rPr>
      </w:pPr>
    </w:p>
    <w:p>
      <w:pPr>
        <w:ind w:right="3599" w:firstLine="818"/>
        <w:spacing w:after="0" w:line="247" w:lineRule="auto"/>
        <w:rPr>
          <w:sz w:val="20"/>
          <w:szCs w:val="20"/>
          <w:color w:val="auto"/>
        </w:rPr>
      </w:pPr>
      <w:r>
        <w:rPr>
          <w:rFonts w:ascii="Courier New" w:cs="Courier New" w:eastAsia="Courier New" w:hAnsi="Courier New"/>
          <w:sz w:val="15"/>
          <w:szCs w:val="15"/>
          <w:color w:val="auto"/>
        </w:rPr>
        <w:t>"Conversion Agent" means any Person authorized by the Company to convert any Securities on behalf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SUBORDINATED INDENTURE</w:t>
      </w:r>
    </w:p>
    <w:p>
      <w:pPr>
        <w:spacing w:after="0" w:line="5"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- 3 -</w:t>
      </w:r>
    </w:p>
    <w:p>
      <w:pPr>
        <w:sectPr>
          <w:pgSz w:w="11900" w:h="16838" w:orient="portrait"/>
          <w:cols w:equalWidth="0" w:num="1">
            <w:col w:w="10219"/>
          </w:cols>
          <w:pgMar w:left="240" w:top="293" w:right="1440" w:bottom="1440" w:gutter="0" w:footer="0" w:header="0"/>
        </w:sectPr>
      </w:pPr>
    </w:p>
    <w:bookmarkStart w:id="65" w:name="page66"/>
    <w:bookmarkEnd w:id="65"/>
    <w:p>
      <w:pPr>
        <w:ind w:left="260"/>
        <w:spacing w:after="0"/>
        <w:rPr>
          <w:sz w:val="20"/>
          <w:szCs w:val="20"/>
          <w:color w:val="auto"/>
        </w:rPr>
      </w:pPr>
      <w:r>
        <w:rPr>
          <w:rFonts w:ascii="Courier New" w:cs="Courier New" w:eastAsia="Courier New" w:hAnsi="Courier New"/>
          <w:sz w:val="15"/>
          <w:szCs w:val="15"/>
          <w:color w:val="auto"/>
        </w:rPr>
        <w:t>11</w:t>
      </w:r>
    </w:p>
    <w:p>
      <w:pPr>
        <w:spacing w:after="0" w:line="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"Conversion Price" has the meaning specified in Section 1504.</w:t>
      </w:r>
    </w:p>
    <w:p>
      <w:pPr>
        <w:spacing w:after="0" w:line="180" w:lineRule="exact"/>
        <w:rPr>
          <w:sz w:val="20"/>
          <w:szCs w:val="20"/>
          <w:color w:val="auto"/>
        </w:rPr>
      </w:pPr>
    </w:p>
    <w:p>
      <w:pPr>
        <w:jc w:val="both"/>
        <w:ind w:right="3319" w:firstLine="818"/>
        <w:spacing w:after="0" w:line="247" w:lineRule="auto"/>
        <w:rPr>
          <w:sz w:val="20"/>
          <w:szCs w:val="20"/>
          <w:color w:val="auto"/>
        </w:rPr>
      </w:pPr>
      <w:r>
        <w:rPr>
          <w:rFonts w:ascii="Courier New" w:cs="Courier New" w:eastAsia="Courier New" w:hAnsi="Courier New"/>
          <w:sz w:val="15"/>
          <w:szCs w:val="15"/>
          <w:color w:val="auto"/>
        </w:rPr>
        <w:t>"Corporate Trust Office" means the office of the Trustee in Dallas, Texas or Houston, Texas, at which at any particular time its corporate trust business shall be administered, as follows:</w:t>
      </w:r>
    </w:p>
    <w:p>
      <w:pPr>
        <w:spacing w:after="0" w:line="174"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For payment, registration, transfer, exchange and tender of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Securities:</w:t>
      </w:r>
    </w:p>
    <w:p>
      <w:pPr>
        <w:sectPr>
          <w:pgSz w:w="11900" w:h="16838" w:orient="portrait"/>
          <w:cols w:equalWidth="0" w:num="1">
            <w:col w:w="10219"/>
          </w:cols>
          <w:pgMar w:left="240" w:top="293" w:right="1440" w:bottom="1440" w:gutter="0" w:footer="0" w:header="0"/>
        </w:sectPr>
      </w:pPr>
    </w:p>
    <w:p>
      <w:pPr>
        <w:spacing w:after="0" w:line="200" w:lineRule="exact"/>
        <w:rPr>
          <w:sz w:val="20"/>
          <w:szCs w:val="20"/>
          <w:color w:val="auto"/>
        </w:rPr>
      </w:pPr>
    </w:p>
    <w:p>
      <w:pPr>
        <w:spacing w:after="0" w:line="329" w:lineRule="exact"/>
        <w:rPr>
          <w:sz w:val="20"/>
          <w:szCs w:val="20"/>
          <w:color w:val="auto"/>
        </w:rPr>
      </w:pPr>
    </w:p>
    <w:p>
      <w:pPr>
        <w:ind w:left="820"/>
        <w:spacing w:after="0"/>
        <w:rPr>
          <w:sz w:val="20"/>
          <w:szCs w:val="20"/>
          <w:color w:val="auto"/>
        </w:rPr>
      </w:pPr>
      <w:r>
        <w:rPr>
          <w:rFonts w:ascii="Courier New" w:cs="Courier New" w:eastAsia="Courier New" w:hAnsi="Courier New"/>
          <w:sz w:val="14"/>
          <w:szCs w:val="14"/>
          <w:color w:val="auto"/>
        </w:rPr>
        <w:t>BY HAND</w:t>
      </w:r>
    </w:p>
    <w:p>
      <w:pPr>
        <w:spacing w:after="0" w:line="16" w:lineRule="exact"/>
        <w:rPr>
          <w:sz w:val="20"/>
          <w:szCs w:val="20"/>
          <w:color w:val="auto"/>
        </w:rPr>
      </w:pPr>
    </w:p>
    <w:p>
      <w:pPr>
        <w:ind w:left="8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MAIL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sectPr>
          <w:pgSz w:w="11900" w:h="16838" w:orient="portrait"/>
          <w:cols w:equalWidth="0" w:num="2">
            <w:col w:w="4900" w:space="720"/>
            <w:col w:w="4599"/>
          </w:cols>
          <w:pgMar w:left="240" w:top="293"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Texas Commerce Bank National Association</w:t>
      </w:r>
    </w:p>
    <w:p>
      <w:pPr>
        <w:spacing w:after="0" w:line="5"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5"/>
          <w:szCs w:val="15"/>
          <w:color w:val="auto"/>
        </w:rPr>
        <w:t>Attention:</w:t>
        <w:tab/>
        <w:t>Registered Bond Events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One Main Place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1201 Main Street, 18th Floor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Texas Commerce Bank National Association</w:t>
      </w:r>
    </w:p>
    <w:p>
      <w:pPr>
        <w:spacing w:after="0" w:line="5"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5"/>
          <w:szCs w:val="15"/>
          <w:color w:val="auto"/>
        </w:rPr>
        <w:t>Attention:</w:t>
        <w:tab/>
        <w:t>Registered Bond Events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 Box 2320</w:t>
      </w:r>
    </w:p>
    <w:p>
      <w:pPr>
        <w:spacing w:after="0" w:line="5"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5"/>
          <w:szCs w:val="15"/>
          <w:color w:val="auto"/>
        </w:rPr>
        <w:t>Dallas, Texas</w:t>
        <w:tab/>
        <w:t>75221-2320</w:t>
      </w:r>
    </w:p>
    <w:p>
      <w:pPr>
        <w:spacing w:after="0" w:line="5" w:lineRule="exact"/>
        <w:rPr>
          <w:sz w:val="20"/>
          <w:szCs w:val="20"/>
          <w:color w:val="auto"/>
        </w:rPr>
      </w:pPr>
    </w:p>
    <w:p>
      <w:pPr>
        <w:sectPr>
          <w:pgSz w:w="11900" w:h="16838" w:orient="portrait"/>
          <w:cols w:equalWidth="0" w:num="2">
            <w:col w:w="4000" w:space="720"/>
            <w:col w:w="5499"/>
          </w:cols>
          <w:pgMar w:left="240" w:top="293" w:right="1440" w:bottom="1440" w:gutter="0" w:footer="0" w:header="0"/>
          <w:type w:val="continuous"/>
        </w:sectPr>
      </w:pPr>
    </w:p>
    <w:p>
      <w:pPr>
        <w:spacing w:after="0"/>
        <w:tabs>
          <w:tab w:leader="none" w:pos="1340" w:val="left"/>
        </w:tabs>
        <w:rPr>
          <w:sz w:val="20"/>
          <w:szCs w:val="20"/>
          <w:color w:val="auto"/>
        </w:rPr>
      </w:pPr>
      <w:r>
        <w:rPr>
          <w:rFonts w:ascii="Courier New" w:cs="Courier New" w:eastAsia="Courier New" w:hAnsi="Courier New"/>
          <w:sz w:val="15"/>
          <w:szCs w:val="15"/>
          <w:color w:val="auto"/>
        </w:rPr>
        <w:t>Dallas, Texas</w:t>
        <w:tab/>
        <w:t>75202</w:t>
      </w:r>
    </w:p>
    <w:p>
      <w:pPr>
        <w:sectPr>
          <w:pgSz w:w="11900" w:h="16838" w:orient="portrait"/>
          <w:cols w:equalWidth="0" w:num="1">
            <w:col w:w="10219"/>
          </w:cols>
          <w:pgMar w:left="240" w:top="293" w:right="1440" w:bottom="1440" w:gutter="0" w:footer="0" w:header="0"/>
          <w:type w:val="continuous"/>
        </w:sectPr>
      </w:pPr>
    </w:p>
    <w:p>
      <w:pPr>
        <w:spacing w:after="0" w:line="354"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5"/>
          <w:szCs w:val="15"/>
          <w:color w:val="auto"/>
        </w:rPr>
        <w:t>Telephone:</w:t>
        <w:tab/>
        <w:t>(214)871-9393 or (800) 275-2048</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all other communications relating to the Securities: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Texas Commerce Bank National Association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600 Travis Street, Suite 1150</w:t>
      </w:r>
    </w:p>
    <w:p>
      <w:pPr>
        <w:spacing w:after="0" w:line="5" w:lineRule="exact"/>
        <w:rPr>
          <w:sz w:val="20"/>
          <w:szCs w:val="20"/>
          <w:color w:val="auto"/>
        </w:rPr>
      </w:pPr>
    </w:p>
    <w:p>
      <w:pPr>
        <w:spacing w:after="0"/>
        <w:tabs>
          <w:tab w:leader="none" w:pos="1420" w:val="left"/>
        </w:tabs>
        <w:rPr>
          <w:sz w:val="20"/>
          <w:szCs w:val="20"/>
          <w:color w:val="auto"/>
        </w:rPr>
      </w:pPr>
      <w:r>
        <w:rPr>
          <w:rFonts w:ascii="Courier New" w:cs="Courier New" w:eastAsia="Courier New" w:hAnsi="Courier New"/>
          <w:sz w:val="15"/>
          <w:szCs w:val="15"/>
          <w:color w:val="auto"/>
        </w:rPr>
        <w:t>Houston, Texas</w:t>
        <w:tab/>
        <w:t>77002</w:t>
      </w:r>
    </w:p>
    <w:p>
      <w:pPr>
        <w:spacing w:after="0" w:line="180"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5"/>
          <w:szCs w:val="15"/>
          <w:color w:val="auto"/>
        </w:rPr>
        <w:t>Attention:</w:t>
        <w:tab/>
        <w:t>Global Trust Services</w:t>
      </w:r>
    </w:p>
    <w:p>
      <w:pPr>
        <w:spacing w:after="0" w:line="180"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5"/>
          <w:szCs w:val="15"/>
          <w:color w:val="auto"/>
        </w:rPr>
        <w:t>Telephone:</w:t>
        <w:tab/>
        <w:t>(713) 216-6686</w:t>
      </w:r>
    </w:p>
    <w:p>
      <w:pPr>
        <w:spacing w:after="0" w:line="5" w:lineRule="exact"/>
        <w:rPr>
          <w:sz w:val="20"/>
          <w:szCs w:val="20"/>
          <w:color w:val="auto"/>
        </w:rPr>
      </w:pPr>
    </w:p>
    <w:p>
      <w:pPr>
        <w:spacing w:after="0"/>
        <w:tabs>
          <w:tab w:leader="none" w:pos="980" w:val="left"/>
        </w:tabs>
        <w:rPr>
          <w:sz w:val="20"/>
          <w:szCs w:val="20"/>
          <w:color w:val="auto"/>
        </w:rPr>
      </w:pPr>
      <w:r>
        <w:rPr>
          <w:rFonts w:ascii="Courier New" w:cs="Courier New" w:eastAsia="Courier New" w:hAnsi="Courier New"/>
          <w:sz w:val="15"/>
          <w:szCs w:val="15"/>
          <w:color w:val="auto"/>
        </w:rPr>
        <w:t>Telecopy:</w:t>
      </w:r>
      <w:r>
        <w:rPr>
          <w:sz w:val="20"/>
          <w:szCs w:val="20"/>
          <w:color w:val="auto"/>
        </w:rPr>
        <w:tab/>
      </w:r>
      <w:r>
        <w:rPr>
          <w:rFonts w:ascii="Courier New" w:cs="Courier New" w:eastAsia="Courier New" w:hAnsi="Courier New"/>
          <w:sz w:val="14"/>
          <w:szCs w:val="14"/>
          <w:color w:val="auto"/>
        </w:rPr>
        <w:t>(713) 216-5476</w:t>
      </w:r>
    </w:p>
    <w:p>
      <w:pPr>
        <w:spacing w:after="0" w:line="180" w:lineRule="exact"/>
        <w:rPr>
          <w:sz w:val="20"/>
          <w:szCs w:val="20"/>
          <w:color w:val="auto"/>
        </w:rPr>
      </w:pPr>
    </w:p>
    <w:p>
      <w:pPr>
        <w:ind w:right="3599" w:firstLine="818"/>
        <w:spacing w:after="0" w:line="247" w:lineRule="auto"/>
        <w:rPr>
          <w:sz w:val="20"/>
          <w:szCs w:val="20"/>
          <w:color w:val="auto"/>
        </w:rPr>
      </w:pPr>
      <w:r>
        <w:rPr>
          <w:rFonts w:ascii="Courier New" w:cs="Courier New" w:eastAsia="Courier New" w:hAnsi="Courier New"/>
          <w:sz w:val="15"/>
          <w:szCs w:val="15"/>
          <w:color w:val="auto"/>
        </w:rPr>
        <w:t>The term "corporation" means a corporation, association, limited liability, company, joint-stock company or business trust.</w:t>
      </w:r>
    </w:p>
    <w:p>
      <w:pPr>
        <w:spacing w:after="0" w:line="17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The term "coupon" means any interest coupon appertaining to a Bearer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Security.</w:t>
      </w:r>
    </w:p>
    <w:p>
      <w:pPr>
        <w:spacing w:after="0" w:line="180"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"Date of Conversion" has the meaning set forth in Section 1502.</w:t>
      </w:r>
    </w:p>
    <w:p>
      <w:pPr>
        <w:spacing w:after="0" w:line="180"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"Defaulted Interest" has the meaning specified in Section 307.</w:t>
      </w:r>
    </w:p>
    <w:p>
      <w:pPr>
        <w:spacing w:after="0" w:line="180"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"Depository" means, with respect to the Securities of any series issuable or issued in whole or in part in the form of one or more Book-Entry Securities, the clearing agency registered under the Securities Exchange Act of 1934, specified for that purpose as contemplated by Section 301.</w:t>
      </w:r>
    </w:p>
    <w:p>
      <w:pPr>
        <w:spacing w:after="0" w:line="177" w:lineRule="exact"/>
        <w:rPr>
          <w:sz w:val="20"/>
          <w:szCs w:val="20"/>
          <w:color w:val="auto"/>
        </w:rPr>
      </w:pPr>
    </w:p>
    <w:p>
      <w:pPr>
        <w:ind w:right="3219" w:firstLine="818"/>
        <w:spacing w:after="0" w:line="247" w:lineRule="auto"/>
        <w:rPr>
          <w:sz w:val="20"/>
          <w:szCs w:val="20"/>
          <w:color w:val="auto"/>
        </w:rPr>
      </w:pPr>
      <w:r>
        <w:rPr>
          <w:rFonts w:ascii="Courier New" w:cs="Courier New" w:eastAsia="Courier New" w:hAnsi="Courier New"/>
          <w:sz w:val="15"/>
          <w:szCs w:val="15"/>
          <w:color w:val="auto"/>
        </w:rPr>
        <w:t>"Dollar" or "$" means a dollar or other equivalent unit in such coin or currency of the United States of America as at the time shall be legal tender for the payment of public and private debts.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SUBORDINATED INDENTURE</w:t>
      </w:r>
    </w:p>
    <w:p>
      <w:pPr>
        <w:spacing w:after="0" w:line="5"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- 4 -</w:t>
      </w:r>
    </w:p>
    <w:p>
      <w:pPr>
        <w:sectPr>
          <w:pgSz w:w="11900" w:h="16838" w:orient="portrait"/>
          <w:cols w:equalWidth="0" w:num="1">
            <w:col w:w="10219"/>
          </w:cols>
          <w:pgMar w:left="240" w:top="293" w:right="1440" w:bottom="1440" w:gutter="0" w:footer="0" w:header="0"/>
          <w:type w:val="continuous"/>
        </w:sectPr>
      </w:pPr>
    </w:p>
    <w:bookmarkStart w:id="66" w:name="page67"/>
    <w:bookmarkEnd w:id="66"/>
    <w:p>
      <w:pPr>
        <w:ind w:left="260"/>
        <w:spacing w:after="0"/>
        <w:rPr>
          <w:sz w:val="20"/>
          <w:szCs w:val="20"/>
          <w:color w:val="auto"/>
        </w:rPr>
      </w:pPr>
      <w:r>
        <w:rPr>
          <w:rFonts w:ascii="Courier New" w:cs="Courier New" w:eastAsia="Courier New" w:hAnsi="Courier New"/>
          <w:sz w:val="15"/>
          <w:szCs w:val="15"/>
          <w:color w:val="auto"/>
        </w:rPr>
        <w:t>12</w:t>
      </w:r>
    </w:p>
    <w:p>
      <w:pPr>
        <w:spacing w:after="0" w:line="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"Euro-clear" means the operator of the Euro-clear System.</w:t>
      </w:r>
    </w:p>
    <w:p>
      <w:pPr>
        <w:spacing w:after="0" w:line="180"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"Event of Default" has the meaning specified in Section 501.</w:t>
      </w:r>
    </w:p>
    <w:p>
      <w:pPr>
        <w:spacing w:after="0" w:line="180"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"Exchange Date" has the meaning specified in Section 304.</w:t>
      </w:r>
    </w:p>
    <w:p>
      <w:pPr>
        <w:spacing w:after="0" w:line="180"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"Holder," when used with respect to any Security, means in the case of a Registered Security the Person in whose name the Security is registered in the Security Register and in the case of a Bearer Security the bearer thereof and, when used with respect to any coupon, means the bearer thereof.</w:t>
      </w:r>
    </w:p>
    <w:p>
      <w:pPr>
        <w:spacing w:after="0" w:line="177"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"Indebtedness" means, with respect to any Person,</w:t>
      </w:r>
    </w:p>
    <w:p>
      <w:pPr>
        <w:spacing w:after="0" w:line="180" w:lineRule="exact"/>
        <w:rPr>
          <w:sz w:val="20"/>
          <w:szCs w:val="20"/>
          <w:color w:val="auto"/>
        </w:rPr>
      </w:pPr>
    </w:p>
    <w:p>
      <w:pPr>
        <w:ind w:left="820" w:right="3039" w:firstLine="718"/>
        <w:spacing w:after="0" w:line="246" w:lineRule="auto"/>
        <w:tabs>
          <w:tab w:leader="none" w:pos="1910" w:val="left"/>
        </w:tabs>
        <w:numPr>
          <w:ilvl w:val="1"/>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the principal of and interest and premium, if any, on indebtedness for money borrowed of such Person evidenced by bonds, notes, debentures or similar obligations, including any guaranty by such Person of any indebtedness for money borrowed of any other Person, whether any such indebtedness or guaranty is outstanding on the date of this Indenture or is thereafter created, assumed or incurred, (ii) the principal of and interest and premium, if any, on indebtedness for money borrowed, incurred, assumed or guaranteed by such Person in connection with the acquisition by it or any of its subsidiaries of any other businesses, properties or other assets and</w:t>
      </w:r>
    </w:p>
    <w:p>
      <w:pPr>
        <w:spacing w:after="0" w:line="6" w:lineRule="exact"/>
        <w:rPr>
          <w:rFonts w:ascii="Courier New" w:cs="Courier New" w:eastAsia="Courier New" w:hAnsi="Courier New"/>
          <w:sz w:val="15"/>
          <w:szCs w:val="15"/>
          <w:color w:val="auto"/>
        </w:rPr>
      </w:pPr>
    </w:p>
    <w:p>
      <w:pPr>
        <w:ind w:left="820" w:right="3039" w:hanging="9"/>
        <w:spacing w:after="0" w:line="246" w:lineRule="auto"/>
        <w:tabs>
          <w:tab w:leader="none" w:pos="1365"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lease obligations which such Person capitalizes in accordance with Statement of Financial Accounting Standards No. 13 promulgated by the Financial Accounting Standards Board or such other generally accepted accounting principles as may be from time to time in effect;</w:t>
      </w:r>
    </w:p>
    <w:p>
      <w:pPr>
        <w:spacing w:after="0" w:line="177" w:lineRule="exact"/>
        <w:rPr>
          <w:rFonts w:ascii="Courier New" w:cs="Courier New" w:eastAsia="Courier New" w:hAnsi="Courier New"/>
          <w:sz w:val="15"/>
          <w:szCs w:val="15"/>
          <w:color w:val="auto"/>
        </w:rPr>
      </w:pPr>
    </w:p>
    <w:p>
      <w:pPr>
        <w:ind w:left="820" w:right="3039" w:firstLine="718"/>
        <w:spacing w:after="0" w:line="246" w:lineRule="auto"/>
        <w:tabs>
          <w:tab w:leader="none" w:pos="2365" w:val="left"/>
        </w:tabs>
        <w:numPr>
          <w:ilvl w:val="1"/>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indebtedness of such Person, including any indebtedness representing the balance deferred and unpaid of the purchase price of any property or interest therein, including any such balance that constitutes a trade account payable, and any guaranty, endorsement or other contingent obligation of such Person in respect of any indebtedness of another, which is outstanding on the date of this Indenture or is thereafter created, assumed or incurred by such Person; and</w:t>
      </w:r>
    </w:p>
    <w:p>
      <w:pPr>
        <w:spacing w:after="0" w:line="179" w:lineRule="exact"/>
        <w:rPr>
          <w:rFonts w:ascii="Courier New" w:cs="Courier New" w:eastAsia="Courier New" w:hAnsi="Courier New"/>
          <w:sz w:val="15"/>
          <w:szCs w:val="15"/>
          <w:color w:val="auto"/>
        </w:rPr>
      </w:pPr>
    </w:p>
    <w:p>
      <w:pPr>
        <w:ind w:left="820" w:right="3219" w:firstLine="718"/>
        <w:spacing w:after="0" w:line="247" w:lineRule="auto"/>
        <w:tabs>
          <w:tab w:leader="none" w:pos="2365" w:val="left"/>
        </w:tabs>
        <w:numPr>
          <w:ilvl w:val="1"/>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amendments, modifications, refundings, renewals or extensions of any indebtedness or obligation described as Indebtedness in clause (a) or (b) above.</w:t>
      </w:r>
    </w:p>
    <w:p>
      <w:pPr>
        <w:spacing w:after="0" w:line="174" w:lineRule="exact"/>
        <w:rPr>
          <w:sz w:val="20"/>
          <w:szCs w:val="20"/>
          <w:color w:val="auto"/>
        </w:rPr>
      </w:pPr>
    </w:p>
    <w:p>
      <w:pPr>
        <w:ind w:right="3139" w:firstLine="818"/>
        <w:spacing w:after="0" w:line="246" w:lineRule="auto"/>
        <w:rPr>
          <w:sz w:val="20"/>
          <w:szCs w:val="20"/>
          <w:color w:val="auto"/>
        </w:rPr>
      </w:pPr>
      <w:r>
        <w:rPr>
          <w:rFonts w:ascii="Courier New" w:cs="Courier New" w:eastAsia="Courier New" w:hAnsi="Courier New"/>
          <w:sz w:val="15"/>
          <w:szCs w:val="15"/>
          <w:color w:val="auto"/>
        </w:rPr>
        <w:t>"Indenture" means this instrument as originally executed or as it may from time to time be supplemented or amended by one or more indentures supplemental hereto entered into pursuant to the applicable provisions hereof and shall include the terms of particular series of Securities established as contemplated by Section 301.</w:t>
      </w:r>
    </w:p>
    <w:p>
      <w:pPr>
        <w:spacing w:after="0" w:line="178" w:lineRule="exact"/>
        <w:rPr>
          <w:sz w:val="20"/>
          <w:szCs w:val="20"/>
          <w:color w:val="auto"/>
        </w:rPr>
      </w:pPr>
    </w:p>
    <w:p>
      <w:pPr>
        <w:ind w:right="3139" w:firstLine="818"/>
        <w:spacing w:after="0" w:line="247" w:lineRule="auto"/>
        <w:rPr>
          <w:sz w:val="20"/>
          <w:szCs w:val="20"/>
          <w:color w:val="auto"/>
        </w:rPr>
      </w:pPr>
      <w:r>
        <w:rPr>
          <w:rFonts w:ascii="Courier New" w:cs="Courier New" w:eastAsia="Courier New" w:hAnsi="Courier New"/>
          <w:sz w:val="15"/>
          <w:szCs w:val="15"/>
          <w:color w:val="auto"/>
        </w:rPr>
        <w:t>The term "interest," when used with respect to an Original Issue Discount Security which by its terms bears interest only after Maturity, means interest payable after Maturity.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SUBORDINATED INDENTURE</w:t>
      </w:r>
    </w:p>
    <w:p>
      <w:pPr>
        <w:spacing w:after="0" w:line="5"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- 5 -</w:t>
      </w:r>
    </w:p>
    <w:p>
      <w:pPr>
        <w:sectPr>
          <w:pgSz w:w="11900" w:h="16838" w:orient="portrait"/>
          <w:cols w:equalWidth="0" w:num="1">
            <w:col w:w="10219"/>
          </w:cols>
          <w:pgMar w:left="240" w:top="293" w:right="1440" w:bottom="1440" w:gutter="0" w:footer="0" w:header="0"/>
        </w:sectPr>
      </w:pPr>
    </w:p>
    <w:bookmarkStart w:id="67" w:name="page68"/>
    <w:bookmarkEnd w:id="67"/>
    <w:p>
      <w:pPr>
        <w:ind w:left="260"/>
        <w:spacing w:after="0"/>
        <w:rPr>
          <w:sz w:val="20"/>
          <w:szCs w:val="20"/>
          <w:color w:val="auto"/>
        </w:rPr>
      </w:pPr>
      <w:r>
        <w:rPr>
          <w:rFonts w:ascii="Courier New" w:cs="Courier New" w:eastAsia="Courier New" w:hAnsi="Courier New"/>
          <w:sz w:val="15"/>
          <w:szCs w:val="15"/>
          <w:color w:val="auto"/>
        </w:rPr>
        <w:t>13</w:t>
      </w:r>
    </w:p>
    <w:p>
      <w:pPr>
        <w:spacing w:after="0" w:line="5" w:lineRule="exact"/>
        <w:rPr>
          <w:sz w:val="20"/>
          <w:szCs w:val="20"/>
          <w:color w:val="auto"/>
        </w:rPr>
      </w:pPr>
    </w:p>
    <w:p>
      <w:pPr>
        <w:ind w:right="3039" w:firstLine="818"/>
        <w:spacing w:after="0" w:line="247" w:lineRule="auto"/>
        <w:rPr>
          <w:sz w:val="20"/>
          <w:szCs w:val="20"/>
          <w:color w:val="auto"/>
        </w:rPr>
      </w:pPr>
      <w:r>
        <w:rPr>
          <w:rFonts w:ascii="Courier New" w:cs="Courier New" w:eastAsia="Courier New" w:hAnsi="Courier New"/>
          <w:sz w:val="15"/>
          <w:szCs w:val="15"/>
          <w:color w:val="auto"/>
        </w:rPr>
        <w:t>"Interest Payment Date," when used with respect to any Security, means the Stated Maturity of an installment of interest on such Security.</w:t>
      </w:r>
    </w:p>
    <w:p>
      <w:pPr>
        <w:spacing w:after="0" w:line="17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"Last Sale Price" has the meaning specified in Section 1503.</w:t>
      </w:r>
    </w:p>
    <w:p>
      <w:pPr>
        <w:spacing w:after="0" w:line="180"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"Maturity," when used with respect to any Security, means the date on which the principal of such Security or an installment of principal becomes due and payable as therein or herein provided, whether at the Stated Maturity or by declaration of acceleration, call for redemption or otherwise.</w:t>
      </w:r>
    </w:p>
    <w:p>
      <w:pPr>
        <w:spacing w:after="0" w:line="177"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"Officers' Certificate" means a certificate complying with the provisions of Section 102 signed by the Chairman of the Board, Vice Chairman of the Board, the President or a Vice President, and by the Treasurer, an Assistant Treasurer, the Secretary or an Assistant Secretary, of the Company, and delivered to the Trustee.</w:t>
      </w:r>
    </w:p>
    <w:p>
      <w:pPr>
        <w:spacing w:after="0" w:line="178" w:lineRule="exact"/>
        <w:rPr>
          <w:sz w:val="20"/>
          <w:szCs w:val="20"/>
          <w:color w:val="auto"/>
        </w:rPr>
      </w:pPr>
    </w:p>
    <w:p>
      <w:pPr>
        <w:ind w:right="3039" w:firstLine="818"/>
        <w:spacing w:after="0" w:line="247" w:lineRule="auto"/>
        <w:rPr>
          <w:sz w:val="20"/>
          <w:szCs w:val="20"/>
          <w:color w:val="auto"/>
        </w:rPr>
      </w:pPr>
      <w:r>
        <w:rPr>
          <w:rFonts w:ascii="Courier New" w:cs="Courier New" w:eastAsia="Courier New" w:hAnsi="Courier New"/>
          <w:sz w:val="15"/>
          <w:szCs w:val="15"/>
          <w:color w:val="auto"/>
        </w:rPr>
        <w:t>"Opinion of Counsel" means a written opinion of counsel, who may be an employee of or counsel for the Company.</w:t>
      </w:r>
    </w:p>
    <w:p>
      <w:pPr>
        <w:spacing w:after="0" w:line="175"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"Original Issue Discount Security" means any Security which is issued at a price lower than the principal amount payable upon the Stated Maturity thereof and which provides for an amount less than the principal amount thereof to be due and payable upon redemption thereof or upon a declaration of acceleration of the Maturity thereof pursuant to Section 502.</w:t>
      </w:r>
    </w:p>
    <w:p>
      <w:pPr>
        <w:spacing w:after="0" w:line="178" w:lineRule="exact"/>
        <w:rPr>
          <w:sz w:val="20"/>
          <w:szCs w:val="20"/>
          <w:color w:val="auto"/>
        </w:rPr>
      </w:pPr>
    </w:p>
    <w:p>
      <w:pPr>
        <w:jc w:val="both"/>
        <w:ind w:right="3139" w:firstLine="818"/>
        <w:spacing w:after="0" w:line="247" w:lineRule="auto"/>
        <w:rPr>
          <w:sz w:val="20"/>
          <w:szCs w:val="20"/>
          <w:color w:val="auto"/>
        </w:rPr>
      </w:pPr>
      <w:r>
        <w:rPr>
          <w:rFonts w:ascii="Courier New" w:cs="Courier New" w:eastAsia="Courier New" w:hAnsi="Courier New"/>
          <w:sz w:val="15"/>
          <w:szCs w:val="15"/>
          <w:color w:val="auto"/>
        </w:rPr>
        <w:t>"Outstanding," when used with respect to Securities, means, as of the date of determination, all Securities theretofore authenticated and delivered under this Indenture, except:</w:t>
      </w:r>
    </w:p>
    <w:p>
      <w:pPr>
        <w:spacing w:after="0" w:line="174" w:lineRule="exact"/>
        <w:rPr>
          <w:sz w:val="20"/>
          <w:szCs w:val="20"/>
          <w:color w:val="auto"/>
        </w:rPr>
      </w:pPr>
    </w:p>
    <w:p>
      <w:pPr>
        <w:ind w:left="820" w:right="3419" w:firstLine="718"/>
        <w:spacing w:after="0" w:line="247" w:lineRule="auto"/>
        <w:tabs>
          <w:tab w:leader="none" w:pos="2365"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theretofore canceled by the Trustee or delivered to the Trustee for cancellation;</w:t>
      </w:r>
    </w:p>
    <w:p>
      <w:pPr>
        <w:spacing w:after="0" w:line="174" w:lineRule="exact"/>
        <w:rPr>
          <w:rFonts w:ascii="Courier New" w:cs="Courier New" w:eastAsia="Courier New" w:hAnsi="Courier New"/>
          <w:sz w:val="15"/>
          <w:szCs w:val="15"/>
          <w:color w:val="auto"/>
        </w:rPr>
      </w:pPr>
    </w:p>
    <w:p>
      <w:pPr>
        <w:ind w:left="820" w:right="3039" w:firstLine="718"/>
        <w:spacing w:after="0" w:line="246" w:lineRule="auto"/>
        <w:tabs>
          <w:tab w:leader="none" w:pos="2365"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for whose payment or redemption money in the necessary amount has been theretofore deposited with the Trustee or any Paying Agent (other than the Company) in trust or set aside and segregated in trust by the Company (if the Company shall act as its own Paying Agent) for the Holders of such Securities and any coupons appertaining thereto, provided that, if such Securities are to be redeemed, notice of such redemption has been duly given pursuant to this Indenture or provision therefor satisfactory to the Trustee has been made;</w:t>
      </w:r>
    </w:p>
    <w:p>
      <w:pPr>
        <w:spacing w:after="0" w:line="180" w:lineRule="exact"/>
        <w:rPr>
          <w:rFonts w:ascii="Courier New" w:cs="Courier New" w:eastAsia="Courier New" w:hAnsi="Courier New"/>
          <w:sz w:val="15"/>
          <w:szCs w:val="15"/>
          <w:color w:val="auto"/>
        </w:rPr>
      </w:pPr>
    </w:p>
    <w:p>
      <w:pPr>
        <w:ind w:left="820" w:right="2959" w:firstLine="718"/>
        <w:spacing w:after="0" w:line="246" w:lineRule="auto"/>
        <w:tabs>
          <w:tab w:leader="none" w:pos="2365"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which have been paid pursuant to Section 306 or in exchange for or in lieu of which other Securities have been authenticated and delivered pursuant to this Indenture, other than any such Securities in respect of which there shall have been presented to the Trustee proof satisfactory to it that such Securities are held by a bona fide purchaser in whose hands such Securities are valid obligations of the Company;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SUBORDINATED INDENTURE</w:t>
      </w:r>
    </w:p>
    <w:p>
      <w:pPr>
        <w:spacing w:after="0" w:line="5"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- 6 -</w:t>
      </w:r>
    </w:p>
    <w:p>
      <w:pPr>
        <w:sectPr>
          <w:pgSz w:w="11900" w:h="16838" w:orient="portrait"/>
          <w:cols w:equalWidth="0" w:num="1">
            <w:col w:w="10219"/>
          </w:cols>
          <w:pgMar w:left="240" w:top="293" w:right="1440" w:bottom="1440" w:gutter="0" w:footer="0" w:header="0"/>
        </w:sectPr>
      </w:pPr>
    </w:p>
    <w:bookmarkStart w:id="68" w:name="page69"/>
    <w:bookmarkEnd w:id="68"/>
    <w:p>
      <w:pPr>
        <w:ind w:left="260"/>
        <w:spacing w:after="0"/>
        <w:rPr>
          <w:sz w:val="20"/>
          <w:szCs w:val="20"/>
          <w:color w:val="auto"/>
        </w:rPr>
      </w:pPr>
      <w:r>
        <w:rPr>
          <w:rFonts w:ascii="Courier New" w:cs="Courier New" w:eastAsia="Courier New" w:hAnsi="Courier New"/>
          <w:sz w:val="15"/>
          <w:szCs w:val="15"/>
          <w:color w:val="auto"/>
        </w:rPr>
        <w:t>14</w:t>
      </w:r>
    </w:p>
    <w:p>
      <w:pPr>
        <w:spacing w:after="0" w:line="5" w:lineRule="exact"/>
        <w:rPr>
          <w:sz w:val="20"/>
          <w:szCs w:val="20"/>
          <w:color w:val="auto"/>
        </w:rPr>
      </w:pPr>
    </w:p>
    <w:p>
      <w:pPr>
        <w:ind w:left="820" w:right="3219" w:firstLine="718"/>
        <w:spacing w:after="0" w:line="247" w:lineRule="auto"/>
        <w:tabs>
          <w:tab w:leader="none" w:pos="2365"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converted into Common Stock pursuant hereto and, for purposes of selection for redemption, Securities not deemed Outstanding pursuant to Section 1103.</w:t>
      </w:r>
    </w:p>
    <w:p>
      <w:pPr>
        <w:spacing w:after="0" w:line="174"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provided, however, that in determining whether the Holders of the requisite principal amount of the Outstanding Securities have given any request, demand, authorization, direction, notice, consent or waiver hereunder or whether a quorum is present at a meeting of Holders of Securities (i) the principal amount of an Original Issue Discount Security that shall be deemed to be Outstanding shall be the amount of the principal thereof that would be due and payable as of the date of such determination upon acceleration of the Maturity thereof pursuant to Section 502, (ii) the principal amount of a Security denominated in a foreign currency or currencies, including composite currencies, shall be the Dollar equivalent, determined on the date of original issuance of such Security in the manner provided as contemplated by Section 301, of the principal amount (or, in the case of an Original Issue Discount Security, the Dollar equivalent on the date of original issuance of such Security of the amount determined as provided in (i) above) of such Security, and (iii) Securities owned by the Company or any other obligor upon the Securities or any Affiliate of the Company or of such other obligor shall be disregarded and deemed not to be Outstanding, except that, in determining whether the Trustee shall be protected in relying upon any such request, demand, authorization, direction, notice, consent or waiver, or upon any such determination as to the presence of a quorum, only Securities which the Trustee knows to be so owned shall be so disregarded. Securities so owned which have been pledged in good faith may be regarded as Outstanding if the pledgee establishes to the satisfaction of the Trustee the pledgee's right so to act with respect to such Securities and that the pledgee is not the Company or any other obligor upon the Securities or any Affiliate of the Company or of such other obligor.</w:t>
      </w:r>
    </w:p>
    <w:p>
      <w:pPr>
        <w:spacing w:after="0" w:line="190" w:lineRule="exact"/>
        <w:rPr>
          <w:sz w:val="20"/>
          <w:szCs w:val="20"/>
          <w:color w:val="auto"/>
        </w:rPr>
      </w:pPr>
    </w:p>
    <w:p>
      <w:pPr>
        <w:ind w:right="3219" w:firstLine="818"/>
        <w:spacing w:after="0" w:line="247" w:lineRule="auto"/>
        <w:rPr>
          <w:sz w:val="20"/>
          <w:szCs w:val="20"/>
          <w:color w:val="auto"/>
        </w:rPr>
      </w:pPr>
      <w:r>
        <w:rPr>
          <w:rFonts w:ascii="Courier New" w:cs="Courier New" w:eastAsia="Courier New" w:hAnsi="Courier New"/>
          <w:sz w:val="15"/>
          <w:szCs w:val="15"/>
          <w:color w:val="auto"/>
        </w:rPr>
        <w:t>"Paying Agent" means any Person authorized by the Company to pay the principal of or any premium or interest on any Securities on behalf of the Company.</w:t>
      </w:r>
    </w:p>
    <w:p>
      <w:pPr>
        <w:spacing w:after="0" w:line="174" w:lineRule="exact"/>
        <w:rPr>
          <w:sz w:val="20"/>
          <w:szCs w:val="20"/>
          <w:color w:val="auto"/>
        </w:rPr>
      </w:pPr>
    </w:p>
    <w:p>
      <w:pPr>
        <w:ind w:right="3499" w:firstLine="818"/>
        <w:spacing w:after="0" w:line="247" w:lineRule="auto"/>
        <w:rPr>
          <w:sz w:val="20"/>
          <w:szCs w:val="20"/>
          <w:color w:val="auto"/>
        </w:rPr>
      </w:pPr>
      <w:r>
        <w:rPr>
          <w:rFonts w:ascii="Courier New" w:cs="Courier New" w:eastAsia="Courier New" w:hAnsi="Courier New"/>
          <w:sz w:val="15"/>
          <w:szCs w:val="15"/>
          <w:color w:val="auto"/>
        </w:rPr>
        <w:t>"Person" means any individual, corporation, partnership, joint venture, trust, unincorporated organization or government or any agency or political subdivision thereof.</w:t>
      </w:r>
    </w:p>
    <w:p>
      <w:pPr>
        <w:spacing w:after="0" w:line="174" w:lineRule="exact"/>
        <w:rPr>
          <w:sz w:val="20"/>
          <w:szCs w:val="20"/>
          <w:color w:val="auto"/>
        </w:rPr>
      </w:pPr>
    </w:p>
    <w:p>
      <w:pPr>
        <w:ind w:right="3219" w:firstLine="818"/>
        <w:spacing w:after="0" w:line="246" w:lineRule="auto"/>
        <w:rPr>
          <w:sz w:val="20"/>
          <w:szCs w:val="20"/>
          <w:color w:val="auto"/>
        </w:rPr>
      </w:pPr>
      <w:r>
        <w:rPr>
          <w:rFonts w:ascii="Courier New" w:cs="Courier New" w:eastAsia="Courier New" w:hAnsi="Courier New"/>
          <w:sz w:val="15"/>
          <w:szCs w:val="15"/>
          <w:color w:val="auto"/>
        </w:rPr>
        <w:t>"Place of Payment," when used with respect to the Securities of any series, means the place or places as specified in accordance with Section 301 where, subject to the provisions of Section 1002, the principal of and any premium and interest on the Securities of that series are payable.</w:t>
      </w:r>
    </w:p>
    <w:p>
      <w:pPr>
        <w:spacing w:after="0" w:line="177"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"Predecessor Security" of any particular Security means every previous Security evidencing all or a portion of the same debt as that evidenced by such particular Security; and for the purposes of this definition, any Security authenticated and delivered under Section 306 in exchange for or in lieu of a mutilated, destroyed, lost or stolen Security or a Security to which a mutilated, destroyed, lost or stolen coupon appertains shall be deemed to evidence the same debt as the mutilated, destroyed, lost or stolen Security or the Security to which the mutilated, destroyed, lost or stolen coupon appertains, as the case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SUBORDINATED INDENTURE</w:t>
      </w:r>
    </w:p>
    <w:p>
      <w:pPr>
        <w:spacing w:after="0" w:line="5"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- 7 -</w:t>
      </w:r>
    </w:p>
    <w:p>
      <w:pPr>
        <w:sectPr>
          <w:pgSz w:w="11900" w:h="16838" w:orient="portrait"/>
          <w:cols w:equalWidth="0" w:num="1">
            <w:col w:w="10219"/>
          </w:cols>
          <w:pgMar w:left="240" w:top="293" w:right="1440" w:bottom="1440" w:gutter="0" w:footer="0" w:header="0"/>
        </w:sectPr>
      </w:pPr>
    </w:p>
    <w:bookmarkStart w:id="69" w:name="page70"/>
    <w:bookmarkEnd w:id="69"/>
    <w:p>
      <w:pPr>
        <w:ind w:left="260"/>
        <w:spacing w:after="0"/>
        <w:rPr>
          <w:sz w:val="20"/>
          <w:szCs w:val="20"/>
          <w:color w:val="auto"/>
        </w:rPr>
      </w:pPr>
      <w:r>
        <w:rPr>
          <w:rFonts w:ascii="Courier New" w:cs="Courier New" w:eastAsia="Courier New" w:hAnsi="Courier New"/>
          <w:sz w:val="15"/>
          <w:szCs w:val="15"/>
          <w:color w:val="auto"/>
        </w:rPr>
        <w:t>15</w:t>
      </w:r>
    </w:p>
    <w:p>
      <w:pPr>
        <w:spacing w:after="0" w:line="5" w:lineRule="exact"/>
        <w:rPr>
          <w:sz w:val="20"/>
          <w:szCs w:val="20"/>
          <w:color w:val="auto"/>
        </w:rPr>
      </w:pPr>
    </w:p>
    <w:p>
      <w:pPr>
        <w:jc w:val="both"/>
        <w:ind w:right="3599" w:firstLine="818"/>
        <w:spacing w:after="0" w:line="247" w:lineRule="auto"/>
        <w:rPr>
          <w:sz w:val="20"/>
          <w:szCs w:val="20"/>
          <w:color w:val="auto"/>
        </w:rPr>
      </w:pPr>
      <w:r>
        <w:rPr>
          <w:rFonts w:ascii="Courier New" w:cs="Courier New" w:eastAsia="Courier New" w:hAnsi="Courier New"/>
          <w:sz w:val="15"/>
          <w:szCs w:val="15"/>
          <w:color w:val="auto"/>
        </w:rPr>
        <w:t>"Redemption Date," when used with respect to any Security to be redeemed, means the date fixed for such redemption by or pursuant to this Indenture.</w:t>
      </w:r>
    </w:p>
    <w:p>
      <w:pPr>
        <w:spacing w:after="0" w:line="174" w:lineRule="exact"/>
        <w:rPr>
          <w:sz w:val="20"/>
          <w:szCs w:val="20"/>
          <w:color w:val="auto"/>
        </w:rPr>
      </w:pPr>
    </w:p>
    <w:p>
      <w:pPr>
        <w:jc w:val="both"/>
        <w:ind w:right="3599" w:firstLine="818"/>
        <w:spacing w:after="0" w:line="247" w:lineRule="auto"/>
        <w:rPr>
          <w:sz w:val="20"/>
          <w:szCs w:val="20"/>
          <w:color w:val="auto"/>
        </w:rPr>
      </w:pPr>
      <w:r>
        <w:rPr>
          <w:rFonts w:ascii="Courier New" w:cs="Courier New" w:eastAsia="Courier New" w:hAnsi="Courier New"/>
          <w:sz w:val="15"/>
          <w:szCs w:val="15"/>
          <w:color w:val="auto"/>
        </w:rPr>
        <w:t>"Redemption Price," when used with respect to any Security to be redeemed, means the price at which it is to be redeemed pursuant to this Indenture.</w:t>
      </w:r>
    </w:p>
    <w:p>
      <w:pPr>
        <w:spacing w:after="0" w:line="174" w:lineRule="exact"/>
        <w:rPr>
          <w:sz w:val="20"/>
          <w:szCs w:val="20"/>
          <w:color w:val="auto"/>
        </w:rPr>
      </w:pPr>
    </w:p>
    <w:p>
      <w:pPr>
        <w:jc w:val="both"/>
        <w:ind w:right="3599" w:firstLine="818"/>
        <w:spacing w:after="0" w:line="247" w:lineRule="auto"/>
        <w:rPr>
          <w:sz w:val="20"/>
          <w:szCs w:val="20"/>
          <w:color w:val="auto"/>
        </w:rPr>
      </w:pPr>
      <w:r>
        <w:rPr>
          <w:rFonts w:ascii="Courier New" w:cs="Courier New" w:eastAsia="Courier New" w:hAnsi="Courier New"/>
          <w:sz w:val="15"/>
          <w:szCs w:val="15"/>
          <w:color w:val="auto"/>
        </w:rPr>
        <w:t>"Registered Security" means any Security in the form established pursuant to Section 201 which is registered in the Security Register.</w:t>
      </w:r>
    </w:p>
    <w:p>
      <w:pPr>
        <w:spacing w:after="0" w:line="175" w:lineRule="exact"/>
        <w:rPr>
          <w:sz w:val="20"/>
          <w:szCs w:val="20"/>
          <w:color w:val="auto"/>
        </w:rPr>
      </w:pPr>
    </w:p>
    <w:p>
      <w:pPr>
        <w:ind w:right="3039" w:firstLine="818"/>
        <w:spacing w:after="0" w:line="247" w:lineRule="auto"/>
        <w:rPr>
          <w:sz w:val="20"/>
          <w:szCs w:val="20"/>
          <w:color w:val="auto"/>
        </w:rPr>
      </w:pPr>
      <w:r>
        <w:rPr>
          <w:rFonts w:ascii="Courier New" w:cs="Courier New" w:eastAsia="Courier New" w:hAnsi="Courier New"/>
          <w:sz w:val="15"/>
          <w:szCs w:val="15"/>
          <w:color w:val="auto"/>
        </w:rPr>
        <w:t>"Regular Record Date" for the interest payable on any Interest Payment Date on the Registered Securities of any series means the date specified for that purpose as contemplated by Section 301.</w:t>
      </w:r>
    </w:p>
    <w:p>
      <w:pPr>
        <w:spacing w:after="0" w:line="174"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"Responsible Officer," when used with respect to the Trustee, shall mean any officer in the corporate trust department (or any successor group) of the Trustee, including any Vice President, any Trust Officer, or any other officer of the Trustee customarily performing functions similar to those performed by the persons who at the time shall be such officers, respectively, or to whom any corporate trust matter is referred at the Corporate Trust Office because of his or her knowledge of and familiarity with the particular subject.</w:t>
      </w:r>
    </w:p>
    <w:p>
      <w:pPr>
        <w:spacing w:after="0" w:line="179" w:lineRule="exact"/>
        <w:rPr>
          <w:sz w:val="20"/>
          <w:szCs w:val="20"/>
          <w:color w:val="auto"/>
        </w:rPr>
      </w:pPr>
    </w:p>
    <w:p>
      <w:pPr>
        <w:ind w:right="3599" w:firstLine="818"/>
        <w:spacing w:after="0" w:line="247" w:lineRule="auto"/>
        <w:rPr>
          <w:sz w:val="20"/>
          <w:szCs w:val="20"/>
          <w:color w:val="auto"/>
        </w:rPr>
      </w:pPr>
      <w:r>
        <w:rPr>
          <w:rFonts w:ascii="Courier New" w:cs="Courier New" w:eastAsia="Courier New" w:hAnsi="Courier New"/>
          <w:sz w:val="15"/>
          <w:szCs w:val="15"/>
          <w:color w:val="auto"/>
        </w:rPr>
        <w:t>"Securities" has the meaning stated in the first recital of this Indenture and more particularly means any Securities authenticated and delivered under this Indenture.</w:t>
      </w:r>
    </w:p>
    <w:p>
      <w:pPr>
        <w:spacing w:after="0" w:line="174" w:lineRule="exact"/>
        <w:rPr>
          <w:sz w:val="20"/>
          <w:szCs w:val="20"/>
          <w:color w:val="auto"/>
        </w:rPr>
      </w:pPr>
    </w:p>
    <w:p>
      <w:pPr>
        <w:ind w:right="3599" w:firstLine="818"/>
        <w:spacing w:after="0" w:line="247" w:lineRule="auto"/>
        <w:rPr>
          <w:sz w:val="20"/>
          <w:szCs w:val="20"/>
          <w:color w:val="auto"/>
        </w:rPr>
      </w:pPr>
      <w:r>
        <w:rPr>
          <w:rFonts w:ascii="Courier New" w:cs="Courier New" w:eastAsia="Courier New" w:hAnsi="Courier New"/>
          <w:sz w:val="15"/>
          <w:szCs w:val="15"/>
          <w:color w:val="auto"/>
        </w:rPr>
        <w:t>"Security Register" and "Security Registrar" have the respective meanings specified in Section 305.</w:t>
      </w:r>
    </w:p>
    <w:p>
      <w:pPr>
        <w:spacing w:after="0" w:line="175"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"Senior Indebtedness" means Indebtedness of the Company outstanding at any time except (a) any Indebtedness as to which, by the terms of the instrument creating or evidencing the same, it is provided that such Indebtedness is not senior in right of payment to the Securities, (b) the Securities, (c) any Indebtedness of the Company to a wholly-owned Subsidiary of the Company, (d) interest accruing after the filing of a petition initiating any proceeding referred to in Sections 501(5) and 501(6) unless such interest is an allowed claim enforceable against the Company in a proceeding under Federal or State bankruptcy laws, (e) obligations under performance guarantees, support agreements and other agreements in the nature thereof relating to the obligations of any subsidiary of the Company and (f) trade accounts payable.</w:t>
      </w:r>
    </w:p>
    <w:p>
      <w:pPr>
        <w:spacing w:after="0" w:line="181" w:lineRule="exact"/>
        <w:rPr>
          <w:sz w:val="20"/>
          <w:szCs w:val="20"/>
          <w:color w:val="auto"/>
        </w:rPr>
      </w:pPr>
    </w:p>
    <w:p>
      <w:pPr>
        <w:ind w:right="3039" w:firstLine="818"/>
        <w:spacing w:after="0" w:line="247" w:lineRule="auto"/>
        <w:rPr>
          <w:sz w:val="20"/>
          <w:szCs w:val="20"/>
          <w:color w:val="auto"/>
        </w:rPr>
      </w:pPr>
      <w:r>
        <w:rPr>
          <w:rFonts w:ascii="Courier New" w:cs="Courier New" w:eastAsia="Courier New" w:hAnsi="Courier New"/>
          <w:sz w:val="15"/>
          <w:szCs w:val="15"/>
          <w:color w:val="auto"/>
        </w:rPr>
        <w:t>"Special Record Date" for the payment of any Defaulted Interest on the Registered Securities of any series means a date fixed by the Trustee pursuant to Section 307.</w:t>
      </w:r>
    </w:p>
    <w:p>
      <w:pPr>
        <w:spacing w:after="0" w:line="174" w:lineRule="exact"/>
        <w:rPr>
          <w:sz w:val="20"/>
          <w:szCs w:val="20"/>
          <w:color w:val="auto"/>
        </w:rPr>
      </w:pPr>
    </w:p>
    <w:p>
      <w:pPr>
        <w:ind w:right="3139" w:firstLine="818"/>
        <w:spacing w:after="0" w:line="246" w:lineRule="auto"/>
        <w:rPr>
          <w:sz w:val="20"/>
          <w:szCs w:val="20"/>
          <w:color w:val="auto"/>
        </w:rPr>
      </w:pPr>
      <w:r>
        <w:rPr>
          <w:rFonts w:ascii="Courier New" w:cs="Courier New" w:eastAsia="Courier New" w:hAnsi="Courier New"/>
          <w:sz w:val="15"/>
          <w:szCs w:val="15"/>
          <w:color w:val="auto"/>
        </w:rPr>
        <w:t>"Stated Maturity," when used with respect to any Security or any installment of principal thereof or interest thereon, means the date specified in such Security or a coupon representing such installment of interest as the fixed date on which the principal of such Security or such installment of principal or interest is due and payable.</w:t>
      </w:r>
    </w:p>
    <w:p>
      <w:pPr>
        <w:spacing w:after="0" w:line="178" w:lineRule="exact"/>
        <w:rPr>
          <w:sz w:val="20"/>
          <w:szCs w:val="20"/>
          <w:color w:val="auto"/>
        </w:rPr>
      </w:pPr>
    </w:p>
    <w:p>
      <w:pPr>
        <w:ind w:right="3319" w:firstLine="818"/>
        <w:spacing w:after="0" w:line="247" w:lineRule="auto"/>
        <w:rPr>
          <w:sz w:val="20"/>
          <w:szCs w:val="20"/>
          <w:color w:val="auto"/>
        </w:rPr>
      </w:pPr>
      <w:r>
        <w:rPr>
          <w:rFonts w:ascii="Courier New" w:cs="Courier New" w:eastAsia="Courier New" w:hAnsi="Courier New"/>
          <w:sz w:val="15"/>
          <w:szCs w:val="15"/>
          <w:color w:val="auto"/>
        </w:rPr>
        <w:t>"Subsidiary" means a corporation more than 50% of the outstanding voting stock of which is owned, directly or indirectly, by the Company or by one or more other Subsidiaries, or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SUBORDINATED INDENTURE</w:t>
      </w:r>
    </w:p>
    <w:p>
      <w:pPr>
        <w:spacing w:after="0" w:line="5"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- 8 -</w:t>
      </w:r>
    </w:p>
    <w:p>
      <w:pPr>
        <w:sectPr>
          <w:pgSz w:w="11900" w:h="16838" w:orient="portrait"/>
          <w:cols w:equalWidth="0" w:num="1">
            <w:col w:w="10219"/>
          </w:cols>
          <w:pgMar w:left="240" w:top="293" w:right="1440" w:bottom="1440" w:gutter="0" w:footer="0" w:header="0"/>
        </w:sectPr>
      </w:pPr>
    </w:p>
    <w:bookmarkStart w:id="70" w:name="page71"/>
    <w:bookmarkEnd w:id="70"/>
    <w:p>
      <w:pPr>
        <w:ind w:left="260"/>
        <w:spacing w:after="0"/>
        <w:rPr>
          <w:sz w:val="20"/>
          <w:szCs w:val="20"/>
          <w:color w:val="auto"/>
        </w:rPr>
      </w:pPr>
      <w:r>
        <w:rPr>
          <w:rFonts w:ascii="Courier New" w:cs="Courier New" w:eastAsia="Courier New" w:hAnsi="Courier New"/>
          <w:sz w:val="15"/>
          <w:szCs w:val="15"/>
          <w:color w:val="auto"/>
        </w:rPr>
        <w:t>16</w:t>
      </w:r>
    </w:p>
    <w:p>
      <w:pPr>
        <w:spacing w:after="0" w:line="5" w:lineRule="exact"/>
        <w:rPr>
          <w:sz w:val="20"/>
          <w:szCs w:val="20"/>
          <w:color w:val="auto"/>
        </w:rPr>
      </w:pPr>
    </w:p>
    <w:p>
      <w:pPr>
        <w:ind w:right="3319"/>
        <w:spacing w:after="0" w:line="246" w:lineRule="auto"/>
        <w:rPr>
          <w:sz w:val="20"/>
          <w:szCs w:val="20"/>
          <w:color w:val="auto"/>
        </w:rPr>
      </w:pPr>
      <w:r>
        <w:rPr>
          <w:rFonts w:ascii="Courier New" w:cs="Courier New" w:eastAsia="Courier New" w:hAnsi="Courier New"/>
          <w:sz w:val="15"/>
          <w:szCs w:val="15"/>
          <w:color w:val="auto"/>
        </w:rPr>
        <w:t>Company and one or more other Subsidiaries. For the purposes of this definition, "voting stock" means stock which ordinarily has voting power for the election of directors, whether at all times or only so long as no senior class of stock has such voting power by reason of any contingency.</w:t>
      </w:r>
    </w:p>
    <w:p>
      <w:pPr>
        <w:spacing w:after="0" w:line="177"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"Trading Day" has the meaning specified in Section 1503.</w:t>
      </w:r>
    </w:p>
    <w:p>
      <w:pPr>
        <w:spacing w:after="0" w:line="180" w:lineRule="exact"/>
        <w:rPr>
          <w:sz w:val="20"/>
          <w:szCs w:val="20"/>
          <w:color w:val="auto"/>
        </w:rPr>
      </w:pPr>
    </w:p>
    <w:p>
      <w:pPr>
        <w:ind w:right="3139" w:firstLine="818"/>
        <w:spacing w:after="0" w:line="246" w:lineRule="auto"/>
        <w:rPr>
          <w:sz w:val="20"/>
          <w:szCs w:val="20"/>
          <w:color w:val="auto"/>
        </w:rPr>
      </w:pPr>
      <w:r>
        <w:rPr>
          <w:rFonts w:ascii="Courier New" w:cs="Courier New" w:eastAsia="Courier New" w:hAnsi="Courier New"/>
          <w:sz w:val="15"/>
          <w:szCs w:val="15"/>
          <w:color w:val="auto"/>
        </w:rPr>
        <w:t>"Trustee" means the Person named as the "Trustee" in the first paragraph of this Indenture until a successor Trustee shall have become such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spacing w:after="0" w:line="179" w:lineRule="exact"/>
        <w:rPr>
          <w:sz w:val="20"/>
          <w:szCs w:val="20"/>
          <w:color w:val="auto"/>
        </w:rPr>
      </w:pPr>
    </w:p>
    <w:p>
      <w:pPr>
        <w:ind w:right="3139" w:firstLine="818"/>
        <w:spacing w:after="0" w:line="246" w:lineRule="auto"/>
        <w:rPr>
          <w:sz w:val="20"/>
          <w:szCs w:val="20"/>
          <w:color w:val="auto"/>
        </w:rPr>
      </w:pPr>
      <w:r>
        <w:rPr>
          <w:rFonts w:ascii="Courier New" w:cs="Courier New" w:eastAsia="Courier New" w:hAnsi="Courier New"/>
          <w:sz w:val="15"/>
          <w:szCs w:val="15"/>
          <w:color w:val="auto"/>
        </w:rPr>
        <w:t>"Trust Indenture Act" means the Trust Indenture Act of 1939 as in force at the date as of which this Indenture was executed; provided, however, that in the event the Trust Indenture Act of l 939 is amended after such date, "Trust Indenture Act" means, to the extent required by any such amendment, the Trust Indenture Act of 1939 as so amended.</w:t>
      </w:r>
    </w:p>
    <w:p>
      <w:pPr>
        <w:spacing w:after="0" w:line="178" w:lineRule="exact"/>
        <w:rPr>
          <w:sz w:val="20"/>
          <w:szCs w:val="20"/>
          <w:color w:val="auto"/>
        </w:rPr>
      </w:pPr>
    </w:p>
    <w:p>
      <w:pPr>
        <w:jc w:val="both"/>
        <w:ind w:right="3499" w:firstLine="818"/>
        <w:spacing w:after="0" w:line="247" w:lineRule="auto"/>
        <w:rPr>
          <w:sz w:val="20"/>
          <w:szCs w:val="20"/>
          <w:color w:val="auto"/>
        </w:rPr>
      </w:pPr>
      <w:r>
        <w:rPr>
          <w:rFonts w:ascii="Courier New" w:cs="Courier New" w:eastAsia="Courier New" w:hAnsi="Courier New"/>
          <w:sz w:val="15"/>
          <w:szCs w:val="15"/>
          <w:color w:val="auto"/>
        </w:rPr>
        <w:t>"United States" means the United States of America (including the States and the District of Columbia), its territories, its possessions and other areas subject to its jurisdiction.</w:t>
      </w:r>
    </w:p>
    <w:p>
      <w:pPr>
        <w:spacing w:after="0" w:line="174"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"United States Alien" means any Person who, for United States Federal income tax purposes, is a foreign corporation, a non-resident alien individual, a non-resident alien fiduciary of a foreign estate or trust, or a foreign partnership one or more of the members of which is, for United States Federal income tax purposes, a foreign corporation, a non-resident alien individual or a non-resident alien fiduciary of a foreign estate or trust.</w:t>
      </w:r>
    </w:p>
    <w:p>
      <w:pPr>
        <w:spacing w:after="0" w:line="178"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"U.S. Government Obligations" has the meaning specified in Section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1304.</w:t>
      </w:r>
    </w:p>
    <w:p>
      <w:pPr>
        <w:spacing w:after="0" w:line="180" w:lineRule="exact"/>
        <w:rPr>
          <w:sz w:val="20"/>
          <w:szCs w:val="20"/>
          <w:color w:val="auto"/>
        </w:rPr>
      </w:pPr>
    </w:p>
    <w:p>
      <w:pPr>
        <w:ind w:right="3219" w:firstLine="818"/>
        <w:spacing w:after="0" w:line="247" w:lineRule="auto"/>
        <w:rPr>
          <w:sz w:val="20"/>
          <w:szCs w:val="20"/>
          <w:color w:val="auto"/>
        </w:rPr>
      </w:pPr>
      <w:r>
        <w:rPr>
          <w:rFonts w:ascii="Courier New" w:cs="Courier New" w:eastAsia="Courier New" w:hAnsi="Courier New"/>
          <w:sz w:val="15"/>
          <w:szCs w:val="15"/>
          <w:color w:val="auto"/>
        </w:rPr>
        <w:t>"Vice President," when used with respect to the Company or the Trustee, means any vice president, whether or not designated by a number or a word or words added before or after the title "vice president."</w:t>
      </w:r>
    </w:p>
    <w:p>
      <w:pPr>
        <w:spacing w:after="0" w:line="174"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5"/>
          <w:szCs w:val="15"/>
          <w:color w:val="auto"/>
        </w:rPr>
        <w:t>SECTION 102.</w:t>
      </w:r>
      <w:r>
        <w:rPr>
          <w:sz w:val="20"/>
          <w:szCs w:val="20"/>
          <w:color w:val="auto"/>
        </w:rPr>
        <w:tab/>
      </w:r>
      <w:r>
        <w:rPr>
          <w:rFonts w:ascii="Courier New" w:cs="Courier New" w:eastAsia="Courier New" w:hAnsi="Courier New"/>
          <w:sz w:val="15"/>
          <w:szCs w:val="15"/>
          <w:color w:val="auto"/>
        </w:rPr>
        <w:t>Compliance Certificates and Opinions.</w:t>
      </w:r>
    </w:p>
    <w:p>
      <w:pPr>
        <w:spacing w:after="0" w:line="180"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Upon any application or request by the Company to the Trustee to take any action under any provision of this Indenture, the Company shall furnish to the Trustee such certificates and opinions as may be required under the Trust Indenture Act. Each such certificate or opinion shall be given in the form of an Officers' Certificate, if to be given by an officer of the Company, or an Opinion of Counsel, if to be given by counsel, and shall comply with the requirements of the Trust Indenture Act and any other requirements set forth in this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SUBORDINATED INDENTURE</w:t>
      </w:r>
    </w:p>
    <w:p>
      <w:pPr>
        <w:spacing w:after="0" w:line="5"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- 9 -</w:t>
      </w:r>
    </w:p>
    <w:p>
      <w:pPr>
        <w:sectPr>
          <w:pgSz w:w="11900" w:h="16838" w:orient="portrait"/>
          <w:cols w:equalWidth="0" w:num="1">
            <w:col w:w="10219"/>
          </w:cols>
          <w:pgMar w:left="240" w:top="293" w:right="1440" w:bottom="1440" w:gutter="0" w:footer="0" w:header="0"/>
        </w:sectPr>
      </w:pPr>
    </w:p>
    <w:bookmarkStart w:id="71" w:name="page72"/>
    <w:bookmarkEnd w:id="71"/>
    <w:p>
      <w:pPr>
        <w:ind w:left="260"/>
        <w:spacing w:after="0"/>
        <w:rPr>
          <w:sz w:val="20"/>
          <w:szCs w:val="20"/>
          <w:color w:val="auto"/>
        </w:rPr>
      </w:pPr>
      <w:r>
        <w:rPr>
          <w:rFonts w:ascii="Courier New" w:cs="Courier New" w:eastAsia="Courier New" w:hAnsi="Courier New"/>
          <w:sz w:val="15"/>
          <w:szCs w:val="15"/>
          <w:color w:val="auto"/>
        </w:rPr>
        <w:t>17</w:t>
      </w:r>
    </w:p>
    <w:p>
      <w:pPr>
        <w:spacing w:after="0" w:line="5"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5"/>
          <w:szCs w:val="15"/>
          <w:color w:val="auto"/>
        </w:rPr>
        <w:t>SECTION 103.</w:t>
      </w:r>
      <w:r>
        <w:rPr>
          <w:sz w:val="20"/>
          <w:szCs w:val="20"/>
          <w:color w:val="auto"/>
        </w:rPr>
        <w:tab/>
      </w:r>
      <w:r>
        <w:rPr>
          <w:rFonts w:ascii="Courier New" w:cs="Courier New" w:eastAsia="Courier New" w:hAnsi="Courier New"/>
          <w:sz w:val="15"/>
          <w:szCs w:val="15"/>
          <w:color w:val="auto"/>
        </w:rPr>
        <w:t>Form of Documents Delivered to Trustee.</w:t>
      </w:r>
    </w:p>
    <w:p>
      <w:pPr>
        <w:spacing w:after="0" w:line="180"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179"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Any certificate or opinion of an officer of the Company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his certificate or opinion is based are erroneous. Any such certificate or Opinion of Counsel may be based, insofar as it relates to factual matters, upon a certificate or opinion of, or representations by, an officer or officers of the Company stating that the information with respect to such factual matters is in the possession of the Company, unless such counsel knows, or in the exercise of reasonable care should know, that the certificate or opinion or representations with respect to such matters are erroneous.</w:t>
      </w:r>
    </w:p>
    <w:p>
      <w:pPr>
        <w:spacing w:after="0" w:line="182" w:lineRule="exact"/>
        <w:rPr>
          <w:sz w:val="20"/>
          <w:szCs w:val="20"/>
          <w:color w:val="auto"/>
        </w:rPr>
      </w:pPr>
    </w:p>
    <w:p>
      <w:pPr>
        <w:ind w:right="3219" w:firstLine="818"/>
        <w:spacing w:after="0" w:line="246" w:lineRule="auto"/>
        <w:rPr>
          <w:sz w:val="20"/>
          <w:szCs w:val="20"/>
          <w:color w:val="auto"/>
        </w:rPr>
      </w:pPr>
      <w:r>
        <w:rPr>
          <w:rFonts w:ascii="Courier New" w:cs="Courier New" w:eastAsia="Courier New" w:hAnsi="Courier New"/>
          <w:sz w:val="15"/>
          <w:szCs w:val="15"/>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177"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5"/>
          <w:szCs w:val="15"/>
          <w:color w:val="auto"/>
        </w:rPr>
        <w:t>SECTION 104.</w:t>
      </w:r>
      <w:r>
        <w:rPr>
          <w:sz w:val="20"/>
          <w:szCs w:val="20"/>
          <w:color w:val="auto"/>
        </w:rPr>
        <w:tab/>
      </w:r>
      <w:r>
        <w:rPr>
          <w:rFonts w:ascii="Courier New" w:cs="Courier New" w:eastAsia="Courier New" w:hAnsi="Courier New"/>
          <w:sz w:val="15"/>
          <w:szCs w:val="15"/>
          <w:color w:val="auto"/>
        </w:rPr>
        <w:t>Acts of Holders.</w:t>
      </w:r>
    </w:p>
    <w:p>
      <w:pPr>
        <w:spacing w:after="0" w:line="180" w:lineRule="exact"/>
        <w:rPr>
          <w:sz w:val="20"/>
          <w:szCs w:val="20"/>
          <w:color w:val="auto"/>
        </w:rPr>
      </w:pPr>
    </w:p>
    <w:p>
      <w:pPr>
        <w:ind w:right="3039" w:firstLine="811"/>
        <w:spacing w:after="0" w:line="246" w:lineRule="auto"/>
        <w:tabs>
          <w:tab w:leader="none" w:pos="1545"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request, demand, authorization, direction, notice, consent, waiver or other action provided by this Indenture to be given or taken by Holders may be embodied in and evidenced by one or more instruments of substantially similar tenor signed by such Holders in person or by an agent duly appointed in writing. If Securities of a series are issuable as Bearer Securities, any request, demand, authorization, direction, notice, consent, waiver or other action provided by this Indenture to be given or taken by Holders of such series may, alternatively, be embodied in and evidenced by the record of Holders of Securities of such series voting in favor thereof, either in person or by proxies duly appointed in writing, at any meeting of Holders of Securities of such series duly called and held in accordance with the provisions of Article Fourteen, or a combination of such instruments and any such record. Except as herein otherwise expressly provided, such action shall become effective when such instrument or instruments or record or both are delivered to the Trustee and, where it is hereby expressly required, to the Company. Such instrument or instruments and any such record (and the action embodied therein and evidenced thereby) are herein sometimes referred to as the "Act" of the Holders signing such instrument or instruments and so voting at any such meeting. Proof of execution of any such instrument or of a writing appointing any such agent or proxy or of the holding by any Person of a Security, shall be sufficient for any purpose of this Indenture and (subject to Section 601) conclusive in favor of the Trustee and the Company, if made in the manner provided in this Section. The record of any meeting of Holders of Securities shall be proved in the manner provided in Section 1406.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SUBORDINATED INDENTURE</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- 10 -</w:t>
      </w:r>
    </w:p>
    <w:p>
      <w:pPr>
        <w:sectPr>
          <w:pgSz w:w="11900" w:h="16838" w:orient="portrait"/>
          <w:cols w:equalWidth="0" w:num="1">
            <w:col w:w="10219"/>
          </w:cols>
          <w:pgMar w:left="240" w:top="293" w:right="1440" w:bottom="1440" w:gutter="0" w:footer="0" w:header="0"/>
        </w:sectPr>
      </w:pPr>
    </w:p>
    <w:bookmarkStart w:id="72" w:name="page73"/>
    <w:bookmarkEnd w:id="72"/>
    <w:p>
      <w:pPr>
        <w:ind w:left="180"/>
        <w:spacing w:after="0"/>
        <w:rPr>
          <w:sz w:val="20"/>
          <w:szCs w:val="20"/>
          <w:color w:val="auto"/>
        </w:rPr>
      </w:pPr>
      <w:r>
        <w:rPr>
          <w:rFonts w:ascii="Courier New" w:cs="Courier New" w:eastAsia="Courier New" w:hAnsi="Courier New"/>
          <w:sz w:val="15"/>
          <w:szCs w:val="15"/>
          <w:color w:val="auto"/>
        </w:rPr>
        <w:t>18</w:t>
      </w:r>
    </w:p>
    <w:p>
      <w:pPr>
        <w:spacing w:after="0" w:line="5" w:lineRule="exact"/>
        <w:rPr>
          <w:sz w:val="20"/>
          <w:szCs w:val="20"/>
          <w:color w:val="auto"/>
        </w:rPr>
      </w:pPr>
    </w:p>
    <w:p>
      <w:pPr>
        <w:ind w:left="-80" w:right="3039" w:firstLine="811"/>
        <w:spacing w:after="0" w:line="246" w:lineRule="auto"/>
        <w:tabs>
          <w:tab w:leader="none" w:pos="1465"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him the execution thereof. Where such execution is by a signer acting in a capacity other than his individual capacity, such certificate or affidavit shall also constitute sufficient proof of his authority. The fact and date of the execution of any such instrument or writing, or the authority of the Person executing the same, may also be proved in any other manner which the Trustee deems sufficient.</w:t>
      </w:r>
    </w:p>
    <w:p>
      <w:pPr>
        <w:spacing w:after="0" w:line="180" w:lineRule="exact"/>
        <w:rPr>
          <w:rFonts w:ascii="Courier New" w:cs="Courier New" w:eastAsia="Courier New" w:hAnsi="Courier New"/>
          <w:sz w:val="15"/>
          <w:szCs w:val="15"/>
          <w:color w:val="auto"/>
        </w:rPr>
      </w:pPr>
    </w:p>
    <w:p>
      <w:pPr>
        <w:ind w:left="-80" w:right="3039" w:firstLine="811"/>
        <w:spacing w:after="0" w:line="246" w:lineRule="auto"/>
        <w:tabs>
          <w:tab w:leader="none" w:pos="1465"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may, in the circumstances permitted by the Trust Indenture Act, fix any day as the record date for the purpose of determining the Holders of Registered Securities of any series entitled to give or take any request, demand, authorization, direction, notice, consent, waiver or other action, or to vote on any action, authorized or permitted to be given or taken by Holders of Securities of such series. If not set by the Company prior to the first solicitation of a Holder of Securities of such series made by any Person in respect of any such action, or, in the case of any such vote, prior to such vote, the record date for any such action or vote shall be the 30th day (or, if later, the date of the most recent list of Holders required to be provided pursuant to Section 701) prior to such first solicitation or vote, as the case may be. With regard to any record date for action to be taken by the Holders of one or more series of Securities, only the Holders of Securities of such series on such date (or their duly designated proxies) shall be entitled to give or take, or vote on, the relevant action.</w:t>
      </w:r>
    </w:p>
    <w:p>
      <w:pPr>
        <w:spacing w:after="0" w:line="183" w:lineRule="exact"/>
        <w:rPr>
          <w:rFonts w:ascii="Courier New" w:cs="Courier New" w:eastAsia="Courier New" w:hAnsi="Courier New"/>
          <w:sz w:val="15"/>
          <w:szCs w:val="15"/>
          <w:color w:val="auto"/>
        </w:rPr>
      </w:pPr>
    </w:p>
    <w:p>
      <w:pPr>
        <w:ind w:left="-80" w:right="3599" w:firstLine="811"/>
        <w:spacing w:after="0" w:line="247" w:lineRule="auto"/>
        <w:tabs>
          <w:tab w:leader="none" w:pos="1465"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principal amount and serial numbers of Registered Securities held by any Person, and the date of holding the same, shall be proved by the Security Register.</w:t>
      </w:r>
    </w:p>
    <w:p>
      <w:pPr>
        <w:spacing w:after="0" w:line="174" w:lineRule="exact"/>
        <w:rPr>
          <w:rFonts w:ascii="Courier New" w:cs="Courier New" w:eastAsia="Courier New" w:hAnsi="Courier New"/>
          <w:sz w:val="15"/>
          <w:szCs w:val="15"/>
          <w:color w:val="auto"/>
        </w:rPr>
      </w:pPr>
    </w:p>
    <w:p>
      <w:pPr>
        <w:ind w:left="-80" w:right="3039" w:firstLine="811"/>
        <w:spacing w:after="0" w:line="246" w:lineRule="auto"/>
        <w:tabs>
          <w:tab w:leader="none" w:pos="1465"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principal amount and serial numbers of Bearer Securities held by any Person, and the date of holding the same, may be proved by the production of such Bearer Securities or by a certificate executed, as depositary, by any trust company, bank, banker or other depositary, wherever situated, if such certificate shall be deemed by the Trustee to be satisfactory, showing that at the date therein mentioned such Person had on deposit with such depositary, or exhibited to it, the Bearer Securities therein described; or such facts may be proved by the certificate or affidavit of the Person holding such Bearer Securities, if such certificate or affidavit is deemed by the Trustee to be satisfactory. The Trustee and the Company may assume that such ownership of any Bearer Security continues until (1) another certificate or affidavit bearing a later date issued in respect of the same Bearer Security is produced, or (2) such Bearer Security is produced to the Trustee by some other Person, or (3) such Bearer Security is surrendered in exchange for a Registered Security, or (4) such Bearer Security is no longer Outstanding. The principal amount and serial numbers of Bearer Securities held by any Person, and the date of holding the same, may also be proved in any other manner which the Trustee deems sufficient.</w:t>
      </w:r>
    </w:p>
    <w:p>
      <w:pPr>
        <w:spacing w:after="0" w:line="185" w:lineRule="exact"/>
        <w:rPr>
          <w:rFonts w:ascii="Courier New" w:cs="Courier New" w:eastAsia="Courier New" w:hAnsi="Courier New"/>
          <w:sz w:val="15"/>
          <w:szCs w:val="15"/>
          <w:color w:val="auto"/>
        </w:rPr>
      </w:pPr>
    </w:p>
    <w:p>
      <w:pPr>
        <w:ind w:left="-80" w:right="3039" w:firstLine="811"/>
        <w:spacing w:after="0" w:line="246" w:lineRule="auto"/>
        <w:tabs>
          <w:tab w:leader="none" w:pos="1465"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request, demand, authorization, direction, notice, consent, waiver or other Act of the Holder of any Security shall bind every future Holder of the same Security and the Holder of every Security issued upon the registration of transfer thereof or in exchange therefor or in lieu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SUBORDINATED INDENTURE</w:t>
      </w:r>
    </w:p>
    <w:p>
      <w:pPr>
        <w:spacing w:after="0" w:line="5"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- 11 -</w:t>
      </w:r>
    </w:p>
    <w:p>
      <w:pPr>
        <w:sectPr>
          <w:pgSz w:w="11900" w:h="16838" w:orient="portrait"/>
          <w:cols w:equalWidth="0" w:num="1">
            <w:col w:w="10139"/>
          </w:cols>
          <w:pgMar w:left="320" w:top="293" w:right="1440" w:bottom="1440" w:gutter="0" w:footer="0" w:header="0"/>
        </w:sectPr>
      </w:pPr>
    </w:p>
    <w:bookmarkStart w:id="73" w:name="page74"/>
    <w:bookmarkEnd w:id="73"/>
    <w:p>
      <w:pPr>
        <w:ind w:left="260"/>
        <w:spacing w:after="0"/>
        <w:rPr>
          <w:sz w:val="20"/>
          <w:szCs w:val="20"/>
          <w:color w:val="auto"/>
        </w:rPr>
      </w:pPr>
      <w:r>
        <w:rPr>
          <w:rFonts w:ascii="Courier New" w:cs="Courier New" w:eastAsia="Courier New" w:hAnsi="Courier New"/>
          <w:sz w:val="15"/>
          <w:szCs w:val="15"/>
          <w:color w:val="auto"/>
        </w:rPr>
        <w:t>19</w:t>
      </w:r>
    </w:p>
    <w:p>
      <w:pPr>
        <w:spacing w:after="0" w:line="5" w:lineRule="exact"/>
        <w:rPr>
          <w:sz w:val="20"/>
          <w:szCs w:val="20"/>
          <w:color w:val="auto"/>
        </w:rPr>
      </w:pPr>
    </w:p>
    <w:p>
      <w:pPr>
        <w:jc w:val="both"/>
        <w:ind w:right="3419"/>
        <w:spacing w:after="0" w:line="247" w:lineRule="auto"/>
        <w:rPr>
          <w:sz w:val="20"/>
          <w:szCs w:val="20"/>
          <w:color w:val="auto"/>
        </w:rPr>
      </w:pPr>
      <w:r>
        <w:rPr>
          <w:rFonts w:ascii="Courier New" w:cs="Courier New" w:eastAsia="Courier New" w:hAnsi="Courier New"/>
          <w:sz w:val="15"/>
          <w:szCs w:val="15"/>
          <w:color w:val="auto"/>
        </w:rPr>
        <w:t>thereof in respect of anything done, omitted or suffered to be done by the Trustee or the Company in reliance thereon, whether or not notation of such action is made upon such Security.</w:t>
      </w:r>
    </w:p>
    <w:p>
      <w:pPr>
        <w:spacing w:after="0" w:line="174" w:lineRule="exact"/>
        <w:rPr>
          <w:sz w:val="20"/>
          <w:szCs w:val="20"/>
          <w:color w:val="auto"/>
        </w:rPr>
      </w:pPr>
    </w:p>
    <w:p>
      <w:pPr>
        <w:ind w:right="3039" w:firstLine="811"/>
        <w:spacing w:after="0" w:line="246" w:lineRule="auto"/>
        <w:tabs>
          <w:tab w:leader="none" w:pos="1545"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limiting the foregoing, a Holder entitled hereunder to give or take any action hereunder with regard to any particular Security may do so with regard to all or any part of the principal amount of such Security or by one or more duly appointed agents each of which may do so pursuant to such appointment with regard to all or any different part of such principal amount.</w:t>
      </w:r>
    </w:p>
    <w:p>
      <w:pPr>
        <w:spacing w:after="0" w:line="178"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5"/>
          <w:szCs w:val="15"/>
          <w:color w:val="auto"/>
        </w:rPr>
        <w:t>SECTION 105.</w:t>
      </w:r>
      <w:r>
        <w:rPr>
          <w:sz w:val="20"/>
          <w:szCs w:val="20"/>
          <w:color w:val="auto"/>
        </w:rPr>
        <w:tab/>
      </w:r>
      <w:r>
        <w:rPr>
          <w:rFonts w:ascii="Courier New" w:cs="Courier New" w:eastAsia="Courier New" w:hAnsi="Courier New"/>
          <w:sz w:val="15"/>
          <w:szCs w:val="15"/>
          <w:color w:val="auto"/>
        </w:rPr>
        <w:t>Notices, Etc., to Trustee and Company.</w:t>
      </w:r>
    </w:p>
    <w:p>
      <w:pPr>
        <w:spacing w:after="0" w:line="180" w:lineRule="exact"/>
        <w:rPr>
          <w:sz w:val="20"/>
          <w:szCs w:val="20"/>
          <w:color w:val="auto"/>
        </w:rPr>
      </w:pPr>
    </w:p>
    <w:p>
      <w:pPr>
        <w:ind w:right="3039" w:firstLine="818"/>
        <w:spacing w:after="0" w:line="247" w:lineRule="auto"/>
        <w:rPr>
          <w:sz w:val="20"/>
          <w:szCs w:val="20"/>
          <w:color w:val="auto"/>
        </w:rPr>
      </w:pPr>
      <w:r>
        <w:rPr>
          <w:rFonts w:ascii="Courier New" w:cs="Courier New" w:eastAsia="Courier New" w:hAnsi="Courier New"/>
          <w:sz w:val="15"/>
          <w:szCs w:val="15"/>
          <w:color w:val="auto"/>
        </w:rPr>
        <w:t>Any request, demand, authorization, direction, notice, consent, waiver or Act of Holders or other document provided or permitted by this Indenture to be made upon, given or furnished to, or filed with,</w:t>
      </w:r>
    </w:p>
    <w:p>
      <w:pPr>
        <w:spacing w:after="0" w:line="174" w:lineRule="exact"/>
        <w:rPr>
          <w:sz w:val="20"/>
          <w:szCs w:val="20"/>
          <w:color w:val="auto"/>
        </w:rPr>
      </w:pPr>
    </w:p>
    <w:p>
      <w:pPr>
        <w:ind w:left="820" w:right="3139" w:firstLine="718"/>
        <w:spacing w:after="0" w:line="246" w:lineRule="auto"/>
        <w:tabs>
          <w:tab w:leader="none" w:pos="2365"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by any Holder or by the Company shall be sufficient for every purpose hereunder if made, given, furnished or filed in writing to or with a Responsible Officer of the Trustee at its Corporate Trust Office in Dallas, Texas or Houston, Texas, as appropriate, or</w:t>
      </w:r>
    </w:p>
    <w:p>
      <w:pPr>
        <w:spacing w:after="0" w:line="177" w:lineRule="exact"/>
        <w:rPr>
          <w:rFonts w:ascii="Courier New" w:cs="Courier New" w:eastAsia="Courier New" w:hAnsi="Courier New"/>
          <w:sz w:val="15"/>
          <w:szCs w:val="15"/>
          <w:color w:val="auto"/>
        </w:rPr>
      </w:pPr>
    </w:p>
    <w:p>
      <w:pPr>
        <w:ind w:left="820" w:right="3139" w:firstLine="718"/>
        <w:spacing w:after="0" w:line="246" w:lineRule="auto"/>
        <w:tabs>
          <w:tab w:leader="none" w:pos="2365"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by the Trustee or by any Holder shall be sufficient for every purpose hereunder (unless otherwise herein expressly provided) if in writing and mailed, first-class postage prepaid, to the Company addressed to it at the address of its principal office specified in the first paragraph of this Indenture, to the attention of its Treasurer, or at any other address previously furnished in writing to the Trustee by the Company.</w:t>
      </w:r>
    </w:p>
    <w:p>
      <w:pPr>
        <w:spacing w:after="0" w:line="179"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5"/>
          <w:szCs w:val="15"/>
          <w:color w:val="auto"/>
        </w:rPr>
        <w:t>SECTION 106.</w:t>
      </w:r>
      <w:r>
        <w:rPr>
          <w:sz w:val="20"/>
          <w:szCs w:val="20"/>
          <w:color w:val="auto"/>
        </w:rPr>
        <w:tab/>
      </w:r>
      <w:r>
        <w:rPr>
          <w:rFonts w:ascii="Courier New" w:cs="Courier New" w:eastAsia="Courier New" w:hAnsi="Courier New"/>
          <w:sz w:val="15"/>
          <w:szCs w:val="15"/>
          <w:color w:val="auto"/>
        </w:rPr>
        <w:t>Notice to Holders of Securities; Waiver.</w:t>
      </w:r>
    </w:p>
    <w:p>
      <w:pPr>
        <w:spacing w:after="0" w:line="180" w:lineRule="exact"/>
        <w:rPr>
          <w:sz w:val="20"/>
          <w:szCs w:val="20"/>
          <w:color w:val="auto"/>
        </w:rPr>
      </w:pPr>
    </w:p>
    <w:p>
      <w:pPr>
        <w:ind w:right="3319" w:firstLine="818"/>
        <w:spacing w:after="0" w:line="247" w:lineRule="auto"/>
        <w:rPr>
          <w:sz w:val="20"/>
          <w:szCs w:val="20"/>
          <w:color w:val="auto"/>
        </w:rPr>
      </w:pPr>
      <w:r>
        <w:rPr>
          <w:rFonts w:ascii="Courier New" w:cs="Courier New" w:eastAsia="Courier New" w:hAnsi="Courier New"/>
          <w:sz w:val="15"/>
          <w:szCs w:val="15"/>
          <w:color w:val="auto"/>
        </w:rPr>
        <w:t>Except as otherwise expressly provided herein, where this Indenture provides for notice to Holders of Securities of any event,</w:t>
      </w:r>
    </w:p>
    <w:p>
      <w:pPr>
        <w:spacing w:after="0" w:line="175" w:lineRule="exact"/>
        <w:rPr>
          <w:sz w:val="20"/>
          <w:szCs w:val="20"/>
          <w:color w:val="auto"/>
        </w:rPr>
      </w:pPr>
    </w:p>
    <w:p>
      <w:pPr>
        <w:ind w:left="820" w:right="3039" w:firstLine="718"/>
        <w:spacing w:after="0" w:line="246" w:lineRule="auto"/>
        <w:tabs>
          <w:tab w:leader="none" w:pos="2365"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notice shall be sufficiently given to Holders of Registered Securities if in writing and mailed, first-class postage prepaid, to each Holder of a Registered Security affected by such event, at the address of such Holder as it appears in the Security Register, not later than the latest date, and not earlier than the earliest date, prescribed for the giving of such notice; and</w:t>
      </w:r>
    </w:p>
    <w:p>
      <w:pPr>
        <w:spacing w:after="0" w:line="178" w:lineRule="exact"/>
        <w:rPr>
          <w:rFonts w:ascii="Courier New" w:cs="Courier New" w:eastAsia="Courier New" w:hAnsi="Courier New"/>
          <w:sz w:val="15"/>
          <w:szCs w:val="15"/>
          <w:color w:val="auto"/>
        </w:rPr>
      </w:pPr>
    </w:p>
    <w:p>
      <w:pPr>
        <w:ind w:left="820" w:right="3039" w:firstLine="718"/>
        <w:spacing w:after="0" w:line="246" w:lineRule="auto"/>
        <w:tabs>
          <w:tab w:leader="none" w:pos="2365"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notice shall be sufficiently given to Holders of Bearer Securities if published in an Authorized Newspaper in The City of New York and in such other city or cities as may be specified in such Securities on a Business Day at least twice, the first such publication to be not earlier than the earliest date, and not later than the latest date, prescribed for the giving of such notice.</w:t>
      </w:r>
    </w:p>
    <w:p>
      <w:pPr>
        <w:spacing w:after="0" w:line="178" w:lineRule="exact"/>
        <w:rPr>
          <w:sz w:val="20"/>
          <w:szCs w:val="20"/>
          <w:color w:val="auto"/>
        </w:rPr>
      </w:pPr>
    </w:p>
    <w:p>
      <w:pPr>
        <w:jc w:val="both"/>
        <w:ind w:right="3499" w:firstLine="818"/>
        <w:spacing w:after="0" w:line="247" w:lineRule="auto"/>
        <w:rPr>
          <w:sz w:val="20"/>
          <w:szCs w:val="20"/>
          <w:color w:val="auto"/>
        </w:rPr>
      </w:pPr>
      <w:r>
        <w:rPr>
          <w:rFonts w:ascii="Courier New" w:cs="Courier New" w:eastAsia="Courier New" w:hAnsi="Courier New"/>
          <w:sz w:val="15"/>
          <w:szCs w:val="15"/>
          <w:color w:val="auto"/>
        </w:rPr>
        <w:t>In case by reason of the suspension of regular mail service or by reason of any other cause it shall be impracticable to give such notice to Holders of Registered Securities by mail, then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SUBORDINATED INDENTURE</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- 12 -</w:t>
      </w:r>
    </w:p>
    <w:p>
      <w:pPr>
        <w:sectPr>
          <w:pgSz w:w="11900" w:h="16838" w:orient="portrait"/>
          <w:cols w:equalWidth="0" w:num="1">
            <w:col w:w="10219"/>
          </w:cols>
          <w:pgMar w:left="240" w:top="293" w:right="1440" w:bottom="1440" w:gutter="0" w:footer="0" w:header="0"/>
        </w:sectPr>
      </w:pPr>
    </w:p>
    <w:bookmarkStart w:id="74" w:name="page75"/>
    <w:bookmarkEnd w:id="74"/>
    <w:p>
      <w:pPr>
        <w:ind w:left="260"/>
        <w:spacing w:after="0"/>
        <w:rPr>
          <w:sz w:val="20"/>
          <w:szCs w:val="20"/>
          <w:color w:val="auto"/>
        </w:rPr>
      </w:pPr>
      <w:r>
        <w:rPr>
          <w:rFonts w:ascii="Courier New" w:cs="Courier New" w:eastAsia="Courier New" w:hAnsi="Courier New"/>
          <w:sz w:val="15"/>
          <w:szCs w:val="15"/>
          <w:color w:val="auto"/>
        </w:rPr>
        <w:t>20</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notification as shall be made with the approval of the Trustee shall constitute sufficient notice to such Holders for every purpose hereunder. In any case where notice to Holders of Registered Securities is given by mail, neither the failure to mail such notice, nor any defect in any notice so mailed, to any particular Holder of a Registered Security shall affect the sufficiency of such notice with respect to other Holders of Registered Securities or the sufficiency of any notice to Holders of Bearer Securities given as provided herein.</w:t>
      </w:r>
    </w:p>
    <w:p>
      <w:pPr>
        <w:spacing w:after="0" w:line="180"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In case by the reason of the suspension of publication of any Authorized Newspaper or Authorized Newspapers or by reason of any other cause it shall be impracticable to publish any notice to Holders of Bearer Securities as provided above, then such notification to Holders of Bearer Securities as shall be given with the approval of the Trustee shall constitute sufficient notice to such Holders for every purpose hereunder. Neither the failure to give notice by publication to Holders of Bearer Securities as provided above, nor any defect in any notice so published, shall affect the sufficiency of any notice to Holders of Registered Securities given as provided herein.</w:t>
      </w:r>
    </w:p>
    <w:p>
      <w:pPr>
        <w:spacing w:after="0" w:line="180" w:lineRule="exact"/>
        <w:rPr>
          <w:sz w:val="20"/>
          <w:szCs w:val="20"/>
          <w:color w:val="auto"/>
        </w:rPr>
      </w:pPr>
    </w:p>
    <w:p>
      <w:pPr>
        <w:ind w:right="3139" w:firstLine="818"/>
        <w:spacing w:after="0" w:line="246" w:lineRule="auto"/>
        <w:rPr>
          <w:sz w:val="20"/>
          <w:szCs w:val="20"/>
          <w:color w:val="auto"/>
        </w:rPr>
      </w:pPr>
      <w:r>
        <w:rPr>
          <w:rFonts w:ascii="Courier New" w:cs="Courier New" w:eastAsia="Courier New" w:hAnsi="Courier New"/>
          <w:sz w:val="15"/>
          <w:szCs w:val="15"/>
          <w:color w:val="auto"/>
        </w:rPr>
        <w:t>Where this Indenture provides for notice in any manner, such notice may be waived in writing by the Person entitled to receive such notice, either before or after the event, and such waiver shall be the equivalent of such notice. Waivers of notice by Holders of Securities shall be filed with the Trustee, but such filing shall not be a condition precedent to the validity of any action taken in reliance upon such waiver.</w:t>
      </w:r>
    </w:p>
    <w:p>
      <w:pPr>
        <w:spacing w:after="0" w:line="178"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5"/>
          <w:szCs w:val="15"/>
          <w:color w:val="auto"/>
        </w:rPr>
        <w:t>SECTION 107.</w:t>
      </w:r>
      <w:r>
        <w:rPr>
          <w:sz w:val="20"/>
          <w:szCs w:val="20"/>
          <w:color w:val="auto"/>
        </w:rPr>
        <w:tab/>
      </w:r>
      <w:r>
        <w:rPr>
          <w:rFonts w:ascii="Courier New" w:cs="Courier New" w:eastAsia="Courier New" w:hAnsi="Courier New"/>
          <w:sz w:val="15"/>
          <w:szCs w:val="15"/>
          <w:color w:val="auto"/>
        </w:rPr>
        <w:t>Language of Notices, Etc.</w:t>
      </w:r>
    </w:p>
    <w:p>
      <w:pPr>
        <w:spacing w:after="0" w:line="180" w:lineRule="exact"/>
        <w:rPr>
          <w:sz w:val="20"/>
          <w:szCs w:val="20"/>
          <w:color w:val="auto"/>
        </w:rPr>
      </w:pPr>
    </w:p>
    <w:p>
      <w:pPr>
        <w:ind w:right="3319" w:firstLine="818"/>
        <w:spacing w:after="0" w:line="246" w:lineRule="auto"/>
        <w:rPr>
          <w:sz w:val="20"/>
          <w:szCs w:val="20"/>
          <w:color w:val="auto"/>
        </w:rPr>
      </w:pPr>
      <w:r>
        <w:rPr>
          <w:rFonts w:ascii="Courier New" w:cs="Courier New" w:eastAsia="Courier New" w:hAnsi="Courier New"/>
          <w:sz w:val="15"/>
          <w:szCs w:val="15"/>
          <w:color w:val="auto"/>
        </w:rPr>
        <w:t>Any request, demand, authorization, direction, notice, consent or waiver required or permitted under this Indenture shall be in the English language, except that any published notice may be in an official language of the country of publication.</w:t>
      </w:r>
    </w:p>
    <w:p>
      <w:pPr>
        <w:spacing w:after="0" w:line="177"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5"/>
          <w:szCs w:val="15"/>
          <w:color w:val="auto"/>
        </w:rPr>
        <w:t>SECTION 108.</w:t>
      </w:r>
      <w:r>
        <w:rPr>
          <w:sz w:val="20"/>
          <w:szCs w:val="20"/>
          <w:color w:val="auto"/>
        </w:rPr>
        <w:tab/>
      </w:r>
      <w:r>
        <w:rPr>
          <w:rFonts w:ascii="Courier New" w:cs="Courier New" w:eastAsia="Courier New" w:hAnsi="Courier New"/>
          <w:sz w:val="15"/>
          <w:szCs w:val="15"/>
          <w:color w:val="auto"/>
        </w:rPr>
        <w:t>Conflict with Trust Indenture Act.</w:t>
      </w:r>
    </w:p>
    <w:p>
      <w:pPr>
        <w:spacing w:after="0" w:line="180" w:lineRule="exact"/>
        <w:rPr>
          <w:sz w:val="20"/>
          <w:szCs w:val="20"/>
          <w:color w:val="auto"/>
        </w:rPr>
      </w:pPr>
    </w:p>
    <w:p>
      <w:pPr>
        <w:ind w:right="3139" w:firstLine="818"/>
        <w:spacing w:after="0" w:line="246" w:lineRule="auto"/>
        <w:rPr>
          <w:sz w:val="20"/>
          <w:szCs w:val="20"/>
          <w:color w:val="auto"/>
        </w:rPr>
      </w:pPr>
      <w:r>
        <w:rPr>
          <w:rFonts w:ascii="Courier New" w:cs="Courier New" w:eastAsia="Courier New" w:hAnsi="Courier New"/>
          <w:sz w:val="15"/>
          <w:szCs w:val="15"/>
          <w:color w:val="auto"/>
        </w:rPr>
        <w:t>If any provision hereof limits, qualifies or conflicts with a provision of the Trust Indenture Act that is required under such Act to be a part of and govern this Indenture, the latter provision shall control. If any provision of this Indenture modifies or excludes any provision of the Trust Indenture Act that may be so modified or excluded, the latter provision shall be deemed to apply to this Indenture as so modified or to be excluded, as the case may be.</w:t>
      </w:r>
    </w:p>
    <w:p>
      <w:pPr>
        <w:spacing w:after="0" w:line="179"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5"/>
          <w:szCs w:val="15"/>
          <w:color w:val="auto"/>
        </w:rPr>
        <w:t>SECTION 109.</w:t>
      </w:r>
      <w:r>
        <w:rPr>
          <w:sz w:val="20"/>
          <w:szCs w:val="20"/>
          <w:color w:val="auto"/>
        </w:rPr>
        <w:tab/>
      </w:r>
      <w:r>
        <w:rPr>
          <w:rFonts w:ascii="Courier New" w:cs="Courier New" w:eastAsia="Courier New" w:hAnsi="Courier New"/>
          <w:sz w:val="15"/>
          <w:szCs w:val="15"/>
          <w:color w:val="auto"/>
        </w:rPr>
        <w:t>Effect of Headings and Table of Contents.</w:t>
      </w:r>
    </w:p>
    <w:p>
      <w:pPr>
        <w:spacing w:after="0" w:line="180" w:lineRule="exact"/>
        <w:rPr>
          <w:sz w:val="20"/>
          <w:szCs w:val="20"/>
          <w:color w:val="auto"/>
        </w:rPr>
      </w:pPr>
    </w:p>
    <w:p>
      <w:pPr>
        <w:ind w:right="3139" w:firstLine="818"/>
        <w:spacing w:after="0" w:line="247" w:lineRule="auto"/>
        <w:rPr>
          <w:sz w:val="20"/>
          <w:szCs w:val="20"/>
          <w:color w:val="auto"/>
        </w:rPr>
      </w:pPr>
      <w:r>
        <w:rPr>
          <w:rFonts w:ascii="Courier New" w:cs="Courier New" w:eastAsia="Courier New" w:hAnsi="Courier New"/>
          <w:sz w:val="15"/>
          <w:szCs w:val="15"/>
          <w:color w:val="auto"/>
        </w:rPr>
        <w:t>The Article and Section headings herein and the Table of Contents are for convenience only and shall not affect the construction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SUBORDINATED INDENTURE</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- 13 -</w:t>
      </w:r>
    </w:p>
    <w:p>
      <w:pPr>
        <w:sectPr>
          <w:pgSz w:w="11900" w:h="16838" w:orient="portrait"/>
          <w:cols w:equalWidth="0" w:num="1">
            <w:col w:w="10219"/>
          </w:cols>
          <w:pgMar w:left="240" w:top="293" w:right="1440" w:bottom="1440" w:gutter="0" w:footer="0" w:header="0"/>
        </w:sectPr>
      </w:pPr>
    </w:p>
    <w:bookmarkStart w:id="75" w:name="page76"/>
    <w:bookmarkEnd w:id="75"/>
    <w:p>
      <w:pPr>
        <w:ind w:left="260"/>
        <w:spacing w:after="0"/>
        <w:rPr>
          <w:sz w:val="20"/>
          <w:szCs w:val="20"/>
          <w:color w:val="auto"/>
        </w:rPr>
      </w:pPr>
      <w:r>
        <w:rPr>
          <w:rFonts w:ascii="Courier New" w:cs="Courier New" w:eastAsia="Courier New" w:hAnsi="Courier New"/>
          <w:sz w:val="15"/>
          <w:szCs w:val="15"/>
          <w:color w:val="auto"/>
        </w:rPr>
        <w:t>21</w:t>
      </w:r>
    </w:p>
    <w:p>
      <w:pPr>
        <w:spacing w:after="0" w:line="5"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5"/>
          <w:szCs w:val="15"/>
          <w:color w:val="auto"/>
        </w:rPr>
        <w:t>SECTION 110.</w:t>
      </w:r>
      <w:r>
        <w:rPr>
          <w:sz w:val="20"/>
          <w:szCs w:val="20"/>
          <w:color w:val="auto"/>
        </w:rPr>
        <w:tab/>
      </w:r>
      <w:r>
        <w:rPr>
          <w:rFonts w:ascii="Courier New" w:cs="Courier New" w:eastAsia="Courier New" w:hAnsi="Courier New"/>
          <w:sz w:val="15"/>
          <w:szCs w:val="15"/>
          <w:color w:val="auto"/>
        </w:rPr>
        <w:t>Successors and Assigns.</w:t>
      </w:r>
    </w:p>
    <w:p>
      <w:pPr>
        <w:spacing w:after="0" w:line="180" w:lineRule="exact"/>
        <w:rPr>
          <w:sz w:val="20"/>
          <w:szCs w:val="20"/>
          <w:color w:val="auto"/>
        </w:rPr>
      </w:pPr>
    </w:p>
    <w:p>
      <w:pPr>
        <w:ind w:right="3319" w:firstLine="818"/>
        <w:spacing w:after="0" w:line="247" w:lineRule="auto"/>
        <w:rPr>
          <w:sz w:val="20"/>
          <w:szCs w:val="20"/>
          <w:color w:val="auto"/>
        </w:rPr>
      </w:pPr>
      <w:r>
        <w:rPr>
          <w:rFonts w:ascii="Courier New" w:cs="Courier New" w:eastAsia="Courier New" w:hAnsi="Courier New"/>
          <w:sz w:val="15"/>
          <w:szCs w:val="15"/>
          <w:color w:val="auto"/>
        </w:rPr>
        <w:t>All covenants and agreements in this Indenture by the Company shall bind its successors and assigns, whether so expressed or not.</w:t>
      </w:r>
    </w:p>
    <w:p>
      <w:pPr>
        <w:spacing w:after="0" w:line="175"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5"/>
          <w:szCs w:val="15"/>
          <w:color w:val="auto"/>
        </w:rPr>
        <w:t>SECTION 111.</w:t>
      </w:r>
      <w:r>
        <w:rPr>
          <w:sz w:val="20"/>
          <w:szCs w:val="20"/>
          <w:color w:val="auto"/>
        </w:rPr>
        <w:tab/>
      </w:r>
      <w:r>
        <w:rPr>
          <w:rFonts w:ascii="Courier New" w:cs="Courier New" w:eastAsia="Courier New" w:hAnsi="Courier New"/>
          <w:sz w:val="15"/>
          <w:szCs w:val="15"/>
          <w:color w:val="auto"/>
        </w:rPr>
        <w:t>Separability Clause.</w:t>
      </w:r>
    </w:p>
    <w:p>
      <w:pPr>
        <w:spacing w:after="0" w:line="180" w:lineRule="exact"/>
        <w:rPr>
          <w:sz w:val="20"/>
          <w:szCs w:val="20"/>
          <w:color w:val="auto"/>
        </w:rPr>
      </w:pPr>
    </w:p>
    <w:p>
      <w:pPr>
        <w:ind w:right="3139" w:firstLine="818"/>
        <w:spacing w:after="0" w:line="246" w:lineRule="auto"/>
        <w:rPr>
          <w:sz w:val="20"/>
          <w:szCs w:val="20"/>
          <w:color w:val="auto"/>
        </w:rPr>
      </w:pPr>
      <w:r>
        <w:rPr>
          <w:rFonts w:ascii="Courier New" w:cs="Courier New" w:eastAsia="Courier New" w:hAnsi="Courier New"/>
          <w:sz w:val="15"/>
          <w:szCs w:val="15"/>
          <w:color w:val="auto"/>
        </w:rPr>
        <w:t>In case any provision in this Indenture or the Securities or coupons shall be invalid, illegal or unenforceable, the validity, legality and enforceability of the remaining provisions shall not in any way be affected or impaired thereby.</w:t>
      </w:r>
    </w:p>
    <w:p>
      <w:pPr>
        <w:spacing w:after="0" w:line="177"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5"/>
          <w:szCs w:val="15"/>
          <w:color w:val="auto"/>
        </w:rPr>
        <w:t>SECTION 112.</w:t>
      </w:r>
      <w:r>
        <w:rPr>
          <w:sz w:val="20"/>
          <w:szCs w:val="20"/>
          <w:color w:val="auto"/>
        </w:rPr>
        <w:tab/>
      </w:r>
      <w:r>
        <w:rPr>
          <w:rFonts w:ascii="Courier New" w:cs="Courier New" w:eastAsia="Courier New" w:hAnsi="Courier New"/>
          <w:sz w:val="15"/>
          <w:szCs w:val="15"/>
          <w:color w:val="auto"/>
        </w:rPr>
        <w:t>Benefits of Indenture.</w:t>
      </w:r>
    </w:p>
    <w:p>
      <w:pPr>
        <w:spacing w:after="0" w:line="180" w:lineRule="exact"/>
        <w:rPr>
          <w:sz w:val="20"/>
          <w:szCs w:val="20"/>
          <w:color w:val="auto"/>
        </w:rPr>
      </w:pPr>
    </w:p>
    <w:p>
      <w:pPr>
        <w:ind w:right="3139" w:firstLine="818"/>
        <w:spacing w:after="0" w:line="246" w:lineRule="auto"/>
        <w:rPr>
          <w:sz w:val="20"/>
          <w:szCs w:val="20"/>
          <w:color w:val="auto"/>
        </w:rPr>
      </w:pPr>
      <w:r>
        <w:rPr>
          <w:rFonts w:ascii="Courier New" w:cs="Courier New" w:eastAsia="Courier New" w:hAnsi="Courier New"/>
          <w:sz w:val="15"/>
          <w:szCs w:val="15"/>
          <w:color w:val="auto"/>
        </w:rPr>
        <w:t>Nothing in this Indenture or the Securities or coupons, express or implied, shall give to any Person, other than the parties hereto, their successors hereunder, the holders of Senior Indebtedness and the Holders of Securities and coupons, any benefit or any legal or equitable right, remedy or claim under this Indenture.</w:t>
      </w:r>
    </w:p>
    <w:p>
      <w:pPr>
        <w:spacing w:after="0" w:line="178"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5"/>
          <w:szCs w:val="15"/>
          <w:color w:val="auto"/>
        </w:rPr>
        <w:t>SECTION 113.</w:t>
      </w:r>
      <w:r>
        <w:rPr>
          <w:sz w:val="20"/>
          <w:szCs w:val="20"/>
          <w:color w:val="auto"/>
        </w:rPr>
        <w:tab/>
      </w:r>
      <w:r>
        <w:rPr>
          <w:rFonts w:ascii="Courier New" w:cs="Courier New" w:eastAsia="Courier New" w:hAnsi="Courier New"/>
          <w:sz w:val="15"/>
          <w:szCs w:val="15"/>
          <w:color w:val="auto"/>
        </w:rPr>
        <w:t>Governing Law.</w:t>
      </w:r>
    </w:p>
    <w:p>
      <w:pPr>
        <w:spacing w:after="0" w:line="180" w:lineRule="exact"/>
        <w:rPr>
          <w:sz w:val="20"/>
          <w:szCs w:val="20"/>
          <w:color w:val="auto"/>
        </w:rPr>
      </w:pPr>
    </w:p>
    <w:p>
      <w:pPr>
        <w:ind w:right="3039" w:firstLine="818"/>
        <w:spacing w:after="0" w:line="247" w:lineRule="auto"/>
        <w:rPr>
          <w:sz w:val="20"/>
          <w:szCs w:val="20"/>
          <w:color w:val="auto"/>
        </w:rPr>
      </w:pPr>
      <w:r>
        <w:rPr>
          <w:rFonts w:ascii="Courier New" w:cs="Courier New" w:eastAsia="Courier New" w:hAnsi="Courier New"/>
          <w:sz w:val="15"/>
          <w:szCs w:val="15"/>
          <w:color w:val="auto"/>
        </w:rPr>
        <w:t>This Indenture and the Securities and coupons shall be governed by and construed in accordance with the laws of the State of New York.</w:t>
      </w:r>
    </w:p>
    <w:p>
      <w:pPr>
        <w:spacing w:after="0" w:line="175"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5"/>
          <w:szCs w:val="15"/>
          <w:color w:val="auto"/>
        </w:rPr>
        <w:t>SECTION 114.</w:t>
      </w:r>
      <w:r>
        <w:rPr>
          <w:sz w:val="20"/>
          <w:szCs w:val="20"/>
          <w:color w:val="auto"/>
        </w:rPr>
        <w:tab/>
      </w:r>
      <w:r>
        <w:rPr>
          <w:rFonts w:ascii="Courier New" w:cs="Courier New" w:eastAsia="Courier New" w:hAnsi="Courier New"/>
          <w:sz w:val="15"/>
          <w:szCs w:val="15"/>
          <w:color w:val="auto"/>
        </w:rPr>
        <w:t>Legal Holidays.</w:t>
      </w:r>
    </w:p>
    <w:p>
      <w:pPr>
        <w:spacing w:after="0" w:line="180"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In any case where any Interest Payment Date, Redemption Date or Stated Maturity of any Security or the last date for conversion of any Security shall not be a Business Day at any Place of Payment, then (notwithstanding any other provision of this Indenture or of the Securities or coupons other than a provision in the Securities of any series which specifically states that such provision shall apply in lieu of this Section) payment of interest or principal (and premium, if any) need not be made at such Place of Payment on such date and such conversion need not be made at such Place of Payment on such date, but may be made on the next succeeding Business Day at such Place of Payment with the same force and effect as if made on the Interest Payment Date or Redemption Date, or at the Stated Maturity, or on the last date for conversion, as the case may be, provided that no interest shall accrue on the amount so payable for the period from and after such date.</w:t>
      </w:r>
    </w:p>
    <w:p>
      <w:pPr>
        <w:spacing w:after="0" w:line="183"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TWO</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SECURITY FORMS</w:t>
      </w:r>
    </w:p>
    <w:p>
      <w:pPr>
        <w:spacing w:after="0" w:line="180"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5"/>
          <w:szCs w:val="15"/>
          <w:color w:val="auto"/>
        </w:rPr>
        <w:t>SECTION 201.</w:t>
      </w:r>
      <w:r>
        <w:rPr>
          <w:sz w:val="20"/>
          <w:szCs w:val="20"/>
          <w:color w:val="auto"/>
        </w:rPr>
        <w:tab/>
      </w:r>
      <w:r>
        <w:rPr>
          <w:rFonts w:ascii="Courier New" w:cs="Courier New" w:eastAsia="Courier New" w:hAnsi="Courier New"/>
          <w:sz w:val="15"/>
          <w:szCs w:val="15"/>
          <w:color w:val="auto"/>
        </w:rPr>
        <w:t>Forms Generally.</w:t>
      </w:r>
    </w:p>
    <w:p>
      <w:pPr>
        <w:spacing w:after="0" w:line="180" w:lineRule="exact"/>
        <w:rPr>
          <w:sz w:val="20"/>
          <w:szCs w:val="20"/>
          <w:color w:val="auto"/>
        </w:rPr>
      </w:pPr>
    </w:p>
    <w:p>
      <w:pPr>
        <w:ind w:right="3139" w:firstLine="818"/>
        <w:spacing w:after="0" w:line="246" w:lineRule="auto"/>
        <w:rPr>
          <w:sz w:val="20"/>
          <w:szCs w:val="20"/>
          <w:color w:val="auto"/>
        </w:rPr>
      </w:pPr>
      <w:r>
        <w:rPr>
          <w:rFonts w:ascii="Courier New" w:cs="Courier New" w:eastAsia="Courier New" w:hAnsi="Courier New"/>
          <w:sz w:val="15"/>
          <w:szCs w:val="15"/>
          <w:color w:val="auto"/>
        </w:rPr>
        <w:t>The Registered Securities, if any, of each series and the Bearer Securities, if any, of each series and related coupons shall be in substantially the form (including temporary or permanent global form) as shall be established by or pursuant to a Board Resolution or in one or more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SUBORDINATED INDENTURE</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- 14 -</w:t>
      </w:r>
    </w:p>
    <w:p>
      <w:pPr>
        <w:sectPr>
          <w:pgSz w:w="11900" w:h="16838" w:orient="portrait"/>
          <w:cols w:equalWidth="0" w:num="1">
            <w:col w:w="10219"/>
          </w:cols>
          <w:pgMar w:left="240" w:top="293" w:right="1440" w:bottom="1440" w:gutter="0" w:footer="0" w:header="0"/>
        </w:sectPr>
      </w:pPr>
    </w:p>
    <w:bookmarkStart w:id="76" w:name="page77"/>
    <w:bookmarkEnd w:id="76"/>
    <w:p>
      <w:pPr>
        <w:ind w:left="260"/>
        <w:spacing w:after="0"/>
        <w:rPr>
          <w:sz w:val="20"/>
          <w:szCs w:val="20"/>
          <w:color w:val="auto"/>
        </w:rPr>
      </w:pPr>
      <w:r>
        <w:rPr>
          <w:rFonts w:ascii="Courier New" w:cs="Courier New" w:eastAsia="Courier New" w:hAnsi="Courier New"/>
          <w:sz w:val="15"/>
          <w:szCs w:val="15"/>
          <w:color w:val="auto"/>
        </w:rPr>
        <w:t>22</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indentures supplemental hereto, in each case with such appropriate insertions, omissions, substitutions and other variations as are required or permitted by this Indenture, and may have such letters, numbers or other marks of identification and such legends or endorsements placed thereon as may be required to comply with law, or with the rules of any securities exchange or to conform to general, usage, all as may, consistently herewith, be determined by the officers executing such Securities or coupons, as evidenced by their execution of the Securities or coupons. If temporary Securities of any series are issued in global form as permitted by Section 304, the form thereof shall be established as provided in the preceding sentence. A copy of the Board Resolution establishing the forms of Securities or coupons of any series (or any such temporary global Security) shall be certified by the Secretary or an Assistant Secretary of the Company and delivered to the Trustee at or prior to the delivery of the Company Order contemplated by Section 303 for the authentication and delivery of such Securities (or any such temporary global Security) or coupons.</w:t>
      </w:r>
    </w:p>
    <w:p>
      <w:pPr>
        <w:spacing w:after="0" w:line="184" w:lineRule="exact"/>
        <w:rPr>
          <w:sz w:val="20"/>
          <w:szCs w:val="20"/>
          <w:color w:val="auto"/>
        </w:rPr>
      </w:pPr>
    </w:p>
    <w:p>
      <w:pPr>
        <w:ind w:right="3139" w:firstLine="818"/>
        <w:spacing w:after="0" w:line="247" w:lineRule="auto"/>
        <w:rPr>
          <w:sz w:val="20"/>
          <w:szCs w:val="20"/>
          <w:color w:val="auto"/>
        </w:rPr>
      </w:pPr>
      <w:r>
        <w:rPr>
          <w:rFonts w:ascii="Courier New" w:cs="Courier New" w:eastAsia="Courier New" w:hAnsi="Courier New"/>
          <w:sz w:val="15"/>
          <w:szCs w:val="15"/>
          <w:color w:val="auto"/>
        </w:rPr>
        <w:t>Unless otherwise specified as contemplated by Section 301, Securities in bearer form shall have interest coupons attached.</w:t>
      </w:r>
    </w:p>
    <w:p>
      <w:pPr>
        <w:spacing w:after="0" w:line="175" w:lineRule="exact"/>
        <w:rPr>
          <w:sz w:val="20"/>
          <w:szCs w:val="20"/>
          <w:color w:val="auto"/>
        </w:rPr>
      </w:pPr>
    </w:p>
    <w:p>
      <w:pPr>
        <w:ind w:right="3219" w:firstLine="818"/>
        <w:spacing w:after="0" w:line="246" w:lineRule="auto"/>
        <w:rPr>
          <w:sz w:val="20"/>
          <w:szCs w:val="20"/>
          <w:color w:val="auto"/>
        </w:rPr>
      </w:pPr>
      <w:r>
        <w:rPr>
          <w:rFonts w:ascii="Courier New" w:cs="Courier New" w:eastAsia="Courier New" w:hAnsi="Courier New"/>
          <w:sz w:val="15"/>
          <w:szCs w:val="15"/>
          <w:color w:val="auto"/>
        </w:rPr>
        <w:t>The definitive Securities and coupons, if any, shall be printed, lithographed or engraved on steel engraved borders or may be produced in any other manner, all as determined by the officers executing such Securities, as evidenced by their execution of such Securities or coupons.</w:t>
      </w:r>
    </w:p>
    <w:p>
      <w:pPr>
        <w:spacing w:after="0" w:line="177"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5"/>
          <w:szCs w:val="15"/>
          <w:color w:val="auto"/>
        </w:rPr>
        <w:t>SECTION 202.</w:t>
      </w:r>
      <w:r>
        <w:rPr>
          <w:sz w:val="20"/>
          <w:szCs w:val="20"/>
          <w:color w:val="auto"/>
        </w:rPr>
        <w:tab/>
      </w:r>
      <w:r>
        <w:rPr>
          <w:rFonts w:ascii="Courier New" w:cs="Courier New" w:eastAsia="Courier New" w:hAnsi="Courier New"/>
          <w:sz w:val="15"/>
          <w:szCs w:val="15"/>
          <w:color w:val="auto"/>
        </w:rPr>
        <w:t>Form of Trustee's Certificate of Authentication.</w:t>
      </w:r>
    </w:p>
    <w:p>
      <w:pPr>
        <w:spacing w:after="0" w:line="180" w:lineRule="exact"/>
        <w:rPr>
          <w:sz w:val="20"/>
          <w:szCs w:val="20"/>
          <w:color w:val="auto"/>
        </w:rPr>
      </w:pPr>
    </w:p>
    <w:p>
      <w:pPr>
        <w:ind w:right="3139" w:firstLine="818"/>
        <w:spacing w:after="0" w:line="247" w:lineRule="auto"/>
        <w:rPr>
          <w:sz w:val="20"/>
          <w:szCs w:val="20"/>
          <w:color w:val="auto"/>
        </w:rPr>
      </w:pPr>
      <w:r>
        <w:rPr>
          <w:rFonts w:ascii="Courier New" w:cs="Courier New" w:eastAsia="Courier New" w:hAnsi="Courier New"/>
          <w:sz w:val="15"/>
          <w:szCs w:val="15"/>
          <w:color w:val="auto"/>
        </w:rPr>
        <w:t>The Trustee's certificate of authentication shall be in substantially the following form:</w:t>
      </w:r>
    </w:p>
    <w:p>
      <w:pPr>
        <w:spacing w:after="0" w:line="175" w:lineRule="exact"/>
        <w:rPr>
          <w:sz w:val="20"/>
          <w:szCs w:val="20"/>
          <w:color w:val="auto"/>
        </w:rPr>
      </w:pPr>
    </w:p>
    <w:p>
      <w:pPr>
        <w:ind w:right="3679" w:firstLine="818"/>
        <w:spacing w:after="0" w:line="247" w:lineRule="auto"/>
        <w:rPr>
          <w:sz w:val="20"/>
          <w:szCs w:val="20"/>
          <w:color w:val="auto"/>
        </w:rPr>
      </w:pPr>
      <w:r>
        <w:rPr>
          <w:rFonts w:ascii="Courier New" w:cs="Courier New" w:eastAsia="Courier New" w:hAnsi="Courier New"/>
          <w:sz w:val="15"/>
          <w:szCs w:val="15"/>
          <w:color w:val="auto"/>
        </w:rPr>
        <w:t>"This is one of the Securities of the series designated therein referred to in the within-mentioned Indenture.</w:t>
      </w:r>
    </w:p>
    <w:p>
      <w:pPr>
        <w:spacing w:after="0" w:line="349"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center"/>
        <w:ind w:right="419"/>
        <w:spacing w:after="0"/>
        <w:rPr>
          <w:sz w:val="20"/>
          <w:szCs w:val="20"/>
          <w:color w:val="auto"/>
        </w:rPr>
      </w:pPr>
      <w:r>
        <w:rPr>
          <w:rFonts w:ascii="Courier New" w:cs="Courier New" w:eastAsia="Courier New" w:hAnsi="Courier New"/>
          <w:sz w:val="15"/>
          <w:szCs w:val="15"/>
          <w:color w:val="auto"/>
        </w:rPr>
        <w:t>as Trustee</w:t>
      </w:r>
    </w:p>
    <w:p>
      <w:pPr>
        <w:spacing w:after="0" w:line="354"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4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40"/>
        <w:spacing w:after="0"/>
        <w:rPr>
          <w:sz w:val="20"/>
          <w:szCs w:val="20"/>
          <w:color w:val="auto"/>
        </w:rPr>
      </w:pPr>
      <w:r>
        <w:rPr>
          <w:rFonts w:ascii="Courier New" w:cs="Courier New" w:eastAsia="Courier New" w:hAnsi="Courier New"/>
          <w:sz w:val="15"/>
          <w:szCs w:val="15"/>
          <w:color w:val="auto"/>
        </w:rPr>
        <w:t>Authorized Officer."</w:t>
      </w:r>
    </w:p>
    <w:p>
      <w:pPr>
        <w:spacing w:after="0" w:line="180"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5"/>
          <w:szCs w:val="15"/>
          <w:color w:val="auto"/>
        </w:rPr>
        <w:t>SECTION 203.</w:t>
      </w:r>
      <w:r>
        <w:rPr>
          <w:sz w:val="20"/>
          <w:szCs w:val="20"/>
          <w:color w:val="auto"/>
        </w:rPr>
        <w:tab/>
      </w:r>
      <w:r>
        <w:rPr>
          <w:rFonts w:ascii="Courier New" w:cs="Courier New" w:eastAsia="Courier New" w:hAnsi="Courier New"/>
          <w:sz w:val="15"/>
          <w:szCs w:val="15"/>
          <w:color w:val="auto"/>
        </w:rPr>
        <w:t>Securities in Global Form.</w:t>
      </w:r>
    </w:p>
    <w:p>
      <w:pPr>
        <w:spacing w:after="0" w:line="180"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If Securities of a series are issuable in global form, as specified as contemplated by Section 301, then, notwithstanding clause (10) of Section 301 and the provisions of Section 302, any such Security shall represent such of the Outstanding Securities of such series as shall be specified therein and may provide that it shall represent the aggregate amount of Outstanding Securities from time to time endorsed thereon and that the aggregate amount of Outstanding Securities represented thereby may be reduced to reflect exchanges. Any endorsement of a Security in global form to reflect the amount, or any increase or decrease in the amount, of Outstanding Securities represented thereby shall be made by the Trustee in such manner and upon instructions given by such Person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SUBORDINATED INDENTURE</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- 15 -</w:t>
      </w:r>
    </w:p>
    <w:p>
      <w:pPr>
        <w:sectPr>
          <w:pgSz w:w="11900" w:h="16838" w:orient="portrait"/>
          <w:cols w:equalWidth="0" w:num="1">
            <w:col w:w="10219"/>
          </w:cols>
          <w:pgMar w:left="240" w:top="293" w:right="1440" w:bottom="1440" w:gutter="0" w:footer="0" w:header="0"/>
        </w:sectPr>
      </w:pPr>
    </w:p>
    <w:bookmarkStart w:id="77" w:name="page78"/>
    <w:bookmarkEnd w:id="77"/>
    <w:p>
      <w:pPr>
        <w:ind w:left="260"/>
        <w:spacing w:after="0"/>
        <w:rPr>
          <w:sz w:val="20"/>
          <w:szCs w:val="20"/>
          <w:color w:val="auto"/>
        </w:rPr>
      </w:pPr>
      <w:r>
        <w:rPr>
          <w:rFonts w:ascii="Courier New" w:cs="Courier New" w:eastAsia="Courier New" w:hAnsi="Courier New"/>
          <w:sz w:val="15"/>
          <w:szCs w:val="15"/>
          <w:color w:val="auto"/>
        </w:rPr>
        <w:t>23</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Persons as shall be specified therein or in the Company Order to be delivered to the Trustee pursuant to Section 303 or Section 304. Subject to the provisions of Section 303 and, if applicable, Section 304, the Trustee shall deliver and redeliver any Security in permanent global form in the manner and upon instructions given by the Person or Persons specified therein or in the applicable Company Order. If a Company Order pursuant to Section 303 or 304 has been, or simultaneously is, delivered, any instructions by the Company with respect to endorsement or delivery or redelivery of a Security in global form shall be in writing but need not comply with Section 102 and need not be accompanied by an Opinion of Counsel.</w:t>
      </w:r>
    </w:p>
    <w:p>
      <w:pPr>
        <w:spacing w:after="0" w:line="181" w:lineRule="exact"/>
        <w:rPr>
          <w:sz w:val="20"/>
          <w:szCs w:val="20"/>
          <w:color w:val="auto"/>
        </w:rPr>
      </w:pPr>
    </w:p>
    <w:p>
      <w:pPr>
        <w:ind w:right="3139" w:firstLine="818"/>
        <w:spacing w:after="0" w:line="246" w:lineRule="auto"/>
        <w:rPr>
          <w:sz w:val="20"/>
          <w:szCs w:val="20"/>
          <w:color w:val="auto"/>
        </w:rPr>
      </w:pPr>
      <w:r>
        <w:rPr>
          <w:rFonts w:ascii="Courier New" w:cs="Courier New" w:eastAsia="Courier New" w:hAnsi="Courier New"/>
          <w:sz w:val="15"/>
          <w:szCs w:val="15"/>
          <w:color w:val="auto"/>
        </w:rPr>
        <w:t>The provisions of the last sentence of Section 303 shall apply to any Security represented by a Security in global form if such Security was never issued and sold by the Company and the Company delivers to the Trustee the Security in global form together with written instructions (which need not comply with Section 102 and need not be accompanied by an Opinion of Counsel) with regard to the reduction in the principal amount of Securities represented thereby, together with the written statement contemplated by the last sentence of Section 303.</w:t>
      </w:r>
    </w:p>
    <w:p>
      <w:pPr>
        <w:spacing w:after="0" w:line="180"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Notwithstanding the provisions of Sections 201 and 307, unless otherwise specified as contemplated by Section 301, payment of principal of and any premium and interest on any Security in permanent global form shall be made to the Person or Persons specified therein.</w:t>
      </w:r>
    </w:p>
    <w:p>
      <w:pPr>
        <w:spacing w:after="0" w:line="177"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5"/>
          <w:szCs w:val="15"/>
          <w:color w:val="auto"/>
        </w:rPr>
        <w:t>SECTION 204.</w:t>
      </w:r>
      <w:r>
        <w:rPr>
          <w:sz w:val="20"/>
          <w:szCs w:val="20"/>
          <w:color w:val="auto"/>
        </w:rPr>
        <w:tab/>
      </w:r>
      <w:r>
        <w:rPr>
          <w:rFonts w:ascii="Courier New" w:cs="Courier New" w:eastAsia="Courier New" w:hAnsi="Courier New"/>
          <w:sz w:val="15"/>
          <w:szCs w:val="15"/>
          <w:color w:val="auto"/>
        </w:rPr>
        <w:t>Form of Legend for Book-Entry Securities.</w:t>
      </w:r>
    </w:p>
    <w:p>
      <w:pPr>
        <w:spacing w:after="0" w:line="180" w:lineRule="exact"/>
        <w:rPr>
          <w:sz w:val="20"/>
          <w:szCs w:val="20"/>
          <w:color w:val="auto"/>
        </w:rPr>
      </w:pPr>
    </w:p>
    <w:p>
      <w:pPr>
        <w:ind w:right="3319" w:firstLine="818"/>
        <w:spacing w:after="0" w:line="247" w:lineRule="auto"/>
        <w:rPr>
          <w:sz w:val="20"/>
          <w:szCs w:val="20"/>
          <w:color w:val="auto"/>
        </w:rPr>
      </w:pPr>
      <w:r>
        <w:rPr>
          <w:rFonts w:ascii="Courier New" w:cs="Courier New" w:eastAsia="Courier New" w:hAnsi="Courier New"/>
          <w:sz w:val="15"/>
          <w:szCs w:val="15"/>
          <w:color w:val="auto"/>
        </w:rPr>
        <w:t>Any Book-Entry Security authenticated and delivered hereunder shall bear a legend in substantially the following form:</w:t>
      </w:r>
    </w:p>
    <w:p>
      <w:pPr>
        <w:spacing w:after="0" w:line="175"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"This Security is a Book-Entry Security within the meaning of the Indenture hereinafter referred to and is registered in the name of a Depository or a nominee of a Depository. This Security is exchangeable for Securities registered in the name of a Person other than the Depository or its nominee only in the limited circumstances described in the Indenture, and no transfer of this Security (other than a transfer of this Security as a whole by the Depository to a nominee of the Depository or by a nominee of the Depository to the Depository or another nominee of the Depository) may be registered except in such limited circumstances."</w:t>
      </w:r>
    </w:p>
    <w:p>
      <w:pPr>
        <w:spacing w:after="0" w:line="180"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ARTICLE THREE</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THE SECURITIES</w:t>
      </w:r>
    </w:p>
    <w:p>
      <w:pPr>
        <w:spacing w:after="0" w:line="180"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5"/>
          <w:szCs w:val="15"/>
          <w:color w:val="auto"/>
        </w:rPr>
        <w:t>SECTION 301.</w:t>
      </w:r>
      <w:r>
        <w:rPr>
          <w:sz w:val="20"/>
          <w:szCs w:val="20"/>
          <w:color w:val="auto"/>
        </w:rPr>
        <w:tab/>
      </w:r>
      <w:r>
        <w:rPr>
          <w:rFonts w:ascii="Courier New" w:cs="Courier New" w:eastAsia="Courier New" w:hAnsi="Courier New"/>
          <w:sz w:val="15"/>
          <w:szCs w:val="15"/>
          <w:color w:val="auto"/>
        </w:rPr>
        <w:t>Amount Unlimited; Issuable in Series.</w:t>
      </w:r>
    </w:p>
    <w:p>
      <w:pPr>
        <w:spacing w:after="0" w:line="180" w:lineRule="exact"/>
        <w:rPr>
          <w:sz w:val="20"/>
          <w:szCs w:val="20"/>
          <w:color w:val="auto"/>
        </w:rPr>
      </w:pPr>
    </w:p>
    <w:p>
      <w:pPr>
        <w:ind w:right="4219" w:firstLine="818"/>
        <w:spacing w:after="0" w:line="247" w:lineRule="auto"/>
        <w:rPr>
          <w:sz w:val="20"/>
          <w:szCs w:val="20"/>
          <w:color w:val="auto"/>
        </w:rPr>
      </w:pPr>
      <w:r>
        <w:rPr>
          <w:rFonts w:ascii="Courier New" w:cs="Courier New" w:eastAsia="Courier New" w:hAnsi="Courier New"/>
          <w:sz w:val="15"/>
          <w:szCs w:val="15"/>
          <w:color w:val="auto"/>
        </w:rPr>
        <w:t>The aggregate principal amount of Securities which may be authenticated and delivered under this Indenture is unlimited.</w:t>
      </w:r>
    </w:p>
    <w:p>
      <w:pPr>
        <w:spacing w:after="0" w:line="175" w:lineRule="exact"/>
        <w:rPr>
          <w:sz w:val="20"/>
          <w:szCs w:val="20"/>
          <w:color w:val="auto"/>
        </w:rPr>
      </w:pPr>
    </w:p>
    <w:p>
      <w:pPr>
        <w:ind w:right="3219" w:firstLine="818"/>
        <w:spacing w:after="0" w:line="246" w:lineRule="auto"/>
        <w:rPr>
          <w:sz w:val="20"/>
          <w:szCs w:val="20"/>
          <w:color w:val="auto"/>
        </w:rPr>
      </w:pPr>
      <w:r>
        <w:rPr>
          <w:rFonts w:ascii="Courier New" w:cs="Courier New" w:eastAsia="Courier New" w:hAnsi="Courier New"/>
          <w:sz w:val="15"/>
          <w:szCs w:val="15"/>
          <w:color w:val="auto"/>
        </w:rPr>
        <w:t>The Securities may be issued in one or more series, and each such series shall rank equally and pari passu with each other series, but all Securities issued hereunder shall be subordinate and junior in right of payment, to the extent and in the manner set forth in Article Sixteen, to all Senior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SUBORDINATED INDENTURE</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- 16 -</w:t>
      </w:r>
    </w:p>
    <w:p>
      <w:pPr>
        <w:sectPr>
          <w:pgSz w:w="11900" w:h="16838" w:orient="portrait"/>
          <w:cols w:equalWidth="0" w:num="1">
            <w:col w:w="10219"/>
          </w:cols>
          <w:pgMar w:left="240" w:top="293" w:right="1440" w:bottom="1440" w:gutter="0" w:footer="0" w:header="0"/>
        </w:sectPr>
      </w:pPr>
    </w:p>
    <w:bookmarkStart w:id="78" w:name="page79"/>
    <w:bookmarkEnd w:id="78"/>
    <w:p>
      <w:pPr>
        <w:ind w:left="260"/>
        <w:spacing w:after="0"/>
        <w:rPr>
          <w:sz w:val="20"/>
          <w:szCs w:val="20"/>
          <w:color w:val="auto"/>
        </w:rPr>
      </w:pPr>
      <w:r>
        <w:rPr>
          <w:rFonts w:ascii="Courier New" w:cs="Courier New" w:eastAsia="Courier New" w:hAnsi="Courier New"/>
          <w:sz w:val="15"/>
          <w:szCs w:val="15"/>
          <w:color w:val="auto"/>
        </w:rPr>
        <w:t>24</w:t>
      </w:r>
    </w:p>
    <w:p>
      <w:pPr>
        <w:spacing w:after="0" w:line="5"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Indebtedness. There shall be established in or pursuant to a Board Resolution and, subject to Section 303, set forth, or determined in the manner provided, in an Officers' Certificate, or established in one or more indentures supplemental hereto, prior to the issuance of Securities of any series:</w:t>
      </w:r>
    </w:p>
    <w:p>
      <w:pPr>
        <w:spacing w:after="0" w:line="177" w:lineRule="exact"/>
        <w:rPr>
          <w:sz w:val="20"/>
          <w:szCs w:val="20"/>
          <w:color w:val="auto"/>
        </w:rPr>
      </w:pPr>
    </w:p>
    <w:p>
      <w:pPr>
        <w:ind w:left="820" w:right="3499" w:firstLine="718"/>
        <w:spacing w:after="0" w:line="247" w:lineRule="auto"/>
        <w:tabs>
          <w:tab w:leader="none" w:pos="2365"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title of the Securities of the series (which shall distinguish the Securities of the series from all other Securities);</w:t>
      </w:r>
    </w:p>
    <w:p>
      <w:pPr>
        <w:spacing w:after="0" w:line="174" w:lineRule="exact"/>
        <w:rPr>
          <w:rFonts w:ascii="Courier New" w:cs="Courier New" w:eastAsia="Courier New" w:hAnsi="Courier New"/>
          <w:sz w:val="15"/>
          <w:szCs w:val="15"/>
          <w:color w:val="auto"/>
        </w:rPr>
      </w:pPr>
    </w:p>
    <w:p>
      <w:pPr>
        <w:ind w:left="820" w:right="3039" w:firstLine="718"/>
        <w:spacing w:after="0" w:line="246" w:lineRule="auto"/>
        <w:tabs>
          <w:tab w:leader="none" w:pos="2365"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 304, 305, 306, 906 or 1107 and except for any Securities which, pursuant to Section 303, are deemed never to have been authenticated and delivered hereunder);</w:t>
      </w:r>
    </w:p>
    <w:p>
      <w:pPr>
        <w:spacing w:after="0" w:line="179" w:lineRule="exact"/>
        <w:rPr>
          <w:rFonts w:ascii="Courier New" w:cs="Courier New" w:eastAsia="Courier New" w:hAnsi="Courier New"/>
          <w:sz w:val="15"/>
          <w:szCs w:val="15"/>
          <w:color w:val="auto"/>
        </w:rPr>
      </w:pPr>
    </w:p>
    <w:p>
      <w:pPr>
        <w:ind w:left="820" w:right="3039" w:firstLine="718"/>
        <w:spacing w:after="0" w:line="246" w:lineRule="auto"/>
        <w:tabs>
          <w:tab w:leader="none" w:pos="2365"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Securities of the series are to be issuable as Registered Securities, Bearer Securities or both, whether any Securities of the series are to be issuable initially in temporary global form and whether any Securities of the series are to be issuable in permanent global form with or without coupons and, if so, whether beneficial owners of interests in any such permanent global Security may exchange such interests for Securities of such series and of like tenor of any authorized form and denomination and the circumstances under which any such exchanges may occur, if other than in the manner provided in Section 305;</w:t>
      </w:r>
    </w:p>
    <w:p>
      <w:pPr>
        <w:spacing w:after="0" w:line="180" w:lineRule="exact"/>
        <w:rPr>
          <w:rFonts w:ascii="Courier New" w:cs="Courier New" w:eastAsia="Courier New" w:hAnsi="Courier New"/>
          <w:sz w:val="15"/>
          <w:szCs w:val="15"/>
          <w:color w:val="auto"/>
        </w:rPr>
      </w:pPr>
    </w:p>
    <w:p>
      <w:pPr>
        <w:ind w:left="820" w:right="3039" w:firstLine="718"/>
        <w:spacing w:after="0" w:line="246" w:lineRule="auto"/>
        <w:tabs>
          <w:tab w:leader="none" w:pos="2365"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Person to whom any interest on any Registered Security of the series shall be payable, if other than the Person in whose name that Security (or one or more Predecessor Securities) is registered at the close of business on the Regular Record Date for such interest, the manner in which, or the Person to whom, any interest on any Bearer Security of the series shall be payable, if otherwise than upon presentation and surrender of the coupons appertaining thereto as they severally mature and the extent to which, or the manner in which, any interest payable on a temporary global Security on an Interest Payment Date will be paid if other than in the manner provided in Section 304;</w:t>
      </w:r>
    </w:p>
    <w:p>
      <w:pPr>
        <w:spacing w:after="0" w:line="181" w:lineRule="exact"/>
        <w:rPr>
          <w:rFonts w:ascii="Courier New" w:cs="Courier New" w:eastAsia="Courier New" w:hAnsi="Courier New"/>
          <w:sz w:val="15"/>
          <w:szCs w:val="15"/>
          <w:color w:val="auto"/>
        </w:rPr>
      </w:pPr>
    </w:p>
    <w:p>
      <w:pPr>
        <w:ind w:left="820" w:right="3599" w:firstLine="718"/>
        <w:spacing w:after="0" w:line="247" w:lineRule="auto"/>
        <w:tabs>
          <w:tab w:leader="none" w:pos="2365"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or dates on which the principal of the Securities of the series is payable;</w:t>
      </w:r>
    </w:p>
    <w:p>
      <w:pPr>
        <w:spacing w:after="0" w:line="174" w:lineRule="exact"/>
        <w:rPr>
          <w:rFonts w:ascii="Courier New" w:cs="Courier New" w:eastAsia="Courier New" w:hAnsi="Courier New"/>
          <w:sz w:val="15"/>
          <w:szCs w:val="15"/>
          <w:color w:val="auto"/>
        </w:rPr>
      </w:pPr>
    </w:p>
    <w:p>
      <w:pPr>
        <w:ind w:left="820" w:right="3039" w:firstLine="718"/>
        <w:spacing w:after="0" w:line="246" w:lineRule="auto"/>
        <w:tabs>
          <w:tab w:leader="none" w:pos="2365"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rate or rates at which the Securities of the series shall bear interest, if any, or the method by which such rate shall be determined, the date or dates from which any such interest shall accrue, the Interest Payment Dates on which any such interest shall be payable, and the Regular Record Date for any interest payable on any Registered Securities on any Interest Payment Date and whether, and under what circumstances, additional amounts with respect to such Securities shall be payable as set forth in Section 1001;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SUBORDINATED INDENTURE</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- 17 -</w:t>
      </w:r>
    </w:p>
    <w:p>
      <w:pPr>
        <w:sectPr>
          <w:pgSz w:w="11900" w:h="16838" w:orient="portrait"/>
          <w:cols w:equalWidth="0" w:num="1">
            <w:col w:w="10219"/>
          </w:cols>
          <w:pgMar w:left="240" w:top="293" w:right="1440" w:bottom="1440" w:gutter="0" w:footer="0" w:header="0"/>
        </w:sectPr>
      </w:pPr>
    </w:p>
    <w:bookmarkStart w:id="79" w:name="page80"/>
    <w:bookmarkEnd w:id="79"/>
    <w:p>
      <w:pPr>
        <w:spacing w:after="0"/>
        <w:rPr>
          <w:sz w:val="20"/>
          <w:szCs w:val="20"/>
          <w:color w:val="auto"/>
        </w:rPr>
      </w:pPr>
      <w:r>
        <w:rPr>
          <w:rFonts w:ascii="Courier New" w:cs="Courier New" w:eastAsia="Courier New" w:hAnsi="Courier New"/>
          <w:sz w:val="15"/>
          <w:szCs w:val="15"/>
          <w:color w:val="auto"/>
        </w:rPr>
        <w:t>25</w:t>
      </w:r>
    </w:p>
    <w:p>
      <w:pPr>
        <w:spacing w:after="0" w:line="5" w:lineRule="exact"/>
        <w:rPr>
          <w:sz w:val="20"/>
          <w:szCs w:val="20"/>
          <w:color w:val="auto"/>
        </w:rPr>
      </w:pPr>
    </w:p>
    <w:p>
      <w:pPr>
        <w:ind w:left="560" w:right="3039" w:firstLine="718"/>
        <w:spacing w:after="0" w:line="246" w:lineRule="auto"/>
        <w:tabs>
          <w:tab w:leader="none" w:pos="2105"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place or places where, subject to the provisions of Section 1002, the principal of and any premium and interest on Securities of the series shall be payable, any Registered Securities of the series may be surrendered for registration of transfer, Securities of the series may be surrendered for exchange or conversion and notices and demands to or upon the Company in respect of the Securities of the series and this Indenture may be served;</w:t>
      </w:r>
    </w:p>
    <w:p>
      <w:pPr>
        <w:spacing w:after="0" w:line="179" w:lineRule="exact"/>
        <w:rPr>
          <w:rFonts w:ascii="Courier New" w:cs="Courier New" w:eastAsia="Courier New" w:hAnsi="Courier New"/>
          <w:sz w:val="15"/>
          <w:szCs w:val="15"/>
          <w:color w:val="auto"/>
        </w:rPr>
      </w:pPr>
    </w:p>
    <w:p>
      <w:pPr>
        <w:ind w:left="560" w:right="3219" w:firstLine="718"/>
        <w:spacing w:after="0" w:line="246" w:lineRule="auto"/>
        <w:tabs>
          <w:tab w:leader="none" w:pos="2105"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 if any, of the Company to redeem Securities of the series, in whole or in part, at its option and the period or periods within which, the price or prices at which and the terms and conditions upon which Securities of the series may be so redeemed;</w:t>
      </w:r>
    </w:p>
    <w:p>
      <w:pPr>
        <w:spacing w:after="0" w:line="177" w:lineRule="exact"/>
        <w:rPr>
          <w:rFonts w:ascii="Courier New" w:cs="Courier New" w:eastAsia="Courier New" w:hAnsi="Courier New"/>
          <w:sz w:val="15"/>
          <w:szCs w:val="15"/>
          <w:color w:val="auto"/>
        </w:rPr>
      </w:pPr>
    </w:p>
    <w:p>
      <w:pPr>
        <w:ind w:left="560" w:right="3039" w:firstLine="718"/>
        <w:spacing w:after="0" w:line="246" w:lineRule="auto"/>
        <w:tabs>
          <w:tab w:leader="none" w:pos="2105"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obligation, if any, of the Company to redeem, purchase, or repay Securities of the series pursuant to any mandatory redemption, sinking fund or analogous provisions or at the option of a Holder thereof and the period or periods within which, the price or prices at which and the terms and conditions upon which Securities of the series shall be redeemed, purchased or repaid, in whole or in part, pursuant to such obligation;</w:t>
      </w:r>
    </w:p>
    <w:p>
      <w:pPr>
        <w:spacing w:after="0" w:line="179" w:lineRule="exact"/>
        <w:rPr>
          <w:rFonts w:ascii="Courier New" w:cs="Courier New" w:eastAsia="Courier New" w:hAnsi="Courier New"/>
          <w:sz w:val="15"/>
          <w:szCs w:val="15"/>
          <w:color w:val="auto"/>
        </w:rPr>
      </w:pPr>
    </w:p>
    <w:p>
      <w:pPr>
        <w:ind w:left="560" w:right="3039" w:firstLine="718"/>
        <w:spacing w:after="0" w:line="246" w:lineRule="auto"/>
        <w:tabs>
          <w:tab w:leader="none" w:pos="2105"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denominations in which any Registered Securities of the series shall be issuable, if other than denominations of $1,000 and any integral multiple thereof, and the denomination or denominations in which any Bearer Securities of the series shall be issuable, if other than the denomination of $5,000;</w:t>
      </w:r>
    </w:p>
    <w:p>
      <w:pPr>
        <w:spacing w:after="0" w:line="177" w:lineRule="exact"/>
        <w:rPr>
          <w:rFonts w:ascii="Courier New" w:cs="Courier New" w:eastAsia="Courier New" w:hAnsi="Courier New"/>
          <w:sz w:val="15"/>
          <w:szCs w:val="15"/>
          <w:color w:val="auto"/>
        </w:rPr>
      </w:pPr>
    </w:p>
    <w:p>
      <w:pPr>
        <w:ind w:left="560" w:right="3219" w:firstLine="718"/>
        <w:spacing w:after="0" w:line="246" w:lineRule="auto"/>
        <w:tabs>
          <w:tab w:leader="none" w:pos="2105"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currency or currencies, including composite currencies, in which payment of the principal of and any premium and interest on any Securities of the series shall be payable if other than the currency of the United States of America and the manner of determining the equivalent thereof in the currency of the United States of America for purposes of the definition of "Outstanding" in Section 101;</w:t>
      </w:r>
    </w:p>
    <w:p>
      <w:pPr>
        <w:spacing w:after="0" w:line="179" w:lineRule="exact"/>
        <w:rPr>
          <w:rFonts w:ascii="Courier New" w:cs="Courier New" w:eastAsia="Courier New" w:hAnsi="Courier New"/>
          <w:sz w:val="15"/>
          <w:szCs w:val="15"/>
          <w:color w:val="auto"/>
        </w:rPr>
      </w:pPr>
    </w:p>
    <w:p>
      <w:pPr>
        <w:ind w:left="560" w:right="3139" w:firstLine="718"/>
        <w:spacing w:after="0" w:line="246" w:lineRule="auto"/>
        <w:tabs>
          <w:tab w:leader="none" w:pos="2105"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amount of payments of principal of and any premium or interest on any Securities of the series may be determined with reference to an index, the manner in which such amounts shall be determined;</w:t>
      </w:r>
    </w:p>
    <w:p>
      <w:pPr>
        <w:spacing w:after="0" w:line="177" w:lineRule="exact"/>
        <w:rPr>
          <w:rFonts w:ascii="Courier New" w:cs="Courier New" w:eastAsia="Courier New" w:hAnsi="Courier New"/>
          <w:sz w:val="15"/>
          <w:szCs w:val="15"/>
          <w:color w:val="auto"/>
        </w:rPr>
      </w:pPr>
    </w:p>
    <w:p>
      <w:pPr>
        <w:ind w:left="560" w:right="3139" w:firstLine="718"/>
        <w:spacing w:after="0" w:line="246" w:lineRule="auto"/>
        <w:tabs>
          <w:tab w:leader="none" w:pos="2105"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other than the principal amount thereof, the portion of the principal amount of any Securities of the series which shall be payable upon declaration of acceleration of the Maturity thereof pursuant to Section 502;</w:t>
      </w:r>
    </w:p>
    <w:p>
      <w:pPr>
        <w:spacing w:after="0" w:line="177" w:lineRule="exact"/>
        <w:rPr>
          <w:rFonts w:ascii="Courier New" w:cs="Courier New" w:eastAsia="Courier New" w:hAnsi="Courier New"/>
          <w:sz w:val="15"/>
          <w:szCs w:val="15"/>
          <w:color w:val="auto"/>
        </w:rPr>
      </w:pPr>
    </w:p>
    <w:p>
      <w:pPr>
        <w:ind w:left="560" w:right="3039" w:firstLine="718"/>
        <w:spacing w:after="0" w:line="246" w:lineRule="auto"/>
        <w:tabs>
          <w:tab w:leader="none" w:pos="2105"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principal of and any premium or interest on the Securities of the series are to be payable, at the election of the Company or a Holder thereof, in a currency or currencies, including composite currencies, other than that or those in which the Securities are stated to be payable, the currency or currencies in which payment of the principal of and any premium and interest on Securities of such series as to which such election is made shall be payable, and the periods within which and the terms and conditions upon which such election is to be made;</w:t>
      </w:r>
    </w:p>
    <w:p>
      <w:pPr>
        <w:spacing w:after="0" w:line="180" w:lineRule="exact"/>
        <w:rPr>
          <w:rFonts w:ascii="Courier New" w:cs="Courier New" w:eastAsia="Courier New" w:hAnsi="Courier New"/>
          <w:sz w:val="15"/>
          <w:szCs w:val="15"/>
          <w:color w:val="auto"/>
        </w:rPr>
      </w:pPr>
    </w:p>
    <w:p>
      <w:pPr>
        <w:jc w:val="both"/>
        <w:ind w:left="560" w:right="3139" w:firstLine="718"/>
        <w:spacing w:after="0" w:line="247" w:lineRule="auto"/>
        <w:tabs>
          <w:tab w:leader="none" w:pos="2105"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the Securities of the series shall be issued upon original issuance in whole or in part in the form of one or more Book-Entry Securities and, in such case, (a)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SUBORDINATED INDENTURE</w:t>
      </w:r>
    </w:p>
    <w:p>
      <w:pPr>
        <w:spacing w:after="0" w:line="5"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- 18 -</w:t>
      </w:r>
    </w:p>
    <w:p>
      <w:pPr>
        <w:sectPr>
          <w:pgSz w:w="11900" w:h="16838" w:orient="portrait"/>
          <w:cols w:equalWidth="0" w:num="1">
            <w:col w:w="9959"/>
          </w:cols>
          <w:pgMar w:left="500" w:top="293" w:right="1440" w:bottom="1440" w:gutter="0" w:footer="0" w:header="0"/>
        </w:sectPr>
      </w:pPr>
    </w:p>
    <w:bookmarkStart w:id="80" w:name="page81"/>
    <w:bookmarkEnd w:id="80"/>
    <w:p>
      <w:pPr>
        <w:ind w:left="260"/>
        <w:spacing w:after="0"/>
        <w:rPr>
          <w:sz w:val="20"/>
          <w:szCs w:val="20"/>
          <w:color w:val="auto"/>
        </w:rPr>
      </w:pPr>
      <w:r>
        <w:rPr>
          <w:rFonts w:ascii="Courier New" w:cs="Courier New" w:eastAsia="Courier New" w:hAnsi="Courier New"/>
          <w:sz w:val="15"/>
          <w:szCs w:val="15"/>
          <w:color w:val="auto"/>
        </w:rPr>
        <w:t>26</w:t>
      </w:r>
    </w:p>
    <w:p>
      <w:pPr>
        <w:spacing w:after="0" w:line="5" w:lineRule="exact"/>
        <w:rPr>
          <w:sz w:val="20"/>
          <w:szCs w:val="20"/>
          <w:color w:val="auto"/>
        </w:rPr>
      </w:pPr>
    </w:p>
    <w:p>
      <w:pPr>
        <w:jc w:val="right"/>
        <w:ind w:right="3039"/>
        <w:spacing w:after="0"/>
        <w:rPr>
          <w:sz w:val="20"/>
          <w:szCs w:val="20"/>
          <w:color w:val="auto"/>
        </w:rPr>
      </w:pPr>
      <w:r>
        <w:rPr>
          <w:rFonts w:ascii="Courier New" w:cs="Courier New" w:eastAsia="Courier New" w:hAnsi="Courier New"/>
          <w:sz w:val="15"/>
          <w:szCs w:val="15"/>
          <w:color w:val="auto"/>
        </w:rPr>
        <w:t>Depository with respect to such Book-Entry Security or Securities; and</w:t>
      </w:r>
    </w:p>
    <w:p>
      <w:pPr>
        <w:spacing w:after="0" w:line="5" w:lineRule="exact"/>
        <w:rPr>
          <w:sz w:val="20"/>
          <w:szCs w:val="20"/>
          <w:color w:val="auto"/>
        </w:rPr>
      </w:pPr>
    </w:p>
    <w:p>
      <w:pPr>
        <w:ind w:left="820" w:right="3139" w:hanging="9"/>
        <w:spacing w:after="0" w:line="246" w:lineRule="auto"/>
        <w:tabs>
          <w:tab w:leader="none" w:pos="1183"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circumstances under which any such Book-Entry Security may be exchanged for Securities registered in the name of, and any transfer of such Book-Entry Security may be registered to, a Person other than such Depository or its nominee, if other than as set forth in Section 305;</w:t>
      </w:r>
    </w:p>
    <w:p>
      <w:pPr>
        <w:spacing w:after="0" w:line="177" w:lineRule="exact"/>
        <w:rPr>
          <w:rFonts w:ascii="Courier New" w:cs="Courier New" w:eastAsia="Courier New" w:hAnsi="Courier New"/>
          <w:sz w:val="15"/>
          <w:szCs w:val="15"/>
          <w:color w:val="auto"/>
        </w:rPr>
      </w:pPr>
    </w:p>
    <w:p>
      <w:pPr>
        <w:ind w:left="820" w:right="3039" w:firstLine="718"/>
        <w:spacing w:after="0" w:line="246" w:lineRule="auto"/>
        <w:tabs>
          <w:tab w:leader="none" w:pos="2365" w:val="left"/>
        </w:tabs>
        <w:numPr>
          <w:ilvl w:val="1"/>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either or both of the provisions of Section 1302 or 1303 are applicable to the Securities of such series and any additional means of discharge pursuant to Section 1302 or 1303 and any additional conditions to the provisions of Section 1302 or 1303;</w:t>
      </w:r>
    </w:p>
    <w:p>
      <w:pPr>
        <w:spacing w:after="0" w:line="177" w:lineRule="exact"/>
        <w:rPr>
          <w:rFonts w:ascii="Courier New" w:cs="Courier New" w:eastAsia="Courier New" w:hAnsi="Courier New"/>
          <w:sz w:val="15"/>
          <w:szCs w:val="15"/>
          <w:color w:val="auto"/>
        </w:rPr>
      </w:pPr>
    </w:p>
    <w:p>
      <w:pPr>
        <w:ind w:left="2360" w:right="3039" w:hanging="822"/>
        <w:spacing w:after="0" w:line="247" w:lineRule="auto"/>
        <w:tabs>
          <w:tab w:leader="none" w:pos="2360" w:val="left"/>
        </w:tabs>
        <w:numPr>
          <w:ilvl w:val="1"/>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Events of Default or covenants with respect to the Securities of such series;</w:t>
      </w:r>
    </w:p>
    <w:p>
      <w:pPr>
        <w:spacing w:after="0" w:line="174" w:lineRule="exact"/>
        <w:rPr>
          <w:rFonts w:ascii="Courier New" w:cs="Courier New" w:eastAsia="Courier New" w:hAnsi="Courier New"/>
          <w:sz w:val="15"/>
          <w:szCs w:val="15"/>
          <w:color w:val="auto"/>
        </w:rPr>
      </w:pPr>
    </w:p>
    <w:p>
      <w:pPr>
        <w:ind w:left="820" w:right="3139" w:firstLine="718"/>
        <w:spacing w:after="0" w:line="246" w:lineRule="auto"/>
        <w:tabs>
          <w:tab w:leader="none" w:pos="2365" w:val="left"/>
        </w:tabs>
        <w:numPr>
          <w:ilvl w:val="1"/>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the Securities of the series will be convertible into Common Stock (or cash in lieu thereof) and, if so, the terms and conditions upon which such conversion will be effected including the initial Conversion Price and any adjustments thereto in addition to or different from those set forth in Section 1504, the conversion period and other provisions in addition to or in lieu of those set forth herein;</w:t>
      </w:r>
    </w:p>
    <w:p>
      <w:pPr>
        <w:spacing w:after="0" w:line="179" w:lineRule="exact"/>
        <w:rPr>
          <w:rFonts w:ascii="Courier New" w:cs="Courier New" w:eastAsia="Courier New" w:hAnsi="Courier New"/>
          <w:sz w:val="15"/>
          <w:szCs w:val="15"/>
          <w:color w:val="auto"/>
        </w:rPr>
      </w:pPr>
    </w:p>
    <w:p>
      <w:pPr>
        <w:ind w:left="820" w:right="3039" w:firstLine="718"/>
        <w:spacing w:after="0" w:line="247" w:lineRule="auto"/>
        <w:tabs>
          <w:tab w:leader="none" w:pos="2365" w:val="left"/>
        </w:tabs>
        <w:numPr>
          <w:ilvl w:val="1"/>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subordination provisions with respect to the Securities of such series in addition to or in lieu of those set forth in Article Sixteen hereof; and</w:t>
      </w:r>
    </w:p>
    <w:p>
      <w:pPr>
        <w:spacing w:after="0" w:line="174" w:lineRule="exact"/>
        <w:rPr>
          <w:rFonts w:ascii="Courier New" w:cs="Courier New" w:eastAsia="Courier New" w:hAnsi="Courier New"/>
          <w:sz w:val="15"/>
          <w:szCs w:val="15"/>
          <w:color w:val="auto"/>
        </w:rPr>
      </w:pPr>
    </w:p>
    <w:p>
      <w:pPr>
        <w:ind w:left="820" w:right="3139" w:firstLine="718"/>
        <w:spacing w:after="0" w:line="247" w:lineRule="auto"/>
        <w:tabs>
          <w:tab w:leader="none" w:pos="2365" w:val="left"/>
        </w:tabs>
        <w:numPr>
          <w:ilvl w:val="1"/>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terms of the series (which terms shall not be inconsistent with the provisions of this Indenture except as permitted by Section 901(5)).</w:t>
      </w:r>
    </w:p>
    <w:p>
      <w:pPr>
        <w:spacing w:after="0" w:line="174" w:lineRule="exact"/>
        <w:rPr>
          <w:sz w:val="20"/>
          <w:szCs w:val="20"/>
          <w:color w:val="auto"/>
        </w:rPr>
      </w:pPr>
    </w:p>
    <w:p>
      <w:pPr>
        <w:ind w:right="3139" w:firstLine="818"/>
        <w:spacing w:after="0" w:line="246" w:lineRule="auto"/>
        <w:rPr>
          <w:sz w:val="20"/>
          <w:szCs w:val="20"/>
          <w:color w:val="auto"/>
        </w:rPr>
      </w:pPr>
      <w:r>
        <w:rPr>
          <w:rFonts w:ascii="Courier New" w:cs="Courier New" w:eastAsia="Courier New" w:hAnsi="Courier New"/>
          <w:sz w:val="15"/>
          <w:szCs w:val="15"/>
          <w:color w:val="auto"/>
        </w:rPr>
        <w:t>All Securities of any one series and the coupons appertaining to any Bearer Securities of such series shall be substantially identical except, in the case of Registered Securities, as to denomination and except as may otherwise be provided in or pursuant to the Board Resolution referred to above and (subject to Section 303) set forth, or determined in the manner provided, in the Officers' Certificate referred to above or in any such indenture supplemental hereto.</w:t>
      </w:r>
    </w:p>
    <w:p>
      <w:pPr>
        <w:spacing w:after="0" w:line="179" w:lineRule="exact"/>
        <w:rPr>
          <w:sz w:val="20"/>
          <w:szCs w:val="20"/>
          <w:color w:val="auto"/>
        </w:rPr>
      </w:pPr>
    </w:p>
    <w:p>
      <w:pPr>
        <w:ind w:right="3139" w:firstLine="818"/>
        <w:spacing w:after="0" w:line="246" w:lineRule="auto"/>
        <w:rPr>
          <w:sz w:val="20"/>
          <w:szCs w:val="20"/>
          <w:color w:val="auto"/>
        </w:rPr>
      </w:pPr>
      <w:r>
        <w:rPr>
          <w:rFonts w:ascii="Courier New" w:cs="Courier New" w:eastAsia="Courier New" w:hAnsi="Courier New"/>
          <w:sz w:val="15"/>
          <w:szCs w:val="15"/>
          <w:color w:val="auto"/>
        </w:rPr>
        <w:t>If any of the terms of the series are established by action taken pursuant to a Board Resolution, a copy of an appropriate record of such action shall be certified by the Secretary or an Assistant Secretary of the Company and delivered to the Trustee at or prior to the delivery of the Officers' Certificate setting forth the terms of the series.</w:t>
      </w:r>
    </w:p>
    <w:p>
      <w:pPr>
        <w:spacing w:after="0" w:line="178"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5"/>
          <w:szCs w:val="15"/>
          <w:color w:val="auto"/>
        </w:rPr>
        <w:t>SECTION 302.</w:t>
      </w:r>
      <w:r>
        <w:rPr>
          <w:sz w:val="20"/>
          <w:szCs w:val="20"/>
          <w:color w:val="auto"/>
        </w:rPr>
        <w:tab/>
      </w:r>
      <w:r>
        <w:rPr>
          <w:rFonts w:ascii="Courier New" w:cs="Courier New" w:eastAsia="Courier New" w:hAnsi="Courier New"/>
          <w:sz w:val="15"/>
          <w:szCs w:val="15"/>
          <w:color w:val="auto"/>
        </w:rPr>
        <w:t>Denominations.</w:t>
      </w:r>
    </w:p>
    <w:p>
      <w:pPr>
        <w:spacing w:after="0" w:line="180" w:lineRule="exact"/>
        <w:rPr>
          <w:sz w:val="20"/>
          <w:szCs w:val="20"/>
          <w:color w:val="auto"/>
        </w:rPr>
      </w:pPr>
    </w:p>
    <w:p>
      <w:pPr>
        <w:ind w:right="3139" w:firstLine="818"/>
        <w:spacing w:after="0" w:line="246" w:lineRule="auto"/>
        <w:rPr>
          <w:sz w:val="20"/>
          <w:szCs w:val="20"/>
          <w:color w:val="auto"/>
        </w:rPr>
      </w:pPr>
      <w:r>
        <w:rPr>
          <w:rFonts w:ascii="Courier New" w:cs="Courier New" w:eastAsia="Courier New" w:hAnsi="Courier New"/>
          <w:sz w:val="15"/>
          <w:szCs w:val="15"/>
          <w:color w:val="auto"/>
        </w:rPr>
        <w:t>Unless otherwise provided as contemplated by Section 301 with respect to any series of Securities, any Registered Securities of a series shall be issuable in denominations of $1,000 and any integral multiple thereof and any Bearer Securities of a series shall be issuable in the denomination of $5,000.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SUBORDINATED INDENTURE</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- 19 -</w:t>
      </w:r>
    </w:p>
    <w:p>
      <w:pPr>
        <w:sectPr>
          <w:pgSz w:w="11900" w:h="16838" w:orient="portrait"/>
          <w:cols w:equalWidth="0" w:num="1">
            <w:col w:w="10219"/>
          </w:cols>
          <w:pgMar w:left="240" w:top="293" w:right="1440" w:bottom="1440" w:gutter="0" w:footer="0" w:header="0"/>
        </w:sectPr>
      </w:pPr>
    </w:p>
    <w:bookmarkStart w:id="81" w:name="page82"/>
    <w:bookmarkEnd w:id="81"/>
    <w:p>
      <w:pPr>
        <w:ind w:left="260"/>
        <w:spacing w:after="0"/>
        <w:rPr>
          <w:sz w:val="20"/>
          <w:szCs w:val="20"/>
          <w:color w:val="auto"/>
        </w:rPr>
      </w:pPr>
      <w:r>
        <w:rPr>
          <w:rFonts w:ascii="Courier New" w:cs="Courier New" w:eastAsia="Courier New" w:hAnsi="Courier New"/>
          <w:sz w:val="15"/>
          <w:szCs w:val="15"/>
          <w:color w:val="auto"/>
        </w:rPr>
        <w:t>27</w:t>
      </w:r>
    </w:p>
    <w:p>
      <w:pPr>
        <w:spacing w:after="0" w:line="5" w:lineRule="exact"/>
        <w:rPr>
          <w:sz w:val="20"/>
          <w:szCs w:val="20"/>
          <w:color w:val="auto"/>
        </w:rPr>
      </w:pPr>
    </w:p>
    <w:p>
      <w:pPr>
        <w:ind w:left="820"/>
        <w:spacing w:after="0"/>
        <w:tabs>
          <w:tab w:leader="none" w:pos="2340" w:val="left"/>
        </w:tabs>
        <w:rPr>
          <w:sz w:val="20"/>
          <w:szCs w:val="20"/>
          <w:color w:val="auto"/>
        </w:rPr>
      </w:pPr>
      <w:r>
        <w:rPr>
          <w:rFonts w:ascii="Courier New" w:cs="Courier New" w:eastAsia="Courier New" w:hAnsi="Courier New"/>
          <w:sz w:val="15"/>
          <w:szCs w:val="15"/>
          <w:color w:val="auto"/>
        </w:rPr>
        <w:t>SECTION 303.</w:t>
      </w:r>
      <w:r>
        <w:rPr>
          <w:sz w:val="20"/>
          <w:szCs w:val="20"/>
          <w:color w:val="auto"/>
        </w:rPr>
        <w:tab/>
      </w:r>
      <w:r>
        <w:rPr>
          <w:rFonts w:ascii="Courier New" w:cs="Courier New" w:eastAsia="Courier New" w:hAnsi="Courier New"/>
          <w:sz w:val="15"/>
          <w:szCs w:val="15"/>
          <w:color w:val="auto"/>
        </w:rPr>
        <w:t>Execution, Authentication, Delivery and Dating.</w:t>
      </w:r>
    </w:p>
    <w:p>
      <w:pPr>
        <w:spacing w:after="0" w:line="180" w:lineRule="exact"/>
        <w:rPr>
          <w:sz w:val="20"/>
          <w:szCs w:val="20"/>
          <w:color w:val="auto"/>
        </w:rPr>
      </w:pPr>
    </w:p>
    <w:p>
      <w:pPr>
        <w:ind w:right="3139" w:firstLine="818"/>
        <w:spacing w:after="0" w:line="246" w:lineRule="auto"/>
        <w:rPr>
          <w:sz w:val="20"/>
          <w:szCs w:val="20"/>
          <w:color w:val="auto"/>
        </w:rPr>
      </w:pPr>
      <w:r>
        <w:rPr>
          <w:rFonts w:ascii="Courier New" w:cs="Courier New" w:eastAsia="Courier New" w:hAnsi="Courier New"/>
          <w:sz w:val="15"/>
          <w:szCs w:val="15"/>
          <w:color w:val="auto"/>
        </w:rPr>
        <w:t>The Securities shall be executed on behalf of the Company by its Chairman of the Board, a Vice Chairman of the Board, its President, its Treasurer or its Chief Financial Officer, under its corporate seal reproduced thereon attested by its Secretary or one of its Assistant Secretaries. The signature of any of these officers on the Securities may be manual or facsimile. Coupons shall bear the facsimile signature of the Treasurer or any Assistant Treasurer of the Company.</w:t>
      </w:r>
    </w:p>
    <w:p>
      <w:pPr>
        <w:spacing w:after="0" w:line="179" w:lineRule="exact"/>
        <w:rPr>
          <w:sz w:val="20"/>
          <w:szCs w:val="20"/>
          <w:color w:val="auto"/>
        </w:rPr>
      </w:pPr>
    </w:p>
    <w:p>
      <w:pPr>
        <w:ind w:right="3139" w:firstLine="818"/>
        <w:spacing w:after="0" w:line="246" w:lineRule="auto"/>
        <w:rPr>
          <w:sz w:val="20"/>
          <w:szCs w:val="20"/>
          <w:color w:val="auto"/>
        </w:rPr>
      </w:pPr>
      <w:r>
        <w:rPr>
          <w:rFonts w:ascii="Courier New" w:cs="Courier New" w:eastAsia="Courier New" w:hAnsi="Courier New"/>
          <w:sz w:val="15"/>
          <w:szCs w:val="15"/>
          <w:color w:val="auto"/>
        </w:rPr>
        <w:t>Securities and coupons bearing the manual or facsimile signatures of individuals who were at any time the proper officers of the Company shall bind the Company, notwithstanding that such individuals or any of them have ceased to hold such offices prior to the authentication and delivery of such Securities or did not hold such offices at the date of such Securities.</w:t>
      </w:r>
    </w:p>
    <w:p>
      <w:pPr>
        <w:spacing w:after="0" w:line="178"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At any time and from time to time after the execution and delivery of this Indenture, the Company may deliver Securities of any series, together with any coupons appertaining thereto, executed by the Company to the Trustee for authentication, together with a Company Order for the authentication and delivery of such Securities, and the Trustee in accordance with the Company Order shall authenticate and deliver such Securities; provided, however, that, unless otherwise provided with respect to such series, in connection with its original issuance, no Bearer Security shall be mailed or otherwise delivered to any location in the United States; and provided, further, that unless otherwise provided with respect to such series, a Bearer Security may be delivered in connection with its original issuance only if the Person entitled to receive such Bearer Security shall have furnished a certificate in the form set forth in Exhibit A to this Indenture, dated no earlier than the Certification Date. If any Security shall be represented by a permanent global Bearer Security, then, for purposes of this Section and Section 304, the notation of a beneficial owner's interest therein upon original issuance of such Security or upon exchange of a portion of a temporary global Security shall be deemed to be delivery in connection with its original issuance of such beneficial owner's interest in such permanent global Security. Except as permitted by Section 306, the Trustee shall not authenticate and deliver any Bearer Security unless all appurtenant coupons for interest then matured have been detached and canceled.</w:t>
      </w:r>
    </w:p>
    <w:p>
      <w:pPr>
        <w:spacing w:after="0" w:line="362" w:lineRule="exact"/>
        <w:rPr>
          <w:sz w:val="20"/>
          <w:szCs w:val="20"/>
          <w:color w:val="auto"/>
        </w:rPr>
      </w:pPr>
    </w:p>
    <w:p>
      <w:pPr>
        <w:ind w:right="3039" w:firstLine="818"/>
        <w:spacing w:after="0" w:line="247" w:lineRule="auto"/>
        <w:rPr>
          <w:sz w:val="20"/>
          <w:szCs w:val="20"/>
          <w:color w:val="auto"/>
        </w:rPr>
      </w:pPr>
      <w:r>
        <w:rPr>
          <w:rFonts w:ascii="Courier New" w:cs="Courier New" w:eastAsia="Courier New" w:hAnsi="Courier New"/>
          <w:sz w:val="15"/>
          <w:szCs w:val="15"/>
          <w:color w:val="auto"/>
        </w:rPr>
        <w:t>In authenticating Securities, the Trustee shall be entitled to receive, and (subject to Section 601) shall be fully protected in relying upon, an Opinion of Counsel stating:</w:t>
      </w:r>
    </w:p>
    <w:p>
      <w:pPr>
        <w:spacing w:after="0" w:line="174" w:lineRule="exact"/>
        <w:rPr>
          <w:sz w:val="20"/>
          <w:szCs w:val="20"/>
          <w:color w:val="auto"/>
        </w:rPr>
      </w:pPr>
    </w:p>
    <w:p>
      <w:pPr>
        <w:ind w:left="820" w:right="3039" w:firstLine="718"/>
        <w:spacing w:after="0" w:line="246" w:lineRule="auto"/>
        <w:tabs>
          <w:tab w:leader="none" w:pos="2365"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the forms of such Securities and coupons established by or pursuant to a Board Resolution as contemplated by Section 201 have been established in conformity with the provisions of this Indenture;</w:t>
      </w:r>
    </w:p>
    <w:p>
      <w:pPr>
        <w:spacing w:after="0" w:line="177" w:lineRule="exact"/>
        <w:rPr>
          <w:rFonts w:ascii="Courier New" w:cs="Courier New" w:eastAsia="Courier New" w:hAnsi="Courier New"/>
          <w:sz w:val="15"/>
          <w:szCs w:val="15"/>
          <w:color w:val="auto"/>
        </w:rPr>
      </w:pPr>
    </w:p>
    <w:p>
      <w:pPr>
        <w:jc w:val="both"/>
        <w:ind w:left="820" w:right="3139" w:firstLine="718"/>
        <w:spacing w:after="0" w:line="246" w:lineRule="auto"/>
        <w:tabs>
          <w:tab w:leader="none" w:pos="2365"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terms of such Securities and any coupons have been established by or pursuant to a Board Resolution as permitted by Section 301, that such terms have been established in conformity with the provisions of this Indenture; and</w:t>
      </w:r>
    </w:p>
    <w:p>
      <w:pPr>
        <w:spacing w:after="0" w:line="177" w:lineRule="exact"/>
        <w:rPr>
          <w:rFonts w:ascii="Courier New" w:cs="Courier New" w:eastAsia="Courier New" w:hAnsi="Courier New"/>
          <w:sz w:val="15"/>
          <w:szCs w:val="15"/>
          <w:color w:val="auto"/>
        </w:rPr>
      </w:pPr>
    </w:p>
    <w:p>
      <w:pPr>
        <w:ind w:left="820" w:right="3139" w:firstLine="718"/>
        <w:spacing w:after="0" w:line="247" w:lineRule="auto"/>
        <w:tabs>
          <w:tab w:leader="none" w:pos="2365"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such Securities, together with any coupons appertaining thereto, when authenticated and delivered by the Trustee and issued by the Company in the manner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SUBORDINATED INDENTURE</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- 20 -</w:t>
      </w:r>
    </w:p>
    <w:p>
      <w:pPr>
        <w:sectPr>
          <w:pgSz w:w="11900" w:h="16838" w:orient="portrait"/>
          <w:cols w:equalWidth="0" w:num="1">
            <w:col w:w="10219"/>
          </w:cols>
          <w:pgMar w:left="240" w:top="293" w:right="1440" w:bottom="1440" w:gutter="0" w:footer="0" w:header="0"/>
        </w:sectPr>
      </w:pPr>
    </w:p>
    <w:bookmarkStart w:id="82" w:name="page83"/>
    <w:bookmarkEnd w:id="82"/>
    <w:p>
      <w:pPr>
        <w:ind w:left="260"/>
        <w:spacing w:after="0"/>
        <w:rPr>
          <w:sz w:val="20"/>
          <w:szCs w:val="20"/>
          <w:color w:val="auto"/>
        </w:rPr>
      </w:pPr>
      <w:r>
        <w:rPr>
          <w:rFonts w:ascii="Courier New" w:cs="Courier New" w:eastAsia="Courier New" w:hAnsi="Courier New"/>
          <w:sz w:val="15"/>
          <w:szCs w:val="15"/>
          <w:color w:val="auto"/>
        </w:rPr>
        <w:t>28</w:t>
      </w:r>
    </w:p>
    <w:p>
      <w:pPr>
        <w:spacing w:after="0" w:line="5" w:lineRule="exact"/>
        <w:rPr>
          <w:sz w:val="20"/>
          <w:szCs w:val="20"/>
          <w:color w:val="auto"/>
        </w:rPr>
      </w:pPr>
    </w:p>
    <w:p>
      <w:pPr>
        <w:ind w:left="820" w:right="3219"/>
        <w:spacing w:after="0" w:line="246" w:lineRule="auto"/>
        <w:rPr>
          <w:sz w:val="20"/>
          <w:szCs w:val="20"/>
          <w:color w:val="auto"/>
        </w:rPr>
      </w:pPr>
      <w:r>
        <w:rPr>
          <w:rFonts w:ascii="Courier New" w:cs="Courier New" w:eastAsia="Courier New" w:hAnsi="Courier New"/>
          <w:sz w:val="15"/>
          <w:szCs w:val="15"/>
          <w:color w:val="auto"/>
        </w:rPr>
        <w:t>subject to any conditions specified in such Opinion of Counsel, will constitute valid and legally binding obligations of the Company enforceable in accordance with their terms, subject to bankruptcy, insolvency, fraudulent transfer, reorganization and other laws of general applicability relating to or affecting creditors' rights and to general equity principles.</w:t>
      </w:r>
    </w:p>
    <w:p>
      <w:pPr>
        <w:spacing w:after="0" w:line="178"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Such Opinion of Counsel shall also cover such other matters as the Trustee may reasonably request.</w:t>
      </w:r>
    </w:p>
    <w:p>
      <w:pPr>
        <w:spacing w:after="0" w:line="175" w:lineRule="exact"/>
        <w:rPr>
          <w:sz w:val="20"/>
          <w:szCs w:val="20"/>
          <w:color w:val="auto"/>
        </w:rPr>
      </w:pPr>
    </w:p>
    <w:p>
      <w:pPr>
        <w:ind w:right="3139" w:firstLine="818"/>
        <w:spacing w:after="0" w:line="246" w:lineRule="auto"/>
        <w:rPr>
          <w:sz w:val="20"/>
          <w:szCs w:val="20"/>
          <w:color w:val="auto"/>
        </w:rPr>
      </w:pPr>
      <w:r>
        <w:rPr>
          <w:rFonts w:ascii="Courier New" w:cs="Courier New" w:eastAsia="Courier New" w:hAnsi="Courier New"/>
          <w:sz w:val="15"/>
          <w:szCs w:val="15"/>
          <w:color w:val="auto"/>
        </w:rPr>
        <w:t>The Trustee shall not be required to authenticate such Securities the forms or terms of which have been established by or pursuant to a Board Resolution if the issue of such Securities pursuant to this Indenture will affect the Trustee's own rights, duties or immunities under the Securities and this Indenture or otherwise in a manner which is not reasonably acceptable to the Trustee.</w:t>
      </w:r>
    </w:p>
    <w:p>
      <w:pPr>
        <w:spacing w:after="0" w:line="178"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Notwithstanding the provisions of Section 301 and of the two preceding paragraphs, if all Securities of a series are not to be originally issued at one time, it shall not be necessary to deliver the Officers' Certificate otherwise required pursuant to Section 301 or the Company Order and Opinion of Counsel otherwise required pursuant to such preceding paragraphs at or prior to the time of authentication of each Security of such series if such documents are delivered at or prior to the authentication upon issuance of the first Security of such series to be issued.</w:t>
      </w:r>
    </w:p>
    <w:p>
      <w:pPr>
        <w:spacing w:after="0" w:line="180"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After the original issuance of the first Security of such series to be issued, any separate request by the Company that the Trustee authenticate Securities of such series for original issuance will be deemed to be a certification by the Company (which, subject to Section 601, the Trustee shall be fully protected in relying on) that it is in compliance with all conditions precedent provided for in this Indenture relating to the authentication and delivery of such Securities.</w:t>
      </w:r>
    </w:p>
    <w:p>
      <w:pPr>
        <w:spacing w:after="0" w:line="179" w:lineRule="exact"/>
        <w:rPr>
          <w:sz w:val="20"/>
          <w:szCs w:val="20"/>
          <w:color w:val="auto"/>
        </w:rPr>
      </w:pPr>
    </w:p>
    <w:p>
      <w:pPr>
        <w:ind w:right="3599" w:firstLine="818"/>
        <w:spacing w:after="0" w:line="247" w:lineRule="auto"/>
        <w:rPr>
          <w:sz w:val="20"/>
          <w:szCs w:val="20"/>
          <w:color w:val="auto"/>
        </w:rPr>
      </w:pPr>
      <w:r>
        <w:rPr>
          <w:rFonts w:ascii="Courier New" w:cs="Courier New" w:eastAsia="Courier New" w:hAnsi="Courier New"/>
          <w:sz w:val="15"/>
          <w:szCs w:val="15"/>
          <w:color w:val="auto"/>
        </w:rPr>
        <w:t>Each Registered Security shall be dated the date of its authentication; and each Bearer Security shall be dated as of the date of original issuance of the first Security of such series to be issued.</w:t>
      </w:r>
    </w:p>
    <w:p>
      <w:pPr>
        <w:spacing w:after="0" w:line="174"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No Security or coupon shall be entitled to any benefit under this Indenture or be valid or obligatory for any purpose unless there appears on such Security, or the Security to which such coupon appertains, a certificate of authentication substantially in the form provided for herein executed by the Trustee by manual signature, and such certificate upon any Security shall be conclusive evidence, and the only evidence, that such Security has been duly authenticated and delivered hereunder. Notwithstanding the foregoing, if any Security shall have been authenticated and delivered hereunder but never issued and sold by the Company, and the Company shall deliver such Security to the Trustee for cancellation as provided in Section 309 together with a written statement (which need not comply with Section 102 and need not be accompanied by an Opinion of Counsel) stating that such Security has never been issued and sold by the Company, for all purposes of this Indenture such Security shall be deemed never to have been authenticated and delivered hereunder and shall never be entitled to the benefits of this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SUBORDINATED INDENTURE</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- 21 -</w:t>
      </w:r>
    </w:p>
    <w:p>
      <w:pPr>
        <w:sectPr>
          <w:pgSz w:w="11900" w:h="16838" w:orient="portrait"/>
          <w:cols w:equalWidth="0" w:num="1">
            <w:col w:w="10219"/>
          </w:cols>
          <w:pgMar w:left="240" w:top="293" w:right="1440" w:bottom="1440" w:gutter="0" w:footer="0" w:header="0"/>
        </w:sectPr>
      </w:pPr>
    </w:p>
    <w:bookmarkStart w:id="83" w:name="page84"/>
    <w:bookmarkEnd w:id="83"/>
    <w:p>
      <w:pPr>
        <w:ind w:left="260"/>
        <w:spacing w:after="0"/>
        <w:rPr>
          <w:sz w:val="20"/>
          <w:szCs w:val="20"/>
          <w:color w:val="auto"/>
        </w:rPr>
      </w:pPr>
      <w:r>
        <w:rPr>
          <w:rFonts w:ascii="Courier New" w:cs="Courier New" w:eastAsia="Courier New" w:hAnsi="Courier New"/>
          <w:sz w:val="15"/>
          <w:szCs w:val="15"/>
          <w:color w:val="auto"/>
        </w:rPr>
        <w:t>29</w:t>
      </w:r>
    </w:p>
    <w:p>
      <w:pPr>
        <w:spacing w:after="0" w:line="5"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5"/>
          <w:szCs w:val="15"/>
          <w:color w:val="auto"/>
        </w:rPr>
        <w:t>SECTION 304.</w:t>
      </w:r>
      <w:r>
        <w:rPr>
          <w:sz w:val="20"/>
          <w:szCs w:val="20"/>
          <w:color w:val="auto"/>
        </w:rPr>
        <w:tab/>
      </w:r>
      <w:r>
        <w:rPr>
          <w:rFonts w:ascii="Courier New" w:cs="Courier New" w:eastAsia="Courier New" w:hAnsi="Courier New"/>
          <w:sz w:val="15"/>
          <w:szCs w:val="15"/>
          <w:color w:val="auto"/>
        </w:rPr>
        <w:t>Temporary Securities.</w:t>
      </w:r>
    </w:p>
    <w:p>
      <w:pPr>
        <w:spacing w:after="0" w:line="180"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Pending the preparation of definitive Securities of any series, the Company may execute, and upon Company Order the Trustee shall authenticate and deliver, temporary Securities which are printed, lithographed, typewritten or otherwise produced, in any authorized denomination, substantially of the tenor of the definitive Securities in lieu of which they are issued, in registered form or, if authorized, in bearer form with one or more coupons or without coupons, and with such appropriate insertions, omissions, substitutions and other variations as the officers executing such Securities may determine, as evidenced by their execution of such Securities. In the case of any series issuable as Bearer Securities, such temporary Securities may be in global form. A temporary Bearer Security shall be delivered only in compliance with the conditions set forth in Section 303.</w:t>
      </w:r>
    </w:p>
    <w:p>
      <w:pPr>
        <w:spacing w:after="0" w:line="182"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Except in the case of temporary Securities in global form (which shall be exchanged in accordance with the provisions of the following paragraphs), if temporary Securities of any series are issued, the Company will cause definitive Securities of that series to be prepared without unreasonable delay. After the preparation of definitive Securities of such series, the temporary Securities of such series shall be exchangeable for definitive Securities of such series upon surrender of the temporary Securities of such series at the office or agency of the Company maintained pursuant to Section 1002 in a Place of Payment for such series for the purpose of exchanges of Securities of such series without charge to the Holder. Upon surrender for cancellation of any one or more temporary Securities of any series (accompanied by any unmatured coupons appertaining thereto) the Company shall execute and the Trustee shall authenticate and deliver in exchange therefor a like aggregate principal amount of definitive Securities of the same series and of like tenor of authorized denominations; provided, however, that no definitive Bearer Security shall be issued in exchange for a temporary Registered Security.</w:t>
      </w:r>
    </w:p>
    <w:p>
      <w:pPr>
        <w:spacing w:after="0" w:line="184" w:lineRule="exact"/>
        <w:rPr>
          <w:sz w:val="20"/>
          <w:szCs w:val="20"/>
          <w:color w:val="auto"/>
        </w:rPr>
      </w:pPr>
    </w:p>
    <w:p>
      <w:pPr>
        <w:ind w:right="3139" w:firstLine="818"/>
        <w:spacing w:after="0" w:line="246" w:lineRule="auto"/>
        <w:rPr>
          <w:sz w:val="20"/>
          <w:szCs w:val="20"/>
          <w:color w:val="auto"/>
        </w:rPr>
      </w:pPr>
      <w:r>
        <w:rPr>
          <w:rFonts w:ascii="Courier New" w:cs="Courier New" w:eastAsia="Courier New" w:hAnsi="Courier New"/>
          <w:sz w:val="15"/>
          <w:szCs w:val="15"/>
          <w:color w:val="auto"/>
        </w:rPr>
        <w:t>If temporary Securities of any series are issued in global form, any such temporary global Security shall, unless otherwise provided therein, be delivered to the London office of a depositary or common depositary (the "Common Depositary"), for the benefit of Euro-clear and CEDEL S.A., for credit to the respective accounts of the beneficial owners of such Securities (or to such other accounts as they may direct).</w:t>
      </w:r>
    </w:p>
    <w:p>
      <w:pPr>
        <w:spacing w:after="0" w:line="178"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Without unnecessary delay but in any event not later than the date specified in, or determined pursuant to the terms of, any such temporary global Security of a series (the "Exchange Date"), the Company shall deliver to the Trustee definitive Securities of that series in aggregate principal amount equal to the principal amount of such temporary global Security, executed by the Company. On or after the Exchange Date such temporary global Security shall be surrendered by the Common Depositary to the Trustee, as the Company's agent for such purpose, to be exchanged, in whole or from time to time in part, for definitive Securities of that series without charge and the Trustee shall authenticate and deliver, in exchange for each portion of such temporary global Security, a like aggregate principal amount of definitive Securities of the same series of authorized denominations and of like tenor as the portion of such temporary global Security to be exchanged; provided, however, that unless otherwise specified in such temporary global Security, upon such presentation by the Common Depositary, such temporary global Security is accompanied by a certificate dated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SUBORDINATED INDENTURE</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- 22 -</w:t>
      </w:r>
    </w:p>
    <w:p>
      <w:pPr>
        <w:sectPr>
          <w:pgSz w:w="11900" w:h="16838" w:orient="portrait"/>
          <w:cols w:equalWidth="0" w:num="1">
            <w:col w:w="10219"/>
          </w:cols>
          <w:pgMar w:left="240" w:top="293" w:right="1440" w:bottom="1440" w:gutter="0" w:footer="0" w:header="0"/>
        </w:sectPr>
      </w:pPr>
    </w:p>
    <w:bookmarkStart w:id="84" w:name="page85"/>
    <w:bookmarkEnd w:id="84"/>
    <w:p>
      <w:pPr>
        <w:ind w:left="260"/>
        <w:spacing w:after="0"/>
        <w:rPr>
          <w:sz w:val="20"/>
          <w:szCs w:val="20"/>
          <w:color w:val="auto"/>
        </w:rPr>
      </w:pPr>
      <w:r>
        <w:rPr>
          <w:rFonts w:ascii="Courier New" w:cs="Courier New" w:eastAsia="Courier New" w:hAnsi="Courier New"/>
          <w:sz w:val="15"/>
          <w:szCs w:val="15"/>
          <w:color w:val="auto"/>
        </w:rPr>
        <w:t>30</w:t>
      </w:r>
    </w:p>
    <w:p>
      <w:pPr>
        <w:spacing w:after="0" w:line="5"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the Exchange Date or a subsequent date and signed by Euro-clear as to the portion of such temporary global Security held for its account then to be exchanged and a certificate dated the Exchange Date or a subsequent date and signed by CEDEL S.A. as to the portion of such temporary global Security held for its account then to be exchanged, each in the form set forth in Exhibit B to this Indenture. The definitive Securities to be delivered in exchange for any such temporary global Security shall be in bearer form, registered form, permanent global bearer form or permanent global registered form, or any combination thereof, as specified as contemplated by Section 301, and if any combination thereof is so specified, as requested by the beneficial owner thereof; provided, however, that no definitive Bearer Security or permanent global Security shall be delivered in exchange for a temporary Bearer Security except in compliance with the conditions set forth in Section 303.</w:t>
      </w:r>
    </w:p>
    <w:p>
      <w:pPr>
        <w:spacing w:after="0" w:line="183"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Unless otherwise specified in the temporary global Security, the interest of a beneficial owner of Securities of a series in a temporary global Security shall be exchanged on the Exchange Date for definitive Securities (and where the form of the definitive Securities is not specified by the Holder for an interest in a permanent global Security) of the same series and of like tenor unless, on or prior to the Exchange Date, such beneficial owner has not delivered to Euro-clear or CEDEL S.A., as the case may be, a certificate in the form set forth in Exhibit A to this Indenture dated no earlier than the Certification Date, copies of which certificate shall be available from the offices of Euro-clear and CEDEL S.A., the Trustee, any Authenticating Agent appointed for such series of Securities and each Paying Agent and after the Exchange Date, the interest of a beneficial owner of Securities of a series in a temporary global Security shall be exchanged for definitive Securities (and where the form of the definitive Securities is not specified by the Holder for an interest in a permanent global Security) of the same series and of like tenor following such beneficial owner's delivery to Euro-clear or CEDEL S.A., as the case may be, of a certificate in the form set forth in Exhibit A to this Indenture dated no earlier than the Certification Date. Unless otherwise specified in such temporary global Security, any exchange shall be made free of charge to the beneficial owners of such temporary global Security, except that a Person receiving definitive Securities must bear the cost of insurance, postage, transportation and the like in the event that such Person does not take delivery of such definitive Securities in person at the offices of Euro-clear or CEDEL S.A. Definitive Securities in bearer form to be delivered in exchange for any portion of a temporary global Security shall be delivered only outside the United States.</w:t>
      </w:r>
    </w:p>
    <w:p>
      <w:pPr>
        <w:spacing w:after="0" w:line="190"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Until exchanged in full as hereinabove provided, the temporary Securities of any series shall in all respects be entitled to the same benefits under this Indenture as definitive Securities of the same series and of like tenor authenticated and delivered hereunder, except that, unless otherwise specified as contemplated by Section 301, interest payable on a temporary global Security on an Interest Payment Date for Securities of such series shall be payable to Euro-clear and CEDEL S.A. on such Interest Payment Date upon delivery by Euro-clear and CEDEL S.A. to the Trustee of a certificate or certificates in the form set forth in Exhibit B to this Indenture, for credit without further interest on or after such Interest Payment Date to the respective accounts of the Persons who are the beneficial owners of such temporary global Security on such Interest Payment Date and who have each delivered to Euro-clear or CEDEL S.A., as the case may be, a certificate in the form set forth in Exhibit A to this Indenture. Any interest so received by Euro-clear and CEDEL S.A. and not paid as herein provided shall be returned to the Trustee immediately prior to the expiration of two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SUBORDINATED INDENTURE</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- 23 -</w:t>
      </w:r>
    </w:p>
    <w:p>
      <w:pPr>
        <w:sectPr>
          <w:pgSz w:w="11900" w:h="16838" w:orient="portrait"/>
          <w:cols w:equalWidth="0" w:num="1">
            <w:col w:w="10219"/>
          </w:cols>
          <w:pgMar w:left="240" w:top="293" w:right="1440" w:bottom="1440" w:gutter="0" w:footer="0" w:header="0"/>
        </w:sectPr>
      </w:pPr>
    </w:p>
    <w:bookmarkStart w:id="85" w:name="page86"/>
    <w:bookmarkEnd w:id="85"/>
    <w:p>
      <w:pPr>
        <w:ind w:left="260"/>
        <w:spacing w:after="0"/>
        <w:rPr>
          <w:sz w:val="20"/>
          <w:szCs w:val="20"/>
          <w:color w:val="auto"/>
        </w:rPr>
      </w:pPr>
      <w:r>
        <w:rPr>
          <w:rFonts w:ascii="Courier New" w:cs="Courier New" w:eastAsia="Courier New" w:hAnsi="Courier New"/>
          <w:sz w:val="15"/>
          <w:szCs w:val="15"/>
          <w:color w:val="auto"/>
        </w:rPr>
        <w:t>31</w:t>
      </w:r>
    </w:p>
    <w:p>
      <w:pPr>
        <w:spacing w:after="0" w:line="5" w:lineRule="exact"/>
        <w:rPr>
          <w:sz w:val="20"/>
          <w:szCs w:val="20"/>
          <w:color w:val="auto"/>
        </w:rPr>
      </w:pPr>
    </w:p>
    <w:p>
      <w:pPr>
        <w:ind w:right="3679"/>
        <w:spacing w:after="0" w:line="247" w:lineRule="auto"/>
        <w:rPr>
          <w:sz w:val="20"/>
          <w:szCs w:val="20"/>
          <w:color w:val="auto"/>
        </w:rPr>
      </w:pPr>
      <w:r>
        <w:rPr>
          <w:rFonts w:ascii="Courier New" w:cs="Courier New" w:eastAsia="Courier New" w:hAnsi="Courier New"/>
          <w:sz w:val="15"/>
          <w:szCs w:val="15"/>
          <w:color w:val="auto"/>
        </w:rPr>
        <w:t>after such Interest Payment Date in order to be repaid to the Company in accordance with Section 1003.</w:t>
      </w:r>
    </w:p>
    <w:p>
      <w:pPr>
        <w:spacing w:after="0" w:line="175"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5"/>
          <w:szCs w:val="15"/>
          <w:color w:val="auto"/>
        </w:rPr>
        <w:t>SECTION 305.</w:t>
      </w:r>
      <w:r>
        <w:rPr>
          <w:sz w:val="20"/>
          <w:szCs w:val="20"/>
          <w:color w:val="auto"/>
        </w:rPr>
        <w:tab/>
      </w:r>
      <w:r>
        <w:rPr>
          <w:rFonts w:ascii="Courier New" w:cs="Courier New" w:eastAsia="Courier New" w:hAnsi="Courier New"/>
          <w:sz w:val="15"/>
          <w:szCs w:val="15"/>
          <w:color w:val="auto"/>
        </w:rPr>
        <w:t>Registration, Registration of Transfer and Exchange.</w:t>
      </w:r>
    </w:p>
    <w:p>
      <w:pPr>
        <w:spacing w:after="0" w:line="180"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The Company shall cause to be kept at an office or agency to be maintained by the Company in accordance with Section 1002 a register (being the combined register of the Security Registrar and all transfer agents designated pursuant to Section 1002 for the purpose of registration of transfer of Securities and sometimes collectively referred to as the "Security Register") in which, subject to such reasonable regulations as it may prescribe, the Company shall provide for the registration of each series of Registered Securities and the registration of transfers of such Registered Securities.</w:t>
      </w:r>
    </w:p>
    <w:p>
      <w:pPr>
        <w:spacing w:after="0" w:line="5" w:lineRule="exact"/>
        <w:rPr>
          <w:sz w:val="20"/>
          <w:szCs w:val="20"/>
          <w:color w:val="auto"/>
        </w:rPr>
      </w:pPr>
    </w:p>
    <w:p>
      <w:pPr>
        <w:ind w:right="3319"/>
        <w:spacing w:after="0" w:line="247" w:lineRule="auto"/>
        <w:rPr>
          <w:sz w:val="20"/>
          <w:szCs w:val="20"/>
          <w:color w:val="auto"/>
        </w:rPr>
      </w:pPr>
      <w:r>
        <w:rPr>
          <w:rFonts w:ascii="Courier New" w:cs="Courier New" w:eastAsia="Courier New" w:hAnsi="Courier New"/>
          <w:sz w:val="15"/>
          <w:szCs w:val="15"/>
          <w:color w:val="auto"/>
        </w:rPr>
        <w:t>The Trustee shall serve initially as "Security Registrar" for the purpose of registering Registered Securities and transfers of Registered Securities as herein provided.</w:t>
      </w:r>
    </w:p>
    <w:p>
      <w:pPr>
        <w:spacing w:after="0" w:line="174"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Upon surrender for registration of transfer of any Registered Security of any series at the office or agency of the Company maintained pursuant to Section 1002 for such purpose in a Place of Payment for such series, the Company shall execute, and the Trustee shall authenticate and deliver, in the name of the designated transferee or transferees, one or more new Registered Securities of the same series of any authorized denominations and of a like aggregate principal amount and tenor.</w:t>
      </w:r>
    </w:p>
    <w:p>
      <w:pPr>
        <w:spacing w:after="0" w:line="179"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At the option of the Holder, Registered Securities of any series may be exchanged for other Registered Securities of the same series of any authorized denominations and of a like aggregate principal amount and tenor, upon surrender of the Securities to be exchanged at any such office or agency. Whenever any Securities are so surrendered for exchange, the Company shall execute, and the Trustee shall authenticate and deliver, the Securities which the Holder making the exchange is entitled to receive. Unless otherwise provided with respect to any series of Securities, Bearer Securities may not be issued in exchange for Registered Securities.</w:t>
      </w:r>
    </w:p>
    <w:p>
      <w:pPr>
        <w:spacing w:after="0" w:line="180"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At the option of the Holder, Bearer Securities of any series may be exchanged for Registered Securities of the same series of any authorized denominations and of a like aggregate principal amount and tenor, upon surrender of the Bearer Securities to be exchanged at any such office or agency, with all unmatured coupons and all matured coupons in default thereto appertaining. If the Holder of a Bearer Security is unable to produce any such unmatured coupon or coupons or matured coupon or coupons in default, such exchange may be effected if the Bearer Securities are accompanied by payment in funds acceptable to the Company in an amount equal to the face amount of such missing coupon or coupons, or the surrender of such missing coupon or coupons may be waived by the Company and the Trustee if there is furnished to them such security or indemnity as they may require to save each of them and any Paying Agent harmless. If thereafter the Holder of such Security shall surrender to any Paying Agent any such missing coupon in respect of which such a payment shall have been made, such Holder shall be entitled to receive the amount of such payment; provided, however, that except as otherwise provided in Section 1002, interest represented by coupons shall be payable only upon presentation and surrender of those coupons at an office or agency located outside the United States. Notwithstanding the foregoing, in case a Bearer 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SUBORDINATED INDENTURE</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- 24 -</w:t>
      </w:r>
    </w:p>
    <w:p>
      <w:pPr>
        <w:sectPr>
          <w:pgSz w:w="11900" w:h="16838" w:orient="portrait"/>
          <w:cols w:equalWidth="0" w:num="1">
            <w:col w:w="10219"/>
          </w:cols>
          <w:pgMar w:left="240" w:top="293" w:right="1440" w:bottom="1440" w:gutter="0" w:footer="0" w:header="0"/>
        </w:sectPr>
      </w:pPr>
    </w:p>
    <w:bookmarkStart w:id="86" w:name="page87"/>
    <w:bookmarkEnd w:id="86"/>
    <w:p>
      <w:pPr>
        <w:ind w:left="260"/>
        <w:spacing w:after="0"/>
        <w:rPr>
          <w:sz w:val="20"/>
          <w:szCs w:val="20"/>
          <w:color w:val="auto"/>
        </w:rPr>
      </w:pPr>
      <w:r>
        <w:rPr>
          <w:rFonts w:ascii="Courier New" w:cs="Courier New" w:eastAsia="Courier New" w:hAnsi="Courier New"/>
          <w:sz w:val="15"/>
          <w:szCs w:val="15"/>
          <w:color w:val="auto"/>
        </w:rPr>
        <w:t>32</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of any series is surrendered at any such office or agency in exchange for a Registered Security of the same series and like tenor after the close of business at such office or agency on (i) any Regular Record Date and before the opening of business at such office or agency on the relevant Interest Payment Date, or (ii) any Special Record Date and before the opening of business at such office or agency on the related proposed date for payment of Defaulted Interest, such Bearer Security shall be surrendered without the coupon relating to such Interest Payment Date or proposed date for payment, as the case may be, and interest or Defaulted Interest, as the case may be, will not be payable on such Interest Payment Date or proposed date for payment, as the case may be, in respect of the Registered Security issued in exchange for such Bearer Security but will be payable only to the Holder of such coupon when due in accordance with the provisions of this Indenture.</w:t>
      </w:r>
    </w:p>
    <w:p>
      <w:pPr>
        <w:spacing w:after="0" w:line="183" w:lineRule="exact"/>
        <w:rPr>
          <w:sz w:val="20"/>
          <w:szCs w:val="20"/>
          <w:color w:val="auto"/>
        </w:rPr>
      </w:pPr>
    </w:p>
    <w:p>
      <w:pPr>
        <w:jc w:val="both"/>
        <w:ind w:right="3219" w:firstLine="818"/>
        <w:spacing w:after="0" w:line="247" w:lineRule="auto"/>
        <w:rPr>
          <w:sz w:val="20"/>
          <w:szCs w:val="20"/>
          <w:color w:val="auto"/>
        </w:rPr>
      </w:pPr>
      <w:r>
        <w:rPr>
          <w:rFonts w:ascii="Courier New" w:cs="Courier New" w:eastAsia="Courier New" w:hAnsi="Courier New"/>
          <w:sz w:val="15"/>
          <w:szCs w:val="15"/>
          <w:color w:val="auto"/>
        </w:rPr>
        <w:t>Whenever any Securities are so surrendered for exchange, the Company shall execute, and the Trustee shall authenticate and deliver, the Securities which the Holder making the exchange is entitled to receive.</w:t>
      </w:r>
    </w:p>
    <w:p>
      <w:pPr>
        <w:spacing w:after="0" w:line="174"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Notwithstanding the foregoing, except as otherwise specified as contemplated by Section 301, any permanent global Security shall be exchangeable only as provided in this paragraph. If the beneficial owners of interests in a permanent global Security are entitled to exchange such interests for Securities of such series and of like tenor and principal amount of another authorized form and denomination, as specified as contemplated by Section 301, then without unnecessary delay but in any event not later than the earliest date on which such interests may be so exchanged, the Company shall deliver to the Trustee definitive Securities of that series in an aggregate principal amount equal to the principal amount of such permanent global Security, executed by the Company. On or after the earliest date on which such interests may be so exchanged, such permanent global Security shall be surrendered from time to time in accordance with instructions given to the Trustee and the Common Depositary (which instructions shall be in writing but need not comply with Section 102 or be accompanied by an Opinion of Counsel) by the Common Depositary or such other depositary or Common Depositary as shall be specified in the Company Order with respect thereto to the Trustee, as the Company's agent for such purpose, to be exchanged, in whole or in part, for definitive Securities of the same series without charge and the Trustee shall authenticate and deliver, in exchange for each portion of such permanent global Security, a like aggregate principal amount definitive Securities of the same series of authorized denominations and of like tenor as the portion of such permanent global Security to be exchanged which, unless the Securities of the series are not issuable both as Bearer Securities and as Registered Securities, as specified as contemplated by Section 301, shall be in the form of Bearer Securities or Registered Securities, or any combination thereof, as shall be specified by the beneficial owner thereof; provided, however, that no such exchanges may occur during a period beginning at the opening of business 15 days before any selection of Securities of that series is to be redeemed and ending on the relevant Redemption Date; and provided, further, that no Bearer Security delivered in exchange for a portion of a permanent global Security shall be mailed or otherwise delivered to any location in the United States. Promptly following any such exchange in part, such permanent global Security shall be returned by the Trustee to the Common Depositary or such other depositary or Common Depositary referred to above in accordance with the instructions of the Company referred to above. If a Registered Security is issued in exchange for any portion of such permanent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SUBORDINATED INDENTURE</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- 25 -</w:t>
      </w:r>
    </w:p>
    <w:p>
      <w:pPr>
        <w:sectPr>
          <w:pgSz w:w="11900" w:h="16838" w:orient="portrait"/>
          <w:cols w:equalWidth="0" w:num="1">
            <w:col w:w="10219"/>
          </w:cols>
          <w:pgMar w:left="240" w:top="293" w:right="1440" w:bottom="1440" w:gutter="0" w:footer="0" w:header="0"/>
        </w:sectPr>
      </w:pPr>
    </w:p>
    <w:bookmarkStart w:id="87" w:name="page88"/>
    <w:bookmarkEnd w:id="87"/>
    <w:p>
      <w:pPr>
        <w:ind w:left="267"/>
        <w:spacing w:after="0"/>
        <w:rPr>
          <w:sz w:val="20"/>
          <w:szCs w:val="20"/>
          <w:color w:val="auto"/>
        </w:rPr>
      </w:pPr>
      <w:r>
        <w:rPr>
          <w:rFonts w:ascii="Courier New" w:cs="Courier New" w:eastAsia="Courier New" w:hAnsi="Courier New"/>
          <w:sz w:val="15"/>
          <w:szCs w:val="15"/>
          <w:color w:val="auto"/>
        </w:rPr>
        <w:t>33</w:t>
      </w:r>
    </w:p>
    <w:p>
      <w:pPr>
        <w:spacing w:after="0" w:line="5" w:lineRule="exact"/>
        <w:rPr>
          <w:sz w:val="20"/>
          <w:szCs w:val="20"/>
          <w:color w:val="auto"/>
        </w:rPr>
      </w:pPr>
    </w:p>
    <w:p>
      <w:pPr>
        <w:ind w:left="7" w:right="3139"/>
        <w:spacing w:after="0" w:line="246" w:lineRule="auto"/>
        <w:rPr>
          <w:sz w:val="20"/>
          <w:szCs w:val="20"/>
          <w:color w:val="auto"/>
        </w:rPr>
      </w:pPr>
      <w:r>
        <w:rPr>
          <w:rFonts w:ascii="Courier New" w:cs="Courier New" w:eastAsia="Courier New" w:hAnsi="Courier New"/>
          <w:sz w:val="15"/>
          <w:szCs w:val="15"/>
          <w:color w:val="auto"/>
        </w:rPr>
        <w:t>global Security after the close of business at the office or agency where such exchange occurs on (i) any Regular Record Date and before the opening of business at such office or agency on the relevant Interest Payment Date, or</w:t>
      </w:r>
    </w:p>
    <w:p>
      <w:pPr>
        <w:spacing w:after="0" w:line="2" w:lineRule="exact"/>
        <w:rPr>
          <w:sz w:val="20"/>
          <w:szCs w:val="20"/>
          <w:color w:val="auto"/>
        </w:rPr>
      </w:pPr>
    </w:p>
    <w:p>
      <w:pPr>
        <w:ind w:left="7" w:right="3039" w:hanging="7"/>
        <w:spacing w:after="0" w:line="246" w:lineRule="auto"/>
        <w:tabs>
          <w:tab w:leader="none" w:pos="461"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Special Record Date and before the opening of business at such office or agency on the related proposed date for payment of Defaulted Interest, interest or Defaulted Interest, as the case may be, will not be payable on such Interest Payment Date or proposed date for payment, as the case may be, in respect of such Registered Security, but will be payable on such Interest Payment Date or proposed date for payment, as the case may be, only to the Person to whom interest in respect of such portion of such permanent global Security is payable in accordance with provisions of this Indenture.</w:t>
      </w:r>
    </w:p>
    <w:p>
      <w:pPr>
        <w:spacing w:after="0" w:line="180" w:lineRule="exact"/>
        <w:rPr>
          <w:sz w:val="20"/>
          <w:szCs w:val="20"/>
          <w:color w:val="auto"/>
        </w:rPr>
      </w:pPr>
    </w:p>
    <w:p>
      <w:pPr>
        <w:ind w:left="7" w:right="3039" w:firstLine="818"/>
        <w:spacing w:after="0" w:line="246" w:lineRule="auto"/>
        <w:rPr>
          <w:sz w:val="20"/>
          <w:szCs w:val="20"/>
          <w:color w:val="auto"/>
        </w:rPr>
      </w:pPr>
      <w:r>
        <w:rPr>
          <w:rFonts w:ascii="Courier New" w:cs="Courier New" w:eastAsia="Courier New" w:hAnsi="Courier New"/>
          <w:sz w:val="15"/>
          <w:szCs w:val="15"/>
          <w:color w:val="auto"/>
        </w:rPr>
        <w:t>All Securities issued upon any registration of transfer or exchange of Securities shall be the valid obligations of the Company, evidencing the same debt, and entitled to the same benefits under this Indenture, as the Securities surrendered upon such registration of transfer or exchange.</w:t>
      </w:r>
    </w:p>
    <w:p>
      <w:pPr>
        <w:spacing w:after="0" w:line="177" w:lineRule="exact"/>
        <w:rPr>
          <w:sz w:val="20"/>
          <w:szCs w:val="20"/>
          <w:color w:val="auto"/>
        </w:rPr>
      </w:pPr>
    </w:p>
    <w:p>
      <w:pPr>
        <w:ind w:left="7" w:right="3039" w:firstLine="818"/>
        <w:spacing w:after="0" w:line="246" w:lineRule="auto"/>
        <w:rPr>
          <w:sz w:val="20"/>
          <w:szCs w:val="20"/>
          <w:color w:val="auto"/>
        </w:rPr>
      </w:pPr>
      <w:r>
        <w:rPr>
          <w:rFonts w:ascii="Courier New" w:cs="Courier New" w:eastAsia="Courier New" w:hAnsi="Courier New"/>
          <w:sz w:val="15"/>
          <w:szCs w:val="15"/>
          <w:color w:val="auto"/>
        </w:rPr>
        <w:t>Every Registered Security presented or surrendered for registration of transfer or exchange shall (if so required by the Company or the Trustee or any transfer agent) be duly endorsed, or be accompanied by a written instrument of transfer in form satisfactory to the Company and the Security Registrar or any transfer agent duly executed, by the Holder thereof or his attorney duly authorized in writing.</w:t>
      </w:r>
    </w:p>
    <w:p>
      <w:pPr>
        <w:spacing w:after="0" w:line="178" w:lineRule="exact"/>
        <w:rPr>
          <w:sz w:val="20"/>
          <w:szCs w:val="20"/>
          <w:color w:val="auto"/>
        </w:rPr>
      </w:pPr>
    </w:p>
    <w:p>
      <w:pPr>
        <w:ind w:left="7" w:right="3039" w:firstLine="818"/>
        <w:spacing w:after="0" w:line="246" w:lineRule="auto"/>
        <w:rPr>
          <w:sz w:val="20"/>
          <w:szCs w:val="20"/>
          <w:color w:val="auto"/>
        </w:rPr>
      </w:pPr>
      <w:r>
        <w:rPr>
          <w:rFonts w:ascii="Courier New" w:cs="Courier New" w:eastAsia="Courier New" w:hAnsi="Courier New"/>
          <w:sz w:val="15"/>
          <w:szCs w:val="15"/>
          <w:color w:val="auto"/>
        </w:rPr>
        <w:t>No service charge shall be made for any registration of transfer or exchange of Securities, but the Company may require payment of a sum sufficient to cover any tax or other governmental charge that may be imposed in connection with any registration of transfer or exchange of Securities, other than exchanges pursuant to Section 304, 906 or 1107 not involving any transfer.</w:t>
      </w:r>
    </w:p>
    <w:p>
      <w:pPr>
        <w:spacing w:after="0" w:line="178" w:lineRule="exact"/>
        <w:rPr>
          <w:sz w:val="20"/>
          <w:szCs w:val="20"/>
          <w:color w:val="auto"/>
        </w:rPr>
      </w:pPr>
    </w:p>
    <w:p>
      <w:pPr>
        <w:ind w:left="7" w:right="3039" w:firstLine="818"/>
        <w:spacing w:after="0" w:line="246" w:lineRule="auto"/>
        <w:rPr>
          <w:sz w:val="20"/>
          <w:szCs w:val="20"/>
          <w:color w:val="auto"/>
        </w:rPr>
      </w:pPr>
      <w:r>
        <w:rPr>
          <w:rFonts w:ascii="Courier New" w:cs="Courier New" w:eastAsia="Courier New" w:hAnsi="Courier New"/>
          <w:sz w:val="15"/>
          <w:szCs w:val="15"/>
          <w:color w:val="auto"/>
        </w:rPr>
        <w:t>The Company shall not be required (i) to issue, register the transfer of or exchange Securities of any series during a period beginning at the opening of business 15 days before any selection of Securities of that series to be redeemed and ending at the close of business on (A) if Securities of the series are issuable only as Registered Securities, the day of the mailing of the relevant notice of redemption and (B) if Securities of the series are issuable as Bearer Securities, the day of the first publication of the relevant notice of redemption, or if Securities of the series are also issuable as Registered Securities and there is no publication, the mailing of the relevant notice of redemption, or (ii) to register the transfer of or exchange any Registered Security so selected for redemption, in whole or in part, except the unredeemed portion of any Registered Security being redeemed in part, or (iii) to exchange any Bearer Security so selected for redemption except that such a Bearer Security may be exchanged for a Registered Security of that series and like tenor, provided, that such Registered Security shall be simultaneously surrendered for redemption.</w:t>
      </w:r>
    </w:p>
    <w:p>
      <w:pPr>
        <w:spacing w:after="0" w:line="184" w:lineRule="exact"/>
        <w:rPr>
          <w:sz w:val="20"/>
          <w:szCs w:val="20"/>
          <w:color w:val="auto"/>
        </w:rPr>
      </w:pPr>
    </w:p>
    <w:p>
      <w:pPr>
        <w:ind w:left="7" w:right="3219" w:firstLine="818"/>
        <w:spacing w:after="0" w:line="246" w:lineRule="auto"/>
        <w:rPr>
          <w:sz w:val="20"/>
          <w:szCs w:val="20"/>
          <w:color w:val="auto"/>
        </w:rPr>
      </w:pPr>
      <w:r>
        <w:rPr>
          <w:rFonts w:ascii="Courier New" w:cs="Courier New" w:eastAsia="Courier New" w:hAnsi="Courier New"/>
          <w:sz w:val="15"/>
          <w:szCs w:val="15"/>
          <w:color w:val="auto"/>
        </w:rPr>
        <w:t>Notwithstanding the foregoing and except as otherwise specified or contemplated by Section 301, any Book-Entry Security shall be exchangeable pursuant to this Section 305 or Sections 304, 906 and 1107 for Securities registered in the name of, and a transfer of a Book-Entry Security of any series may be registered to, any Person other than the Depository for such Security or its nominee only if (i) such Depository notifies the Company that it is unwilling or unable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SUBORDINATED INDENTURE</w:t>
      </w:r>
    </w:p>
    <w:p>
      <w:pPr>
        <w:spacing w:after="0" w:line="5"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- 26 -</w:t>
      </w:r>
    </w:p>
    <w:p>
      <w:pPr>
        <w:sectPr>
          <w:pgSz w:w="11900" w:h="16838" w:orient="portrait"/>
          <w:cols w:equalWidth="0" w:num="1">
            <w:col w:w="10226"/>
          </w:cols>
          <w:pgMar w:left="233" w:top="293" w:right="1440" w:bottom="1440" w:gutter="0" w:footer="0" w:header="0"/>
        </w:sectPr>
      </w:pPr>
    </w:p>
    <w:bookmarkStart w:id="88" w:name="page89"/>
    <w:bookmarkEnd w:id="88"/>
    <w:p>
      <w:pPr>
        <w:ind w:left="260"/>
        <w:spacing w:after="0"/>
        <w:rPr>
          <w:sz w:val="20"/>
          <w:szCs w:val="20"/>
          <w:color w:val="auto"/>
        </w:rPr>
      </w:pPr>
      <w:r>
        <w:rPr>
          <w:rFonts w:ascii="Courier New" w:cs="Courier New" w:eastAsia="Courier New" w:hAnsi="Courier New"/>
          <w:sz w:val="15"/>
          <w:szCs w:val="15"/>
          <w:color w:val="auto"/>
        </w:rPr>
        <w:t>34</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continue as Depository for such Book-Entry Security or if at any time such Depository ceases to be a clearing agency registered under the Securities Exchange Act of 1934, (ii) the Company executes and delivers to the Trustee a Company Order that such Book-Entry Security shall be so exchangeable and the transfer thereof so registrable or (iii) there shall have occurred and be continuing an Event of Default, with respect to the Securities of such series. Upon the occurrence in respect of any Book-Entry Security of any series of any one or more of the conditions specified in clause (i), (ii) or (iii) of the preceding sentence or such other conditions as may be specified, such Book-Entry Security may be exchanged for Securities registered in the names of, and the transfer of such Book-Entry Security may be registered to, such Persons (including Persons other than the Depository with respect to such series and its nominees) as such Depository shall direct. Notwithstanding any other provision of this Indenture, any Security authenticated and delivered upon registration of transfer of, or in exchange for, or in lieu of, any Book-Entry Security shall also be a Book-Entry Security and shall bear the legend specified in Section 204 except for any Security authenticated and delivered in exchange for, or upon registration of transfer of, a Book-Entry Security pursuant to the preceding sentence.</w:t>
      </w:r>
    </w:p>
    <w:p>
      <w:pPr>
        <w:spacing w:after="0" w:line="186"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5"/>
          <w:szCs w:val="15"/>
          <w:color w:val="auto"/>
        </w:rPr>
        <w:t>SECTION 306.</w:t>
      </w:r>
      <w:r>
        <w:rPr>
          <w:sz w:val="20"/>
          <w:szCs w:val="20"/>
          <w:color w:val="auto"/>
        </w:rPr>
        <w:tab/>
      </w:r>
      <w:r>
        <w:rPr>
          <w:rFonts w:ascii="Courier New" w:cs="Courier New" w:eastAsia="Courier New" w:hAnsi="Courier New"/>
          <w:sz w:val="15"/>
          <w:szCs w:val="15"/>
          <w:color w:val="auto"/>
        </w:rPr>
        <w:t>Mutilated, Destroyed, Lost and Stolen Securities and Coupons.</w:t>
      </w:r>
    </w:p>
    <w:p>
      <w:pPr>
        <w:spacing w:after="0" w:line="180" w:lineRule="exact"/>
        <w:rPr>
          <w:sz w:val="20"/>
          <w:szCs w:val="20"/>
          <w:color w:val="auto"/>
        </w:rPr>
      </w:pPr>
    </w:p>
    <w:p>
      <w:pPr>
        <w:ind w:right="3139" w:firstLine="818"/>
        <w:spacing w:after="0" w:line="246" w:lineRule="auto"/>
        <w:rPr>
          <w:sz w:val="20"/>
          <w:szCs w:val="20"/>
          <w:color w:val="auto"/>
        </w:rPr>
      </w:pPr>
      <w:r>
        <w:rPr>
          <w:rFonts w:ascii="Courier New" w:cs="Courier New" w:eastAsia="Courier New" w:hAnsi="Courier New"/>
          <w:sz w:val="15"/>
          <w:szCs w:val="15"/>
          <w:color w:val="auto"/>
        </w:rPr>
        <w:t>If any mutilated Security or a Security with a mutilated coupon appertaining thereto is surrendered to the Trustee, the Company shall execute and the Trustee shall authenticate and deliver in exchange therefor a new Security of the same series and of like tenor and principal amount and bearing a number not contemporaneously outstanding, with coupons corresponding to the coupons, if any, appertaining to the surrendered Security.</w:t>
      </w:r>
    </w:p>
    <w:p>
      <w:pPr>
        <w:spacing w:after="0" w:line="178" w:lineRule="exact"/>
        <w:rPr>
          <w:sz w:val="20"/>
          <w:szCs w:val="20"/>
          <w:color w:val="auto"/>
        </w:rPr>
      </w:pPr>
    </w:p>
    <w:p>
      <w:pPr>
        <w:ind w:right="3139" w:firstLine="818"/>
        <w:spacing w:after="0" w:line="246" w:lineRule="auto"/>
        <w:rPr>
          <w:sz w:val="20"/>
          <w:szCs w:val="20"/>
          <w:color w:val="auto"/>
        </w:rPr>
      </w:pPr>
      <w:r>
        <w:rPr>
          <w:rFonts w:ascii="Courier New" w:cs="Courier New" w:eastAsia="Courier New" w:hAnsi="Courier New"/>
          <w:sz w:val="15"/>
          <w:szCs w:val="15"/>
          <w:color w:val="auto"/>
        </w:rPr>
        <w:t>If there shall be delivered to the Company and the Trustee (i) evidence to their satisfaction of the destruction, loss or theft of any Security or coupon and (ii) such security or indemnity as may be required by them to save each of them and any agent of either of them harmless, then, in the absence of notice to the Company or the Trustee that such Security or coupon has been acquired by a bona fide purchaser, the Company shall execute and the Trustee shall authenticate and deliver, in lieu of any such destroyed, lost or stolen Security or in exchange for the Security to which a destroyed, lost or stolen coupon appertains (with all appurtenant coupons not destroyed, lost or stolen), a new Security of the same series and of like tenor and principal amount and bearing a number not contemporaneously outstanding, with coupons corresponding to the coupons, if any, appertaining to such destroyed, lost or stolen Security or to the Security to which such destroyed, lost or stolen coupon appertains.</w:t>
      </w:r>
    </w:p>
    <w:p>
      <w:pPr>
        <w:spacing w:after="0" w:line="183"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If, after the delivery of such new Security, a bona fide purchaser of the original Security in lieu of which such new Security was issued presents for payment or registration such original Security, the Company and the Trustee shall be entitled to recover such new Security from the Person to whom it was delivered or any Person taking therefrom, except a bona fide purchaser, and shall be entitled to recover upon the security or indemnity provided therefor to the extent of any loss, damage, cost or expense incurred by the Company or the Trustee in connection 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SUBORDINATED INDENTURE</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- 27 -</w:t>
      </w:r>
    </w:p>
    <w:p>
      <w:pPr>
        <w:sectPr>
          <w:pgSz w:w="11900" w:h="16838" w:orient="portrait"/>
          <w:cols w:equalWidth="0" w:num="1">
            <w:col w:w="10219"/>
          </w:cols>
          <w:pgMar w:left="240" w:top="293" w:right="1440" w:bottom="1440" w:gutter="0" w:footer="0" w:header="0"/>
        </w:sectPr>
      </w:pPr>
    </w:p>
    <w:bookmarkStart w:id="89" w:name="page90"/>
    <w:bookmarkEnd w:id="89"/>
    <w:p>
      <w:pPr>
        <w:ind w:left="260"/>
        <w:spacing w:after="0"/>
        <w:rPr>
          <w:sz w:val="20"/>
          <w:szCs w:val="20"/>
          <w:color w:val="auto"/>
        </w:rPr>
      </w:pPr>
      <w:r>
        <w:rPr>
          <w:rFonts w:ascii="Courier New" w:cs="Courier New" w:eastAsia="Courier New" w:hAnsi="Courier New"/>
          <w:sz w:val="15"/>
          <w:szCs w:val="15"/>
          <w:color w:val="auto"/>
        </w:rPr>
        <w:t>35</w:t>
      </w:r>
    </w:p>
    <w:p>
      <w:pPr>
        <w:spacing w:after="0" w:line="5"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In case any such mutilated, destroyed, lost or stolen Security or coupon has become or is about to become due and payable or is being surrendered for conversion in full, the Company in its discretion may, instead of issuing a new Security, pay such Security or coupon or authorize the conversion thereof (without surrender thereof except in the case of a mutilated Security or coupon); provided, however, that the principal of and any premium and interest on Bearer Securities shall, except as otherwise provided in Section 1002, be payable only at an office or agency located outside the United States.</w:t>
      </w:r>
    </w:p>
    <w:p>
      <w:pPr>
        <w:spacing w:after="0" w:line="180" w:lineRule="exact"/>
        <w:rPr>
          <w:sz w:val="20"/>
          <w:szCs w:val="20"/>
          <w:color w:val="auto"/>
        </w:rPr>
      </w:pPr>
    </w:p>
    <w:p>
      <w:pPr>
        <w:ind w:right="3139" w:firstLine="818"/>
        <w:spacing w:after="0" w:line="246" w:lineRule="auto"/>
        <w:rPr>
          <w:sz w:val="20"/>
          <w:szCs w:val="20"/>
          <w:color w:val="auto"/>
        </w:rPr>
      </w:pPr>
      <w:r>
        <w:rPr>
          <w:rFonts w:ascii="Courier New" w:cs="Courier New" w:eastAsia="Courier New" w:hAnsi="Courier New"/>
          <w:sz w:val="15"/>
          <w:szCs w:val="15"/>
          <w:color w:val="auto"/>
        </w:rPr>
        <w:t>Upon the issuance of any new Security under this Section, the Company may require payment of a sum sufficient to cover any tax or other governmental charge that may be imposed in relation thereto and any other expenses (including the fees, and expenses of the Trustee) connected therewith.</w:t>
      </w:r>
    </w:p>
    <w:p>
      <w:pPr>
        <w:spacing w:after="0" w:line="177"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Every new Security of any series with its coupons, if any, issued pursuant to this Section in lieu of any destroyed, lost or stolen Security or in exchange for a Security to which a destroyed, lost or stolen coupon appertains, shall constitute an original additional contractual obligation of the Company, whether or not the destroyed, lost or stolen Security and its coupons, if any, or the destroyed, lost or stolen coupon shall be at any time enforceable by anyone, and any such new Security and coupons, if any, shall be entitled to all the benefits of this Indenture equally and proportionately with any and all other Securities of that series and their coupons, if any, duly issued hereunder.</w:t>
      </w:r>
    </w:p>
    <w:p>
      <w:pPr>
        <w:spacing w:after="0" w:line="181" w:lineRule="exact"/>
        <w:rPr>
          <w:sz w:val="20"/>
          <w:szCs w:val="20"/>
          <w:color w:val="auto"/>
        </w:rPr>
      </w:pPr>
    </w:p>
    <w:p>
      <w:pPr>
        <w:ind w:right="3319" w:firstLine="818"/>
        <w:spacing w:after="0" w:line="246" w:lineRule="auto"/>
        <w:rPr>
          <w:sz w:val="20"/>
          <w:szCs w:val="20"/>
          <w:color w:val="auto"/>
        </w:rPr>
      </w:pPr>
      <w:r>
        <w:rPr>
          <w:rFonts w:ascii="Courier New" w:cs="Courier New" w:eastAsia="Courier New" w:hAnsi="Courier New"/>
          <w:sz w:val="15"/>
          <w:szCs w:val="15"/>
          <w:color w:val="auto"/>
        </w:rPr>
        <w:t>The provisions of this Section are exclusive and shall preclude (to the extent lawful) all other rights and remedies with respect to the replacement, payment or conversion of mutilated, destroyed, lost or stolen Securities or coupons.</w:t>
      </w:r>
    </w:p>
    <w:p>
      <w:pPr>
        <w:spacing w:after="0" w:line="177"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5"/>
          <w:szCs w:val="15"/>
          <w:color w:val="auto"/>
        </w:rPr>
        <w:t>SECTION 307.</w:t>
      </w:r>
      <w:r>
        <w:rPr>
          <w:sz w:val="20"/>
          <w:szCs w:val="20"/>
          <w:color w:val="auto"/>
        </w:rPr>
        <w:tab/>
      </w:r>
      <w:r>
        <w:rPr>
          <w:rFonts w:ascii="Courier New" w:cs="Courier New" w:eastAsia="Courier New" w:hAnsi="Courier New"/>
          <w:sz w:val="15"/>
          <w:szCs w:val="15"/>
          <w:color w:val="auto"/>
        </w:rPr>
        <w:t>Payment of Interest; Interest Rights Preserved.</w:t>
      </w:r>
    </w:p>
    <w:p>
      <w:pPr>
        <w:spacing w:after="0" w:line="180" w:lineRule="exact"/>
        <w:rPr>
          <w:sz w:val="20"/>
          <w:szCs w:val="20"/>
          <w:color w:val="auto"/>
        </w:rPr>
      </w:pPr>
    </w:p>
    <w:p>
      <w:pPr>
        <w:ind w:right="3139" w:firstLine="818"/>
        <w:spacing w:after="0" w:line="246" w:lineRule="auto"/>
        <w:rPr>
          <w:sz w:val="20"/>
          <w:szCs w:val="20"/>
          <w:color w:val="auto"/>
        </w:rPr>
      </w:pPr>
      <w:r>
        <w:rPr>
          <w:rFonts w:ascii="Courier New" w:cs="Courier New" w:eastAsia="Courier New" w:hAnsi="Courier New"/>
          <w:sz w:val="15"/>
          <w:szCs w:val="15"/>
          <w:color w:val="auto"/>
        </w:rPr>
        <w:t>Unless otherwise provided as contemplated by Section 301 with respect to any series of Securities, interest on any Registered Security which is payable, and is punctually paid or duly provided for, on any Interest Payment Date shall be paid to the Person in whose name that Security (or one or more Predecessor Securities) is registered at the close of business on the Regular Record Date for such interest. Unless otherwise so provided, at the option of the Company, payment of interest on any Registered Security may be made by check mailed on or before the due date to the address of the Person entitled thereto as such address shall appear in the Security Register.</w:t>
      </w:r>
    </w:p>
    <w:p>
      <w:pPr>
        <w:spacing w:after="0" w:line="180" w:lineRule="exact"/>
        <w:rPr>
          <w:sz w:val="20"/>
          <w:szCs w:val="20"/>
          <w:color w:val="auto"/>
        </w:rPr>
      </w:pPr>
    </w:p>
    <w:p>
      <w:pPr>
        <w:ind w:right="3219" w:firstLine="818"/>
        <w:spacing w:after="0" w:line="246" w:lineRule="auto"/>
        <w:rPr>
          <w:sz w:val="20"/>
          <w:szCs w:val="20"/>
          <w:color w:val="auto"/>
        </w:rPr>
      </w:pPr>
      <w:r>
        <w:rPr>
          <w:rFonts w:ascii="Courier New" w:cs="Courier New" w:eastAsia="Courier New" w:hAnsi="Courier New"/>
          <w:sz w:val="15"/>
          <w:szCs w:val="15"/>
          <w:color w:val="auto"/>
        </w:rPr>
        <w:t>Any interest on any Registered Security of any series which is payable, but is not punctually paid or duly provided for, on any Interest Payment Date (herein called "Defaulted Interest") shall forthwith cease to be payable to the Holder on the relevant Regular Record Date by virtue of having been such Holder, and such Defaulted Interest may be paid by the Company, at its election in each case, as provided in clause (1) or (2)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SUBORDINATED INDENTURE</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- 28 -</w:t>
      </w:r>
    </w:p>
    <w:p>
      <w:pPr>
        <w:sectPr>
          <w:pgSz w:w="11900" w:h="16838" w:orient="portrait"/>
          <w:cols w:equalWidth="0" w:num="1">
            <w:col w:w="10219"/>
          </w:cols>
          <w:pgMar w:left="240" w:top="293" w:right="1440" w:bottom="1440" w:gutter="0" w:footer="0" w:header="0"/>
        </w:sectPr>
      </w:pPr>
    </w:p>
    <w:bookmarkStart w:id="90" w:name="page91"/>
    <w:bookmarkEnd w:id="90"/>
    <w:p>
      <w:pPr>
        <w:ind w:left="260"/>
        <w:spacing w:after="0"/>
        <w:rPr>
          <w:sz w:val="20"/>
          <w:szCs w:val="20"/>
          <w:color w:val="auto"/>
        </w:rPr>
      </w:pPr>
      <w:r>
        <w:rPr>
          <w:rFonts w:ascii="Courier New" w:cs="Courier New" w:eastAsia="Courier New" w:hAnsi="Courier New"/>
          <w:sz w:val="15"/>
          <w:szCs w:val="15"/>
          <w:color w:val="auto"/>
        </w:rPr>
        <w:t>36</w:t>
      </w:r>
    </w:p>
    <w:p>
      <w:pPr>
        <w:spacing w:after="0" w:line="5" w:lineRule="exact"/>
        <w:rPr>
          <w:sz w:val="20"/>
          <w:szCs w:val="20"/>
          <w:color w:val="auto"/>
        </w:rPr>
      </w:pPr>
    </w:p>
    <w:p>
      <w:pPr>
        <w:ind w:left="820" w:right="3039" w:firstLine="718"/>
        <w:spacing w:after="0" w:line="246" w:lineRule="auto"/>
        <w:tabs>
          <w:tab w:leader="none" w:pos="2365"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may elect to make payment of any Defaulted Interest to the Persons in whose names the Registered Securities of such series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Registered Security of such series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be not more than 15 days and not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mailed, first-class postage prepaid, to each Holder of Registered Securities of such series at the address of such Holder as it appears in the Security Register, not less than 10 days prior to such Special Record Date. Notice of the proposed payment of such Defaulted Interest and the Special Record Date therefor having been so mailed, such Defaulted Interest shall be paid to the Persons in whose names the Registered Securities of such series (or their respective Predecessor Securities) are registered at the close of business on such Special Record Date and shall no longer be payable pursuant to the following clause (2).</w:t>
      </w:r>
    </w:p>
    <w:p>
      <w:pPr>
        <w:spacing w:after="0" w:line="194" w:lineRule="exact"/>
        <w:rPr>
          <w:rFonts w:ascii="Courier New" w:cs="Courier New" w:eastAsia="Courier New" w:hAnsi="Courier New"/>
          <w:sz w:val="15"/>
          <w:szCs w:val="15"/>
          <w:color w:val="auto"/>
        </w:rPr>
      </w:pPr>
    </w:p>
    <w:p>
      <w:pPr>
        <w:ind w:left="820" w:right="3039" w:firstLine="718"/>
        <w:spacing w:after="0" w:line="246" w:lineRule="auto"/>
        <w:tabs>
          <w:tab w:leader="none" w:pos="2365"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may make payment of any Defaulted Interest on the Registered Securities of any series in any other lawful manner not inconsistent with the requirements of any securities exchange on which such Securities may be then listed, and upon such notice as may be required by such exchange, if, after notice given by the Company to the Trustee of the proposed payment pursuant to this clause, such manner of payment shall be deemed practicable by the Trustee.</w:t>
      </w:r>
    </w:p>
    <w:p>
      <w:pPr>
        <w:spacing w:after="0" w:line="180" w:lineRule="exact"/>
        <w:rPr>
          <w:sz w:val="20"/>
          <w:szCs w:val="20"/>
          <w:color w:val="auto"/>
        </w:rPr>
      </w:pPr>
    </w:p>
    <w:p>
      <w:pPr>
        <w:jc w:val="both"/>
        <w:ind w:right="3219" w:firstLine="818"/>
        <w:spacing w:after="0" w:line="246" w:lineRule="auto"/>
        <w:rPr>
          <w:sz w:val="20"/>
          <w:szCs w:val="20"/>
          <w:color w:val="auto"/>
        </w:rPr>
      </w:pPr>
      <w:r>
        <w:rPr>
          <w:rFonts w:ascii="Courier New" w:cs="Courier New" w:eastAsia="Courier New" w:hAnsi="Courier New"/>
          <w:sz w:val="15"/>
          <w:szCs w:val="15"/>
          <w:color w:val="auto"/>
        </w:rPr>
        <w:t>Subject to the foregoing provisions of this Section and Section 305, each Security delivered under this Indenture upon registration of transfer of or in exchange for or in lieu of any other Security shall carry the rights to interest accrued and unpaid, and to accrue, which were carried by such other Security.</w:t>
      </w:r>
    </w:p>
    <w:p>
      <w:pPr>
        <w:spacing w:after="0" w:line="178"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5"/>
          <w:szCs w:val="15"/>
          <w:color w:val="auto"/>
        </w:rPr>
        <w:t>SECTION 308.</w:t>
      </w:r>
      <w:r>
        <w:rPr>
          <w:sz w:val="20"/>
          <w:szCs w:val="20"/>
          <w:color w:val="auto"/>
        </w:rPr>
        <w:tab/>
      </w:r>
      <w:r>
        <w:rPr>
          <w:rFonts w:ascii="Courier New" w:cs="Courier New" w:eastAsia="Courier New" w:hAnsi="Courier New"/>
          <w:sz w:val="15"/>
          <w:szCs w:val="15"/>
          <w:color w:val="auto"/>
        </w:rPr>
        <w:t>Persons Deemed Owners.</w:t>
      </w:r>
    </w:p>
    <w:p>
      <w:pPr>
        <w:spacing w:after="0" w:line="180" w:lineRule="exact"/>
        <w:rPr>
          <w:sz w:val="20"/>
          <w:szCs w:val="20"/>
          <w:color w:val="auto"/>
        </w:rPr>
      </w:pPr>
    </w:p>
    <w:p>
      <w:pPr>
        <w:ind w:right="3139" w:firstLine="818"/>
        <w:spacing w:after="0" w:line="246" w:lineRule="auto"/>
        <w:rPr>
          <w:sz w:val="20"/>
          <w:szCs w:val="20"/>
          <w:color w:val="auto"/>
        </w:rPr>
      </w:pPr>
      <w:r>
        <w:rPr>
          <w:rFonts w:ascii="Courier New" w:cs="Courier New" w:eastAsia="Courier New" w:hAnsi="Courier New"/>
          <w:sz w:val="15"/>
          <w:szCs w:val="15"/>
          <w:color w:val="auto"/>
        </w:rPr>
        <w:t>Prior to due presentment of a Registered Security for registration of transfer, the Company, the Trustee and any agent of the Company or the Trustee may treat the Person in whose name such Registered Security is registered as the owner of such Registered Security for the purpose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SUBORDINATED INDENTURE</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- 29 -</w:t>
      </w:r>
    </w:p>
    <w:p>
      <w:pPr>
        <w:sectPr>
          <w:pgSz w:w="11900" w:h="16838" w:orient="portrait"/>
          <w:cols w:equalWidth="0" w:num="1">
            <w:col w:w="10219"/>
          </w:cols>
          <w:pgMar w:left="240" w:top="293" w:right="1440" w:bottom="1440" w:gutter="0" w:footer="0" w:header="0"/>
        </w:sectPr>
      </w:pPr>
    </w:p>
    <w:bookmarkStart w:id="91" w:name="page92"/>
    <w:bookmarkEnd w:id="91"/>
    <w:p>
      <w:pPr>
        <w:ind w:left="267"/>
        <w:spacing w:after="0"/>
        <w:rPr>
          <w:sz w:val="20"/>
          <w:szCs w:val="20"/>
          <w:color w:val="auto"/>
        </w:rPr>
      </w:pPr>
      <w:r>
        <w:rPr>
          <w:rFonts w:ascii="Courier New" w:cs="Courier New" w:eastAsia="Courier New" w:hAnsi="Courier New"/>
          <w:sz w:val="15"/>
          <w:szCs w:val="15"/>
          <w:color w:val="auto"/>
        </w:rPr>
        <w:t>37</w:t>
      </w:r>
    </w:p>
    <w:p>
      <w:pPr>
        <w:spacing w:after="0" w:line="5" w:lineRule="exact"/>
        <w:rPr>
          <w:sz w:val="20"/>
          <w:szCs w:val="20"/>
          <w:color w:val="auto"/>
        </w:rPr>
      </w:pPr>
    </w:p>
    <w:p>
      <w:pPr>
        <w:ind w:left="7" w:right="3139"/>
        <w:spacing w:after="0" w:line="246" w:lineRule="auto"/>
        <w:rPr>
          <w:sz w:val="20"/>
          <w:szCs w:val="20"/>
          <w:color w:val="auto"/>
        </w:rPr>
      </w:pPr>
      <w:r>
        <w:rPr>
          <w:rFonts w:ascii="Courier New" w:cs="Courier New" w:eastAsia="Courier New" w:hAnsi="Courier New"/>
          <w:sz w:val="15"/>
          <w:szCs w:val="15"/>
          <w:color w:val="auto"/>
        </w:rPr>
        <w:t>receiving payment of principal of (and premium, if any) and (subject to Sections 305 and 307) any interest on such Security and for all other purposes whatsoever, whether or not such Security be overdue, and neither the Company, the Trustee nor any agent of the Company or the Trustee shall be affected by notice to the contrary.</w:t>
      </w:r>
    </w:p>
    <w:p>
      <w:pPr>
        <w:spacing w:after="0" w:line="178" w:lineRule="exact"/>
        <w:rPr>
          <w:sz w:val="20"/>
          <w:szCs w:val="20"/>
          <w:color w:val="auto"/>
        </w:rPr>
      </w:pPr>
    </w:p>
    <w:p>
      <w:pPr>
        <w:ind w:left="7" w:right="3039" w:firstLine="818"/>
        <w:spacing w:after="0" w:line="246" w:lineRule="auto"/>
        <w:rPr>
          <w:sz w:val="20"/>
          <w:szCs w:val="20"/>
          <w:color w:val="auto"/>
        </w:rPr>
      </w:pPr>
      <w:r>
        <w:rPr>
          <w:rFonts w:ascii="Courier New" w:cs="Courier New" w:eastAsia="Courier New" w:hAnsi="Courier New"/>
          <w:sz w:val="15"/>
          <w:szCs w:val="15"/>
          <w:color w:val="auto"/>
        </w:rPr>
        <w:t>Title to any Bearer Security and any coupons appertaining thereto shall pass by delivery. The Company, the Trustee and any agent of the Company or the Trustee may treat the bearer of any Bearer Security and the bearer of any coupon as the owner of such Security or coupon for the purpose of receiving payment thereof or on account thereof and for all other purposes whatsoever, whether or not such Security or coupon be overdue, and neither the Company, the Trustee nor any agent of the Company or the Trustee shall be affected by notice to the contrary.</w:t>
      </w:r>
    </w:p>
    <w:p>
      <w:pPr>
        <w:spacing w:after="0" w:line="180" w:lineRule="exact"/>
        <w:rPr>
          <w:sz w:val="20"/>
          <w:szCs w:val="20"/>
          <w:color w:val="auto"/>
        </w:rPr>
      </w:pPr>
    </w:p>
    <w:p>
      <w:pPr>
        <w:ind w:left="7" w:right="3039" w:firstLine="818"/>
        <w:spacing w:after="0" w:line="246" w:lineRule="auto"/>
        <w:rPr>
          <w:sz w:val="20"/>
          <w:szCs w:val="20"/>
          <w:color w:val="auto"/>
        </w:rPr>
      </w:pPr>
      <w:r>
        <w:rPr>
          <w:rFonts w:ascii="Courier New" w:cs="Courier New" w:eastAsia="Courier New" w:hAnsi="Courier New"/>
          <w:sz w:val="15"/>
          <w:szCs w:val="15"/>
          <w:color w:val="auto"/>
        </w:rPr>
        <w:t>Notwithstanding the foregoing, with respect to any Book-Entry Security, nothing herein shall prevent the Company, the Trustee, or any agent of the Company or the Trustee, from giving effect to any written certification, proxy or other authorization furnished by a Depository or impair, as between a Depository and holders of beneficial interests in any Book-Entry Security, the operation of customary practices governing the exercise of the rights of the Depository (or its nominee) as Holder of such Book-Entry Security.</w:t>
      </w:r>
    </w:p>
    <w:p>
      <w:pPr>
        <w:spacing w:after="0" w:line="179" w:lineRule="exact"/>
        <w:rPr>
          <w:sz w:val="20"/>
          <w:szCs w:val="20"/>
          <w:color w:val="auto"/>
        </w:rPr>
      </w:pPr>
    </w:p>
    <w:p>
      <w:pPr>
        <w:ind w:left="7"/>
        <w:spacing w:after="0"/>
        <w:tabs>
          <w:tab w:leader="none" w:pos="1526" w:val="left"/>
        </w:tabs>
        <w:rPr>
          <w:sz w:val="20"/>
          <w:szCs w:val="20"/>
          <w:color w:val="auto"/>
        </w:rPr>
      </w:pPr>
      <w:r>
        <w:rPr>
          <w:rFonts w:ascii="Courier New" w:cs="Courier New" w:eastAsia="Courier New" w:hAnsi="Courier New"/>
          <w:sz w:val="15"/>
          <w:szCs w:val="15"/>
          <w:color w:val="auto"/>
        </w:rPr>
        <w:t>SECTION 309.</w:t>
      </w:r>
      <w:r>
        <w:rPr>
          <w:sz w:val="20"/>
          <w:szCs w:val="20"/>
          <w:color w:val="auto"/>
        </w:rPr>
        <w:tab/>
      </w:r>
      <w:r>
        <w:rPr>
          <w:rFonts w:ascii="Courier New" w:cs="Courier New" w:eastAsia="Courier New" w:hAnsi="Courier New"/>
          <w:sz w:val="15"/>
          <w:szCs w:val="15"/>
          <w:color w:val="auto"/>
        </w:rPr>
        <w:t>Cancellation.</w:t>
      </w:r>
    </w:p>
    <w:p>
      <w:pPr>
        <w:spacing w:after="0" w:line="180" w:lineRule="exact"/>
        <w:rPr>
          <w:sz w:val="20"/>
          <w:szCs w:val="20"/>
          <w:color w:val="auto"/>
        </w:rPr>
      </w:pPr>
    </w:p>
    <w:p>
      <w:pPr>
        <w:ind w:left="7" w:right="3039" w:firstLine="818"/>
        <w:spacing w:after="0" w:line="246" w:lineRule="auto"/>
        <w:rPr>
          <w:sz w:val="20"/>
          <w:szCs w:val="20"/>
          <w:color w:val="auto"/>
        </w:rPr>
      </w:pPr>
      <w:r>
        <w:rPr>
          <w:rFonts w:ascii="Courier New" w:cs="Courier New" w:eastAsia="Courier New" w:hAnsi="Courier New"/>
          <w:sz w:val="15"/>
          <w:szCs w:val="15"/>
          <w:color w:val="auto"/>
        </w:rPr>
        <w:t>All Securities and coupons surrendered for payment, redemption, registration of transfer, conversion or exchange or for credit against any sinking fund payment shall, if surrendered to any Person other than the Trustee, be delivered to the Trustee. All Registered Securities and matured coupons so delivered shall be promptly canceled by the Trustee. All Bearer Securities and unmatured coupons so delivered shall be held by the Trustee and, upon instruction by a Company Order, shall be canceled or held for reissuance. Bearer Securities and unmatured coupons held for reissuance may be reissued only in replacement of mutilated, lost, stolen or destroyed Bearer Securities of the same series and like tenor or the related coupons pursuant to Section</w:t>
      </w:r>
    </w:p>
    <w:p>
      <w:pPr>
        <w:spacing w:after="0" w:line="6" w:lineRule="exact"/>
        <w:rPr>
          <w:sz w:val="20"/>
          <w:szCs w:val="20"/>
          <w:color w:val="auto"/>
        </w:rPr>
      </w:pPr>
    </w:p>
    <w:p>
      <w:pPr>
        <w:ind w:left="7" w:right="3039" w:hanging="7"/>
        <w:spacing w:after="0" w:line="246" w:lineRule="auto"/>
        <w:tabs>
          <w:tab w:leader="none" w:pos="552"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Bearer Securities and unmatured coupons held by the Trustee pending such cancellation or reissuance shall be deemed to be delivered for all purposes of this Indenture and the Securities. The Company may at any time deliver to the Trustee for cancellation any Securities previously authenticated and delivered hereunder which the Company may have acquired in any manner whatsoever, and may deliver to the Trustee (or to any other Person for delivery to the Trustee) for cancellation any Securities previously authenticated hereunder which the Company has not issued and sold, and all Securities so delivered shall be promptly canceled by the Trustee. No Securities shall be authenticated in lieu of or in exchange for any Securities canceled as provided in this Section, except as expressly permitted by this Indenture. All canceled Securities and coupons held by the Trustee shall be disposed of in accordance with its customary practice.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SUBORDINATED INDENTURE</w:t>
      </w:r>
    </w:p>
    <w:p>
      <w:pPr>
        <w:spacing w:after="0" w:line="5"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- 30 -</w:t>
      </w:r>
    </w:p>
    <w:p>
      <w:pPr>
        <w:sectPr>
          <w:pgSz w:w="11900" w:h="16838" w:orient="portrait"/>
          <w:cols w:equalWidth="0" w:num="1">
            <w:col w:w="10226"/>
          </w:cols>
          <w:pgMar w:left="233" w:top="293" w:right="1440" w:bottom="1440" w:gutter="0" w:footer="0" w:header="0"/>
        </w:sectPr>
      </w:pPr>
    </w:p>
    <w:bookmarkStart w:id="92" w:name="page93"/>
    <w:bookmarkEnd w:id="92"/>
    <w:p>
      <w:pPr>
        <w:ind w:left="260"/>
        <w:spacing w:after="0"/>
        <w:rPr>
          <w:sz w:val="20"/>
          <w:szCs w:val="20"/>
          <w:color w:val="auto"/>
        </w:rPr>
      </w:pPr>
      <w:r>
        <w:rPr>
          <w:rFonts w:ascii="Courier New" w:cs="Courier New" w:eastAsia="Courier New" w:hAnsi="Courier New"/>
          <w:sz w:val="15"/>
          <w:szCs w:val="15"/>
          <w:color w:val="auto"/>
        </w:rPr>
        <w:t>38</w:t>
      </w:r>
    </w:p>
    <w:p>
      <w:pPr>
        <w:spacing w:after="0" w:line="5"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5"/>
          <w:szCs w:val="15"/>
          <w:color w:val="auto"/>
        </w:rPr>
        <w:t>SECTION 310.</w:t>
      </w:r>
      <w:r>
        <w:rPr>
          <w:sz w:val="20"/>
          <w:szCs w:val="20"/>
          <w:color w:val="auto"/>
        </w:rPr>
        <w:tab/>
      </w:r>
      <w:r>
        <w:rPr>
          <w:rFonts w:ascii="Courier New" w:cs="Courier New" w:eastAsia="Courier New" w:hAnsi="Courier New"/>
          <w:sz w:val="15"/>
          <w:szCs w:val="15"/>
          <w:color w:val="auto"/>
        </w:rPr>
        <w:t>Computation of Interest.</w:t>
      </w:r>
    </w:p>
    <w:p>
      <w:pPr>
        <w:spacing w:after="0" w:line="180" w:lineRule="exact"/>
        <w:rPr>
          <w:sz w:val="20"/>
          <w:szCs w:val="20"/>
          <w:color w:val="auto"/>
        </w:rPr>
      </w:pPr>
    </w:p>
    <w:p>
      <w:pPr>
        <w:ind w:right="3319" w:firstLine="818"/>
        <w:spacing w:after="0" w:line="247" w:lineRule="auto"/>
        <w:rPr>
          <w:sz w:val="20"/>
          <w:szCs w:val="20"/>
          <w:color w:val="auto"/>
        </w:rPr>
      </w:pPr>
      <w:r>
        <w:rPr>
          <w:rFonts w:ascii="Courier New" w:cs="Courier New" w:eastAsia="Courier New" w:hAnsi="Courier New"/>
          <w:sz w:val="15"/>
          <w:szCs w:val="15"/>
          <w:color w:val="auto"/>
        </w:rPr>
        <w:t>Except as otherwise specified as contemplated by Section 301 for Securities of any series, interest on the Securities of each series shall be computed on the basis of a 360-day year of twelve 30-day months.</w:t>
      </w:r>
    </w:p>
    <w:p>
      <w:pPr>
        <w:spacing w:after="0" w:line="174"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ARTICLE FOUR</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SATISFACTION AND DISCHARGE</w:t>
      </w:r>
    </w:p>
    <w:p>
      <w:pPr>
        <w:spacing w:after="0" w:line="180"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5"/>
          <w:szCs w:val="15"/>
          <w:color w:val="auto"/>
        </w:rPr>
        <w:t>SECTION 401.</w:t>
      </w:r>
      <w:r>
        <w:rPr>
          <w:sz w:val="20"/>
          <w:szCs w:val="20"/>
          <w:color w:val="auto"/>
        </w:rPr>
        <w:tab/>
      </w:r>
      <w:r>
        <w:rPr>
          <w:rFonts w:ascii="Courier New" w:cs="Courier New" w:eastAsia="Courier New" w:hAnsi="Courier New"/>
          <w:sz w:val="15"/>
          <w:szCs w:val="15"/>
          <w:color w:val="auto"/>
        </w:rPr>
        <w:t>Satisfaction and Discharge of Indenture.</w:t>
      </w:r>
    </w:p>
    <w:p>
      <w:pPr>
        <w:spacing w:after="0" w:line="180" w:lineRule="exact"/>
        <w:rPr>
          <w:sz w:val="20"/>
          <w:szCs w:val="20"/>
          <w:color w:val="auto"/>
        </w:rPr>
      </w:pPr>
    </w:p>
    <w:p>
      <w:pPr>
        <w:ind w:right="3139" w:firstLine="818"/>
        <w:spacing w:after="0" w:line="246" w:lineRule="auto"/>
        <w:rPr>
          <w:sz w:val="20"/>
          <w:szCs w:val="20"/>
          <w:color w:val="auto"/>
        </w:rPr>
      </w:pPr>
      <w:r>
        <w:rPr>
          <w:rFonts w:ascii="Courier New" w:cs="Courier New" w:eastAsia="Courier New" w:hAnsi="Courier New"/>
          <w:sz w:val="15"/>
          <w:szCs w:val="15"/>
          <w:color w:val="auto"/>
        </w:rPr>
        <w:t>This Indenture shall upon Company Request cease to be of further effect (except as to any surviving rights of registration of transfer or exchange of Securities herein expressly provided for, and any right to receive additional amounts, as provided in Section 1004), and the Trustee, at the expense of the Company, shall execute proper instruments acknowledging satisfaction and discharge of this Indenture, when</w:t>
      </w:r>
    </w:p>
    <w:p>
      <w:pPr>
        <w:spacing w:after="0" w:line="178" w:lineRule="exact"/>
        <w:rPr>
          <w:sz w:val="20"/>
          <w:szCs w:val="20"/>
          <w:color w:val="auto"/>
        </w:rPr>
      </w:pPr>
    </w:p>
    <w:p>
      <w:pPr>
        <w:ind w:left="1540" w:hanging="729"/>
        <w:spacing w:after="0"/>
        <w:tabs>
          <w:tab w:leader="none" w:pos="154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either</w:t>
      </w:r>
    </w:p>
    <w:p>
      <w:pPr>
        <w:spacing w:after="0" w:line="179" w:lineRule="exact"/>
        <w:rPr>
          <w:rFonts w:ascii="Courier New" w:cs="Courier New" w:eastAsia="Courier New" w:hAnsi="Courier New"/>
          <w:sz w:val="15"/>
          <w:szCs w:val="15"/>
          <w:color w:val="auto"/>
        </w:rPr>
      </w:pPr>
    </w:p>
    <w:p>
      <w:pPr>
        <w:ind w:left="820" w:right="3319" w:firstLine="718"/>
        <w:spacing w:after="0" w:line="246" w:lineRule="auto"/>
        <w:tabs>
          <w:tab w:leader="none" w:pos="2365" w:val="left"/>
        </w:tabs>
        <w:numPr>
          <w:ilvl w:val="1"/>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Securities theretofore authenticated and delivered and all coupons, if any, appertaining thereto (other than</w:t>
      </w:r>
    </w:p>
    <w:p>
      <w:pPr>
        <w:spacing w:after="0" w:line="1" w:lineRule="exact"/>
        <w:rPr>
          <w:rFonts w:ascii="Courier New" w:cs="Courier New" w:eastAsia="Courier New" w:hAnsi="Courier New"/>
          <w:sz w:val="15"/>
          <w:szCs w:val="15"/>
          <w:color w:val="auto"/>
        </w:rPr>
      </w:pPr>
    </w:p>
    <w:p>
      <w:pPr>
        <w:ind w:left="820" w:right="30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 coupons appertaining to Bearer Securities surrendered for exchange for Registered Securities and maturing after such exchange, whose surrender is not required or has been waived as provided in Section 305, (ii) Securities and coupons which have been destroyed, lost or stolen and which have been replaced, converted or paid as provided in Section 306, (iii) coupons appertaining to Securities called for redemption and maturing after the relevant Redemption Date, whose surrender has been waived as provided in Section 1106, and (iv) Securities and coupons for whose payment money has theretofore been deposited in trust or segregated and held in trust by the Company and thereafter repaid to the Company or discharged from such trust, as provided in Section 1003) have been delivered to the Trustee for cancellation; or</w:t>
      </w:r>
    </w:p>
    <w:p>
      <w:pPr>
        <w:spacing w:after="0" w:line="182" w:lineRule="exact"/>
        <w:rPr>
          <w:rFonts w:ascii="Courier New" w:cs="Courier New" w:eastAsia="Courier New" w:hAnsi="Courier New"/>
          <w:sz w:val="15"/>
          <w:szCs w:val="15"/>
          <w:color w:val="auto"/>
        </w:rPr>
      </w:pPr>
    </w:p>
    <w:p>
      <w:pPr>
        <w:jc w:val="both"/>
        <w:ind w:left="820" w:right="3219" w:firstLine="718"/>
        <w:spacing w:after="0" w:line="247" w:lineRule="auto"/>
        <w:tabs>
          <w:tab w:leader="none" w:pos="2365" w:val="left"/>
        </w:tabs>
        <w:numPr>
          <w:ilvl w:val="1"/>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such Securities and, in the case of (i) or (ii) below, any coupons appertaining thereto not theretofore delivered to the Trustee for cancellation</w:t>
      </w:r>
    </w:p>
    <w:p>
      <w:pPr>
        <w:spacing w:after="0" w:line="174" w:lineRule="exact"/>
        <w:rPr>
          <w:rFonts w:ascii="Courier New" w:cs="Courier New" w:eastAsia="Courier New" w:hAnsi="Courier New"/>
          <w:sz w:val="15"/>
          <w:szCs w:val="15"/>
          <w:color w:val="auto"/>
        </w:rPr>
      </w:pPr>
    </w:p>
    <w:p>
      <w:pPr>
        <w:ind w:left="3080" w:hanging="724"/>
        <w:spacing w:after="0"/>
        <w:tabs>
          <w:tab w:leader="none" w:pos="3080" w:val="left"/>
        </w:tabs>
        <w:numPr>
          <w:ilvl w:val="2"/>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have become due and payable, or</w:t>
      </w:r>
    </w:p>
    <w:p>
      <w:pPr>
        <w:spacing w:after="0" w:line="179" w:lineRule="exact"/>
        <w:rPr>
          <w:rFonts w:ascii="Courier New" w:cs="Courier New" w:eastAsia="Courier New" w:hAnsi="Courier New"/>
          <w:sz w:val="15"/>
          <w:szCs w:val="15"/>
          <w:color w:val="auto"/>
        </w:rPr>
      </w:pPr>
    </w:p>
    <w:p>
      <w:pPr>
        <w:ind w:left="1540" w:right="3219" w:firstLine="816"/>
        <w:spacing w:after="0" w:line="247" w:lineRule="auto"/>
        <w:tabs>
          <w:tab w:leader="none" w:pos="3085" w:val="left"/>
        </w:tabs>
        <w:numPr>
          <w:ilvl w:val="2"/>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 become due and payable at their Stated Maturity within one year, or</w:t>
      </w:r>
    </w:p>
    <w:p>
      <w:pPr>
        <w:spacing w:after="0" w:line="174" w:lineRule="exact"/>
        <w:rPr>
          <w:rFonts w:ascii="Courier New" w:cs="Courier New" w:eastAsia="Courier New" w:hAnsi="Courier New"/>
          <w:sz w:val="15"/>
          <w:szCs w:val="15"/>
          <w:color w:val="auto"/>
        </w:rPr>
      </w:pPr>
    </w:p>
    <w:p>
      <w:pPr>
        <w:jc w:val="both"/>
        <w:ind w:left="1540" w:right="3039" w:firstLine="816"/>
        <w:spacing w:after="0" w:line="246" w:lineRule="auto"/>
        <w:tabs>
          <w:tab w:leader="none" w:pos="3085" w:val="left"/>
        </w:tabs>
        <w:numPr>
          <w:ilvl w:val="2"/>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are to be called for redemption within one year under arrangements satisfactory to the Trustee for the giving of notice of redemption by the Trustee in the name, and at the expense,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SUBORDINATED INDENTURE</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- 31 -</w:t>
      </w:r>
    </w:p>
    <w:p>
      <w:pPr>
        <w:sectPr>
          <w:pgSz w:w="11900" w:h="16838" w:orient="portrait"/>
          <w:cols w:equalWidth="0" w:num="1">
            <w:col w:w="10219"/>
          </w:cols>
          <w:pgMar w:left="240" w:top="293" w:right="1440" w:bottom="1440" w:gutter="0" w:footer="0" w:header="0"/>
        </w:sectPr>
      </w:pPr>
    </w:p>
    <w:bookmarkStart w:id="93" w:name="page94"/>
    <w:bookmarkEnd w:id="93"/>
    <w:p>
      <w:pPr>
        <w:ind w:left="260"/>
        <w:spacing w:after="0"/>
        <w:rPr>
          <w:sz w:val="20"/>
          <w:szCs w:val="20"/>
          <w:color w:val="auto"/>
        </w:rPr>
      </w:pPr>
      <w:r>
        <w:rPr>
          <w:rFonts w:ascii="Courier New" w:cs="Courier New" w:eastAsia="Courier New" w:hAnsi="Courier New"/>
          <w:sz w:val="15"/>
          <w:szCs w:val="15"/>
          <w:color w:val="auto"/>
        </w:rPr>
        <w:t>39</w:t>
      </w:r>
    </w:p>
    <w:p>
      <w:pPr>
        <w:spacing w:after="0" w:line="5" w:lineRule="exact"/>
        <w:rPr>
          <w:sz w:val="20"/>
          <w:szCs w:val="20"/>
          <w:color w:val="auto"/>
        </w:rPr>
      </w:pPr>
    </w:p>
    <w:p>
      <w:pPr>
        <w:ind w:left="820" w:right="3039"/>
        <w:spacing w:after="0" w:line="246" w:lineRule="auto"/>
        <w:rPr>
          <w:sz w:val="20"/>
          <w:szCs w:val="20"/>
          <w:color w:val="auto"/>
        </w:rPr>
      </w:pPr>
      <w:r>
        <w:rPr>
          <w:rFonts w:ascii="Courier New" w:cs="Courier New" w:eastAsia="Courier New" w:hAnsi="Courier New"/>
          <w:sz w:val="15"/>
          <w:szCs w:val="15"/>
          <w:color w:val="auto"/>
        </w:rPr>
        <w:t>and the Company, in the case of (i), (ii) or (iii) above, has deposited or caused to be deposited with the Trustee as trust funds in trust for the purpose an amount sufficient to pay and discharge the entire indebtedness on such Securities and coupons not theretofore delivered to the Trustee for cancellation, for principal (and premium, if any) and any interest to the date of such deposit (in the case of Securities which have become due and payable) or to the Stated Maturity or Redemption Date, as the case may be;</w:t>
      </w:r>
    </w:p>
    <w:p>
      <w:pPr>
        <w:spacing w:after="0" w:line="180" w:lineRule="exact"/>
        <w:rPr>
          <w:sz w:val="20"/>
          <w:szCs w:val="20"/>
          <w:color w:val="auto"/>
        </w:rPr>
      </w:pPr>
    </w:p>
    <w:p>
      <w:pPr>
        <w:ind w:right="3599" w:firstLine="811"/>
        <w:spacing w:after="0" w:line="247" w:lineRule="auto"/>
        <w:tabs>
          <w:tab w:leader="none" w:pos="1545"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paid or caused to be paid all other sums payable hereunder by the Company; and</w:t>
      </w:r>
    </w:p>
    <w:p>
      <w:pPr>
        <w:spacing w:after="0" w:line="174" w:lineRule="exact"/>
        <w:rPr>
          <w:rFonts w:ascii="Courier New" w:cs="Courier New" w:eastAsia="Courier New" w:hAnsi="Courier New"/>
          <w:sz w:val="15"/>
          <w:szCs w:val="15"/>
          <w:color w:val="auto"/>
        </w:rPr>
      </w:pPr>
    </w:p>
    <w:p>
      <w:pPr>
        <w:ind w:right="3419" w:firstLine="811"/>
        <w:spacing w:after="0" w:line="246" w:lineRule="auto"/>
        <w:tabs>
          <w:tab w:leader="none" w:pos="1545"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delivered to the Trustee an Officers' Certificate and an Opinion of Counsel, each stating that all conditions precedent herein provided for relating to the satisfaction and discharge of this Indenture have been complied with.</w:t>
      </w:r>
    </w:p>
    <w:p>
      <w:pPr>
        <w:spacing w:after="0" w:line="177"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Notwithstanding the satisfaction and discharge of this Indenture, the obligations of the Company to the Trustee under Section 607, the obligations of the Trustee to any Authenticating Agent under Section 614 and, if money shall have been deposited with the Trustee pursuant to clause (1)(B) of this Section, the obligations of the Trustee under Section 402 and the last paragraph of Section 1003 shall survive.</w:t>
      </w:r>
    </w:p>
    <w:p>
      <w:pPr>
        <w:spacing w:after="0" w:line="178"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5"/>
          <w:szCs w:val="15"/>
          <w:color w:val="auto"/>
        </w:rPr>
        <w:t>SECTION 402.</w:t>
      </w:r>
      <w:r>
        <w:rPr>
          <w:sz w:val="20"/>
          <w:szCs w:val="20"/>
          <w:color w:val="auto"/>
        </w:rPr>
        <w:tab/>
      </w:r>
      <w:r>
        <w:rPr>
          <w:rFonts w:ascii="Courier New" w:cs="Courier New" w:eastAsia="Courier New" w:hAnsi="Courier New"/>
          <w:sz w:val="15"/>
          <w:szCs w:val="15"/>
          <w:color w:val="auto"/>
        </w:rPr>
        <w:t>Application of Trust Money.</w:t>
      </w:r>
    </w:p>
    <w:p>
      <w:pPr>
        <w:spacing w:after="0" w:line="180"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Subject to the provisions of the last paragraph of Section 1003, all money deposited with the Trustee pursuant to Section 401 shall be held in trust and applied by it, in accordance with the provisions of the Securities, the coupons and this Indenture, to the payment, either directly or through any Paying Agent (including the Company acting as its own Paying Agent) as the Trustee may determine, to the Persons entitled thereto, of the principal and any premium and interest for whose payment such money has been deposited.</w:t>
      </w:r>
    </w:p>
    <w:p>
      <w:pPr>
        <w:spacing w:after="0" w:line="179"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ARTICLE FIVE</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REMEDIES</w:t>
      </w:r>
    </w:p>
    <w:p>
      <w:pPr>
        <w:spacing w:after="0" w:line="180"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5"/>
          <w:szCs w:val="15"/>
          <w:color w:val="auto"/>
        </w:rPr>
        <w:t>SECTION 501.</w:t>
      </w:r>
      <w:r>
        <w:rPr>
          <w:sz w:val="20"/>
          <w:szCs w:val="20"/>
          <w:color w:val="auto"/>
        </w:rPr>
        <w:tab/>
      </w:r>
      <w:r>
        <w:rPr>
          <w:rFonts w:ascii="Courier New" w:cs="Courier New" w:eastAsia="Courier New" w:hAnsi="Courier New"/>
          <w:sz w:val="15"/>
          <w:szCs w:val="15"/>
          <w:color w:val="auto"/>
        </w:rPr>
        <w:t>Events of Default.</w:t>
      </w:r>
    </w:p>
    <w:p>
      <w:pPr>
        <w:spacing w:after="0" w:line="180"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"Event of Default," wherever used herein with respect to Securities of any series, means any one of the following events (whatever the reason for such Event of Default and whether it shall be voluntary or involuntary or be effected by the provisions of Article Sixteen hereof or by operation of law or pursuant to any judgment, decree or order, rule or regulation of any administrative or governmental body), unless it is either inapplicable to a particular series of Securities or it is specifically deleted or modified in or pursuant to the terms of such series or in the form of Security of such series: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SUBORDINATED INDENTURE</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- 32 -</w:t>
      </w:r>
    </w:p>
    <w:p>
      <w:pPr>
        <w:sectPr>
          <w:pgSz w:w="11900" w:h="16838" w:orient="portrait"/>
          <w:cols w:equalWidth="0" w:num="1">
            <w:col w:w="10219"/>
          </w:cols>
          <w:pgMar w:left="240" w:top="293" w:right="1440" w:bottom="1440" w:gutter="0" w:footer="0" w:header="0"/>
        </w:sectPr>
      </w:pPr>
    </w:p>
    <w:bookmarkStart w:id="94" w:name="page95"/>
    <w:bookmarkEnd w:id="94"/>
    <w:p>
      <w:pPr>
        <w:spacing w:after="0"/>
        <w:rPr>
          <w:sz w:val="20"/>
          <w:szCs w:val="20"/>
          <w:color w:val="auto"/>
        </w:rPr>
      </w:pPr>
      <w:r>
        <w:rPr>
          <w:rFonts w:ascii="Courier New" w:cs="Courier New" w:eastAsia="Courier New" w:hAnsi="Courier New"/>
          <w:sz w:val="15"/>
          <w:szCs w:val="15"/>
          <w:color w:val="auto"/>
        </w:rPr>
        <w:t>40</w:t>
      </w:r>
    </w:p>
    <w:p>
      <w:pPr>
        <w:spacing w:after="0" w:line="5" w:lineRule="exact"/>
        <w:rPr>
          <w:sz w:val="20"/>
          <w:szCs w:val="20"/>
          <w:color w:val="auto"/>
        </w:rPr>
      </w:pPr>
    </w:p>
    <w:p>
      <w:pPr>
        <w:ind w:left="560" w:right="3599" w:firstLine="718"/>
        <w:spacing w:after="0" w:line="247" w:lineRule="auto"/>
        <w:tabs>
          <w:tab w:leader="none" w:pos="2105" w:val="left"/>
        </w:tabs>
        <w:numPr>
          <w:ilvl w:val="1"/>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in the payment of any interest upon any Security of that series when it becomes due and payable, and continuance of such default for a period of 30 days; or</w:t>
      </w:r>
    </w:p>
    <w:p>
      <w:pPr>
        <w:spacing w:after="0" w:line="174" w:lineRule="exact"/>
        <w:rPr>
          <w:rFonts w:ascii="Courier New" w:cs="Courier New" w:eastAsia="Courier New" w:hAnsi="Courier New"/>
          <w:sz w:val="15"/>
          <w:szCs w:val="15"/>
          <w:color w:val="auto"/>
        </w:rPr>
      </w:pPr>
    </w:p>
    <w:p>
      <w:pPr>
        <w:ind w:left="560" w:right="3219" w:firstLine="718"/>
        <w:spacing w:after="0" w:line="247" w:lineRule="auto"/>
        <w:tabs>
          <w:tab w:leader="none" w:pos="2105" w:val="left"/>
        </w:tabs>
        <w:numPr>
          <w:ilvl w:val="1"/>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in the payment of the principal of (or premium, if any, on) any Security of that series at its Maturity; or</w:t>
      </w:r>
    </w:p>
    <w:p>
      <w:pPr>
        <w:spacing w:after="0" w:line="174" w:lineRule="exact"/>
        <w:rPr>
          <w:rFonts w:ascii="Courier New" w:cs="Courier New" w:eastAsia="Courier New" w:hAnsi="Courier New"/>
          <w:sz w:val="15"/>
          <w:szCs w:val="15"/>
          <w:color w:val="auto"/>
        </w:rPr>
      </w:pPr>
    </w:p>
    <w:p>
      <w:pPr>
        <w:ind w:left="560" w:right="3219" w:firstLine="718"/>
        <w:spacing w:after="0" w:line="247" w:lineRule="auto"/>
        <w:tabs>
          <w:tab w:leader="none" w:pos="2105" w:val="left"/>
        </w:tabs>
        <w:numPr>
          <w:ilvl w:val="1"/>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in the deposit of any sinking fund payment, when and as due by the terms of a Security of that series; or</w:t>
      </w:r>
    </w:p>
    <w:p>
      <w:pPr>
        <w:spacing w:after="0" w:line="174" w:lineRule="exact"/>
        <w:rPr>
          <w:rFonts w:ascii="Courier New" w:cs="Courier New" w:eastAsia="Courier New" w:hAnsi="Courier New"/>
          <w:sz w:val="15"/>
          <w:szCs w:val="15"/>
          <w:color w:val="auto"/>
        </w:rPr>
      </w:pPr>
    </w:p>
    <w:p>
      <w:pPr>
        <w:ind w:left="560" w:right="3039" w:firstLine="718"/>
        <w:spacing w:after="0" w:line="246" w:lineRule="auto"/>
        <w:tabs>
          <w:tab w:leader="none" w:pos="2105" w:val="left"/>
        </w:tabs>
        <w:numPr>
          <w:ilvl w:val="1"/>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in the performance, or breach, of any covenant or warranty of the Company in this Indenture (other than a covenant or warranty a default in whose performance or whose breach is elsewhere in this Section specifically dealt with or which has expressly been included in this Indenture solely for the benefit of series of Securities other than that series), and continuance of such default or breach for a period of 90 days after there has been given, by registered or certified mail, to the Company by the Trustee or to the Company and the Trustee by the Holders of at least 25% in principal amount of the Outstanding Securities of that series a written notice specifying such default or breach and requiring it to be remedied and stating that such notice is a "Notice of Default" hereunder; or</w:t>
      </w:r>
    </w:p>
    <w:p>
      <w:pPr>
        <w:spacing w:after="0" w:line="182" w:lineRule="exact"/>
        <w:rPr>
          <w:rFonts w:ascii="Courier New" w:cs="Courier New" w:eastAsia="Courier New" w:hAnsi="Courier New"/>
          <w:sz w:val="15"/>
          <w:szCs w:val="15"/>
          <w:color w:val="auto"/>
        </w:rPr>
      </w:pPr>
    </w:p>
    <w:p>
      <w:pPr>
        <w:ind w:left="560" w:right="3039" w:firstLine="718"/>
        <w:spacing w:after="0" w:line="246" w:lineRule="auto"/>
        <w:tabs>
          <w:tab w:leader="none" w:pos="2105" w:val="left"/>
        </w:tabs>
        <w:numPr>
          <w:ilvl w:val="1"/>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entry by a court having jurisdiction in the premises of (A) a decree or order for relief in respect of the Company in an involuntary case or proceeding under any applicable Federal or State bankruptcy, insolvency, reorganization or other similar law or</w:t>
      </w:r>
    </w:p>
    <w:p>
      <w:pPr>
        <w:spacing w:after="0" w:line="2" w:lineRule="exact"/>
        <w:rPr>
          <w:rFonts w:ascii="Courier New" w:cs="Courier New" w:eastAsia="Courier New" w:hAnsi="Courier New"/>
          <w:sz w:val="15"/>
          <w:szCs w:val="15"/>
          <w:color w:val="auto"/>
        </w:rPr>
      </w:pPr>
    </w:p>
    <w:p>
      <w:pPr>
        <w:ind w:left="560" w:right="3039" w:hanging="9"/>
        <w:spacing w:after="0" w:line="246" w:lineRule="auto"/>
        <w:tabs>
          <w:tab w:leader="none" w:pos="923"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decree or order adjudging the Company a bankrupt or insolvent, or approving as properly filed a petition seeking reorganization, arrangement, adjustment or composition of or in respect of the Company under any applicable Federal or State law, or appointing a custodian, receiver, liquidator, assignee, trustee, sequestrator or other similar official of the Company or of any substantial part of its property, or ordering the winding up or liquidation of its affairs, and the continuance of any such decree or order for relief or any such other decree or order unstayed and in effect for a period of 90 consecutive days; or</w:t>
      </w:r>
    </w:p>
    <w:p>
      <w:pPr>
        <w:spacing w:after="0" w:line="180" w:lineRule="exact"/>
        <w:rPr>
          <w:rFonts w:ascii="Courier New" w:cs="Courier New" w:eastAsia="Courier New" w:hAnsi="Courier New"/>
          <w:sz w:val="15"/>
          <w:szCs w:val="15"/>
          <w:color w:val="auto"/>
        </w:rPr>
      </w:pPr>
    </w:p>
    <w:p>
      <w:pPr>
        <w:ind w:left="560" w:right="3039" w:firstLine="718"/>
        <w:spacing w:after="0" w:line="246" w:lineRule="auto"/>
        <w:tabs>
          <w:tab w:leader="none" w:pos="2105" w:val="left"/>
        </w:tabs>
        <w:numPr>
          <w:ilvl w:val="1"/>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commencement by the Company of a voluntary case or proceeding under any applicable Federal or State bankruptcy, insolvency, reorganization or other similar law or of any other case or proceeding to be adjudicated a bankrupt or insolvent, or the consent by it to the entry of a decree or order for relief in respect of the Company in an involuntary case or proceeding under any applicable Federal or State bankruptcy, insolvency, reorganization or other similar law or the commencement of any bankruptcy or insolvency case or proceeding against it, or the filing by it of a petition or answer or consent seeking reorganization or relief under any applicable Federal or State law, or the consent by it to the filing of such petition or to the appointment of or taking possession by a custodian, receiver, liquidator, assignee, trustee, sequestrator or similar official of the Company or of any substantial part of its property, or the making by it of an assignment for the benefit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SUBORDINATED INDENTURE</w:t>
      </w:r>
    </w:p>
    <w:p>
      <w:pPr>
        <w:spacing w:after="0" w:line="5"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- 33 -</w:t>
      </w:r>
    </w:p>
    <w:p>
      <w:pPr>
        <w:sectPr>
          <w:pgSz w:w="11900" w:h="16838" w:orient="portrait"/>
          <w:cols w:equalWidth="0" w:num="1">
            <w:col w:w="9959"/>
          </w:cols>
          <w:pgMar w:left="500" w:top="293" w:right="1440" w:bottom="1440" w:gutter="0" w:footer="0" w:header="0"/>
        </w:sectPr>
      </w:pPr>
    </w:p>
    <w:bookmarkStart w:id="95" w:name="page96"/>
    <w:bookmarkEnd w:id="95"/>
    <w:p>
      <w:pPr>
        <w:ind w:left="260"/>
        <w:spacing w:after="0"/>
        <w:rPr>
          <w:sz w:val="20"/>
          <w:szCs w:val="20"/>
          <w:color w:val="auto"/>
        </w:rPr>
      </w:pPr>
      <w:r>
        <w:rPr>
          <w:rFonts w:ascii="Courier New" w:cs="Courier New" w:eastAsia="Courier New" w:hAnsi="Courier New"/>
          <w:sz w:val="15"/>
          <w:szCs w:val="15"/>
          <w:color w:val="auto"/>
        </w:rPr>
        <w:t>41</w:t>
      </w:r>
    </w:p>
    <w:p>
      <w:pPr>
        <w:spacing w:after="0" w:line="5" w:lineRule="exact"/>
        <w:rPr>
          <w:sz w:val="20"/>
          <w:szCs w:val="20"/>
          <w:color w:val="auto"/>
        </w:rPr>
      </w:pPr>
    </w:p>
    <w:p>
      <w:pPr>
        <w:ind w:left="820" w:right="3219"/>
        <w:spacing w:after="0" w:line="247" w:lineRule="auto"/>
        <w:rPr>
          <w:sz w:val="20"/>
          <w:szCs w:val="20"/>
          <w:color w:val="auto"/>
        </w:rPr>
      </w:pPr>
      <w:r>
        <w:rPr>
          <w:rFonts w:ascii="Courier New" w:cs="Courier New" w:eastAsia="Courier New" w:hAnsi="Courier New"/>
          <w:sz w:val="15"/>
          <w:szCs w:val="15"/>
          <w:color w:val="auto"/>
        </w:rPr>
        <w:t>creditors, or the admission by it in writing of its inability to pay its debts generally as they become due, or the taking of corporate action by the Company in furtherance of any such action; or</w:t>
      </w:r>
    </w:p>
    <w:p>
      <w:pPr>
        <w:spacing w:after="0" w:line="174" w:lineRule="exact"/>
        <w:rPr>
          <w:sz w:val="20"/>
          <w:szCs w:val="20"/>
          <w:color w:val="auto"/>
        </w:rPr>
      </w:pPr>
    </w:p>
    <w:p>
      <w:pPr>
        <w:ind w:left="820" w:right="3219" w:firstLine="718"/>
        <w:spacing w:after="0" w:line="247" w:lineRule="auto"/>
        <w:tabs>
          <w:tab w:leader="none" w:pos="2365"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Event of Default provided with respect to Securities of that series.</w:t>
      </w:r>
    </w:p>
    <w:p>
      <w:pPr>
        <w:spacing w:after="0" w:line="175"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5"/>
          <w:szCs w:val="15"/>
          <w:color w:val="auto"/>
        </w:rPr>
        <w:t>SECTION 502.</w:t>
      </w:r>
      <w:r>
        <w:rPr>
          <w:sz w:val="20"/>
          <w:szCs w:val="20"/>
          <w:color w:val="auto"/>
        </w:rPr>
        <w:tab/>
      </w:r>
      <w:r>
        <w:rPr>
          <w:rFonts w:ascii="Courier New" w:cs="Courier New" w:eastAsia="Courier New" w:hAnsi="Courier New"/>
          <w:sz w:val="15"/>
          <w:szCs w:val="15"/>
          <w:color w:val="auto"/>
        </w:rPr>
        <w:t>Acceleration of Maturity; Rescission and Annulment.</w:t>
      </w:r>
    </w:p>
    <w:p>
      <w:pPr>
        <w:spacing w:after="0" w:line="180"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If an Event of Default with respect to Securities of any series at the time Outstanding occurs and is continuing, then in every such case the Trustee or the Holders of not less than 25% in principal amount of the Outstanding Securities of that series may declare the principal amount (or, if any of the Securities of that series are Original Issue Discount Securities, such portion of the principal amount of such Securities as may be specified in the terms thereof) of all of the Securities of that series to be due and payable immediately, by a notice in writing to the Company (and to the Trustee if given by Holders), and upon any such declaration such principal amount (or specified amount) shall become immediately due and payable.</w:t>
      </w:r>
    </w:p>
    <w:p>
      <w:pPr>
        <w:spacing w:after="0" w:line="181"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At any time after such a declaration of acceleration with respect to Securities of any series has been made and before a judgment or decree for payment of the money due has been obtained by the Trustee as hereinafter in this Article provided, the Holders of a majority in principal amount of the Outstanding Securities of that series, by written notice to the Company and the Trustee, may rescind and annul such declaration and its consequences if</w:t>
      </w:r>
    </w:p>
    <w:p>
      <w:pPr>
        <w:spacing w:after="0" w:line="178" w:lineRule="exact"/>
        <w:rPr>
          <w:sz w:val="20"/>
          <w:szCs w:val="20"/>
          <w:color w:val="auto"/>
        </w:rPr>
      </w:pPr>
    </w:p>
    <w:p>
      <w:pPr>
        <w:ind w:left="820" w:right="3139" w:firstLine="718"/>
        <w:spacing w:after="0" w:line="247" w:lineRule="auto"/>
        <w:tabs>
          <w:tab w:leader="none" w:pos="2365"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paid or deposited with the Trustee a sum sufficient to pay</w:t>
      </w:r>
    </w:p>
    <w:p>
      <w:pPr>
        <w:spacing w:after="0" w:line="174" w:lineRule="exact"/>
        <w:rPr>
          <w:rFonts w:ascii="Courier New" w:cs="Courier New" w:eastAsia="Courier New" w:hAnsi="Courier New"/>
          <w:sz w:val="15"/>
          <w:szCs w:val="15"/>
          <w:color w:val="auto"/>
        </w:rPr>
      </w:pPr>
    </w:p>
    <w:p>
      <w:pPr>
        <w:ind w:left="3080" w:hanging="724"/>
        <w:spacing w:after="0"/>
        <w:tabs>
          <w:tab w:leader="none" w:pos="3080" w:val="left"/>
        </w:tabs>
        <w:numPr>
          <w:ilvl w:val="1"/>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overdue interest on all Securities of</w:t>
      </w:r>
    </w:p>
    <w:p>
      <w:pPr>
        <w:spacing w:after="0" w:line="4" w:lineRule="exact"/>
        <w:rPr>
          <w:rFonts w:ascii="Courier New" w:cs="Courier New" w:eastAsia="Courier New" w:hAnsi="Courier New"/>
          <w:sz w:val="15"/>
          <w:szCs w:val="15"/>
          <w:color w:val="auto"/>
        </w:rPr>
      </w:pPr>
    </w:p>
    <w:p>
      <w:pPr>
        <w:ind w:left="15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that series,</w:t>
      </w:r>
    </w:p>
    <w:p>
      <w:pPr>
        <w:spacing w:after="0" w:line="179" w:lineRule="exact"/>
        <w:rPr>
          <w:rFonts w:ascii="Courier New" w:cs="Courier New" w:eastAsia="Courier New" w:hAnsi="Courier New"/>
          <w:sz w:val="15"/>
          <w:szCs w:val="15"/>
          <w:color w:val="auto"/>
        </w:rPr>
      </w:pPr>
    </w:p>
    <w:p>
      <w:pPr>
        <w:ind w:left="1540" w:right="3139" w:firstLine="816"/>
        <w:spacing w:after="0" w:line="246" w:lineRule="auto"/>
        <w:tabs>
          <w:tab w:leader="none" w:pos="3085" w:val="left"/>
        </w:tabs>
        <w:numPr>
          <w:ilvl w:val="1"/>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principal of (and premium, if any, on) any Securities of that series which have become due otherwise than by such declaration of acceleration and any interest thereon at the rate or rates prescribed therefor in such Securities,</w:t>
      </w:r>
    </w:p>
    <w:p>
      <w:pPr>
        <w:spacing w:after="0" w:line="177" w:lineRule="exact"/>
        <w:rPr>
          <w:rFonts w:ascii="Courier New" w:cs="Courier New" w:eastAsia="Courier New" w:hAnsi="Courier New"/>
          <w:sz w:val="15"/>
          <w:szCs w:val="15"/>
          <w:color w:val="auto"/>
        </w:rPr>
      </w:pPr>
    </w:p>
    <w:p>
      <w:pPr>
        <w:ind w:left="1540" w:right="3039" w:firstLine="816"/>
        <w:spacing w:after="0" w:line="247" w:lineRule="auto"/>
        <w:tabs>
          <w:tab w:leader="none" w:pos="3085" w:val="left"/>
        </w:tabs>
        <w:numPr>
          <w:ilvl w:val="1"/>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that payment of such interest is lawful, interest upon overdue interest at the rate or rates prescribed therefor in such Securities, and</w:t>
      </w:r>
    </w:p>
    <w:p>
      <w:pPr>
        <w:spacing w:after="0" w:line="174" w:lineRule="exact"/>
        <w:rPr>
          <w:rFonts w:ascii="Courier New" w:cs="Courier New" w:eastAsia="Courier New" w:hAnsi="Courier New"/>
          <w:sz w:val="15"/>
          <w:szCs w:val="15"/>
          <w:color w:val="auto"/>
        </w:rPr>
      </w:pPr>
    </w:p>
    <w:p>
      <w:pPr>
        <w:ind w:left="1540" w:right="3499" w:firstLine="816"/>
        <w:spacing w:after="0" w:line="246" w:lineRule="auto"/>
        <w:tabs>
          <w:tab w:leader="none" w:pos="3085" w:val="left"/>
        </w:tabs>
        <w:numPr>
          <w:ilvl w:val="1"/>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sums paid or advanced by the Trustee hereunder and the reasonable compensation, expenses, disbursements and advances of the Trustee, its agents and counsel;</w:t>
      </w:r>
    </w:p>
    <w:p>
      <w:pPr>
        <w:spacing w:after="0" w:line="177"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SUBORDINATED INDENTURE</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- 34 -</w:t>
      </w:r>
    </w:p>
    <w:p>
      <w:pPr>
        <w:sectPr>
          <w:pgSz w:w="11900" w:h="16838" w:orient="portrait"/>
          <w:cols w:equalWidth="0" w:num="1">
            <w:col w:w="10219"/>
          </w:cols>
          <w:pgMar w:left="240" w:top="293" w:right="1440" w:bottom="1440" w:gutter="0" w:footer="0" w:header="0"/>
        </w:sectPr>
      </w:pPr>
    </w:p>
    <w:bookmarkStart w:id="96" w:name="page97"/>
    <w:bookmarkEnd w:id="96"/>
    <w:p>
      <w:pPr>
        <w:ind w:left="260"/>
        <w:spacing w:after="0"/>
        <w:rPr>
          <w:sz w:val="20"/>
          <w:szCs w:val="20"/>
          <w:color w:val="auto"/>
        </w:rPr>
      </w:pPr>
      <w:r>
        <w:rPr>
          <w:rFonts w:ascii="Courier New" w:cs="Courier New" w:eastAsia="Courier New" w:hAnsi="Courier New"/>
          <w:sz w:val="15"/>
          <w:szCs w:val="15"/>
          <w:color w:val="auto"/>
        </w:rPr>
        <w:t>42</w:t>
      </w:r>
    </w:p>
    <w:p>
      <w:pPr>
        <w:spacing w:after="0" w:line="5" w:lineRule="exact"/>
        <w:rPr>
          <w:sz w:val="20"/>
          <w:szCs w:val="20"/>
          <w:color w:val="auto"/>
        </w:rPr>
      </w:pPr>
    </w:p>
    <w:p>
      <w:pPr>
        <w:ind w:left="1540" w:right="3039" w:firstLine="816"/>
        <w:spacing w:after="0" w:line="246" w:lineRule="auto"/>
        <w:tabs>
          <w:tab w:leader="none" w:pos="3085"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Events of Default with respect to Securities of that series, other than the non-payment of the principal of Securities of that series which have become due solely by such declaration of acceleration, have been cured or waived as provided in Section 513.</w:t>
      </w:r>
    </w:p>
    <w:p>
      <w:pPr>
        <w:spacing w:after="0" w:line="178" w:lineRule="exact"/>
        <w:rPr>
          <w:sz w:val="20"/>
          <w:szCs w:val="20"/>
          <w:color w:val="auto"/>
        </w:rPr>
      </w:pPr>
    </w:p>
    <w:p>
      <w:pPr>
        <w:ind w:right="3499"/>
        <w:spacing w:after="0" w:line="247" w:lineRule="auto"/>
        <w:rPr>
          <w:sz w:val="20"/>
          <w:szCs w:val="20"/>
          <w:color w:val="auto"/>
        </w:rPr>
      </w:pPr>
      <w:r>
        <w:rPr>
          <w:rFonts w:ascii="Courier New" w:cs="Courier New" w:eastAsia="Courier New" w:hAnsi="Courier New"/>
          <w:sz w:val="15"/>
          <w:szCs w:val="15"/>
          <w:color w:val="auto"/>
        </w:rPr>
        <w:t>No such rescission shall affect any subsequent default or impair any right consequent thereon.</w:t>
      </w:r>
    </w:p>
    <w:p>
      <w:pPr>
        <w:spacing w:after="0" w:line="175" w:lineRule="exact"/>
        <w:rPr>
          <w:sz w:val="20"/>
          <w:szCs w:val="20"/>
          <w:color w:val="auto"/>
        </w:rPr>
      </w:pPr>
    </w:p>
    <w:p>
      <w:pPr>
        <w:ind w:right="3679"/>
        <w:spacing w:after="0" w:line="247" w:lineRule="auto"/>
        <w:rPr>
          <w:sz w:val="20"/>
          <w:szCs w:val="20"/>
          <w:color w:val="auto"/>
        </w:rPr>
      </w:pPr>
      <w:r>
        <w:rPr>
          <w:rFonts w:ascii="Courier New" w:cs="Courier New" w:eastAsia="Courier New" w:hAnsi="Courier New"/>
          <w:sz w:val="15"/>
          <w:szCs w:val="15"/>
          <w:color w:val="auto"/>
        </w:rPr>
        <w:t>SECTION 503. Collection of Indebtedness and Suits for Enforcement by Trustee.</w:t>
      </w:r>
    </w:p>
    <w:p>
      <w:pPr>
        <w:spacing w:after="0" w:line="17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The Company covenants that if</w:t>
      </w:r>
    </w:p>
    <w:p>
      <w:pPr>
        <w:spacing w:after="0" w:line="180" w:lineRule="exact"/>
        <w:rPr>
          <w:sz w:val="20"/>
          <w:szCs w:val="20"/>
          <w:color w:val="auto"/>
        </w:rPr>
      </w:pPr>
    </w:p>
    <w:p>
      <w:pPr>
        <w:ind w:left="820" w:right="3039" w:firstLine="718"/>
        <w:spacing w:after="0" w:line="247" w:lineRule="auto"/>
        <w:tabs>
          <w:tab w:leader="none" w:pos="2365"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is made in the payment of any interest on any Security when such interest becomes due and payable and such default continues for a period of 30 days, or</w:t>
      </w:r>
    </w:p>
    <w:p>
      <w:pPr>
        <w:spacing w:after="0" w:line="174" w:lineRule="exact"/>
        <w:rPr>
          <w:rFonts w:ascii="Courier New" w:cs="Courier New" w:eastAsia="Courier New" w:hAnsi="Courier New"/>
          <w:sz w:val="15"/>
          <w:szCs w:val="15"/>
          <w:color w:val="auto"/>
        </w:rPr>
      </w:pPr>
    </w:p>
    <w:p>
      <w:pPr>
        <w:ind w:left="820" w:right="3319" w:firstLine="718"/>
        <w:spacing w:after="0" w:line="247" w:lineRule="auto"/>
        <w:tabs>
          <w:tab w:leader="none" w:pos="2365"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is made in the payment of the principal of (or premium, if any, on) any Security at the Maturity thereof,</w:t>
      </w:r>
    </w:p>
    <w:p>
      <w:pPr>
        <w:spacing w:after="0" w:line="17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 Company will, upon demand of the Trustee, pay to it, for the benefit of the Holders of such Securities and coupons, the whole amount then due and payable on such Securities and coupons for principal and any premium and interest and, to the extent that payment of such interest shall be legally enforceable, interest on any overdue principal and premium and on any overdue interest, at the rate or rates prescribed therefor in such Securities and, in addition thereto, such further amount as shall be sufficient to cover the costs and expenses of collection, including the reasonable compensation, expenses, disbursements and advances of the Trustee, its agents and counsel.</w:t>
      </w:r>
    </w:p>
    <w:p>
      <w:pPr>
        <w:spacing w:after="0" w:line="180"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If the Company fails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such Securities and collect the moneys adjudged or decreed to be payable in the manner provided by law out of the property of the Company or any other obligor upon such Securities, wherever situated.</w:t>
      </w:r>
    </w:p>
    <w:p>
      <w:pPr>
        <w:spacing w:after="0" w:line="180"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If an Event of Default with respect to Securities of any series occurs and is continuing, the Trustee may in its discretion proceed to protect and enforce its rights and the rights of the Holders of Securities of such series and any related coupons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SUBORDINATED INDENTURE</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- 35 -</w:t>
      </w:r>
    </w:p>
    <w:p>
      <w:pPr>
        <w:sectPr>
          <w:pgSz w:w="11900" w:h="16838" w:orient="portrait"/>
          <w:cols w:equalWidth="0" w:num="1">
            <w:col w:w="10219"/>
          </w:cols>
          <w:pgMar w:left="240" w:top="293" w:right="1440" w:bottom="1440" w:gutter="0" w:footer="0" w:header="0"/>
        </w:sectPr>
      </w:pPr>
    </w:p>
    <w:bookmarkStart w:id="97" w:name="page98"/>
    <w:bookmarkEnd w:id="97"/>
    <w:p>
      <w:pPr>
        <w:ind w:left="260"/>
        <w:spacing w:after="0"/>
        <w:rPr>
          <w:sz w:val="20"/>
          <w:szCs w:val="20"/>
          <w:color w:val="auto"/>
        </w:rPr>
      </w:pPr>
      <w:r>
        <w:rPr>
          <w:rFonts w:ascii="Courier New" w:cs="Courier New" w:eastAsia="Courier New" w:hAnsi="Courier New"/>
          <w:sz w:val="15"/>
          <w:szCs w:val="15"/>
          <w:color w:val="auto"/>
        </w:rPr>
        <w:t>43</w:t>
      </w:r>
    </w:p>
    <w:p>
      <w:pPr>
        <w:spacing w:after="0" w:line="5" w:lineRule="exact"/>
        <w:rPr>
          <w:sz w:val="20"/>
          <w:szCs w:val="20"/>
          <w:color w:val="auto"/>
        </w:rPr>
      </w:pPr>
    </w:p>
    <w:p>
      <w:pPr>
        <w:ind w:left="820"/>
        <w:spacing w:after="0"/>
        <w:tabs>
          <w:tab w:leader="none" w:pos="2340" w:val="left"/>
        </w:tabs>
        <w:rPr>
          <w:sz w:val="20"/>
          <w:szCs w:val="20"/>
          <w:color w:val="auto"/>
        </w:rPr>
      </w:pPr>
      <w:r>
        <w:rPr>
          <w:rFonts w:ascii="Courier New" w:cs="Courier New" w:eastAsia="Courier New" w:hAnsi="Courier New"/>
          <w:sz w:val="15"/>
          <w:szCs w:val="15"/>
          <w:color w:val="auto"/>
        </w:rPr>
        <w:t>SECTION 504.</w:t>
      </w:r>
      <w:r>
        <w:rPr>
          <w:sz w:val="20"/>
          <w:szCs w:val="20"/>
          <w:color w:val="auto"/>
        </w:rPr>
        <w:tab/>
      </w:r>
      <w:r>
        <w:rPr>
          <w:rFonts w:ascii="Courier New" w:cs="Courier New" w:eastAsia="Courier New" w:hAnsi="Courier New"/>
          <w:sz w:val="15"/>
          <w:szCs w:val="15"/>
          <w:color w:val="auto"/>
        </w:rPr>
        <w:t>Trustee May File Proofs of Claim.</w:t>
      </w:r>
    </w:p>
    <w:p>
      <w:pPr>
        <w:spacing w:after="0" w:line="180"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In case of any judicial proceeding relative to the Company (or any other obligor upon the Securities), its property or its creditors, the Trustee shall be entitled and empowered, by intervention in such proceeding or otherwise, to take any and all actions authorized under the Trust Indenture Act in order to have claims of the Holders and the Trustee allowed in any such proceeding. In particular, subject to Article Sixteen hereof, the Trustee shall be authorized to collect and receive any moneys or other property payable or deliverable on any such claims and to distribute the same; 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reasonable compensation, expenses, disbursements and advances of the Trustee, its agents and counsel, and any other amounts due the Trustee under Section 607.</w:t>
      </w:r>
    </w:p>
    <w:p>
      <w:pPr>
        <w:spacing w:after="0" w:line="184"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No provision of this Indenture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 provided, however, that the Trustee may, on behalf of Holders, vote for the election of a trustee of bankruptcy or similar official and be a member of a creditors' or other similar committee.</w:t>
      </w:r>
    </w:p>
    <w:p>
      <w:pPr>
        <w:spacing w:after="0" w:line="180"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SECTION 505. Trustee May Enforce Claims Without Possession of Securities or Coupons.</w:t>
      </w:r>
    </w:p>
    <w:p>
      <w:pPr>
        <w:spacing w:after="0" w:line="175"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All rights of action and claims under this Indenture or the Securities or coupons may be prosecuted and enforced by the Trustee against third parties or otherwise without the possession of any of the Securities or coupons or the production thereof in any proceeding relating thereto, and any such proceeding instituted by the Trustee shall be brought in its own name as trustee of an express trust, and any recovery of judgment shall, after provision for the payment of reasonable compensation, expenses, disbursements and advances of the Trustee, its agents and counsel, be for the ratable benefit of the Holders of the Securities and coupons in respect of which such judgment has been recovered.</w:t>
      </w:r>
    </w:p>
    <w:p>
      <w:pPr>
        <w:spacing w:after="0" w:line="181"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5"/>
          <w:szCs w:val="15"/>
          <w:color w:val="auto"/>
        </w:rPr>
        <w:t>SECTION 506.</w:t>
      </w:r>
      <w:r>
        <w:rPr>
          <w:sz w:val="20"/>
          <w:szCs w:val="20"/>
          <w:color w:val="auto"/>
        </w:rPr>
        <w:tab/>
      </w:r>
      <w:r>
        <w:rPr>
          <w:rFonts w:ascii="Courier New" w:cs="Courier New" w:eastAsia="Courier New" w:hAnsi="Courier New"/>
          <w:sz w:val="15"/>
          <w:szCs w:val="15"/>
          <w:color w:val="auto"/>
        </w:rPr>
        <w:t>Application of Money Collected.</w:t>
      </w:r>
    </w:p>
    <w:p>
      <w:pPr>
        <w:spacing w:after="0" w:line="180"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Any money collected by the Trustee pursuant to this Article shall be applied in the following order, at the date or dates fixed by the Trustee and, in case of the distribution of such money on account of principal or any premium or interest, upon presentation of the Securities or coupons, or both as the case may be, and the notation thereon of the payment if only partially paid and upon surrender thereof if fully paid:</w:t>
      </w:r>
    </w:p>
    <w:p>
      <w:pPr>
        <w:spacing w:after="0" w:line="178" w:lineRule="exact"/>
        <w:rPr>
          <w:sz w:val="20"/>
          <w:szCs w:val="20"/>
          <w:color w:val="auto"/>
        </w:rPr>
      </w:pPr>
    </w:p>
    <w:p>
      <w:pPr>
        <w:ind w:right="3499" w:firstLine="1363"/>
        <w:spacing w:after="0" w:line="247" w:lineRule="auto"/>
        <w:rPr>
          <w:sz w:val="20"/>
          <w:szCs w:val="20"/>
          <w:color w:val="auto"/>
        </w:rPr>
      </w:pPr>
      <w:r>
        <w:rPr>
          <w:rFonts w:ascii="Courier New" w:cs="Courier New" w:eastAsia="Courier New" w:hAnsi="Courier New"/>
          <w:sz w:val="15"/>
          <w:szCs w:val="15"/>
          <w:color w:val="auto"/>
        </w:rPr>
        <w:t>FIRST: To the payment of all amounts due the Trustee under Section 607;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SUBORDINATED INDENTURE</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- 36 -</w:t>
      </w:r>
    </w:p>
    <w:p>
      <w:pPr>
        <w:sectPr>
          <w:pgSz w:w="11900" w:h="16838" w:orient="portrait"/>
          <w:cols w:equalWidth="0" w:num="1">
            <w:col w:w="10219"/>
          </w:cols>
          <w:pgMar w:left="240" w:top="293" w:right="1440" w:bottom="1440" w:gutter="0" w:footer="0" w:header="0"/>
        </w:sectPr>
      </w:pPr>
    </w:p>
    <w:bookmarkStart w:id="98" w:name="page99"/>
    <w:bookmarkEnd w:id="98"/>
    <w:p>
      <w:pPr>
        <w:ind w:left="260"/>
        <w:spacing w:after="0"/>
        <w:rPr>
          <w:sz w:val="20"/>
          <w:szCs w:val="20"/>
          <w:color w:val="auto"/>
        </w:rPr>
      </w:pPr>
      <w:r>
        <w:rPr>
          <w:rFonts w:ascii="Courier New" w:cs="Courier New" w:eastAsia="Courier New" w:hAnsi="Courier New"/>
          <w:sz w:val="15"/>
          <w:szCs w:val="15"/>
          <w:color w:val="auto"/>
        </w:rPr>
        <w:t>44</w:t>
      </w:r>
    </w:p>
    <w:p>
      <w:pPr>
        <w:spacing w:after="0" w:line="5" w:lineRule="exact"/>
        <w:rPr>
          <w:sz w:val="20"/>
          <w:szCs w:val="20"/>
          <w:color w:val="auto"/>
        </w:rPr>
      </w:pPr>
    </w:p>
    <w:p>
      <w:pPr>
        <w:ind w:left="820" w:right="3139" w:firstLine="727"/>
        <w:spacing w:after="0" w:line="246" w:lineRule="auto"/>
        <w:rPr>
          <w:sz w:val="20"/>
          <w:szCs w:val="20"/>
          <w:color w:val="auto"/>
        </w:rPr>
      </w:pPr>
      <w:r>
        <w:rPr>
          <w:rFonts w:ascii="Courier New" w:cs="Courier New" w:eastAsia="Courier New" w:hAnsi="Courier New"/>
          <w:sz w:val="15"/>
          <w:szCs w:val="15"/>
          <w:color w:val="auto"/>
        </w:rPr>
        <w:t>SECOND: Subject to Article Sixteen hereof, to the payment of the amounts then due and unpaid for principal of and any premium and interest on the Securities and coupons in respect of which or for the benefit of which such money has been collected, ratably, without preference or priority of any kind, according to the amounts due and payable on such Securities and coupons for principal and any premium and interest, respectively.</w:t>
      </w:r>
    </w:p>
    <w:p>
      <w:pPr>
        <w:spacing w:after="0" w:line="179"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In any case in which Securities are Outstanding that are denominated in more than one currency and the Trustee is directed to make ratable payments under this Section to Holders of such Securities, unless otherwise provided with respect to any series of Securities, the Trustee shall calculate the amount of such payments as follows: (i) as of the day the Trustee collects an amount under this Article, the Trustee shall, as to each Holder of a Security to whom an amount is due and payable under this Section that is denominated in a foreign currency, determine that amount in Dollars that would be obtained for the amount owing such Holder, using the rate of exchange at which in accordance with normal banking procedures the Trustee could purchase in The City of New York Dollars with such amount owing; (ii) calculate the sum of all Dollar amounts determined under (i) and add thereto any amounts due and payable in Dollars; and (iii) using the individual amounts determined in (i) or any individual amounts due and payable in Dollars, as the case may be, as a numerator, and the sum calculated in (ii) as a denominator, calculate as to each Holder of a Security to whom an amount is owed under this Section the fraction of the amount collected under this Article payable to such Holder.</w:t>
      </w:r>
    </w:p>
    <w:p>
      <w:pPr>
        <w:spacing w:after="0" w:line="10"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Any expenses incurred by the Trustee in actually converting amounts owing Holders of Securities denominated in a currency other than that in which any amount is collected under this Article shall be likewise (in accordance with this paragraph) borne ratably by all Holders of Securities to whom amounts are payable under this Section.</w:t>
      </w:r>
    </w:p>
    <w:p>
      <w:pPr>
        <w:spacing w:after="0" w:line="178"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To the fullest extent allowed under applicable law, if for the purpose of obtaining judgment against the Company in any court it is necessary to convert the sum due in respect of the principal of, or premium, if any, or interest on, the Securities of any series (the "Required Currency") into a currency in which a judgment will be rendered (the "Judgment Currency"), the rate of exchange used shall be the rate at which in accordance with normal banking procedures the Trustee could purchase in The City of New York the Required Currency with the Judgment Currency on the Business Day in the City of New York next preceding that on which final judgment is given. Neither the Company nor the Trustee shall be liable for any shortfall nor shall it benefit from any windfall in payments to Holders of Securities under this Section caused by a change in exchange rates between the time the amount of a judgment against the Company is calculated as above and the time the Trustee converts the Judgment Currency into the Required Currency to make payments under this Section to Holders of Securities, but payment of such judgment shall discharge all amounts owed by the Company on the claim or claims underlying such judgment.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SUBORDINATED INDENTURE</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- 37 -</w:t>
      </w:r>
    </w:p>
    <w:p>
      <w:pPr>
        <w:sectPr>
          <w:pgSz w:w="11900" w:h="16838" w:orient="portrait"/>
          <w:cols w:equalWidth="0" w:num="1">
            <w:col w:w="10219"/>
          </w:cols>
          <w:pgMar w:left="240" w:top="293" w:right="1440" w:bottom="1440" w:gutter="0" w:footer="0" w:header="0"/>
        </w:sectPr>
      </w:pPr>
    </w:p>
    <w:bookmarkStart w:id="99" w:name="page100"/>
    <w:bookmarkEnd w:id="99"/>
    <w:p>
      <w:pPr>
        <w:ind w:left="260"/>
        <w:spacing w:after="0"/>
        <w:rPr>
          <w:sz w:val="20"/>
          <w:szCs w:val="20"/>
          <w:color w:val="auto"/>
        </w:rPr>
      </w:pPr>
      <w:r>
        <w:rPr>
          <w:rFonts w:ascii="Courier New" w:cs="Courier New" w:eastAsia="Courier New" w:hAnsi="Courier New"/>
          <w:sz w:val="15"/>
          <w:szCs w:val="15"/>
          <w:color w:val="auto"/>
        </w:rPr>
        <w:t>45</w:t>
      </w:r>
    </w:p>
    <w:p>
      <w:pPr>
        <w:spacing w:after="0" w:line="5" w:lineRule="exact"/>
        <w:rPr>
          <w:sz w:val="20"/>
          <w:szCs w:val="20"/>
          <w:color w:val="auto"/>
        </w:rPr>
      </w:pPr>
    </w:p>
    <w:p>
      <w:pPr>
        <w:ind w:left="820"/>
        <w:spacing w:after="0"/>
        <w:tabs>
          <w:tab w:leader="none" w:pos="2340" w:val="left"/>
        </w:tabs>
        <w:rPr>
          <w:sz w:val="20"/>
          <w:szCs w:val="20"/>
          <w:color w:val="auto"/>
        </w:rPr>
      </w:pPr>
      <w:r>
        <w:rPr>
          <w:rFonts w:ascii="Courier New" w:cs="Courier New" w:eastAsia="Courier New" w:hAnsi="Courier New"/>
          <w:sz w:val="15"/>
          <w:szCs w:val="15"/>
          <w:color w:val="auto"/>
        </w:rPr>
        <w:t>SECTION 507.</w:t>
      </w:r>
      <w:r>
        <w:rPr>
          <w:sz w:val="20"/>
          <w:szCs w:val="20"/>
          <w:color w:val="auto"/>
        </w:rPr>
        <w:tab/>
      </w:r>
      <w:r>
        <w:rPr>
          <w:rFonts w:ascii="Courier New" w:cs="Courier New" w:eastAsia="Courier New" w:hAnsi="Courier New"/>
          <w:sz w:val="15"/>
          <w:szCs w:val="15"/>
          <w:color w:val="auto"/>
        </w:rPr>
        <w:t>Limitation on Suits.</w:t>
      </w:r>
    </w:p>
    <w:p>
      <w:pPr>
        <w:spacing w:after="0" w:line="180"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No Holder of any Security of any series or any related coupons shall have any right to institute any proceeding, judicial or otherwise, with respect to this Indenture, or for the appointment of a receiver or trustee, or for any other remedy hereunder, unless:</w:t>
      </w:r>
    </w:p>
    <w:p>
      <w:pPr>
        <w:spacing w:after="0" w:line="177" w:lineRule="exact"/>
        <w:rPr>
          <w:sz w:val="20"/>
          <w:szCs w:val="20"/>
          <w:color w:val="auto"/>
        </w:rPr>
      </w:pPr>
    </w:p>
    <w:p>
      <w:pPr>
        <w:ind w:left="820" w:right="3319" w:firstLine="718"/>
        <w:spacing w:after="0" w:line="247" w:lineRule="auto"/>
        <w:tabs>
          <w:tab w:leader="none" w:pos="2365"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Holder has previously given written notice to the Trustee of a continuing Event of Default with respect to the Securities of that series;</w:t>
      </w:r>
    </w:p>
    <w:p>
      <w:pPr>
        <w:spacing w:after="0" w:line="174" w:lineRule="exact"/>
        <w:rPr>
          <w:rFonts w:ascii="Courier New" w:cs="Courier New" w:eastAsia="Courier New" w:hAnsi="Courier New"/>
          <w:sz w:val="15"/>
          <w:szCs w:val="15"/>
          <w:color w:val="auto"/>
        </w:rPr>
      </w:pPr>
    </w:p>
    <w:p>
      <w:pPr>
        <w:ind w:left="820" w:right="3139" w:firstLine="718"/>
        <w:spacing w:after="0" w:line="246" w:lineRule="auto"/>
        <w:tabs>
          <w:tab w:leader="none" w:pos="2365"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Holders of not less than 25% in principal amount of the Outstanding Securities of that series shall have made written request to the Trustee to institute proceedings in respect of such Event of Default in its own name as Trustee hereunder;</w:t>
      </w:r>
    </w:p>
    <w:p>
      <w:pPr>
        <w:spacing w:after="0" w:line="177" w:lineRule="exact"/>
        <w:rPr>
          <w:rFonts w:ascii="Courier New" w:cs="Courier New" w:eastAsia="Courier New" w:hAnsi="Courier New"/>
          <w:sz w:val="15"/>
          <w:szCs w:val="15"/>
          <w:color w:val="auto"/>
        </w:rPr>
      </w:pPr>
    </w:p>
    <w:p>
      <w:pPr>
        <w:ind w:left="820" w:right="3039" w:firstLine="718"/>
        <w:spacing w:after="0" w:line="247" w:lineRule="auto"/>
        <w:tabs>
          <w:tab w:leader="none" w:pos="2365"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Holder or Holders have offered to the Trustee reasonable indemnity against the costs, expenses and liabilities to be incurred in compliance with such request;</w:t>
      </w:r>
    </w:p>
    <w:p>
      <w:pPr>
        <w:spacing w:after="0" w:line="174" w:lineRule="exact"/>
        <w:rPr>
          <w:rFonts w:ascii="Courier New" w:cs="Courier New" w:eastAsia="Courier New" w:hAnsi="Courier New"/>
          <w:sz w:val="15"/>
          <w:szCs w:val="15"/>
          <w:color w:val="auto"/>
        </w:rPr>
      </w:pPr>
    </w:p>
    <w:p>
      <w:pPr>
        <w:jc w:val="both"/>
        <w:ind w:left="820" w:right="3419" w:firstLine="718"/>
        <w:spacing w:after="0" w:line="247" w:lineRule="auto"/>
        <w:tabs>
          <w:tab w:leader="none" w:pos="2365"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for 60 days after its receipt of such notice, request and offer of indemnity has failed to institute any such proceeding; and</w:t>
      </w:r>
    </w:p>
    <w:p>
      <w:pPr>
        <w:spacing w:after="0" w:line="174" w:lineRule="exact"/>
        <w:rPr>
          <w:rFonts w:ascii="Courier New" w:cs="Courier New" w:eastAsia="Courier New" w:hAnsi="Courier New"/>
          <w:sz w:val="15"/>
          <w:szCs w:val="15"/>
          <w:color w:val="auto"/>
        </w:rPr>
      </w:pPr>
    </w:p>
    <w:p>
      <w:pPr>
        <w:ind w:left="820" w:right="3039" w:firstLine="718"/>
        <w:spacing w:after="0" w:line="246" w:lineRule="auto"/>
        <w:tabs>
          <w:tab w:leader="none" w:pos="2365"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direction inconsistent with such written request has been given to the Trustee during such 60-day period by the Holders of a majority in principal amount of the Outstanding Securities of that series;</w:t>
      </w:r>
    </w:p>
    <w:p>
      <w:pPr>
        <w:spacing w:after="0" w:line="177"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it being understood and intended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such Holders.</w:t>
      </w:r>
    </w:p>
    <w:p>
      <w:pPr>
        <w:spacing w:after="0" w:line="179" w:lineRule="exact"/>
        <w:rPr>
          <w:sz w:val="20"/>
          <w:szCs w:val="20"/>
          <w:color w:val="auto"/>
        </w:rPr>
      </w:pPr>
    </w:p>
    <w:p>
      <w:pPr>
        <w:ind w:right="3219"/>
        <w:spacing w:after="0" w:line="247" w:lineRule="auto"/>
        <w:rPr>
          <w:sz w:val="20"/>
          <w:szCs w:val="20"/>
          <w:color w:val="auto"/>
        </w:rPr>
      </w:pPr>
      <w:r>
        <w:rPr>
          <w:rFonts w:ascii="Courier New" w:cs="Courier New" w:eastAsia="Courier New" w:hAnsi="Courier New"/>
          <w:sz w:val="15"/>
          <w:szCs w:val="15"/>
          <w:color w:val="auto"/>
        </w:rPr>
        <w:t>SECTION 508. Unconditional Right of Holders to Receive Principal, Premium and Interest.</w:t>
      </w:r>
    </w:p>
    <w:p>
      <w:pPr>
        <w:spacing w:after="0" w:line="175"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Notwithstanding any other provision in this Indenture (but subject to Article Sixteen hereof), the Holder of any Security or coupon shall have the right, which is absolute and unconditional, to receive payment of the principal of and any premium and (subject to Sections 305 and 307) any interest on such Security or payment of such coupon on the Stated Maturity or Maturities expressed in such Security or coupon (or, in the case of redemption, on the Redemption Date) and, if applicable, to convert such Security as provided in Article Fifteen and to institute suit for the enforcement of any such payment or conversion right, and such rights shall not be impaired without the consent of such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SUBORDINATED INDENTURE</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- 38 -</w:t>
      </w:r>
    </w:p>
    <w:p>
      <w:pPr>
        <w:sectPr>
          <w:pgSz w:w="11900" w:h="16838" w:orient="portrait"/>
          <w:cols w:equalWidth="0" w:num="1">
            <w:col w:w="10219"/>
          </w:cols>
          <w:pgMar w:left="240" w:top="293" w:right="1440" w:bottom="1440" w:gutter="0" w:footer="0" w:header="0"/>
        </w:sectPr>
      </w:pPr>
    </w:p>
    <w:bookmarkStart w:id="100" w:name="page101"/>
    <w:bookmarkEnd w:id="100"/>
    <w:p>
      <w:pPr>
        <w:ind w:left="260"/>
        <w:spacing w:after="0"/>
        <w:rPr>
          <w:sz w:val="20"/>
          <w:szCs w:val="20"/>
          <w:color w:val="auto"/>
        </w:rPr>
      </w:pPr>
      <w:r>
        <w:rPr>
          <w:rFonts w:ascii="Courier New" w:cs="Courier New" w:eastAsia="Courier New" w:hAnsi="Courier New"/>
          <w:sz w:val="15"/>
          <w:szCs w:val="15"/>
          <w:color w:val="auto"/>
        </w:rPr>
        <w:t>46</w:t>
      </w:r>
    </w:p>
    <w:p>
      <w:pPr>
        <w:spacing w:after="0" w:line="5"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5"/>
          <w:szCs w:val="15"/>
          <w:color w:val="auto"/>
        </w:rPr>
        <w:t>SECTION 509.</w:t>
      </w:r>
      <w:r>
        <w:rPr>
          <w:sz w:val="20"/>
          <w:szCs w:val="20"/>
          <w:color w:val="auto"/>
        </w:rPr>
        <w:tab/>
      </w:r>
      <w:r>
        <w:rPr>
          <w:rFonts w:ascii="Courier New" w:cs="Courier New" w:eastAsia="Courier New" w:hAnsi="Courier New"/>
          <w:sz w:val="15"/>
          <w:szCs w:val="15"/>
          <w:color w:val="auto"/>
        </w:rPr>
        <w:t>Restoration of Rights and Remedies.</w:t>
      </w:r>
    </w:p>
    <w:p>
      <w:pPr>
        <w:spacing w:after="0" w:line="180"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If the Trustee or any Holder of a Security or coupon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of Securities and coupons shall be restored severally and respectively to their former positions hereunder and thereafter all rights and remedies of the Trustee and the Holders shall continue as though no such proceeding had been instituted.</w:t>
      </w:r>
    </w:p>
    <w:p>
      <w:pPr>
        <w:spacing w:after="0" w:line="180"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5"/>
          <w:szCs w:val="15"/>
          <w:color w:val="auto"/>
        </w:rPr>
        <w:t>SECTION 510.</w:t>
      </w:r>
      <w:r>
        <w:rPr>
          <w:sz w:val="20"/>
          <w:szCs w:val="20"/>
          <w:color w:val="auto"/>
        </w:rPr>
        <w:tab/>
      </w:r>
      <w:r>
        <w:rPr>
          <w:rFonts w:ascii="Courier New" w:cs="Courier New" w:eastAsia="Courier New" w:hAnsi="Courier New"/>
          <w:sz w:val="15"/>
          <w:szCs w:val="15"/>
          <w:color w:val="auto"/>
        </w:rPr>
        <w:t>Rights and Remedies Cumulative.</w:t>
      </w:r>
    </w:p>
    <w:p>
      <w:pPr>
        <w:spacing w:after="0" w:line="180"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Except as otherwise provided with respect to the replacement or payment of mutilated, destroyed, lost or stolen Securities or coupons in the last paragraph of Section 306, no right or remedy herein conferred upon or reserved to the Trustee or to the Holders of Securities or coupons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81"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5"/>
          <w:szCs w:val="15"/>
          <w:color w:val="auto"/>
        </w:rPr>
        <w:t>SECTION 511.</w:t>
      </w:r>
      <w:r>
        <w:rPr>
          <w:sz w:val="20"/>
          <w:szCs w:val="20"/>
          <w:color w:val="auto"/>
        </w:rPr>
        <w:tab/>
      </w:r>
      <w:r>
        <w:rPr>
          <w:rFonts w:ascii="Courier New" w:cs="Courier New" w:eastAsia="Courier New" w:hAnsi="Courier New"/>
          <w:sz w:val="15"/>
          <w:szCs w:val="15"/>
          <w:color w:val="auto"/>
        </w:rPr>
        <w:t>Delay or Omission Not Waiver.</w:t>
      </w:r>
    </w:p>
    <w:p>
      <w:pPr>
        <w:spacing w:after="0" w:line="180"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No delay or omission of the Trustee or of any Holder of any Security or coupon to exercise any right or remedy accruing upon any Event of Default shall impair any such right or remedy or constitute a waiver of any such Event of Default or an acquiescence therein. Every right and remedy given by this Article or by law to the Trustee or to the Holders of Securities or coupons may be exercised from time to time, and as often as may be deemed expedient, by the Trustee or by the Holders of Securities or coupons, as the case may be.</w:t>
      </w:r>
    </w:p>
    <w:p>
      <w:pPr>
        <w:spacing w:after="0" w:line="179"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5"/>
          <w:szCs w:val="15"/>
          <w:color w:val="auto"/>
        </w:rPr>
        <w:t>SECTION 512.</w:t>
      </w:r>
      <w:r>
        <w:rPr>
          <w:sz w:val="20"/>
          <w:szCs w:val="20"/>
          <w:color w:val="auto"/>
        </w:rPr>
        <w:tab/>
      </w:r>
      <w:r>
        <w:rPr>
          <w:rFonts w:ascii="Courier New" w:cs="Courier New" w:eastAsia="Courier New" w:hAnsi="Courier New"/>
          <w:sz w:val="15"/>
          <w:szCs w:val="15"/>
          <w:color w:val="auto"/>
        </w:rPr>
        <w:t>Control by Holders of Securities.</w:t>
      </w:r>
    </w:p>
    <w:p>
      <w:pPr>
        <w:spacing w:after="0" w:line="180" w:lineRule="exact"/>
        <w:rPr>
          <w:sz w:val="20"/>
          <w:szCs w:val="20"/>
          <w:color w:val="auto"/>
        </w:rPr>
      </w:pPr>
    </w:p>
    <w:p>
      <w:pPr>
        <w:ind w:right="3139" w:firstLine="818"/>
        <w:spacing w:after="0" w:line="246" w:lineRule="auto"/>
        <w:rPr>
          <w:sz w:val="20"/>
          <w:szCs w:val="20"/>
          <w:color w:val="auto"/>
        </w:rPr>
      </w:pPr>
      <w:r>
        <w:rPr>
          <w:rFonts w:ascii="Courier New" w:cs="Courier New" w:eastAsia="Courier New" w:hAnsi="Courier New"/>
          <w:sz w:val="15"/>
          <w:szCs w:val="15"/>
          <w:color w:val="auto"/>
        </w:rPr>
        <w:t>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w:t>
      </w:r>
    </w:p>
    <w:p>
      <w:pPr>
        <w:spacing w:after="0" w:line="178" w:lineRule="exact"/>
        <w:rPr>
          <w:sz w:val="20"/>
          <w:szCs w:val="20"/>
          <w:color w:val="auto"/>
        </w:rPr>
      </w:pPr>
    </w:p>
    <w:p>
      <w:pPr>
        <w:ind w:left="820" w:right="3039" w:firstLine="718"/>
        <w:spacing w:after="0" w:line="247" w:lineRule="auto"/>
        <w:tabs>
          <w:tab w:leader="none" w:pos="2365"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direction shall not be in conflict with any rule of law or with this Indenture;</w:t>
      </w:r>
    </w:p>
    <w:p>
      <w:pPr>
        <w:spacing w:after="0" w:line="174" w:lineRule="exact"/>
        <w:rPr>
          <w:rFonts w:ascii="Courier New" w:cs="Courier New" w:eastAsia="Courier New" w:hAnsi="Courier New"/>
          <w:sz w:val="15"/>
          <w:szCs w:val="15"/>
          <w:color w:val="auto"/>
        </w:rPr>
      </w:pPr>
    </w:p>
    <w:p>
      <w:pPr>
        <w:ind w:left="820" w:right="3219" w:firstLine="718"/>
        <w:spacing w:after="0" w:line="247" w:lineRule="auto"/>
        <w:tabs>
          <w:tab w:leader="none" w:pos="2365"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may take any other action deemed proper by the Trustee which is not inconsistent with such direction;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SUBORDINATED INDENTURE</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- 39 -</w:t>
      </w:r>
    </w:p>
    <w:p>
      <w:pPr>
        <w:sectPr>
          <w:pgSz w:w="11900" w:h="16838" w:orient="portrait"/>
          <w:cols w:equalWidth="0" w:num="1">
            <w:col w:w="10219"/>
          </w:cols>
          <w:pgMar w:left="240" w:top="293" w:right="1440" w:bottom="1440" w:gutter="0" w:footer="0" w:header="0"/>
        </w:sectPr>
      </w:pPr>
    </w:p>
    <w:bookmarkStart w:id="101" w:name="page102"/>
    <w:bookmarkEnd w:id="101"/>
    <w:p>
      <w:pPr>
        <w:ind w:left="260"/>
        <w:spacing w:after="0"/>
        <w:rPr>
          <w:sz w:val="20"/>
          <w:szCs w:val="20"/>
          <w:color w:val="auto"/>
        </w:rPr>
      </w:pPr>
      <w:r>
        <w:rPr>
          <w:rFonts w:ascii="Courier New" w:cs="Courier New" w:eastAsia="Courier New" w:hAnsi="Courier New"/>
          <w:sz w:val="15"/>
          <w:szCs w:val="15"/>
          <w:color w:val="auto"/>
        </w:rPr>
        <w:t>47</w:t>
      </w:r>
    </w:p>
    <w:p>
      <w:pPr>
        <w:spacing w:after="0" w:line="5" w:lineRule="exact"/>
        <w:rPr>
          <w:sz w:val="20"/>
          <w:szCs w:val="20"/>
          <w:color w:val="auto"/>
        </w:rPr>
      </w:pPr>
    </w:p>
    <w:p>
      <w:pPr>
        <w:ind w:left="820" w:right="3039" w:firstLine="718"/>
        <w:spacing w:after="0" w:line="247" w:lineRule="auto"/>
        <w:tabs>
          <w:tab w:leader="none" w:pos="2365"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not be obligated to take any action unduly prejudicial to Holders not joining in such direction or involving the Trustee in personal liability.</w:t>
      </w:r>
    </w:p>
    <w:p>
      <w:pPr>
        <w:spacing w:after="0" w:line="174"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5"/>
          <w:szCs w:val="15"/>
          <w:color w:val="auto"/>
        </w:rPr>
        <w:t>SECTION 513.</w:t>
      </w:r>
      <w:r>
        <w:rPr>
          <w:sz w:val="20"/>
          <w:szCs w:val="20"/>
          <w:color w:val="auto"/>
        </w:rPr>
        <w:tab/>
      </w:r>
      <w:r>
        <w:rPr>
          <w:rFonts w:ascii="Courier New" w:cs="Courier New" w:eastAsia="Courier New" w:hAnsi="Courier New"/>
          <w:sz w:val="15"/>
          <w:szCs w:val="15"/>
          <w:color w:val="auto"/>
        </w:rPr>
        <w:t>Waiver of Past Defaults.</w:t>
      </w:r>
    </w:p>
    <w:p>
      <w:pPr>
        <w:spacing w:after="0" w:line="180" w:lineRule="exact"/>
        <w:rPr>
          <w:sz w:val="20"/>
          <w:szCs w:val="20"/>
          <w:color w:val="auto"/>
        </w:rPr>
      </w:pPr>
    </w:p>
    <w:p>
      <w:pPr>
        <w:ind w:right="3139" w:firstLine="818"/>
        <w:spacing w:after="0" w:line="246" w:lineRule="auto"/>
        <w:rPr>
          <w:sz w:val="20"/>
          <w:szCs w:val="20"/>
          <w:color w:val="auto"/>
        </w:rPr>
      </w:pPr>
      <w:r>
        <w:rPr>
          <w:rFonts w:ascii="Courier New" w:cs="Courier New" w:eastAsia="Courier New" w:hAnsi="Courier New"/>
          <w:sz w:val="15"/>
          <w:szCs w:val="15"/>
          <w:color w:val="auto"/>
        </w:rPr>
        <w:t>The Holders of a majority in principal amount of the Outstanding Securities of any series may on behalf of the Holders of all the Securities of such series waive any past default hereunder with respect to the Securities of such series and its consequences, except a default</w:t>
      </w:r>
    </w:p>
    <w:p>
      <w:pPr>
        <w:spacing w:after="0" w:line="177" w:lineRule="exact"/>
        <w:rPr>
          <w:sz w:val="20"/>
          <w:szCs w:val="20"/>
          <w:color w:val="auto"/>
        </w:rPr>
      </w:pPr>
    </w:p>
    <w:p>
      <w:pPr>
        <w:ind w:left="820" w:right="3139" w:firstLine="718"/>
        <w:spacing w:after="0" w:line="247" w:lineRule="auto"/>
        <w:tabs>
          <w:tab w:leader="none" w:pos="2365"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payment of the principal of or any premium or interest on any Security of such series, or</w:t>
      </w:r>
    </w:p>
    <w:p>
      <w:pPr>
        <w:spacing w:after="0" w:line="174" w:lineRule="exact"/>
        <w:rPr>
          <w:rFonts w:ascii="Courier New" w:cs="Courier New" w:eastAsia="Courier New" w:hAnsi="Courier New"/>
          <w:sz w:val="15"/>
          <w:szCs w:val="15"/>
          <w:color w:val="auto"/>
        </w:rPr>
      </w:pPr>
    </w:p>
    <w:p>
      <w:pPr>
        <w:ind w:left="820" w:right="3219" w:firstLine="718"/>
        <w:spacing w:after="0" w:line="247" w:lineRule="auto"/>
        <w:tabs>
          <w:tab w:leader="none" w:pos="2365"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respect of a covenant or provision hereof which under Article Nine cannot be modified or amended without the consent of the Holder of each Outstanding Security of such series affected.</w:t>
      </w:r>
    </w:p>
    <w:p>
      <w:pPr>
        <w:spacing w:after="0" w:line="174"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77"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5"/>
          <w:szCs w:val="15"/>
          <w:color w:val="auto"/>
        </w:rPr>
        <w:t>SECTION 514.</w:t>
      </w:r>
      <w:r>
        <w:rPr>
          <w:sz w:val="20"/>
          <w:szCs w:val="20"/>
          <w:color w:val="auto"/>
        </w:rPr>
        <w:tab/>
      </w:r>
      <w:r>
        <w:rPr>
          <w:rFonts w:ascii="Courier New" w:cs="Courier New" w:eastAsia="Courier New" w:hAnsi="Courier New"/>
          <w:sz w:val="15"/>
          <w:szCs w:val="15"/>
          <w:color w:val="auto"/>
        </w:rPr>
        <w:t>Undertaking for Costs.</w:t>
      </w:r>
    </w:p>
    <w:p>
      <w:pPr>
        <w:spacing w:after="0" w:line="180"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In any suit for the enforcement of any right or remedy under this Indenture, or in any suit against the Trustee for any action taken, suffered or omitted by it as Trustee, a court may require any party litigant in such suit to file an undertaking to pay the costs of such suit, and may assess costs against any such party litigant, in the manner and to the extent provided in the Trust Indenture Act; provided, however, that neither this Section nor the Trust Indenture Act shall be deemed to authorize any court to require such an undertaking or to make such an assessment in any suit instituted by the Company.</w:t>
      </w:r>
    </w:p>
    <w:p>
      <w:pPr>
        <w:spacing w:after="0" w:line="180"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5"/>
          <w:szCs w:val="15"/>
          <w:color w:val="auto"/>
        </w:rPr>
        <w:t>SECTION 515.</w:t>
      </w:r>
      <w:r>
        <w:rPr>
          <w:sz w:val="20"/>
          <w:szCs w:val="20"/>
          <w:color w:val="auto"/>
        </w:rPr>
        <w:tab/>
      </w:r>
      <w:r>
        <w:rPr>
          <w:rFonts w:ascii="Courier New" w:cs="Courier New" w:eastAsia="Courier New" w:hAnsi="Courier New"/>
          <w:sz w:val="15"/>
          <w:szCs w:val="15"/>
          <w:color w:val="auto"/>
        </w:rPr>
        <w:t>Waiver of Stay or Extension Laws.</w:t>
      </w:r>
    </w:p>
    <w:p>
      <w:pPr>
        <w:spacing w:after="0" w:line="180" w:lineRule="exact"/>
        <w:rPr>
          <w:sz w:val="20"/>
          <w:szCs w:val="20"/>
          <w:color w:val="auto"/>
        </w:rPr>
      </w:pPr>
    </w:p>
    <w:p>
      <w:pPr>
        <w:ind w:right="3139" w:firstLine="818"/>
        <w:spacing w:after="0" w:line="246" w:lineRule="auto"/>
        <w:rPr>
          <w:sz w:val="20"/>
          <w:szCs w:val="20"/>
          <w:color w:val="auto"/>
        </w:rPr>
      </w:pPr>
      <w:r>
        <w:rPr>
          <w:rFonts w:ascii="Courier New" w:cs="Courier New" w:eastAsia="Courier New" w:hAnsi="Courier New"/>
          <w:sz w:val="15"/>
          <w:szCs w:val="15"/>
          <w:color w:val="auto"/>
        </w:rPr>
        <w:t>The Company covenants (to the extent that it may lawfully do so) that it will not at any time insist upon, or plead, or in any manner whatsoever claim to take the benefit or advantage of, any stay or extension law wherever enacted, now or at any time hereafter in force, which may affect the covenants or the performance of this Indenture; and the Company (to the extent that it may lawfully do so)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SUBORDINATED INDENTURE</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- 40 -</w:t>
      </w:r>
    </w:p>
    <w:p>
      <w:pPr>
        <w:sectPr>
          <w:pgSz w:w="11900" w:h="16838" w:orient="portrait"/>
          <w:cols w:equalWidth="0" w:num="1">
            <w:col w:w="10219"/>
          </w:cols>
          <w:pgMar w:left="240" w:top="293" w:right="1440" w:bottom="1440" w:gutter="0" w:footer="0" w:header="0"/>
        </w:sectPr>
      </w:pPr>
    </w:p>
    <w:bookmarkStart w:id="102" w:name="page103"/>
    <w:bookmarkEnd w:id="102"/>
    <w:p>
      <w:pPr>
        <w:ind w:left="260"/>
        <w:spacing w:after="0"/>
        <w:rPr>
          <w:sz w:val="20"/>
          <w:szCs w:val="20"/>
          <w:color w:val="auto"/>
        </w:rPr>
      </w:pPr>
      <w:r>
        <w:rPr>
          <w:rFonts w:ascii="Courier New" w:cs="Courier New" w:eastAsia="Courier New" w:hAnsi="Courier New"/>
          <w:sz w:val="15"/>
          <w:szCs w:val="15"/>
          <w:color w:val="auto"/>
        </w:rPr>
        <w:t>48</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SIX</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THE TRUSTEE</w:t>
      </w:r>
    </w:p>
    <w:p>
      <w:pPr>
        <w:spacing w:after="0" w:line="180"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5"/>
          <w:szCs w:val="15"/>
          <w:color w:val="auto"/>
        </w:rPr>
        <w:t>SECTION 601.</w:t>
      </w:r>
      <w:r>
        <w:rPr>
          <w:sz w:val="20"/>
          <w:szCs w:val="20"/>
          <w:color w:val="auto"/>
        </w:rPr>
        <w:tab/>
      </w:r>
      <w:r>
        <w:rPr>
          <w:rFonts w:ascii="Courier New" w:cs="Courier New" w:eastAsia="Courier New" w:hAnsi="Courier New"/>
          <w:sz w:val="15"/>
          <w:szCs w:val="15"/>
          <w:color w:val="auto"/>
        </w:rPr>
        <w:t>Certain Duties and Responsibilities.</w:t>
      </w:r>
    </w:p>
    <w:p>
      <w:pPr>
        <w:spacing w:after="0" w:line="180"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The duties and responsibilities of the Trustee shall be as provided by the Trust Indenture Act. Notwithstanding the foregoing, no provision of this Indenture shall require the Trustee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 Whether or not therein expressly so provided, every provision of this Indenture relating to the conduct or affecting the liability of or affording protection to the Trustee shall be subject to the provisions of this Section.</w:t>
      </w:r>
    </w:p>
    <w:p>
      <w:pPr>
        <w:spacing w:after="0" w:line="181"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5"/>
          <w:szCs w:val="15"/>
          <w:color w:val="auto"/>
        </w:rPr>
        <w:t>SECTION 602.</w:t>
      </w:r>
      <w:r>
        <w:rPr>
          <w:sz w:val="20"/>
          <w:szCs w:val="20"/>
          <w:color w:val="auto"/>
        </w:rPr>
        <w:tab/>
      </w:r>
      <w:r>
        <w:rPr>
          <w:rFonts w:ascii="Courier New" w:cs="Courier New" w:eastAsia="Courier New" w:hAnsi="Courier New"/>
          <w:sz w:val="15"/>
          <w:szCs w:val="15"/>
          <w:color w:val="auto"/>
        </w:rPr>
        <w:t>Notice of Defaults.</w:t>
      </w:r>
    </w:p>
    <w:p>
      <w:pPr>
        <w:spacing w:after="0" w:line="180"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If a default occurs hereunder with respect to Securities of any series, the Trustee shall give the Holders of Securities of such series notice of such default as and to the extent provided by the Trust Indenture Act; provided, however, that in the case of any default of the character specified in Section 501(4) with respect to Securities of such series, no such notice to Holders shall be given until at least 30 days after the occurrence thereof. For the purpose of this Section, the term "default" means any event which is, or after notice or lapse of time or both would become, an Event of Default with respect to Securities of such series.</w:t>
      </w:r>
    </w:p>
    <w:p>
      <w:pPr>
        <w:spacing w:after="0" w:line="180"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5"/>
          <w:szCs w:val="15"/>
          <w:color w:val="auto"/>
        </w:rPr>
        <w:t>SECTION 603.</w:t>
      </w:r>
      <w:r>
        <w:rPr>
          <w:sz w:val="20"/>
          <w:szCs w:val="20"/>
          <w:color w:val="auto"/>
        </w:rPr>
        <w:tab/>
      </w:r>
      <w:r>
        <w:rPr>
          <w:rFonts w:ascii="Courier New" w:cs="Courier New" w:eastAsia="Courier New" w:hAnsi="Courier New"/>
          <w:sz w:val="15"/>
          <w:szCs w:val="15"/>
          <w:color w:val="auto"/>
        </w:rPr>
        <w:t>Certain Rights of Trustee.</w:t>
      </w:r>
    </w:p>
    <w:p>
      <w:pPr>
        <w:spacing w:after="0" w:line="180"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Subject to the provisions of Section 601:</w:t>
      </w:r>
    </w:p>
    <w:p>
      <w:pPr>
        <w:spacing w:after="0" w:line="180" w:lineRule="exact"/>
        <w:rPr>
          <w:sz w:val="20"/>
          <w:szCs w:val="20"/>
          <w:color w:val="auto"/>
        </w:rPr>
      </w:pPr>
    </w:p>
    <w:p>
      <w:pPr>
        <w:ind w:left="820" w:right="3039" w:firstLine="718"/>
        <w:spacing w:after="0" w:line="246" w:lineRule="auto"/>
        <w:tabs>
          <w:tab w:leader="none" w:pos="2365"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may rely and shall be protected in acting or refraining from acting upon any resolution, certificate, statement, instrument, opinion, report, notice, request, direction, consent, order, bond, debenture, note, other evidence of indebtedness or other paper or document believed by it to be genuine and to have been signed or presented by the proper party or parties;</w:t>
      </w:r>
    </w:p>
    <w:p>
      <w:pPr>
        <w:spacing w:after="0" w:line="178" w:lineRule="exact"/>
        <w:rPr>
          <w:rFonts w:ascii="Courier New" w:cs="Courier New" w:eastAsia="Courier New" w:hAnsi="Courier New"/>
          <w:sz w:val="15"/>
          <w:szCs w:val="15"/>
          <w:color w:val="auto"/>
        </w:rPr>
      </w:pPr>
    </w:p>
    <w:p>
      <w:pPr>
        <w:ind w:left="820" w:right="3039" w:firstLine="718"/>
        <w:spacing w:after="0" w:line="246" w:lineRule="auto"/>
        <w:tabs>
          <w:tab w:leader="none" w:pos="2365"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request or direction of the Company mentioned herein shall be sufficiently evidenced by a Company Request or Company Order and any resolution of the Board of Directors shall be sufficiently evidenced by a Board Resolution;</w:t>
      </w:r>
    </w:p>
    <w:p>
      <w:pPr>
        <w:spacing w:after="0" w:line="177" w:lineRule="exact"/>
        <w:rPr>
          <w:rFonts w:ascii="Courier New" w:cs="Courier New" w:eastAsia="Courier New" w:hAnsi="Courier New"/>
          <w:sz w:val="15"/>
          <w:szCs w:val="15"/>
          <w:color w:val="auto"/>
        </w:rPr>
      </w:pPr>
    </w:p>
    <w:p>
      <w:pPr>
        <w:ind w:left="820" w:right="3039" w:firstLine="718"/>
        <w:spacing w:after="0" w:line="246" w:lineRule="auto"/>
        <w:tabs>
          <w:tab w:leader="none" w:pos="2365"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whenever in the administration of this Indenture the Trustee shall deem it desirable that a matter be proved or established prior to taking, suffering or omitting any action hereunder, the Trustee (unless other evidence be herein specifically prescribed) may, in the absence of bad faith on its part, rely upon an Officers' Certificate;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SUBORDINATED INDENTURE</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- 41 -</w:t>
      </w:r>
    </w:p>
    <w:p>
      <w:pPr>
        <w:sectPr>
          <w:pgSz w:w="11900" w:h="16838" w:orient="portrait"/>
          <w:cols w:equalWidth="0" w:num="1">
            <w:col w:w="10219"/>
          </w:cols>
          <w:pgMar w:left="240" w:top="293" w:right="1440" w:bottom="1440" w:gutter="0" w:footer="0" w:header="0"/>
        </w:sectPr>
      </w:pPr>
    </w:p>
    <w:bookmarkStart w:id="103" w:name="page104"/>
    <w:bookmarkEnd w:id="103"/>
    <w:p>
      <w:pPr>
        <w:ind w:left="260"/>
        <w:spacing w:after="0"/>
        <w:rPr>
          <w:sz w:val="20"/>
          <w:szCs w:val="20"/>
          <w:color w:val="auto"/>
        </w:rPr>
      </w:pPr>
      <w:r>
        <w:rPr>
          <w:rFonts w:ascii="Courier New" w:cs="Courier New" w:eastAsia="Courier New" w:hAnsi="Courier New"/>
          <w:sz w:val="15"/>
          <w:szCs w:val="15"/>
          <w:color w:val="auto"/>
        </w:rPr>
        <w:t>49</w:t>
      </w:r>
    </w:p>
    <w:p>
      <w:pPr>
        <w:spacing w:after="0" w:line="5" w:lineRule="exact"/>
        <w:rPr>
          <w:sz w:val="20"/>
          <w:szCs w:val="20"/>
          <w:color w:val="auto"/>
        </w:rPr>
      </w:pPr>
    </w:p>
    <w:p>
      <w:pPr>
        <w:ind w:left="820" w:right="3139" w:firstLine="718"/>
        <w:spacing w:after="0" w:line="246" w:lineRule="auto"/>
        <w:tabs>
          <w:tab w:leader="none" w:pos="2365"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may consult with counsel and the written advice of such counsel or any Opinion of Counsel shall be full and complete authorization and protection in respect of any action taken, suffered or omitted by it hereunder in good faith and in reliance thereon;</w:t>
      </w:r>
    </w:p>
    <w:p>
      <w:pPr>
        <w:spacing w:after="0" w:line="177" w:lineRule="exact"/>
        <w:rPr>
          <w:rFonts w:ascii="Courier New" w:cs="Courier New" w:eastAsia="Courier New" w:hAnsi="Courier New"/>
          <w:sz w:val="15"/>
          <w:szCs w:val="15"/>
          <w:color w:val="auto"/>
        </w:rPr>
      </w:pPr>
    </w:p>
    <w:p>
      <w:pPr>
        <w:ind w:left="820" w:right="3039" w:firstLine="718"/>
        <w:spacing w:after="0" w:line="246" w:lineRule="auto"/>
        <w:tabs>
          <w:tab w:leader="none" w:pos="2365"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be under no obligation to exercise any of the rights or powers vested in it by this Indenture at the request or direction of any of the Holders pursuant to this Indenture, unless such Holders shall have offered to the Trustee reasonable security or indemnity against the costs, expenses and liabilities which might be incurred by it in compliance with such request or direction;</w:t>
      </w:r>
    </w:p>
    <w:p>
      <w:pPr>
        <w:spacing w:after="0" w:line="179" w:lineRule="exact"/>
        <w:rPr>
          <w:rFonts w:ascii="Courier New" w:cs="Courier New" w:eastAsia="Courier New" w:hAnsi="Courier New"/>
          <w:sz w:val="15"/>
          <w:szCs w:val="15"/>
          <w:color w:val="auto"/>
        </w:rPr>
      </w:pPr>
    </w:p>
    <w:p>
      <w:pPr>
        <w:ind w:left="820" w:right="3139" w:firstLine="718"/>
        <w:spacing w:after="0" w:line="246" w:lineRule="auto"/>
        <w:tabs>
          <w:tab w:leader="none" w:pos="2365"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and</w:t>
      </w:r>
    </w:p>
    <w:p>
      <w:pPr>
        <w:spacing w:after="0" w:line="180" w:lineRule="exact"/>
        <w:rPr>
          <w:rFonts w:ascii="Courier New" w:cs="Courier New" w:eastAsia="Courier New" w:hAnsi="Courier New"/>
          <w:sz w:val="15"/>
          <w:szCs w:val="15"/>
          <w:color w:val="auto"/>
        </w:rPr>
      </w:pPr>
    </w:p>
    <w:p>
      <w:pPr>
        <w:ind w:left="820" w:right="3139" w:firstLine="718"/>
        <w:spacing w:after="0" w:line="246" w:lineRule="auto"/>
        <w:tabs>
          <w:tab w:leader="none" w:pos="2365"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178"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5"/>
          <w:szCs w:val="15"/>
          <w:color w:val="auto"/>
        </w:rPr>
        <w:t>SECTION 604.</w:t>
      </w:r>
      <w:r>
        <w:rPr>
          <w:sz w:val="20"/>
          <w:szCs w:val="20"/>
          <w:color w:val="auto"/>
        </w:rPr>
        <w:tab/>
      </w:r>
      <w:r>
        <w:rPr>
          <w:rFonts w:ascii="Courier New" w:cs="Courier New" w:eastAsia="Courier New" w:hAnsi="Courier New"/>
          <w:sz w:val="15"/>
          <w:szCs w:val="15"/>
          <w:color w:val="auto"/>
        </w:rPr>
        <w:t>Not Responsible for Recitals or Issuance of Securities.</w:t>
      </w:r>
    </w:p>
    <w:p>
      <w:pPr>
        <w:spacing w:after="0" w:line="180" w:lineRule="exact"/>
        <w:rPr>
          <w:sz w:val="20"/>
          <w:szCs w:val="20"/>
          <w:color w:val="auto"/>
        </w:rPr>
      </w:pPr>
    </w:p>
    <w:p>
      <w:pPr>
        <w:ind w:right="3139" w:firstLine="818"/>
        <w:spacing w:after="0" w:line="246" w:lineRule="auto"/>
        <w:rPr>
          <w:sz w:val="20"/>
          <w:szCs w:val="20"/>
          <w:color w:val="auto"/>
        </w:rPr>
      </w:pPr>
      <w:r>
        <w:rPr>
          <w:rFonts w:ascii="Courier New" w:cs="Courier New" w:eastAsia="Courier New" w:hAnsi="Courier New"/>
          <w:sz w:val="15"/>
          <w:szCs w:val="15"/>
          <w:color w:val="auto"/>
        </w:rPr>
        <w:t>The recitals contained herein and in the Securities (except the Trustee's certificates of authentication) and in any coupons shall be taken as the statements of the Company, and the Trustee or any Authenticating Agent assumes no responsibility for their correctness. The Trustee makes no representations as to the validity or sufficiency of this Indenture or of the Securities or coupons. The Trustee or any Authenticating Agent shall not be accountable for the use or application by the Company of Securities or the proceeds thereof.</w:t>
      </w:r>
    </w:p>
    <w:p>
      <w:pPr>
        <w:spacing w:after="0" w:line="180"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5"/>
          <w:szCs w:val="15"/>
          <w:color w:val="auto"/>
        </w:rPr>
        <w:t>SECTION 605.</w:t>
      </w:r>
      <w:r>
        <w:rPr>
          <w:sz w:val="20"/>
          <w:szCs w:val="20"/>
          <w:color w:val="auto"/>
        </w:rPr>
        <w:tab/>
      </w:r>
      <w:r>
        <w:rPr>
          <w:rFonts w:ascii="Courier New" w:cs="Courier New" w:eastAsia="Courier New" w:hAnsi="Courier New"/>
          <w:sz w:val="15"/>
          <w:szCs w:val="15"/>
          <w:color w:val="auto"/>
        </w:rPr>
        <w:t>May Hold Securities.</w:t>
      </w:r>
    </w:p>
    <w:p>
      <w:pPr>
        <w:spacing w:after="0" w:line="180" w:lineRule="exact"/>
        <w:rPr>
          <w:sz w:val="20"/>
          <w:szCs w:val="20"/>
          <w:color w:val="auto"/>
        </w:rPr>
      </w:pPr>
    </w:p>
    <w:p>
      <w:pPr>
        <w:ind w:right="3139" w:firstLine="818"/>
        <w:spacing w:after="0" w:line="246" w:lineRule="auto"/>
        <w:rPr>
          <w:sz w:val="20"/>
          <w:szCs w:val="20"/>
          <w:color w:val="auto"/>
        </w:rPr>
      </w:pPr>
      <w:r>
        <w:rPr>
          <w:rFonts w:ascii="Courier New" w:cs="Courier New" w:eastAsia="Courier New" w:hAnsi="Courier New"/>
          <w:sz w:val="15"/>
          <w:szCs w:val="15"/>
          <w:color w:val="auto"/>
        </w:rPr>
        <w:t>The Trustee, any Authenticating Agent, any Paying Agent, any Security Registrar or any other agent of the Company, in its individual or any other capacity, may become the owner or pledgee of Securities and coupons and, subject to Sections 608 and 613, may otherwise deal with the Company with the same rights it would have if it were not Trustee, Authenticating Agent, Paying Agent, Security Registrar or such other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SUBORDINATED INDENTURE</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- 42 -</w:t>
      </w:r>
    </w:p>
    <w:p>
      <w:pPr>
        <w:sectPr>
          <w:pgSz w:w="11900" w:h="16838" w:orient="portrait"/>
          <w:cols w:equalWidth="0" w:num="1">
            <w:col w:w="10219"/>
          </w:cols>
          <w:pgMar w:left="240" w:top="293" w:right="1440" w:bottom="1440" w:gutter="0" w:footer="0" w:header="0"/>
        </w:sectPr>
      </w:pPr>
    </w:p>
    <w:bookmarkStart w:id="104" w:name="page105"/>
    <w:bookmarkEnd w:id="104"/>
    <w:p>
      <w:pPr>
        <w:ind w:left="260"/>
        <w:spacing w:after="0"/>
        <w:rPr>
          <w:sz w:val="20"/>
          <w:szCs w:val="20"/>
          <w:color w:val="auto"/>
        </w:rPr>
      </w:pPr>
      <w:r>
        <w:rPr>
          <w:rFonts w:ascii="Courier New" w:cs="Courier New" w:eastAsia="Courier New" w:hAnsi="Courier New"/>
          <w:sz w:val="15"/>
          <w:szCs w:val="15"/>
          <w:color w:val="auto"/>
        </w:rPr>
        <w:t>50</w:t>
      </w:r>
    </w:p>
    <w:p>
      <w:pPr>
        <w:spacing w:after="0" w:line="5" w:lineRule="exact"/>
        <w:rPr>
          <w:sz w:val="20"/>
          <w:szCs w:val="20"/>
          <w:color w:val="auto"/>
        </w:rPr>
      </w:pPr>
    </w:p>
    <w:p>
      <w:pPr>
        <w:ind w:left="820"/>
        <w:spacing w:after="0"/>
        <w:tabs>
          <w:tab w:leader="none" w:pos="2340" w:val="left"/>
        </w:tabs>
        <w:rPr>
          <w:sz w:val="20"/>
          <w:szCs w:val="20"/>
          <w:color w:val="auto"/>
        </w:rPr>
      </w:pPr>
      <w:r>
        <w:rPr>
          <w:rFonts w:ascii="Courier New" w:cs="Courier New" w:eastAsia="Courier New" w:hAnsi="Courier New"/>
          <w:sz w:val="15"/>
          <w:szCs w:val="15"/>
          <w:color w:val="auto"/>
        </w:rPr>
        <w:t>SECTION 606.</w:t>
      </w:r>
      <w:r>
        <w:rPr>
          <w:sz w:val="20"/>
          <w:szCs w:val="20"/>
          <w:color w:val="auto"/>
        </w:rPr>
        <w:tab/>
      </w:r>
      <w:r>
        <w:rPr>
          <w:rFonts w:ascii="Courier New" w:cs="Courier New" w:eastAsia="Courier New" w:hAnsi="Courier New"/>
          <w:sz w:val="15"/>
          <w:szCs w:val="15"/>
          <w:color w:val="auto"/>
        </w:rPr>
        <w:t>Money Held in Trust.</w:t>
      </w:r>
    </w:p>
    <w:p>
      <w:pPr>
        <w:spacing w:after="0" w:line="180"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Money held by the Trustee in trust hereunder need not be segregated from other funds except to the extent required by law. The Trustee shall be under no liability for interest on any money received by it hereunder except as otherwise agreed with the Company.</w:t>
      </w:r>
    </w:p>
    <w:p>
      <w:pPr>
        <w:spacing w:after="0" w:line="177"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5"/>
          <w:szCs w:val="15"/>
          <w:color w:val="auto"/>
        </w:rPr>
        <w:t>SECTION 607.</w:t>
      </w:r>
      <w:r>
        <w:rPr>
          <w:sz w:val="20"/>
          <w:szCs w:val="20"/>
          <w:color w:val="auto"/>
        </w:rPr>
        <w:tab/>
      </w:r>
      <w:r>
        <w:rPr>
          <w:rFonts w:ascii="Courier New" w:cs="Courier New" w:eastAsia="Courier New" w:hAnsi="Courier New"/>
          <w:sz w:val="15"/>
          <w:szCs w:val="15"/>
          <w:color w:val="auto"/>
        </w:rPr>
        <w:t>Compensation and Reimbursement.</w:t>
      </w:r>
    </w:p>
    <w:p>
      <w:pPr>
        <w:spacing w:after="0" w:line="180"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The Company agrees:</w:t>
      </w:r>
    </w:p>
    <w:p>
      <w:pPr>
        <w:spacing w:after="0" w:line="180" w:lineRule="exact"/>
        <w:rPr>
          <w:sz w:val="20"/>
          <w:szCs w:val="20"/>
          <w:color w:val="auto"/>
        </w:rPr>
      </w:pPr>
    </w:p>
    <w:p>
      <w:pPr>
        <w:ind w:left="820" w:right="3039" w:firstLine="718"/>
        <w:spacing w:after="0" w:line="246" w:lineRule="auto"/>
        <w:tabs>
          <w:tab w:leader="none" w:pos="2365"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pay to the Trustee from time to time reasonable compensation for all services rendered by it hereunder (which compensation shall not be limited by any provision of law in regard to the compensation of a trustee of an express trust);</w:t>
      </w:r>
    </w:p>
    <w:p>
      <w:pPr>
        <w:spacing w:after="0" w:line="177" w:lineRule="exact"/>
        <w:rPr>
          <w:rFonts w:ascii="Courier New" w:cs="Courier New" w:eastAsia="Courier New" w:hAnsi="Courier New"/>
          <w:sz w:val="15"/>
          <w:szCs w:val="15"/>
          <w:color w:val="auto"/>
        </w:rPr>
      </w:pPr>
    </w:p>
    <w:p>
      <w:pPr>
        <w:ind w:left="820" w:right="3039" w:firstLine="718"/>
        <w:spacing w:after="0" w:line="246" w:lineRule="auto"/>
        <w:tabs>
          <w:tab w:leader="none" w:pos="2365"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expressly provided herein, to reimburse the Trustee and each predecessor Trustee upon its request for all reasonable expenses, disbursements and advances incurred or made by the Trustee in accordance with any provision of this Indenture (including the reasonable compensation and the expenses and disbursements of its agents and counsel), except any such expense, disbursement or advance as may be attributable to its negligence or bad faith; and</w:t>
      </w:r>
    </w:p>
    <w:p>
      <w:pPr>
        <w:spacing w:after="0" w:line="179" w:lineRule="exact"/>
        <w:rPr>
          <w:rFonts w:ascii="Courier New" w:cs="Courier New" w:eastAsia="Courier New" w:hAnsi="Courier New"/>
          <w:sz w:val="15"/>
          <w:szCs w:val="15"/>
          <w:color w:val="auto"/>
        </w:rPr>
      </w:pPr>
    </w:p>
    <w:p>
      <w:pPr>
        <w:ind w:left="820" w:right="3039" w:firstLine="718"/>
        <w:spacing w:after="0" w:line="246" w:lineRule="auto"/>
        <w:tabs>
          <w:tab w:leader="none" w:pos="2365"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indemnify the Trustee and each predecessor Trustee for, and to hold it harmless against, any loss, liability or expense incurred without negligence or bad faith on its part, arising out of or in connection with the acceptance or administration of the trust or trusts hereunder, including the costs and expenses of defending itself against any claim or liability in connection with the exercise or performance of any of its powers or duties hereunder.</w:t>
      </w:r>
    </w:p>
    <w:p>
      <w:pPr>
        <w:spacing w:after="0" w:line="179"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The obligations of the Company under this Section shall not be subordinated to the payment of Senior Indebtedness pursuant to Article Sixteen hereof, and as security for the performance of such obligations, the Trustee shall have a lien prior to the Securities upon all property and funds held or collected by the Trustee as such, except funds held in trust for the benefit of the Holders of particular Securities.</w:t>
      </w:r>
    </w:p>
    <w:p>
      <w:pPr>
        <w:spacing w:after="0" w:line="178"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5"/>
          <w:szCs w:val="15"/>
          <w:color w:val="auto"/>
        </w:rPr>
        <w:t>SECTION 608.</w:t>
      </w:r>
      <w:r>
        <w:rPr>
          <w:sz w:val="20"/>
          <w:szCs w:val="20"/>
          <w:color w:val="auto"/>
        </w:rPr>
        <w:tab/>
      </w:r>
      <w:r>
        <w:rPr>
          <w:rFonts w:ascii="Courier New" w:cs="Courier New" w:eastAsia="Courier New" w:hAnsi="Courier New"/>
          <w:sz w:val="15"/>
          <w:szCs w:val="15"/>
          <w:color w:val="auto"/>
        </w:rPr>
        <w:t>Disqualification; Conflicting Interests.</w:t>
      </w:r>
    </w:p>
    <w:p>
      <w:pPr>
        <w:spacing w:after="0" w:line="180"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If the Trustee has or shall acquire a conflicting interest within the meaning of the Trust Indenture Act, the Trustee shall either eliminate such interest or resign, to the extent and in the manner provided by, and subject to the provisions of, the Trust Indenture Act and this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SUBORDINATED INDENTURE</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- 43 -</w:t>
      </w:r>
    </w:p>
    <w:p>
      <w:pPr>
        <w:sectPr>
          <w:pgSz w:w="11900" w:h="16838" w:orient="portrait"/>
          <w:cols w:equalWidth="0" w:num="1">
            <w:col w:w="10219"/>
          </w:cols>
          <w:pgMar w:left="240" w:top="293" w:right="1440" w:bottom="1440" w:gutter="0" w:footer="0" w:header="0"/>
        </w:sectPr>
      </w:pPr>
    </w:p>
    <w:bookmarkStart w:id="105" w:name="page106"/>
    <w:bookmarkEnd w:id="105"/>
    <w:p>
      <w:pPr>
        <w:ind w:left="260"/>
        <w:spacing w:after="0"/>
        <w:rPr>
          <w:sz w:val="20"/>
          <w:szCs w:val="20"/>
          <w:color w:val="auto"/>
        </w:rPr>
      </w:pPr>
      <w:r>
        <w:rPr>
          <w:rFonts w:ascii="Courier New" w:cs="Courier New" w:eastAsia="Courier New" w:hAnsi="Courier New"/>
          <w:sz w:val="15"/>
          <w:szCs w:val="15"/>
          <w:color w:val="auto"/>
        </w:rPr>
        <w:t>51</w:t>
      </w:r>
    </w:p>
    <w:p>
      <w:pPr>
        <w:spacing w:after="0" w:line="5"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5"/>
          <w:szCs w:val="15"/>
          <w:color w:val="auto"/>
        </w:rPr>
        <w:t>SECTION 609.</w:t>
      </w:r>
      <w:r>
        <w:rPr>
          <w:sz w:val="20"/>
          <w:szCs w:val="20"/>
          <w:color w:val="auto"/>
        </w:rPr>
        <w:tab/>
      </w:r>
      <w:r>
        <w:rPr>
          <w:rFonts w:ascii="Courier New" w:cs="Courier New" w:eastAsia="Courier New" w:hAnsi="Courier New"/>
          <w:sz w:val="15"/>
          <w:szCs w:val="15"/>
          <w:color w:val="auto"/>
        </w:rPr>
        <w:t>Corporate Trustee Required; Eligibility.</w:t>
      </w:r>
    </w:p>
    <w:p>
      <w:pPr>
        <w:spacing w:after="0" w:line="180"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There shall at all times be a Trustee hereunder which shall be a corporation organized and doing business under the laws of the United States of America, any State thereof or the District of Columbia, authorized under such laws to exercise corporate trust powers, having a combined capital and surplus of at least $50,000,000, subject to supervision or examination by Federal or State authority. If such corporation publishes reports of condition at least annually, pursuant to law or to the requirements of said supervising or examining authority, then for the purposes of this Section, the combined capital and surplus of such corporation shall be deemed to be its combined capital and surplus as set forth in its most recent report of condition so published. If at any time the Trustee shall cease to be eligible in accordance with the provisions of this Section, it shall resign immediately in the manner and with the effect hereinafter specified in this Article. No obligor upon any Security issued under this Indenture or a person directly or indirectly controlling, controlled by or under common control with such obligor shall serve as Trustee under this Indenture.</w:t>
      </w:r>
    </w:p>
    <w:p>
      <w:pPr>
        <w:spacing w:after="0" w:line="184"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5"/>
          <w:szCs w:val="15"/>
          <w:color w:val="auto"/>
        </w:rPr>
        <w:t>SECTION 610.</w:t>
      </w:r>
      <w:r>
        <w:rPr>
          <w:sz w:val="20"/>
          <w:szCs w:val="20"/>
          <w:color w:val="auto"/>
        </w:rPr>
        <w:tab/>
      </w:r>
      <w:r>
        <w:rPr>
          <w:rFonts w:ascii="Courier New" w:cs="Courier New" w:eastAsia="Courier New" w:hAnsi="Courier New"/>
          <w:sz w:val="15"/>
          <w:szCs w:val="15"/>
          <w:color w:val="auto"/>
        </w:rPr>
        <w:t>Resignation and Removal; Appointment of Successor.</w:t>
      </w:r>
    </w:p>
    <w:p>
      <w:pPr>
        <w:spacing w:after="0" w:line="180" w:lineRule="exact"/>
        <w:rPr>
          <w:sz w:val="20"/>
          <w:szCs w:val="20"/>
          <w:color w:val="auto"/>
        </w:rPr>
      </w:pPr>
    </w:p>
    <w:p>
      <w:pPr>
        <w:ind w:right="3039" w:firstLine="811"/>
        <w:spacing w:after="0" w:line="246" w:lineRule="auto"/>
        <w:tabs>
          <w:tab w:leader="none" w:pos="1545"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resignation or removal of the Trustee and no appointment of a successor Trustee pursuant to this Article shall become effective until the acceptance of appointment by the successor Trustee in accordance with the applicable requirements of Section 611.</w:t>
      </w:r>
    </w:p>
    <w:p>
      <w:pPr>
        <w:spacing w:after="0" w:line="177" w:lineRule="exact"/>
        <w:rPr>
          <w:rFonts w:ascii="Courier New" w:cs="Courier New" w:eastAsia="Courier New" w:hAnsi="Courier New"/>
          <w:sz w:val="15"/>
          <w:szCs w:val="15"/>
          <w:color w:val="auto"/>
        </w:rPr>
      </w:pPr>
    </w:p>
    <w:p>
      <w:pPr>
        <w:ind w:right="3139" w:firstLine="811"/>
        <w:spacing w:after="0" w:line="246" w:lineRule="auto"/>
        <w:tabs>
          <w:tab w:leader="none" w:pos="1545"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may resign at any time with respect to the Securities of one or more series by giving written notice thereof to the Company. If the instrument of acceptance by a successor Trustee required by Section 611 shall not have been delivered to the Trustee within 30 days after the giving of such notice of resignation, the resigning Trustee may petition any court of competent jurisdiction for the appointment of a successor Trustee with respect to the Securities of such series.</w:t>
      </w:r>
    </w:p>
    <w:p>
      <w:pPr>
        <w:spacing w:after="0" w:line="179" w:lineRule="exact"/>
        <w:rPr>
          <w:rFonts w:ascii="Courier New" w:cs="Courier New" w:eastAsia="Courier New" w:hAnsi="Courier New"/>
          <w:sz w:val="15"/>
          <w:szCs w:val="15"/>
          <w:color w:val="auto"/>
        </w:rPr>
      </w:pPr>
    </w:p>
    <w:p>
      <w:pPr>
        <w:ind w:right="3319" w:firstLine="811"/>
        <w:spacing w:after="0" w:line="246" w:lineRule="auto"/>
        <w:tabs>
          <w:tab w:leader="none" w:pos="1545"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may be removed at any time with respect to the Securities of any series by Act of the Holders of a majority in principal amount of the Outstanding Securities of such series delivered to the Trustee and to the Company.</w:t>
      </w:r>
    </w:p>
    <w:p>
      <w:pPr>
        <w:spacing w:after="0" w:line="177" w:lineRule="exact"/>
        <w:rPr>
          <w:rFonts w:ascii="Courier New" w:cs="Courier New" w:eastAsia="Courier New" w:hAnsi="Courier New"/>
          <w:sz w:val="15"/>
          <w:szCs w:val="15"/>
          <w:color w:val="auto"/>
        </w:rPr>
      </w:pPr>
    </w:p>
    <w:p>
      <w:pPr>
        <w:ind w:left="1540" w:hanging="729"/>
        <w:spacing w:after="0"/>
        <w:tabs>
          <w:tab w:leader="none" w:pos="1540"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at any time:</w:t>
      </w:r>
    </w:p>
    <w:p>
      <w:pPr>
        <w:spacing w:after="0" w:line="179" w:lineRule="exact"/>
        <w:rPr>
          <w:rFonts w:ascii="Courier New" w:cs="Courier New" w:eastAsia="Courier New" w:hAnsi="Courier New"/>
          <w:sz w:val="15"/>
          <w:szCs w:val="15"/>
          <w:color w:val="auto"/>
        </w:rPr>
      </w:pPr>
    </w:p>
    <w:p>
      <w:pPr>
        <w:ind w:left="820" w:right="3319" w:firstLine="718"/>
        <w:spacing w:after="0" w:line="246" w:lineRule="auto"/>
        <w:tabs>
          <w:tab w:leader="none" w:pos="2365" w:val="left"/>
        </w:tabs>
        <w:numPr>
          <w:ilvl w:val="1"/>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fail to comply with Section 608 after written request therefor by the Company or by any Holder of a Security who has been a bona fide Holder of a Security for at least six months, or</w:t>
      </w:r>
    </w:p>
    <w:p>
      <w:pPr>
        <w:spacing w:after="0" w:line="177" w:lineRule="exact"/>
        <w:rPr>
          <w:rFonts w:ascii="Courier New" w:cs="Courier New" w:eastAsia="Courier New" w:hAnsi="Courier New"/>
          <w:sz w:val="15"/>
          <w:szCs w:val="15"/>
          <w:color w:val="auto"/>
        </w:rPr>
      </w:pPr>
    </w:p>
    <w:p>
      <w:pPr>
        <w:ind w:left="820" w:right="3139" w:firstLine="718"/>
        <w:spacing w:after="0" w:line="247" w:lineRule="auto"/>
        <w:tabs>
          <w:tab w:leader="none" w:pos="2365" w:val="left"/>
        </w:tabs>
        <w:numPr>
          <w:ilvl w:val="1"/>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cease to be eligible under Section 609 and shall fail to resign after written request therefor by the Company or by any such Holder,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SUBORDINATED INDENTURE</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- 44 -</w:t>
      </w:r>
    </w:p>
    <w:p>
      <w:pPr>
        <w:sectPr>
          <w:pgSz w:w="11900" w:h="16838" w:orient="portrait"/>
          <w:cols w:equalWidth="0" w:num="1">
            <w:col w:w="10219"/>
          </w:cols>
          <w:pgMar w:left="240" w:top="293" w:right="1440" w:bottom="1440" w:gutter="0" w:footer="0" w:header="0"/>
        </w:sectPr>
      </w:pPr>
    </w:p>
    <w:bookmarkStart w:id="106" w:name="page107"/>
    <w:bookmarkEnd w:id="106"/>
    <w:p>
      <w:pPr>
        <w:ind w:left="260"/>
        <w:spacing w:after="0"/>
        <w:rPr>
          <w:sz w:val="20"/>
          <w:szCs w:val="20"/>
          <w:color w:val="auto"/>
        </w:rPr>
      </w:pPr>
      <w:r>
        <w:rPr>
          <w:rFonts w:ascii="Courier New" w:cs="Courier New" w:eastAsia="Courier New" w:hAnsi="Courier New"/>
          <w:sz w:val="15"/>
          <w:szCs w:val="15"/>
          <w:color w:val="auto"/>
        </w:rPr>
        <w:t>52</w:t>
      </w:r>
    </w:p>
    <w:p>
      <w:pPr>
        <w:spacing w:after="0" w:line="5" w:lineRule="exact"/>
        <w:rPr>
          <w:sz w:val="20"/>
          <w:szCs w:val="20"/>
          <w:color w:val="auto"/>
        </w:rPr>
      </w:pPr>
    </w:p>
    <w:p>
      <w:pPr>
        <w:ind w:left="820" w:right="3039" w:firstLine="718"/>
        <w:spacing w:after="0" w:line="246" w:lineRule="auto"/>
        <w:tabs>
          <w:tab w:leader="none" w:pos="2365" w:val="left"/>
        </w:tabs>
        <w:numPr>
          <w:ilvl w:val="1"/>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become incapable of acting or shall be adjudged a bankrupt or insolvent or a receiver of the Trustee or of its property shall be appointed or a public officer shall take charge or control of the Trustee or of its property or affairs for the purpose of rehabilitation, conservation or liquidation, then, in any case, (i) the Company by a Board Resolution may remove the Trustee with respect to all Securities, or (ii) subject to Section 514, any Holder of a Security who has been a bona fide Holder of a Security for at least six months may, on behalf of himself and all others similarly situated, petition any court of competent jurisdiction for the removal of the Trustee with respect to all Securities and the appointment of a successor Trustee or Trustees.</w:t>
      </w:r>
    </w:p>
    <w:p>
      <w:pPr>
        <w:spacing w:after="0" w:line="182" w:lineRule="exact"/>
        <w:rPr>
          <w:rFonts w:ascii="Courier New" w:cs="Courier New" w:eastAsia="Courier New" w:hAnsi="Courier New"/>
          <w:sz w:val="15"/>
          <w:szCs w:val="15"/>
          <w:color w:val="auto"/>
        </w:rPr>
      </w:pPr>
    </w:p>
    <w:p>
      <w:pPr>
        <w:ind w:right="3039" w:firstLine="811"/>
        <w:spacing w:after="0" w:line="246" w:lineRule="auto"/>
        <w:tabs>
          <w:tab w:leader="none" w:pos="1545"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Trustee shall resign, be removed or become incapable of acting, or if a vacancy shall occur in the office of the Trustee for any cause, with respect to the Securities of one or more series, the Company, by a Board Resolution, shall promptly appoint a successor Trustee or Trustees with respect to the Securities of that or those series (it being understood that any such successor Trustee may be appointed with respect to the Securities of one or more or all series and that at any time there shall be only one Trustee with respect to the Securities of any particular series) and shall comply with the applicable requirements of Section 611. If, within one year after such resignation, removal or incapability, or the occurrence of such vacancy, a successor Trustee with respect to the Securities of any series shall be appointed by Act of the Holders of a majority in principal amount of the Outstanding Securities of such series delivered to the Company and the retiring Trustee, the successor Trustee so appointed shall, forthwith upon its acceptance of such appointment in accordance with the applicable requirements of Section 611, become the successor Trustee with respect to the Securities of such series and to that extent supersede the successor Trustee appointed by the Company. If no successor Trustee with respect to the Securities of any series shall have been so appointed by the Company or the Holders of Securities of such series and accepted appointment in the manner required by Section 611, any Holder of a Security who has been a bona fide Holder of a Security of such series for at least six months may, on behalf of himself and all others similarly situated, petition any court of competent jurisdiction for the appointment of a successor Trustee with respect to the Securities of such series. Such court may thereupon, after such notice, if any, as it may deem proper, appoint a successor Trustee.</w:t>
      </w:r>
    </w:p>
    <w:p>
      <w:pPr>
        <w:spacing w:after="0" w:line="190" w:lineRule="exact"/>
        <w:rPr>
          <w:rFonts w:ascii="Courier New" w:cs="Courier New" w:eastAsia="Courier New" w:hAnsi="Courier New"/>
          <w:sz w:val="15"/>
          <w:szCs w:val="15"/>
          <w:color w:val="auto"/>
        </w:rPr>
      </w:pPr>
    </w:p>
    <w:p>
      <w:pPr>
        <w:ind w:right="3039" w:firstLine="811"/>
        <w:spacing w:after="0" w:line="246" w:lineRule="auto"/>
        <w:tabs>
          <w:tab w:leader="none" w:pos="1545"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give notice of each resignation and each removal of the Trustee with respect to the Securities of any series and each appointment of a successor Trustee with respect to the Securities of any series in the manner provided in Section 106. Each notice shall include the name of the successor Trustee with respect to the Securities of such series and the address of its Corporate Trust Office.</w:t>
      </w:r>
    </w:p>
    <w:p>
      <w:pPr>
        <w:spacing w:after="0" w:line="178"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5"/>
          <w:szCs w:val="15"/>
          <w:color w:val="auto"/>
        </w:rPr>
        <w:t>SECTION 611.</w:t>
      </w:r>
      <w:r>
        <w:rPr>
          <w:sz w:val="20"/>
          <w:szCs w:val="20"/>
          <w:color w:val="auto"/>
        </w:rPr>
        <w:tab/>
      </w:r>
      <w:r>
        <w:rPr>
          <w:rFonts w:ascii="Courier New" w:cs="Courier New" w:eastAsia="Courier New" w:hAnsi="Courier New"/>
          <w:sz w:val="15"/>
          <w:szCs w:val="15"/>
          <w:color w:val="auto"/>
        </w:rPr>
        <w:t>Acceptance of Appointment by Successor.</w:t>
      </w:r>
    </w:p>
    <w:p>
      <w:pPr>
        <w:spacing w:after="0" w:line="180" w:lineRule="exact"/>
        <w:rPr>
          <w:sz w:val="20"/>
          <w:szCs w:val="20"/>
          <w:color w:val="auto"/>
        </w:rPr>
      </w:pPr>
    </w:p>
    <w:p>
      <w:pPr>
        <w:ind w:right="3039" w:firstLine="811"/>
        <w:spacing w:after="0" w:line="246" w:lineRule="auto"/>
        <w:tabs>
          <w:tab w:leader="none" w:pos="1545"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SUBORDINATED INDENTURE</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- 45 -</w:t>
      </w:r>
    </w:p>
    <w:p>
      <w:pPr>
        <w:sectPr>
          <w:pgSz w:w="11900" w:h="16838" w:orient="portrait"/>
          <w:cols w:equalWidth="0" w:num="1">
            <w:col w:w="10219"/>
          </w:cols>
          <w:pgMar w:left="240" w:top="293" w:right="1440" w:bottom="1440" w:gutter="0" w:footer="0" w:header="0"/>
        </w:sectPr>
      </w:pPr>
    </w:p>
    <w:bookmarkStart w:id="107" w:name="page108"/>
    <w:bookmarkEnd w:id="107"/>
    <w:p>
      <w:pPr>
        <w:ind w:left="260"/>
        <w:spacing w:after="0"/>
        <w:rPr>
          <w:sz w:val="20"/>
          <w:szCs w:val="20"/>
          <w:color w:val="auto"/>
        </w:rPr>
      </w:pPr>
      <w:r>
        <w:rPr>
          <w:rFonts w:ascii="Courier New" w:cs="Courier New" w:eastAsia="Courier New" w:hAnsi="Courier New"/>
          <w:sz w:val="15"/>
          <w:szCs w:val="15"/>
          <w:color w:val="auto"/>
        </w:rPr>
        <w:t>53</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resignation or removal of the retiring Trustee shall become effective and such successor Trustee, without further act, deed or conveyance, shall become vested with all the rights, powers, trusts and duties of the retiring Trustee, with like effect as if originally named Trustee hereunder; but on the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 Any Trustee ceasing to act shall, nevertheless, retain a prior lien upon all property or funds held or collected by such Trustee to secure any amounts then due it pursuant to the provisions of Section 607.</w:t>
      </w:r>
    </w:p>
    <w:p>
      <w:pPr>
        <w:spacing w:after="0" w:line="182" w:lineRule="exact"/>
        <w:rPr>
          <w:sz w:val="20"/>
          <w:szCs w:val="20"/>
          <w:color w:val="auto"/>
        </w:rPr>
      </w:pPr>
    </w:p>
    <w:p>
      <w:pPr>
        <w:ind w:right="3039" w:firstLine="811"/>
        <w:spacing w:after="0" w:line="246" w:lineRule="auto"/>
        <w:tabs>
          <w:tab w:leader="none" w:pos="1545"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as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w:t>
      </w:r>
    </w:p>
    <w:p>
      <w:pPr>
        <w:spacing w:after="0" w:line="193" w:lineRule="exact"/>
        <w:rPr>
          <w:rFonts w:ascii="Courier New" w:cs="Courier New" w:eastAsia="Courier New" w:hAnsi="Courier New"/>
          <w:sz w:val="15"/>
          <w:szCs w:val="15"/>
          <w:color w:val="auto"/>
        </w:rPr>
      </w:pPr>
    </w:p>
    <w:p>
      <w:pPr>
        <w:ind w:right="3419" w:firstLine="811"/>
        <w:spacing w:after="0" w:line="246" w:lineRule="auto"/>
        <w:tabs>
          <w:tab w:leader="none" w:pos="1545"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request of any successor Trustee, the Company shall execute any and all instruments for more fully and certainly vesting in and confirming to such successor Trustee all such rights, powers and trusts referred to in paragraph (a) or (b) of this Section, as the case may be.</w:t>
      </w:r>
    </w:p>
    <w:p>
      <w:pPr>
        <w:spacing w:after="0" w:line="177" w:lineRule="exact"/>
        <w:rPr>
          <w:rFonts w:ascii="Courier New" w:cs="Courier New" w:eastAsia="Courier New" w:hAnsi="Courier New"/>
          <w:sz w:val="15"/>
          <w:szCs w:val="15"/>
          <w:color w:val="auto"/>
        </w:rPr>
      </w:pPr>
    </w:p>
    <w:p>
      <w:pPr>
        <w:ind w:right="3319" w:firstLine="811"/>
        <w:spacing w:after="0" w:line="247" w:lineRule="auto"/>
        <w:tabs>
          <w:tab w:leader="none" w:pos="1545"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successor Trustee shall accept its appointment unless at the time of such acceptance such successor Trustee shall be qualified and eligible under this Article.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SUBORDINATED INDENTURE</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- 46 -</w:t>
      </w:r>
    </w:p>
    <w:p>
      <w:pPr>
        <w:sectPr>
          <w:pgSz w:w="11900" w:h="16838" w:orient="portrait"/>
          <w:cols w:equalWidth="0" w:num="1">
            <w:col w:w="10219"/>
          </w:cols>
          <w:pgMar w:left="240" w:top="293" w:right="1440" w:bottom="1440" w:gutter="0" w:footer="0" w:header="0"/>
        </w:sectPr>
      </w:pPr>
    </w:p>
    <w:bookmarkStart w:id="108" w:name="page109"/>
    <w:bookmarkEnd w:id="108"/>
    <w:p>
      <w:pPr>
        <w:ind w:left="260"/>
        <w:spacing w:after="0"/>
        <w:rPr>
          <w:sz w:val="20"/>
          <w:szCs w:val="20"/>
          <w:color w:val="auto"/>
        </w:rPr>
      </w:pPr>
      <w:r>
        <w:rPr>
          <w:rFonts w:ascii="Courier New" w:cs="Courier New" w:eastAsia="Courier New" w:hAnsi="Courier New"/>
          <w:sz w:val="15"/>
          <w:szCs w:val="15"/>
          <w:color w:val="auto"/>
        </w:rPr>
        <w:t>54</w:t>
      </w:r>
    </w:p>
    <w:p>
      <w:pPr>
        <w:spacing w:after="0" w:line="5"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5"/>
          <w:szCs w:val="15"/>
          <w:color w:val="auto"/>
        </w:rPr>
        <w:t>SECTION 612.</w:t>
      </w:r>
      <w:r>
        <w:rPr>
          <w:sz w:val="20"/>
          <w:szCs w:val="20"/>
          <w:color w:val="auto"/>
        </w:rPr>
        <w:tab/>
      </w:r>
      <w:r>
        <w:rPr>
          <w:rFonts w:ascii="Courier New" w:cs="Courier New" w:eastAsia="Courier New" w:hAnsi="Courier New"/>
          <w:sz w:val="15"/>
          <w:szCs w:val="15"/>
          <w:color w:val="auto"/>
        </w:rPr>
        <w:t>Merger, Conversion, Consolidation or Succession to Business.</w:t>
      </w:r>
    </w:p>
    <w:p>
      <w:pPr>
        <w:spacing w:after="0" w:line="180"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Any corporation into which the Trustee may be merged or converted or with which it may be consolidated, or any corporation resulting from any merger, conversion or consolidation to which the Trustee shall be a party, or any corporation succeeding to all or substantially all the corporate trust business of the Trustee, shall be the successor of the Trustee hereunder, provided, such corporation shall be otherwise qualified and eligible under this Article, without the execution or filing of any paper or any further act on the part of any of the parties hereto.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spacing w:after="0" w:line="182"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5"/>
          <w:szCs w:val="15"/>
          <w:color w:val="auto"/>
        </w:rPr>
        <w:t>SECTION 613.</w:t>
      </w:r>
      <w:r>
        <w:rPr>
          <w:sz w:val="20"/>
          <w:szCs w:val="20"/>
          <w:color w:val="auto"/>
        </w:rPr>
        <w:tab/>
      </w:r>
      <w:r>
        <w:rPr>
          <w:rFonts w:ascii="Courier New" w:cs="Courier New" w:eastAsia="Courier New" w:hAnsi="Courier New"/>
          <w:sz w:val="15"/>
          <w:szCs w:val="15"/>
          <w:color w:val="auto"/>
        </w:rPr>
        <w:t>Preferential Collection of Claims Against Company.</w:t>
      </w:r>
    </w:p>
    <w:p>
      <w:pPr>
        <w:spacing w:after="0" w:line="180"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If and when the Trustee shall be or become a creditor of the Company (or any other obligor upon the Securities), the Trustee shall be subject to the provisions of the Trust Indenture Act regarding the collection of claims against the Company (or any such other obligor).</w:t>
      </w:r>
    </w:p>
    <w:p>
      <w:pPr>
        <w:spacing w:after="0" w:line="177"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5"/>
          <w:szCs w:val="15"/>
          <w:color w:val="auto"/>
        </w:rPr>
        <w:t>SECTION 614.</w:t>
      </w:r>
      <w:r>
        <w:rPr>
          <w:sz w:val="20"/>
          <w:szCs w:val="20"/>
          <w:color w:val="auto"/>
        </w:rPr>
        <w:tab/>
      </w:r>
      <w:r>
        <w:rPr>
          <w:rFonts w:ascii="Courier New" w:cs="Courier New" w:eastAsia="Courier New" w:hAnsi="Courier New"/>
          <w:sz w:val="15"/>
          <w:szCs w:val="15"/>
          <w:color w:val="auto"/>
        </w:rPr>
        <w:t>Appointment of Authenticating Agent.</w:t>
      </w:r>
    </w:p>
    <w:p>
      <w:pPr>
        <w:spacing w:after="0" w:line="180"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The Trustee may, by an instrument in writing, appoint an Authenticating Agent or Agents with respect to one or more series of Securities which may be authorized to act on behalf of the Trustee to authenticate Securities of such series issued upon original issue or upon exchange, registration of transfer or partial redemption thereof or pursuant to Section 306, and Securities so authenticated shall be entitled to the benefits of this Indenture and shall be valid and obligatory for all purposes as if authenticated by the Trustee hereunder. Wherever reference is made in this Indenture to the authentication and delivery of Securities by the Trustee or the Trustee's certificate of authentication, such reference shall be deemed to include authentication and delivery on behalf of the Trustee by an Authenticating Agent. Each Authenticating Agent shall be acceptable to the Company and shall at all times be a corporation organized and doing business under the laws of the United States of America, any State thereof or the District of Columbia (or, if Bearer Securities, organized and doing business under the laws of the country in which the Bearer Securities are eligible), authorized under such laws to act as Authenticating Agent, having a combined capital and surplus of not less than $50,000,000 and subject to supervision or examination by Federal or State authority (or, if Bearer Securities, an authority of the country in which the Bearer Securities are eligible). If such Authenticating Agent publishes reports of condition at least annually, pursuant to law or to the requirements of said supervising or examining authority, then for the purposes of this Section, the combined capital and surplus of such Authenticating Agent shall be deemed to be its combined capital and surplus as set forth in its most recent report of condition so published. If at any time an Authenticating Agent shall cease to be eligible in accordance with the provisions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SUBORDINATED INDENTURE</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- 47 -</w:t>
      </w:r>
    </w:p>
    <w:p>
      <w:pPr>
        <w:sectPr>
          <w:pgSz w:w="11900" w:h="16838" w:orient="portrait"/>
          <w:cols w:equalWidth="0" w:num="1">
            <w:col w:w="10219"/>
          </w:cols>
          <w:pgMar w:left="240" w:top="293" w:right="1440" w:bottom="1440" w:gutter="0" w:footer="0" w:header="0"/>
        </w:sectPr>
      </w:pPr>
    </w:p>
    <w:bookmarkStart w:id="109" w:name="page110"/>
    <w:bookmarkEnd w:id="109"/>
    <w:p>
      <w:pPr>
        <w:ind w:left="260"/>
        <w:spacing w:after="0"/>
        <w:rPr>
          <w:sz w:val="20"/>
          <w:szCs w:val="20"/>
          <w:color w:val="auto"/>
        </w:rPr>
      </w:pPr>
      <w:r>
        <w:rPr>
          <w:rFonts w:ascii="Courier New" w:cs="Courier New" w:eastAsia="Courier New" w:hAnsi="Courier New"/>
          <w:sz w:val="15"/>
          <w:szCs w:val="15"/>
          <w:color w:val="auto"/>
        </w:rPr>
        <w:t>55</w:t>
      </w:r>
    </w:p>
    <w:p>
      <w:pPr>
        <w:spacing w:after="0" w:line="5" w:lineRule="exact"/>
        <w:rPr>
          <w:sz w:val="20"/>
          <w:szCs w:val="20"/>
          <w:color w:val="auto"/>
        </w:rPr>
      </w:pPr>
    </w:p>
    <w:p>
      <w:pPr>
        <w:ind w:right="3219"/>
        <w:spacing w:after="0" w:line="247" w:lineRule="auto"/>
        <w:rPr>
          <w:sz w:val="20"/>
          <w:szCs w:val="20"/>
          <w:color w:val="auto"/>
        </w:rPr>
      </w:pPr>
      <w:r>
        <w:rPr>
          <w:rFonts w:ascii="Courier New" w:cs="Courier New" w:eastAsia="Courier New" w:hAnsi="Courier New"/>
          <w:sz w:val="15"/>
          <w:szCs w:val="15"/>
          <w:color w:val="auto"/>
        </w:rPr>
        <w:t>Section, such Authenticating Agent shall resign immediately in the manner and with the effect specified in this Section.</w:t>
      </w:r>
    </w:p>
    <w:p>
      <w:pPr>
        <w:spacing w:after="0" w:line="175"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Any corporation into which an Authenticating Agent may be merged or converted or with which it may be consolidated, or any corporation resulting from any merger, conversion or consolidation to which such Authenticating Agent shall be a party, or any corporation succeeding to the corporate agency or corporate trust business of such Authenticating Agent, shall continue to be an Authenticating Agent, provided, such corporation shall be otherwise eligible under this Section, without the execution or filing of any paper or any further act on the part of the Trustee or such Authenticating Agent.</w:t>
      </w:r>
    </w:p>
    <w:p>
      <w:pPr>
        <w:spacing w:after="0" w:line="180"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An Authenticating Agent may, and if it shall cease to be eligible shall, resign at any time by giving written notice thereof to the Trustee and to the Company. The Trustee may at any time terminate the agency of an Authenticating Agent by giving written notice thereof to such Authenticating Agent and to the Company. Upon receiving such notice of resignation or upon such termination, or in case at any time such Authenticating Agent shall cease to be eligible in accordance with the provisions of this Section, the Trustee may appoint a successor Authenticating Agent which shall be acceptable to the Company and shall mail written notice of such appointment by first-class mail, postage prepaid, to all Holders of Registered Securities, if any, of the series with respect to which such Authenticating Agent will serve, as their names and addresses appear in the Security Register. Any successor Authenticating Agent upon acceptance of its appointment hereunder shall become vested with all the rights, powers, and duties of its predecessor hereunder, with like effect as if originally named as an Authenticating Agent. No successor Authenticating Agent shall be appointed unless eligible under the provisions of this Section.</w:t>
      </w:r>
    </w:p>
    <w:p>
      <w:pPr>
        <w:spacing w:after="0" w:line="184" w:lineRule="exact"/>
        <w:rPr>
          <w:sz w:val="20"/>
          <w:szCs w:val="20"/>
          <w:color w:val="auto"/>
        </w:rPr>
      </w:pPr>
    </w:p>
    <w:p>
      <w:pPr>
        <w:ind w:right="3319" w:firstLine="818"/>
        <w:spacing w:after="0" w:line="246" w:lineRule="auto"/>
        <w:rPr>
          <w:sz w:val="20"/>
          <w:szCs w:val="20"/>
          <w:color w:val="auto"/>
        </w:rPr>
      </w:pPr>
      <w:r>
        <w:rPr>
          <w:rFonts w:ascii="Courier New" w:cs="Courier New" w:eastAsia="Courier New" w:hAnsi="Courier New"/>
          <w:sz w:val="15"/>
          <w:szCs w:val="15"/>
          <w:color w:val="auto"/>
        </w:rPr>
        <w:t>The Trustee agrees to pay to each Authenticating Agent from time to time reasonable compensation for its services under this Section, and the Trustee shall be entitled to be reimbursed for such payment, subject to the provisions of Section 607.</w:t>
      </w:r>
    </w:p>
    <w:p>
      <w:pPr>
        <w:spacing w:after="0" w:line="177" w:lineRule="exact"/>
        <w:rPr>
          <w:sz w:val="20"/>
          <w:szCs w:val="20"/>
          <w:color w:val="auto"/>
        </w:rPr>
      </w:pPr>
    </w:p>
    <w:p>
      <w:pPr>
        <w:ind w:right="3139" w:firstLine="818"/>
        <w:spacing w:after="0" w:line="246" w:lineRule="auto"/>
        <w:rPr>
          <w:sz w:val="20"/>
          <w:szCs w:val="20"/>
          <w:color w:val="auto"/>
        </w:rPr>
      </w:pPr>
      <w:r>
        <w:rPr>
          <w:rFonts w:ascii="Courier New" w:cs="Courier New" w:eastAsia="Courier New" w:hAnsi="Courier New"/>
          <w:sz w:val="15"/>
          <w:szCs w:val="15"/>
          <w:color w:val="auto"/>
        </w:rPr>
        <w:t>If an appointment with respect to one or more series is made pursuant to this Section, the Securities of such series may have been endorsed thereon, in addition to the Trustee's certificate of authentication, an alternative certificate of authentication in the following form:</w:t>
      </w:r>
    </w:p>
    <w:p>
      <w:pPr>
        <w:spacing w:after="0" w:line="177" w:lineRule="exact"/>
        <w:rPr>
          <w:sz w:val="20"/>
          <w:szCs w:val="20"/>
          <w:color w:val="auto"/>
        </w:rPr>
      </w:pPr>
    </w:p>
    <w:p>
      <w:pPr>
        <w:ind w:left="820" w:right="3679" w:firstLine="727"/>
        <w:spacing w:after="0" w:line="247" w:lineRule="auto"/>
        <w:rPr>
          <w:sz w:val="20"/>
          <w:szCs w:val="20"/>
          <w:color w:val="auto"/>
        </w:rPr>
      </w:pPr>
      <w:r>
        <w:rPr>
          <w:rFonts w:ascii="Courier New" w:cs="Courier New" w:eastAsia="Courier New" w:hAnsi="Courier New"/>
          <w:sz w:val="15"/>
          <w:szCs w:val="15"/>
          <w:color w:val="auto"/>
        </w:rPr>
        <w:t>"This is one of the Securities of the series designated therein referred to in the within-mentioned Indenture.</w:t>
      </w:r>
    </w:p>
    <w:p>
      <w:pPr>
        <w:spacing w:after="0" w:line="200" w:lineRule="exact"/>
        <w:rPr>
          <w:sz w:val="20"/>
          <w:szCs w:val="20"/>
          <w:color w:val="auto"/>
        </w:rPr>
      </w:pPr>
    </w:p>
    <w:p>
      <w:pPr>
        <w:spacing w:after="0" w:line="32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180"/>
        <w:spacing w:after="0"/>
        <w:rPr>
          <w:sz w:val="20"/>
          <w:szCs w:val="20"/>
          <w:color w:val="auto"/>
        </w:rPr>
      </w:pPr>
      <w:r>
        <w:rPr>
          <w:rFonts w:ascii="Courier New" w:cs="Courier New" w:eastAsia="Courier New" w:hAnsi="Courier New"/>
          <w:sz w:val="15"/>
          <w:szCs w:val="15"/>
          <w:color w:val="auto"/>
        </w:rPr>
        <w:t>As Trustee</w:t>
      </w:r>
    </w:p>
    <w:p>
      <w:pPr>
        <w:spacing w:after="0" w:line="35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5"/>
          <w:szCs w:val="15"/>
          <w:color w:val="auto"/>
        </w:rPr>
        <w:t>As Authenticating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SUBORDINATED INDENTURE</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- 48 -</w:t>
      </w:r>
    </w:p>
    <w:p>
      <w:pPr>
        <w:sectPr>
          <w:pgSz w:w="11900" w:h="16838" w:orient="portrait"/>
          <w:cols w:equalWidth="0" w:num="1">
            <w:col w:w="10219"/>
          </w:cols>
          <w:pgMar w:left="240" w:top="293" w:right="1440" w:bottom="1440" w:gutter="0" w:footer="0" w:header="0"/>
        </w:sectPr>
      </w:pPr>
    </w:p>
    <w:bookmarkStart w:id="110" w:name="page111"/>
    <w:bookmarkEnd w:id="110"/>
    <w:p>
      <w:pPr>
        <w:ind w:left="260"/>
        <w:spacing w:after="0"/>
        <w:rPr>
          <w:sz w:val="20"/>
          <w:szCs w:val="20"/>
          <w:color w:val="auto"/>
        </w:rPr>
      </w:pPr>
      <w:r>
        <w:rPr>
          <w:rFonts w:ascii="Courier New" w:cs="Courier New" w:eastAsia="Courier New" w:hAnsi="Courier New"/>
          <w:sz w:val="15"/>
          <w:szCs w:val="15"/>
          <w:color w:val="auto"/>
        </w:rPr>
        <w:t>56</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center"/>
        <w:ind w:right="39"/>
        <w:spacing w:after="0"/>
        <w:rPr>
          <w:sz w:val="20"/>
          <w:szCs w:val="20"/>
          <w:color w:val="auto"/>
        </w:rPr>
      </w:pPr>
      <w:r>
        <w:rPr>
          <w:rFonts w:ascii="Courier New" w:cs="Courier New" w:eastAsia="Courier New" w:hAnsi="Courier New"/>
          <w:sz w:val="15"/>
          <w:szCs w:val="15"/>
          <w:color w:val="auto"/>
        </w:rPr>
        <w:t>Authorized Officer."</w:t>
      </w:r>
    </w:p>
    <w:p>
      <w:pPr>
        <w:spacing w:after="0" w:line="354"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If all the Securities of a series may not be originally issued at one time, and if the Company has an Affiliate eligible to be appointed as an Authenticating Agent hereunder or the Trustee does not have an office capable of authenticating Securities upon original issuance located in a Place of Payment where the Company wishes to have Securities of such series authenticated upon original issuance, the Trustee, if so requested by the Company in writing (which writing need not comply with Section 102 and need not be accompanied by an Opinion of Counsel), shall appoint in accordance with this Section an Authenticating Agent (which, if so requested by the Company, shall be such Affiliate of the Company) having an office in a Place of Payment designated by the Company with respect to such series of Securities.</w:t>
      </w:r>
    </w:p>
    <w:p>
      <w:pPr>
        <w:spacing w:after="0" w:line="18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ARTICLE SEVEN</w:t>
      </w:r>
    </w:p>
    <w:p>
      <w:pPr>
        <w:spacing w:after="0" w:line="5"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HOLDERS' LISTS AND REPORTS BY TRUSTEE AND COMPANY</w:t>
      </w:r>
    </w:p>
    <w:p>
      <w:pPr>
        <w:spacing w:after="0" w:line="180"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5"/>
          <w:szCs w:val="15"/>
          <w:color w:val="auto"/>
        </w:rPr>
        <w:t>SECTION 701.</w:t>
      </w:r>
      <w:r>
        <w:rPr>
          <w:sz w:val="20"/>
          <w:szCs w:val="20"/>
          <w:color w:val="auto"/>
        </w:rPr>
        <w:tab/>
      </w:r>
      <w:r>
        <w:rPr>
          <w:rFonts w:ascii="Courier New" w:cs="Courier New" w:eastAsia="Courier New" w:hAnsi="Courier New"/>
          <w:sz w:val="15"/>
          <w:szCs w:val="15"/>
          <w:color w:val="auto"/>
        </w:rPr>
        <w:t>Company to Furnish Trustee Names and Addresses of Holders.</w:t>
      </w:r>
    </w:p>
    <w:p>
      <w:pPr>
        <w:spacing w:after="0" w:line="180" w:lineRule="exact"/>
        <w:rPr>
          <w:sz w:val="20"/>
          <w:szCs w:val="20"/>
          <w:color w:val="auto"/>
        </w:rPr>
      </w:pPr>
    </w:p>
    <w:p>
      <w:pPr>
        <w:ind w:right="3039" w:firstLine="818"/>
        <w:spacing w:after="0" w:line="247" w:lineRule="auto"/>
        <w:rPr>
          <w:sz w:val="20"/>
          <w:szCs w:val="20"/>
          <w:color w:val="auto"/>
        </w:rPr>
      </w:pPr>
      <w:r>
        <w:rPr>
          <w:rFonts w:ascii="Courier New" w:cs="Courier New" w:eastAsia="Courier New" w:hAnsi="Courier New"/>
          <w:sz w:val="15"/>
          <w:szCs w:val="15"/>
          <w:color w:val="auto"/>
        </w:rPr>
        <w:t>With respect to each series of Securities, the Company will furnish or cause to be furnished to the Trustee:</w:t>
      </w:r>
    </w:p>
    <w:p>
      <w:pPr>
        <w:spacing w:after="0" w:line="175" w:lineRule="exact"/>
        <w:rPr>
          <w:sz w:val="20"/>
          <w:szCs w:val="20"/>
          <w:color w:val="auto"/>
        </w:rPr>
      </w:pPr>
    </w:p>
    <w:p>
      <w:pPr>
        <w:ind w:right="3139" w:firstLine="811"/>
        <w:spacing w:after="0" w:line="246" w:lineRule="auto"/>
        <w:tabs>
          <w:tab w:leader="none" w:pos="1545"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semi-annually, not later than 15 days after a Regular Record Date, a list, in such form as the Trustee may reasonably require, containing all the information in the possession or control of the Company, or any of its Paying Agents other than the Trustee, as to the names and addresses of the Holders of Securities as of the immediately preceding Regular Record Date, and</w:t>
      </w:r>
    </w:p>
    <w:p>
      <w:pPr>
        <w:spacing w:after="0" w:line="177" w:lineRule="exact"/>
        <w:rPr>
          <w:rFonts w:ascii="Courier New" w:cs="Courier New" w:eastAsia="Courier New" w:hAnsi="Courier New"/>
          <w:sz w:val="15"/>
          <w:szCs w:val="15"/>
          <w:color w:val="auto"/>
        </w:rPr>
      </w:pPr>
    </w:p>
    <w:p>
      <w:pPr>
        <w:ind w:right="3139" w:firstLine="811"/>
        <w:spacing w:after="0" w:line="246" w:lineRule="auto"/>
        <w:tabs>
          <w:tab w:leader="none" w:pos="1545"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such other times as the Trustee may request in writing, within 30 days after the receipt by the Company of any such request, a list of similar form and content as of a date not more than 15 days prior to the time such list is furnished;</w:t>
      </w:r>
    </w:p>
    <w:p>
      <w:pPr>
        <w:spacing w:after="0" w:line="177"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excluding from any such list names and addresses received by the Trustee in its capacity as Security Registrar.</w:t>
      </w:r>
    </w:p>
    <w:p>
      <w:pPr>
        <w:spacing w:after="0" w:line="175" w:lineRule="exact"/>
        <w:rPr>
          <w:sz w:val="20"/>
          <w:szCs w:val="20"/>
          <w:color w:val="auto"/>
        </w:rPr>
      </w:pPr>
    </w:p>
    <w:p>
      <w:pPr>
        <w:spacing w:after="0"/>
        <w:tabs>
          <w:tab w:leader="none" w:pos="1520" w:val="left"/>
          <w:tab w:leader="none" w:pos="4240" w:val="left"/>
        </w:tabs>
        <w:rPr>
          <w:sz w:val="20"/>
          <w:szCs w:val="20"/>
          <w:color w:val="auto"/>
        </w:rPr>
      </w:pPr>
      <w:r>
        <w:rPr>
          <w:rFonts w:ascii="Courier New" w:cs="Courier New" w:eastAsia="Courier New" w:hAnsi="Courier New"/>
          <w:sz w:val="15"/>
          <w:szCs w:val="15"/>
          <w:color w:val="auto"/>
        </w:rPr>
        <w:t>SECTION 702.</w:t>
      </w:r>
      <w:r>
        <w:rPr>
          <w:sz w:val="20"/>
          <w:szCs w:val="20"/>
          <w:color w:val="auto"/>
        </w:rPr>
        <w:tab/>
      </w:r>
      <w:r>
        <w:rPr>
          <w:rFonts w:ascii="Courier New" w:cs="Courier New" w:eastAsia="Courier New" w:hAnsi="Courier New"/>
          <w:sz w:val="15"/>
          <w:szCs w:val="15"/>
          <w:color w:val="auto"/>
        </w:rPr>
        <w:t>Preservation of Information:</w:t>
        <w:tab/>
        <w:t>Communications to Holders.</w:t>
      </w:r>
    </w:p>
    <w:p>
      <w:pPr>
        <w:spacing w:after="0" w:line="180" w:lineRule="exact"/>
        <w:rPr>
          <w:sz w:val="20"/>
          <w:szCs w:val="20"/>
          <w:color w:val="auto"/>
        </w:rPr>
      </w:pPr>
    </w:p>
    <w:p>
      <w:pPr>
        <w:ind w:right="3219" w:firstLine="811"/>
        <w:spacing w:after="0" w:line="246" w:lineRule="auto"/>
        <w:tabs>
          <w:tab w:leader="none" w:pos="1545"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preserve, in as current a form as is reasonably practicable, the names and addresses of Holders contained in the most recent list furnished to the Trustee as provided in Section 701, and the names and addresses of Holders received by the Trustee in its capacity as Security Registrar. The Trustee may destroy any list furnished to it as provided in Section 701 upon receipt of a new list so furnished.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SUBORDINATED INDENTURE</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- 49 -</w:t>
      </w:r>
    </w:p>
    <w:p>
      <w:pPr>
        <w:sectPr>
          <w:pgSz w:w="11900" w:h="16838" w:orient="portrait"/>
          <w:cols w:equalWidth="0" w:num="1">
            <w:col w:w="10219"/>
          </w:cols>
          <w:pgMar w:left="240" w:top="293" w:right="1440" w:bottom="1440" w:gutter="0" w:footer="0" w:header="0"/>
        </w:sectPr>
      </w:pPr>
    </w:p>
    <w:bookmarkStart w:id="111" w:name="page112"/>
    <w:bookmarkEnd w:id="111"/>
    <w:p>
      <w:pPr>
        <w:ind w:left="260"/>
        <w:spacing w:after="0"/>
        <w:rPr>
          <w:sz w:val="20"/>
          <w:szCs w:val="20"/>
          <w:color w:val="auto"/>
        </w:rPr>
      </w:pPr>
      <w:r>
        <w:rPr>
          <w:rFonts w:ascii="Courier New" w:cs="Courier New" w:eastAsia="Courier New" w:hAnsi="Courier New"/>
          <w:sz w:val="15"/>
          <w:szCs w:val="15"/>
          <w:color w:val="auto"/>
        </w:rPr>
        <w:t>57</w:t>
      </w:r>
    </w:p>
    <w:p>
      <w:pPr>
        <w:spacing w:after="0" w:line="5" w:lineRule="exact"/>
        <w:rPr>
          <w:sz w:val="20"/>
          <w:szCs w:val="20"/>
          <w:color w:val="auto"/>
        </w:rPr>
      </w:pPr>
    </w:p>
    <w:p>
      <w:pPr>
        <w:ind w:right="3039" w:firstLine="811"/>
        <w:spacing w:after="0" w:line="246" w:lineRule="auto"/>
        <w:tabs>
          <w:tab w:leader="none" w:pos="1545"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rights of the Holders to communicate with other Holders with respect to their rights under this Indenture or under the Securities, and the corresponding rights and privileges of the Trustee, shall be as provided by the Trust Indenture Act.</w:t>
      </w:r>
    </w:p>
    <w:p>
      <w:pPr>
        <w:spacing w:after="0" w:line="177" w:lineRule="exact"/>
        <w:rPr>
          <w:rFonts w:ascii="Courier New" w:cs="Courier New" w:eastAsia="Courier New" w:hAnsi="Courier New"/>
          <w:sz w:val="15"/>
          <w:szCs w:val="15"/>
          <w:color w:val="auto"/>
        </w:rPr>
      </w:pPr>
    </w:p>
    <w:p>
      <w:pPr>
        <w:ind w:right="3499" w:firstLine="811"/>
        <w:spacing w:after="0" w:line="246" w:lineRule="auto"/>
        <w:tabs>
          <w:tab w:leader="none" w:pos="1545"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Every Holder of Securities or coupons, by receiving and holding the same, agrees with the Company and the Trustee that neither the Company nor the Trustee nor any agent of either of them shall be held accountable by reason of any disclosure of information as to names and addresses of Holders made pursuant to the Trust Indenture Act and that the Trustee shall not be held accountable by reason of mailing any material pursuant to a request made under Section 702(b).</w:t>
      </w:r>
    </w:p>
    <w:p>
      <w:pPr>
        <w:spacing w:after="0" w:line="179"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5"/>
          <w:szCs w:val="15"/>
          <w:color w:val="auto"/>
        </w:rPr>
        <w:t>SECTION 703.</w:t>
      </w:r>
      <w:r>
        <w:rPr>
          <w:sz w:val="20"/>
          <w:szCs w:val="20"/>
          <w:color w:val="auto"/>
        </w:rPr>
        <w:tab/>
      </w:r>
      <w:r>
        <w:rPr>
          <w:rFonts w:ascii="Courier New" w:cs="Courier New" w:eastAsia="Courier New" w:hAnsi="Courier New"/>
          <w:sz w:val="15"/>
          <w:szCs w:val="15"/>
          <w:color w:val="auto"/>
        </w:rPr>
        <w:t>Reports by Trustee.</w:t>
      </w:r>
    </w:p>
    <w:p>
      <w:pPr>
        <w:spacing w:after="0" w:line="180" w:lineRule="exact"/>
        <w:rPr>
          <w:sz w:val="20"/>
          <w:szCs w:val="20"/>
          <w:color w:val="auto"/>
        </w:rPr>
      </w:pPr>
    </w:p>
    <w:p>
      <w:pPr>
        <w:ind w:right="3139" w:firstLine="811"/>
        <w:spacing w:after="0" w:line="246" w:lineRule="auto"/>
        <w:tabs>
          <w:tab w:leader="none" w:pos="1545"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or before August 1 in each year following the date hereof, the Trustee shall transmit to Holders such reports concerning the Trustee and its actions under this Indenture as may be required pursuant to the Trust Indenture Act at the times and in the manner provided pursuant thereto.</w:t>
      </w:r>
    </w:p>
    <w:p>
      <w:pPr>
        <w:spacing w:after="0" w:line="177" w:lineRule="exact"/>
        <w:rPr>
          <w:rFonts w:ascii="Courier New" w:cs="Courier New" w:eastAsia="Courier New" w:hAnsi="Courier New"/>
          <w:sz w:val="15"/>
          <w:szCs w:val="15"/>
          <w:color w:val="auto"/>
        </w:rPr>
      </w:pPr>
    </w:p>
    <w:p>
      <w:pPr>
        <w:ind w:right="3039" w:firstLine="811"/>
        <w:spacing w:after="0" w:line="246" w:lineRule="auto"/>
        <w:tabs>
          <w:tab w:leader="none" w:pos="1545"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each such report shall, at the time of such transmission to Holders, be filed by the Trustee with each stock exchange upon which any Securities are listed, with the Commission and with the Company. The Company will notify the Trustee when any Securities are listed on any stock exchange.</w:t>
      </w:r>
    </w:p>
    <w:p>
      <w:pPr>
        <w:spacing w:after="0" w:line="178"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5"/>
          <w:szCs w:val="15"/>
          <w:color w:val="auto"/>
        </w:rPr>
        <w:t>SECTION 704.</w:t>
      </w:r>
      <w:r>
        <w:rPr>
          <w:sz w:val="20"/>
          <w:szCs w:val="20"/>
          <w:color w:val="auto"/>
        </w:rPr>
        <w:tab/>
      </w:r>
      <w:r>
        <w:rPr>
          <w:rFonts w:ascii="Courier New" w:cs="Courier New" w:eastAsia="Courier New" w:hAnsi="Courier New"/>
          <w:sz w:val="15"/>
          <w:szCs w:val="15"/>
          <w:color w:val="auto"/>
        </w:rPr>
        <w:t>Reports by Company.</w:t>
      </w:r>
    </w:p>
    <w:p>
      <w:pPr>
        <w:spacing w:after="0" w:line="180" w:lineRule="exact"/>
        <w:rPr>
          <w:sz w:val="20"/>
          <w:szCs w:val="20"/>
          <w:color w:val="auto"/>
        </w:rPr>
      </w:pPr>
    </w:p>
    <w:p>
      <w:pPr>
        <w:ind w:right="3219" w:firstLine="818"/>
        <w:spacing w:after="0" w:line="246" w:lineRule="auto"/>
        <w:rPr>
          <w:sz w:val="20"/>
          <w:szCs w:val="20"/>
          <w:color w:val="auto"/>
        </w:rPr>
      </w:pPr>
      <w:r>
        <w:rPr>
          <w:rFonts w:ascii="Courier New" w:cs="Courier New" w:eastAsia="Courier New" w:hAnsi="Courier New"/>
          <w:sz w:val="15"/>
          <w:szCs w:val="15"/>
          <w:color w:val="auto"/>
        </w:rPr>
        <w:t>In addition to the certificates delivered to the Trustee pursuant to Section 1007, the Company shall file with the Trustee and the Commission, and transmit to Holders, such information, documents and other reports, and such summaries thereof, as may be required pursuant to the Trust Indenture Act at the times and in the manner provided pursuant to such Act; provided, however, that any such information, documents or reports required to be filed with the Commission pursuant to Section 13 or 15(d) of the Securities Exchange Act of 1934, shall be filed with the Trustee within 15 days after the same is so required to be filed with the Commission.</w:t>
      </w:r>
    </w:p>
    <w:p>
      <w:pPr>
        <w:spacing w:after="0" w:line="18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ARTICLE EIGHT</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CONSOLIDATION, MERGER, CONVEYANCE, TRANSFER OR LEASE</w:t>
      </w:r>
    </w:p>
    <w:p>
      <w:pPr>
        <w:spacing w:after="0" w:line="180"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5"/>
          <w:szCs w:val="15"/>
          <w:color w:val="auto"/>
        </w:rPr>
        <w:t>SECTION 801.</w:t>
      </w:r>
      <w:r>
        <w:rPr>
          <w:sz w:val="20"/>
          <w:szCs w:val="20"/>
          <w:color w:val="auto"/>
        </w:rPr>
        <w:tab/>
      </w:r>
      <w:r>
        <w:rPr>
          <w:rFonts w:ascii="Courier New" w:cs="Courier New" w:eastAsia="Courier New" w:hAnsi="Courier New"/>
          <w:sz w:val="15"/>
          <w:szCs w:val="15"/>
          <w:color w:val="auto"/>
        </w:rPr>
        <w:t>Company May Consolidate, Etc., Only on Certain Terms.</w:t>
      </w:r>
    </w:p>
    <w:p>
      <w:pPr>
        <w:spacing w:after="0" w:line="180" w:lineRule="exact"/>
        <w:rPr>
          <w:sz w:val="20"/>
          <w:szCs w:val="20"/>
          <w:color w:val="auto"/>
        </w:rPr>
      </w:pPr>
    </w:p>
    <w:p>
      <w:pPr>
        <w:ind w:right="3139" w:firstLine="818"/>
        <w:spacing w:after="0" w:line="247" w:lineRule="auto"/>
        <w:rPr>
          <w:sz w:val="20"/>
          <w:szCs w:val="20"/>
          <w:color w:val="auto"/>
        </w:rPr>
      </w:pPr>
      <w:r>
        <w:rPr>
          <w:rFonts w:ascii="Courier New" w:cs="Courier New" w:eastAsia="Courier New" w:hAnsi="Courier New"/>
          <w:sz w:val="15"/>
          <w:szCs w:val="15"/>
          <w:color w:val="auto"/>
        </w:rPr>
        <w:t>The Company shall not consolidate with or merge into any other Person or convey, transfer or lease its properties and assets substantially as an entirety to any Person, unless:</w:t>
      </w:r>
    </w:p>
    <w:p>
      <w:pPr>
        <w:spacing w:after="0" w:line="174" w:lineRule="exact"/>
        <w:rPr>
          <w:sz w:val="20"/>
          <w:szCs w:val="20"/>
          <w:color w:val="auto"/>
        </w:rPr>
      </w:pPr>
    </w:p>
    <w:p>
      <w:pPr>
        <w:ind w:left="820" w:right="3039" w:firstLine="718"/>
        <w:spacing w:after="0" w:line="247" w:lineRule="auto"/>
        <w:tabs>
          <w:tab w:leader="none" w:pos="2365"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Person formed by such consolidation or into which the Company is merged or the Person which acquires by conveyance or transfer, or which leases,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SUBORDINATED INDENTURE</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- 50 -</w:t>
      </w:r>
    </w:p>
    <w:p>
      <w:pPr>
        <w:sectPr>
          <w:pgSz w:w="11900" w:h="16838" w:orient="portrait"/>
          <w:cols w:equalWidth="0" w:num="1">
            <w:col w:w="10219"/>
          </w:cols>
          <w:pgMar w:left="240" w:top="293" w:right="1440" w:bottom="1440" w:gutter="0" w:footer="0" w:header="0"/>
        </w:sectPr>
      </w:pPr>
    </w:p>
    <w:bookmarkStart w:id="112" w:name="page113"/>
    <w:bookmarkEnd w:id="112"/>
    <w:p>
      <w:pPr>
        <w:ind w:left="260"/>
        <w:spacing w:after="0"/>
        <w:rPr>
          <w:sz w:val="20"/>
          <w:szCs w:val="20"/>
          <w:color w:val="auto"/>
        </w:rPr>
      </w:pPr>
      <w:r>
        <w:rPr>
          <w:rFonts w:ascii="Courier New" w:cs="Courier New" w:eastAsia="Courier New" w:hAnsi="Courier New"/>
          <w:sz w:val="15"/>
          <w:szCs w:val="15"/>
          <w:color w:val="auto"/>
        </w:rPr>
        <w:t>58</w:t>
      </w:r>
    </w:p>
    <w:p>
      <w:pPr>
        <w:spacing w:after="0" w:line="5" w:lineRule="exact"/>
        <w:rPr>
          <w:sz w:val="20"/>
          <w:szCs w:val="20"/>
          <w:color w:val="auto"/>
        </w:rPr>
      </w:pPr>
    </w:p>
    <w:p>
      <w:pPr>
        <w:ind w:left="820" w:right="3139"/>
        <w:spacing w:after="0" w:line="246" w:lineRule="auto"/>
        <w:rPr>
          <w:sz w:val="20"/>
          <w:szCs w:val="20"/>
          <w:color w:val="auto"/>
        </w:rPr>
      </w:pPr>
      <w:r>
        <w:rPr>
          <w:rFonts w:ascii="Courier New" w:cs="Courier New" w:eastAsia="Courier New" w:hAnsi="Courier New"/>
          <w:sz w:val="15"/>
          <w:szCs w:val="15"/>
          <w:color w:val="auto"/>
        </w:rPr>
        <w:t>properties and assets of the Company substantially as an entirety shall be a corporation, partnership or trust, shall be organized and validly existing under the laws of the United States of America, any State thereof or the District of Columbia and shall expressly assume, by an indenture supplemental hereto, executed and delivered to the Trustee, in form satisfactory to the Trustee, the due and punctual payment of the principal of and any premium and interest (including all additional amounts, if any, payable pursuant to Section 1004) on all the Securities and the performance or observance of every other covenant of this Indenture on the part of the Company to be performed or observed;</w:t>
      </w:r>
    </w:p>
    <w:p>
      <w:pPr>
        <w:spacing w:after="0" w:line="181" w:lineRule="exact"/>
        <w:rPr>
          <w:sz w:val="20"/>
          <w:szCs w:val="20"/>
          <w:color w:val="auto"/>
        </w:rPr>
      </w:pPr>
    </w:p>
    <w:p>
      <w:pPr>
        <w:ind w:left="820" w:right="3039" w:firstLine="718"/>
        <w:spacing w:after="0" w:line="246" w:lineRule="auto"/>
        <w:tabs>
          <w:tab w:leader="none" w:pos="2365"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immediately after giving effect to such transaction and treating any indebtedness which becomes an obligation of the Company or a Subsidiary as a result of such transaction as having been incurred by the Company or such Subsidiary at the time of such transaction, no Event of Default, and no event which, after notice or lapse of time or both, would become an Event of Default, shall have happened and be continuing; and</w:t>
      </w:r>
    </w:p>
    <w:p>
      <w:pPr>
        <w:spacing w:after="0" w:line="179" w:lineRule="exact"/>
        <w:rPr>
          <w:rFonts w:ascii="Courier New" w:cs="Courier New" w:eastAsia="Courier New" w:hAnsi="Courier New"/>
          <w:sz w:val="15"/>
          <w:szCs w:val="15"/>
          <w:color w:val="auto"/>
        </w:rPr>
      </w:pPr>
    </w:p>
    <w:p>
      <w:pPr>
        <w:ind w:left="820" w:right="3039" w:firstLine="718"/>
        <w:spacing w:after="0" w:line="246" w:lineRule="auto"/>
        <w:tabs>
          <w:tab w:leader="none" w:pos="2365"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delivered to the Trustee an Officers' Certificate and an Opinion of Counsel, each stating that such consolidation, merger, conveyance, transfer or lease and such supplemental indenture comply with this Article and that all conditions precedent herein provided for relating to such transaction have been complied with.</w:t>
      </w:r>
    </w:p>
    <w:p>
      <w:pPr>
        <w:spacing w:after="0" w:line="178"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5"/>
          <w:szCs w:val="15"/>
          <w:color w:val="auto"/>
        </w:rPr>
        <w:t>SECTION 802.</w:t>
      </w:r>
      <w:r>
        <w:rPr>
          <w:sz w:val="20"/>
          <w:szCs w:val="20"/>
          <w:color w:val="auto"/>
        </w:rPr>
        <w:tab/>
      </w:r>
      <w:r>
        <w:rPr>
          <w:rFonts w:ascii="Courier New" w:cs="Courier New" w:eastAsia="Courier New" w:hAnsi="Courier New"/>
          <w:sz w:val="15"/>
          <w:szCs w:val="15"/>
          <w:color w:val="auto"/>
        </w:rPr>
        <w:t>Successor Substituted.</w:t>
      </w:r>
    </w:p>
    <w:p>
      <w:pPr>
        <w:spacing w:after="0" w:line="180" w:lineRule="exact"/>
        <w:rPr>
          <w:sz w:val="20"/>
          <w:szCs w:val="20"/>
          <w:color w:val="auto"/>
        </w:rPr>
      </w:pPr>
    </w:p>
    <w:p>
      <w:pPr>
        <w:ind w:right="3219" w:firstLine="818"/>
        <w:spacing w:after="0" w:line="246" w:lineRule="auto"/>
        <w:rPr>
          <w:sz w:val="20"/>
          <w:szCs w:val="20"/>
          <w:color w:val="auto"/>
        </w:rPr>
      </w:pPr>
      <w:r>
        <w:rPr>
          <w:rFonts w:ascii="Courier New" w:cs="Courier New" w:eastAsia="Courier New" w:hAnsi="Courier New"/>
          <w:sz w:val="15"/>
          <w:szCs w:val="15"/>
          <w:color w:val="auto"/>
        </w:rPr>
        <w:t>Upon any consolidation of the Company with, or merger of the Company into, any other Person or any conveyance, transfer or lease of the properties and assets of the Company substantially as an entirety in accordance with Section 801, the successor Person formed by such consolidation or into which the Company is merged or to which such conveyance, transfer or lease is made shall succeed to, and be substituted for, and may exercise every right and power of, the Company under this Indenture with the same effect as if such successor Person had been named as the Company herein, and thereafter, except in the case of a lease, the predecessor Person shall be relieved of all obligations and covenants under this Indenture and the Securities and coupons and may liquidate and dissolve.</w:t>
      </w:r>
    </w:p>
    <w:p>
      <w:pPr>
        <w:spacing w:after="0" w:line="181"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NINE</w:t>
      </w:r>
    </w:p>
    <w:p>
      <w:pPr>
        <w:spacing w:after="0" w:line="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SUPPLEMENTAL INDENTURES</w:t>
      </w:r>
    </w:p>
    <w:p>
      <w:pPr>
        <w:spacing w:after="0" w:line="180"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5"/>
          <w:szCs w:val="15"/>
          <w:color w:val="auto"/>
        </w:rPr>
        <w:t>SECTION 901.</w:t>
      </w:r>
      <w:r>
        <w:rPr>
          <w:sz w:val="20"/>
          <w:szCs w:val="20"/>
          <w:color w:val="auto"/>
        </w:rPr>
        <w:tab/>
      </w:r>
      <w:r>
        <w:rPr>
          <w:rFonts w:ascii="Courier New" w:cs="Courier New" w:eastAsia="Courier New" w:hAnsi="Courier New"/>
          <w:sz w:val="15"/>
          <w:szCs w:val="15"/>
          <w:color w:val="auto"/>
        </w:rPr>
        <w:t>Supplemental Indentures without Consent of Holders.</w:t>
      </w:r>
    </w:p>
    <w:p>
      <w:pPr>
        <w:spacing w:after="0" w:line="180"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Without the consent of any Holders of Securities or coupons, the Company, when authorized by a Board Resolution, and the Trustee, at any time and from time to time, may enter into one or more indentures supplemental hereto, in form satisfactory to the Trustee, for any of the following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SUBORDINATED INDENTURE</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- 51 -</w:t>
      </w:r>
    </w:p>
    <w:p>
      <w:pPr>
        <w:sectPr>
          <w:pgSz w:w="11900" w:h="16838" w:orient="portrait"/>
          <w:cols w:equalWidth="0" w:num="1">
            <w:col w:w="10219"/>
          </w:cols>
          <w:pgMar w:left="240" w:top="293" w:right="1440" w:bottom="1440" w:gutter="0" w:footer="0" w:header="0"/>
        </w:sectPr>
      </w:pPr>
    </w:p>
    <w:bookmarkStart w:id="113" w:name="page114"/>
    <w:bookmarkEnd w:id="113"/>
    <w:p>
      <w:pPr>
        <w:spacing w:after="0"/>
        <w:rPr>
          <w:sz w:val="20"/>
          <w:szCs w:val="20"/>
          <w:color w:val="auto"/>
        </w:rPr>
      </w:pPr>
      <w:r>
        <w:rPr>
          <w:rFonts w:ascii="Courier New" w:cs="Courier New" w:eastAsia="Courier New" w:hAnsi="Courier New"/>
          <w:sz w:val="15"/>
          <w:szCs w:val="15"/>
          <w:color w:val="auto"/>
        </w:rPr>
        <w:t>59</w:t>
      </w:r>
    </w:p>
    <w:p>
      <w:pPr>
        <w:spacing w:after="0" w:line="5" w:lineRule="exact"/>
        <w:rPr>
          <w:sz w:val="20"/>
          <w:szCs w:val="20"/>
          <w:color w:val="auto"/>
        </w:rPr>
      </w:pPr>
    </w:p>
    <w:p>
      <w:pPr>
        <w:jc w:val="both"/>
        <w:ind w:left="560" w:right="3039" w:firstLine="718"/>
        <w:spacing w:after="0" w:line="247" w:lineRule="auto"/>
        <w:tabs>
          <w:tab w:leader="none" w:pos="2105"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evidence the succession of another Person to the Company and the assumption by any such successor of the covenants of the Company herein and in the Securities pursuant to Article Eight; or</w:t>
      </w:r>
    </w:p>
    <w:p>
      <w:pPr>
        <w:spacing w:after="0" w:line="174" w:lineRule="exact"/>
        <w:rPr>
          <w:rFonts w:ascii="Courier New" w:cs="Courier New" w:eastAsia="Courier New" w:hAnsi="Courier New"/>
          <w:sz w:val="15"/>
          <w:szCs w:val="15"/>
          <w:color w:val="auto"/>
        </w:rPr>
      </w:pPr>
    </w:p>
    <w:p>
      <w:pPr>
        <w:ind w:left="560" w:right="3039" w:firstLine="718"/>
        <w:spacing w:after="0" w:line="246" w:lineRule="auto"/>
        <w:tabs>
          <w:tab w:leader="none" w:pos="2105"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add to the covenants of the Company for the benefit of the Holders of all or any series of Securities (and if such covenants are to be for the benefit of less than all series of Securities, stating that such covenants are expressly being included solely for the benefit of such series) or to surrender any right or power herein conferred upon the Company; or</w:t>
      </w:r>
    </w:p>
    <w:p>
      <w:pPr>
        <w:spacing w:after="0" w:line="178" w:lineRule="exact"/>
        <w:rPr>
          <w:rFonts w:ascii="Courier New" w:cs="Courier New" w:eastAsia="Courier New" w:hAnsi="Courier New"/>
          <w:sz w:val="15"/>
          <w:szCs w:val="15"/>
          <w:color w:val="auto"/>
        </w:rPr>
      </w:pPr>
    </w:p>
    <w:p>
      <w:pPr>
        <w:ind w:left="2100" w:hanging="822"/>
        <w:spacing w:after="0"/>
        <w:tabs>
          <w:tab w:leader="none" w:pos="2100"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add any additional Events of Default; or</w:t>
      </w:r>
    </w:p>
    <w:p>
      <w:pPr>
        <w:spacing w:after="0" w:line="179" w:lineRule="exact"/>
        <w:rPr>
          <w:rFonts w:ascii="Courier New" w:cs="Courier New" w:eastAsia="Courier New" w:hAnsi="Courier New"/>
          <w:sz w:val="15"/>
          <w:szCs w:val="15"/>
          <w:color w:val="auto"/>
        </w:rPr>
      </w:pPr>
    </w:p>
    <w:p>
      <w:pPr>
        <w:ind w:left="560" w:right="3219" w:firstLine="718"/>
        <w:spacing w:after="0" w:line="246" w:lineRule="auto"/>
        <w:tabs>
          <w:tab w:leader="none" w:pos="2105"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add to or change any of the provisions of this Indenture to provide that Bearer Securities may be registrable as to principal, to change or eliminate any restrictions on the payment of principal of or any premium or interest on Bearer Securities, to permit Bearer Securities to be issued in exchange for Registered Securities, to permit Bearer Securities to be issued in exchange for Bearer Securities of other authorized denominations or to permit or facilitate the issuance of Securities in uncertificated form, provided, that any such action shall not adversely affect the interests of the Holders of Securities of any series or any related coupons in any material respect; or</w:t>
      </w:r>
    </w:p>
    <w:p>
      <w:pPr>
        <w:spacing w:after="0" w:line="181" w:lineRule="exact"/>
        <w:rPr>
          <w:rFonts w:ascii="Courier New" w:cs="Courier New" w:eastAsia="Courier New" w:hAnsi="Courier New"/>
          <w:sz w:val="15"/>
          <w:szCs w:val="15"/>
          <w:color w:val="auto"/>
        </w:rPr>
      </w:pPr>
    </w:p>
    <w:p>
      <w:pPr>
        <w:ind w:left="560" w:right="3039" w:firstLine="718"/>
        <w:spacing w:after="0" w:line="246" w:lineRule="auto"/>
        <w:tabs>
          <w:tab w:leader="none" w:pos="2105"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add to, change or eliminate any of the provisions of this Indenture in respect of one or more series of Securities, provided, that any such addition, change or elimination (A) shall neither (i) apply to any Security of any series created prior to the execution of such supplemental indenture and entitled to the benefit of such provision nor (ii) modify the rights of the Holder of any such Security with respect to such provision or (B) shall become effective only when there is no such Security Outstanding; or</w:t>
      </w:r>
    </w:p>
    <w:p>
      <w:pPr>
        <w:spacing w:after="0" w:line="179" w:lineRule="exact"/>
        <w:rPr>
          <w:rFonts w:ascii="Courier New" w:cs="Courier New" w:eastAsia="Courier New" w:hAnsi="Courier New"/>
          <w:sz w:val="15"/>
          <w:szCs w:val="15"/>
          <w:color w:val="auto"/>
        </w:rPr>
      </w:pPr>
    </w:p>
    <w:p>
      <w:pPr>
        <w:ind w:left="560" w:right="3679" w:firstLine="718"/>
        <w:spacing w:after="0" w:line="247" w:lineRule="auto"/>
        <w:tabs>
          <w:tab w:leader="none" w:pos="2105"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provide for adjustment of conversion rights pursuant to Section 1505 hereof; or</w:t>
      </w:r>
    </w:p>
    <w:p>
      <w:pPr>
        <w:spacing w:after="0" w:line="174" w:lineRule="exact"/>
        <w:rPr>
          <w:rFonts w:ascii="Courier New" w:cs="Courier New" w:eastAsia="Courier New" w:hAnsi="Courier New"/>
          <w:sz w:val="15"/>
          <w:szCs w:val="15"/>
          <w:color w:val="auto"/>
        </w:rPr>
      </w:pPr>
    </w:p>
    <w:p>
      <w:pPr>
        <w:jc w:val="both"/>
        <w:ind w:left="560" w:right="3219" w:firstLine="718"/>
        <w:spacing w:after="0" w:line="247" w:lineRule="auto"/>
        <w:tabs>
          <w:tab w:leader="none" w:pos="2105"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establish the form or terms of Securities of any series and any related coupons as permitted by Sections 201 and 301; or</w:t>
      </w:r>
    </w:p>
    <w:p>
      <w:pPr>
        <w:spacing w:after="0" w:line="174" w:lineRule="exact"/>
        <w:rPr>
          <w:rFonts w:ascii="Courier New" w:cs="Courier New" w:eastAsia="Courier New" w:hAnsi="Courier New"/>
          <w:sz w:val="15"/>
          <w:szCs w:val="15"/>
          <w:color w:val="auto"/>
        </w:rPr>
      </w:pPr>
    </w:p>
    <w:p>
      <w:pPr>
        <w:ind w:left="560" w:right="3039" w:firstLine="718"/>
        <w:spacing w:after="0" w:line="246" w:lineRule="auto"/>
        <w:tabs>
          <w:tab w:leader="none" w:pos="2105"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pursuant to the requirements of Section 611(b); or</w:t>
      </w:r>
    </w:p>
    <w:p>
      <w:pPr>
        <w:spacing w:after="0" w:line="178" w:lineRule="exact"/>
        <w:rPr>
          <w:rFonts w:ascii="Courier New" w:cs="Courier New" w:eastAsia="Courier New" w:hAnsi="Courier New"/>
          <w:sz w:val="15"/>
          <w:szCs w:val="15"/>
          <w:color w:val="auto"/>
        </w:rPr>
      </w:pPr>
    </w:p>
    <w:p>
      <w:pPr>
        <w:ind w:left="560" w:right="3219" w:firstLine="718"/>
        <w:spacing w:after="0" w:line="247" w:lineRule="auto"/>
        <w:tabs>
          <w:tab w:leader="none" w:pos="2105"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cure any ambiguity, to correct or supplement any provision herein or in any supplemental indenture which may be defective or inconsistent with any other provision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SUBORDINATED INDENTURE</w:t>
      </w:r>
    </w:p>
    <w:p>
      <w:pPr>
        <w:spacing w:after="0" w:line="5"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- 52 -</w:t>
      </w:r>
    </w:p>
    <w:p>
      <w:pPr>
        <w:sectPr>
          <w:pgSz w:w="11900" w:h="16838" w:orient="portrait"/>
          <w:cols w:equalWidth="0" w:num="1">
            <w:col w:w="9959"/>
          </w:cols>
          <w:pgMar w:left="500" w:top="293" w:right="1440" w:bottom="1440" w:gutter="0" w:footer="0" w:header="0"/>
        </w:sectPr>
      </w:pPr>
    </w:p>
    <w:bookmarkStart w:id="114" w:name="page115"/>
    <w:bookmarkEnd w:id="114"/>
    <w:p>
      <w:pPr>
        <w:ind w:left="260"/>
        <w:spacing w:after="0"/>
        <w:rPr>
          <w:sz w:val="20"/>
          <w:szCs w:val="20"/>
          <w:color w:val="auto"/>
        </w:rPr>
      </w:pPr>
      <w:r>
        <w:rPr>
          <w:rFonts w:ascii="Courier New" w:cs="Courier New" w:eastAsia="Courier New" w:hAnsi="Courier New"/>
          <w:sz w:val="15"/>
          <w:szCs w:val="15"/>
          <w:color w:val="auto"/>
        </w:rPr>
        <w:t>60</w:t>
      </w:r>
    </w:p>
    <w:p>
      <w:pPr>
        <w:spacing w:after="0" w:line="5" w:lineRule="exact"/>
        <w:rPr>
          <w:sz w:val="20"/>
          <w:szCs w:val="20"/>
          <w:color w:val="auto"/>
        </w:rPr>
      </w:pPr>
    </w:p>
    <w:p>
      <w:pPr>
        <w:ind w:left="820" w:right="3039"/>
        <w:spacing w:after="0" w:line="246" w:lineRule="auto"/>
        <w:rPr>
          <w:sz w:val="20"/>
          <w:szCs w:val="20"/>
          <w:color w:val="auto"/>
        </w:rPr>
      </w:pPr>
      <w:r>
        <w:rPr>
          <w:rFonts w:ascii="Courier New" w:cs="Courier New" w:eastAsia="Courier New" w:hAnsi="Courier New"/>
          <w:sz w:val="15"/>
          <w:szCs w:val="15"/>
          <w:color w:val="auto"/>
        </w:rPr>
        <w:t>herein or in any supplemental indenture, or to make any other provisions with respect to matters or questions arising under this Indenture; provided, however, that such action shall not adversely affect the interests of the Holders of Securities of any series or any related coupons in any material respect.</w:t>
      </w:r>
    </w:p>
    <w:p>
      <w:pPr>
        <w:spacing w:after="0" w:line="178"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5"/>
          <w:szCs w:val="15"/>
          <w:color w:val="auto"/>
        </w:rPr>
        <w:t>SECTION 902.</w:t>
      </w:r>
      <w:r>
        <w:rPr>
          <w:sz w:val="20"/>
          <w:szCs w:val="20"/>
          <w:color w:val="auto"/>
        </w:rPr>
        <w:tab/>
      </w:r>
      <w:r>
        <w:rPr>
          <w:rFonts w:ascii="Courier New" w:cs="Courier New" w:eastAsia="Courier New" w:hAnsi="Courier New"/>
          <w:sz w:val="15"/>
          <w:szCs w:val="15"/>
          <w:color w:val="auto"/>
        </w:rPr>
        <w:t>Supplemental Indentures with Consent of Holders.</w:t>
      </w:r>
    </w:p>
    <w:p>
      <w:pPr>
        <w:spacing w:after="0" w:line="180"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With the consent of the Holders of a majority in principal amount of the Outstanding Securities of each series affected by such supplemental indenture, by Act of said Holders delivered to the Company and the Trustee, the Company, when authorized by a Board Resolution, and the Trustee may enter into an indenture or indentures supplemental hereto for the purpose of adding any provisions to or changing in any manner or eliminating any of the provisions of this Indenture or of modifying in any manner the rights of the Holders of Securities of such series and any related coupons under this Indenture; provided, however, that no such supplemental indenture shall, without the consent of the Holder of each Outstanding Security affected thereby,</w:t>
      </w:r>
    </w:p>
    <w:p>
      <w:pPr>
        <w:spacing w:after="0" w:line="181" w:lineRule="exact"/>
        <w:rPr>
          <w:sz w:val="20"/>
          <w:szCs w:val="20"/>
          <w:color w:val="auto"/>
        </w:rPr>
      </w:pPr>
    </w:p>
    <w:p>
      <w:pPr>
        <w:ind w:left="820" w:right="3039" w:firstLine="718"/>
        <w:spacing w:after="0" w:line="246" w:lineRule="auto"/>
        <w:tabs>
          <w:tab w:leader="none" w:pos="2365"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the Stated Maturity of the principal of, or any installment of principal of or interest on, any Security, or reduce the principal amount thereof or the rate of interest thereon or any premium payable upon the redemption thereof, or change the Redemption Date thereof, or change any obligation of the Company to pay additional amounts pursuant to Section 1004 (except as contemplated by Section 801(1) and permitted by Section 901(1)), or reduce the amount of the principal of an Original Issue Discount Security that would be due and payable upon a declaration of acceleration of the Maturity thereof pursuant to Section 502 or change the coin or currency in which any Security or any premium or interest thereon is payable, or change any right of redemption, purchase or repayment by the Company at the option of the Holder, or adversely affect the right to convert Securities, if applicable, or impair the right to institute suit for the enforcement of (x) any such payment on or after the Stated Maturity thereof (or, in the case of redemption, on or after the Redemption Date) or (y) any conversion right with respect to any Security, or</w:t>
      </w:r>
    </w:p>
    <w:p>
      <w:pPr>
        <w:spacing w:after="0" w:line="185" w:lineRule="exact"/>
        <w:rPr>
          <w:rFonts w:ascii="Courier New" w:cs="Courier New" w:eastAsia="Courier New" w:hAnsi="Courier New"/>
          <w:sz w:val="15"/>
          <w:szCs w:val="15"/>
          <w:color w:val="auto"/>
        </w:rPr>
      </w:pPr>
    </w:p>
    <w:p>
      <w:pPr>
        <w:ind w:left="820" w:right="3139" w:firstLine="718"/>
        <w:spacing w:after="0" w:line="246" w:lineRule="auto"/>
        <w:tabs>
          <w:tab w:leader="none" w:pos="2365"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reduce the percentage in principal amount of the Outstanding Securities of any series, the consent of whose Holders is required for any such supplemental indenture, or the consent of whose Holders is required for any waiver (of compliance with certain provisions of this Indenture or certain defaults hereunder and their consequences) provided for in this Indenture, or reduce the requirements of Section 1404 for quorum or voting, or</w:t>
      </w:r>
    </w:p>
    <w:p>
      <w:pPr>
        <w:spacing w:after="0" w:line="179" w:lineRule="exact"/>
        <w:rPr>
          <w:rFonts w:ascii="Courier New" w:cs="Courier New" w:eastAsia="Courier New" w:hAnsi="Courier New"/>
          <w:sz w:val="15"/>
          <w:szCs w:val="15"/>
          <w:color w:val="auto"/>
        </w:rPr>
      </w:pPr>
    </w:p>
    <w:p>
      <w:pPr>
        <w:ind w:left="820" w:right="3219" w:firstLine="718"/>
        <w:spacing w:after="0" w:line="247" w:lineRule="auto"/>
        <w:tabs>
          <w:tab w:leader="none" w:pos="2365"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any obligation of the Company to maintain an office or agency in the places and for the purposes specified in Section 1002, or</w:t>
      </w:r>
    </w:p>
    <w:p>
      <w:pPr>
        <w:spacing w:after="0" w:line="174" w:lineRule="exact"/>
        <w:rPr>
          <w:rFonts w:ascii="Courier New" w:cs="Courier New" w:eastAsia="Courier New" w:hAnsi="Courier New"/>
          <w:sz w:val="15"/>
          <w:szCs w:val="15"/>
          <w:color w:val="auto"/>
        </w:rPr>
      </w:pPr>
    </w:p>
    <w:p>
      <w:pPr>
        <w:ind w:left="820" w:right="3039" w:firstLine="718"/>
        <w:spacing w:after="0" w:line="246" w:lineRule="auto"/>
        <w:tabs>
          <w:tab w:leader="none" w:pos="2365"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modify any of the provisions of this Section, Section 513 or Section 1008 except to increase any such percentage or to provide that certain other provisions of this Indenture cannot be modified or waived without the consent of the Holder of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SUBORDINATED INDENTURE</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- 53 -</w:t>
      </w:r>
    </w:p>
    <w:p>
      <w:pPr>
        <w:sectPr>
          <w:pgSz w:w="11900" w:h="16838" w:orient="portrait"/>
          <w:cols w:equalWidth="0" w:num="1">
            <w:col w:w="10219"/>
          </w:cols>
          <w:pgMar w:left="240" w:top="293" w:right="1440" w:bottom="1440" w:gutter="0" w:footer="0" w:header="0"/>
        </w:sectPr>
      </w:pPr>
    </w:p>
    <w:bookmarkStart w:id="115" w:name="page116"/>
    <w:bookmarkEnd w:id="115"/>
    <w:p>
      <w:pPr>
        <w:ind w:left="260"/>
        <w:spacing w:after="0"/>
        <w:rPr>
          <w:sz w:val="20"/>
          <w:szCs w:val="20"/>
          <w:color w:val="auto"/>
        </w:rPr>
      </w:pPr>
      <w:r>
        <w:rPr>
          <w:rFonts w:ascii="Courier New" w:cs="Courier New" w:eastAsia="Courier New" w:hAnsi="Courier New"/>
          <w:sz w:val="15"/>
          <w:szCs w:val="15"/>
          <w:color w:val="auto"/>
        </w:rPr>
        <w:t>61</w:t>
      </w:r>
    </w:p>
    <w:p>
      <w:pPr>
        <w:spacing w:after="0" w:line="5" w:lineRule="exact"/>
        <w:rPr>
          <w:sz w:val="20"/>
          <w:szCs w:val="20"/>
          <w:color w:val="auto"/>
        </w:rPr>
      </w:pPr>
    </w:p>
    <w:p>
      <w:pPr>
        <w:ind w:left="820" w:right="3039"/>
        <w:spacing w:after="0" w:line="246" w:lineRule="auto"/>
        <w:rPr>
          <w:sz w:val="20"/>
          <w:szCs w:val="20"/>
          <w:color w:val="auto"/>
        </w:rPr>
      </w:pPr>
      <w:r>
        <w:rPr>
          <w:rFonts w:ascii="Courier New" w:cs="Courier New" w:eastAsia="Courier New" w:hAnsi="Courier New"/>
          <w:sz w:val="15"/>
          <w:szCs w:val="15"/>
          <w:color w:val="auto"/>
        </w:rPr>
        <w:t>Outstanding Security affected thereby; provided, however, that this clause shall not be deemed to require the consent of any Holder of a Security or coupon with respect to changes in the references to "the Trustee" and concomitant changes in this Section and Section 1008 or the deletion of this provision, in accordance with the requirements of Sections 611(b) and 901(8).</w:t>
      </w:r>
    </w:p>
    <w:p>
      <w:pPr>
        <w:spacing w:after="0" w:line="178"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A supplemental indenture which changes or eliminates any covenant or other provision of this Indenture which has expressly been included solely for the benefit of one or more particular series of Securities, or which modifies the rights of the Holders of Securities of such series with respect to such covenant or other provision, shall be deemed not to affect the rights under this Indenture of the Holders of Securities of any other series.</w:t>
      </w:r>
    </w:p>
    <w:p>
      <w:pPr>
        <w:spacing w:after="0" w:line="178" w:lineRule="exact"/>
        <w:rPr>
          <w:sz w:val="20"/>
          <w:szCs w:val="20"/>
          <w:color w:val="auto"/>
        </w:rPr>
      </w:pPr>
    </w:p>
    <w:p>
      <w:pPr>
        <w:ind w:right="3219" w:firstLine="818"/>
        <w:spacing w:after="0" w:line="246" w:lineRule="auto"/>
        <w:rPr>
          <w:sz w:val="20"/>
          <w:szCs w:val="20"/>
          <w:color w:val="auto"/>
        </w:rPr>
      </w:pPr>
      <w:r>
        <w:rPr>
          <w:rFonts w:ascii="Courier New" w:cs="Courier New" w:eastAsia="Courier New" w:hAnsi="Courier New"/>
          <w:sz w:val="15"/>
          <w:szCs w:val="15"/>
          <w:color w:val="auto"/>
        </w:rPr>
        <w:t>It shall not be necessary for any Act of Holders of Securities under this Section to approve the particular form of any proposed supplemental indenture, but it shall be sufficient if such Act shall approve the substance thereof.</w:t>
      </w:r>
    </w:p>
    <w:p>
      <w:pPr>
        <w:spacing w:after="0" w:line="177"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5"/>
          <w:szCs w:val="15"/>
          <w:color w:val="auto"/>
        </w:rPr>
        <w:t>SECTION 903.</w:t>
      </w:r>
      <w:r>
        <w:rPr>
          <w:sz w:val="20"/>
          <w:szCs w:val="20"/>
          <w:color w:val="auto"/>
        </w:rPr>
        <w:tab/>
      </w:r>
      <w:r>
        <w:rPr>
          <w:rFonts w:ascii="Courier New" w:cs="Courier New" w:eastAsia="Courier New" w:hAnsi="Courier New"/>
          <w:sz w:val="15"/>
          <w:szCs w:val="15"/>
          <w:color w:val="auto"/>
        </w:rPr>
        <w:t>Execution of Supplemental Indentures.</w:t>
      </w:r>
    </w:p>
    <w:p>
      <w:pPr>
        <w:spacing w:after="0" w:line="180"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In executing, or accepting the additional trusts created by, any supplemental indenture permitted by this Article or the modifications thereby of the trusts created by this Indenture, the Trustee shall be entitled to receive and (subject to Section 601) shall be fully protected in relying upon, an Opinion of Counsel stating that the execution of such supplemental indenture is authorized or permitted by this Indenture. The Trustee may, but shall not be obligated to, enter into any such supplemental indenture which affects the Trustee's own rights, duties or immunities under this Indenture or otherwise.</w:t>
      </w:r>
    </w:p>
    <w:p>
      <w:pPr>
        <w:spacing w:after="0" w:line="180"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5"/>
          <w:szCs w:val="15"/>
          <w:color w:val="auto"/>
        </w:rPr>
        <w:t>SECTION 904.</w:t>
      </w:r>
      <w:r>
        <w:rPr>
          <w:sz w:val="20"/>
          <w:szCs w:val="20"/>
          <w:color w:val="auto"/>
        </w:rPr>
        <w:tab/>
      </w:r>
      <w:r>
        <w:rPr>
          <w:rFonts w:ascii="Courier New" w:cs="Courier New" w:eastAsia="Courier New" w:hAnsi="Courier New"/>
          <w:sz w:val="15"/>
          <w:szCs w:val="15"/>
          <w:color w:val="auto"/>
        </w:rPr>
        <w:t>Effect of Supplemental Indentures.</w:t>
      </w:r>
    </w:p>
    <w:p>
      <w:pPr>
        <w:spacing w:after="0" w:line="180"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Upon the execution of any supplemental indenture under this Article, this Indenture shall be modified in accordance therewith, and such supplemental indenture shall form a part of this Indenture for all purposes; and every Holder of Securities theretofore or thereafter authenticated and delivered hereunder and of any coupons appertaining thereto shall be bound thereby.</w:t>
      </w:r>
    </w:p>
    <w:p>
      <w:pPr>
        <w:spacing w:after="0" w:line="178"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5"/>
          <w:szCs w:val="15"/>
          <w:color w:val="auto"/>
        </w:rPr>
        <w:t>SECTION 905.</w:t>
      </w:r>
      <w:r>
        <w:rPr>
          <w:sz w:val="20"/>
          <w:szCs w:val="20"/>
          <w:color w:val="auto"/>
        </w:rPr>
        <w:tab/>
      </w:r>
      <w:r>
        <w:rPr>
          <w:rFonts w:ascii="Courier New" w:cs="Courier New" w:eastAsia="Courier New" w:hAnsi="Courier New"/>
          <w:sz w:val="15"/>
          <w:szCs w:val="15"/>
          <w:color w:val="auto"/>
        </w:rPr>
        <w:t>Conformity with Trust Indenture Act.</w:t>
      </w:r>
    </w:p>
    <w:p>
      <w:pPr>
        <w:spacing w:after="0" w:line="180" w:lineRule="exact"/>
        <w:rPr>
          <w:sz w:val="20"/>
          <w:szCs w:val="20"/>
          <w:color w:val="auto"/>
        </w:rPr>
      </w:pPr>
    </w:p>
    <w:p>
      <w:pPr>
        <w:ind w:right="3219" w:firstLine="818"/>
        <w:spacing w:after="0" w:line="247" w:lineRule="auto"/>
        <w:rPr>
          <w:sz w:val="20"/>
          <w:szCs w:val="20"/>
          <w:color w:val="auto"/>
        </w:rPr>
      </w:pPr>
      <w:r>
        <w:rPr>
          <w:rFonts w:ascii="Courier New" w:cs="Courier New" w:eastAsia="Courier New" w:hAnsi="Courier New"/>
          <w:sz w:val="15"/>
          <w:szCs w:val="15"/>
          <w:color w:val="auto"/>
        </w:rPr>
        <w:t>Every supplemental indenture executed pursuant to this Article shall conform to the requirements of the Trust Indenture Act as then in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SUBORDINATED INDENTURE</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- 54 -</w:t>
      </w:r>
    </w:p>
    <w:p>
      <w:pPr>
        <w:sectPr>
          <w:pgSz w:w="11900" w:h="16838" w:orient="portrait"/>
          <w:cols w:equalWidth="0" w:num="1">
            <w:col w:w="10219"/>
          </w:cols>
          <w:pgMar w:left="240" w:top="293" w:right="1440" w:bottom="1440" w:gutter="0" w:footer="0" w:header="0"/>
        </w:sectPr>
      </w:pPr>
    </w:p>
    <w:bookmarkStart w:id="116" w:name="page117"/>
    <w:bookmarkEnd w:id="116"/>
    <w:p>
      <w:pPr>
        <w:ind w:left="260"/>
        <w:spacing w:after="0"/>
        <w:rPr>
          <w:sz w:val="20"/>
          <w:szCs w:val="20"/>
          <w:color w:val="auto"/>
        </w:rPr>
      </w:pPr>
      <w:r>
        <w:rPr>
          <w:rFonts w:ascii="Courier New" w:cs="Courier New" w:eastAsia="Courier New" w:hAnsi="Courier New"/>
          <w:sz w:val="15"/>
          <w:szCs w:val="15"/>
          <w:color w:val="auto"/>
        </w:rPr>
        <w:t>62</w:t>
      </w:r>
    </w:p>
    <w:p>
      <w:pPr>
        <w:spacing w:after="0" w:line="5"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5"/>
          <w:szCs w:val="15"/>
          <w:color w:val="auto"/>
        </w:rPr>
        <w:t>SECTION 906.</w:t>
      </w:r>
      <w:r>
        <w:rPr>
          <w:sz w:val="20"/>
          <w:szCs w:val="20"/>
          <w:color w:val="auto"/>
        </w:rPr>
        <w:tab/>
      </w:r>
      <w:r>
        <w:rPr>
          <w:rFonts w:ascii="Courier New" w:cs="Courier New" w:eastAsia="Courier New" w:hAnsi="Courier New"/>
          <w:sz w:val="15"/>
          <w:szCs w:val="15"/>
          <w:color w:val="auto"/>
        </w:rPr>
        <w:t>Reference in Securities to Supplemental Indentures.</w:t>
      </w:r>
    </w:p>
    <w:p>
      <w:pPr>
        <w:spacing w:after="0" w:line="180"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Securities of any series authenticated and delivered after the execution of any supplemental indenture pursuant to this Article may, and shall if required by the Trustee, bear a notation in form approved by the Trustee as to any matter provided for in such supplemental indenture. If the Company shall so determine, new Securities of any series so modified as to conform, in the opinion of the Trustee and the Company, to any such supplemental indenture may be prepared and executed by the Company and authenticated and delivered by the Trustee in exchange for Outstanding Securities of such series and of like tenor.</w:t>
      </w:r>
    </w:p>
    <w:p>
      <w:pPr>
        <w:spacing w:after="0" w:line="180"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5"/>
          <w:szCs w:val="15"/>
          <w:color w:val="auto"/>
        </w:rPr>
        <w:t>SECTION 907.</w:t>
      </w:r>
      <w:r>
        <w:rPr>
          <w:sz w:val="20"/>
          <w:szCs w:val="20"/>
          <w:color w:val="auto"/>
        </w:rPr>
        <w:tab/>
      </w:r>
      <w:r>
        <w:rPr>
          <w:rFonts w:ascii="Courier New" w:cs="Courier New" w:eastAsia="Courier New" w:hAnsi="Courier New"/>
          <w:sz w:val="15"/>
          <w:szCs w:val="15"/>
          <w:color w:val="auto"/>
        </w:rPr>
        <w:t>Subordination Unimpaired.</w:t>
      </w:r>
    </w:p>
    <w:p>
      <w:pPr>
        <w:spacing w:after="0" w:line="180" w:lineRule="exact"/>
        <w:rPr>
          <w:sz w:val="20"/>
          <w:szCs w:val="20"/>
          <w:color w:val="auto"/>
        </w:rPr>
      </w:pPr>
    </w:p>
    <w:p>
      <w:pPr>
        <w:ind w:right="3319" w:firstLine="818"/>
        <w:spacing w:after="0" w:line="247" w:lineRule="auto"/>
        <w:rPr>
          <w:sz w:val="20"/>
          <w:szCs w:val="20"/>
          <w:color w:val="auto"/>
        </w:rPr>
      </w:pPr>
      <w:r>
        <w:rPr>
          <w:rFonts w:ascii="Courier New" w:cs="Courier New" w:eastAsia="Courier New" w:hAnsi="Courier New"/>
          <w:sz w:val="15"/>
          <w:szCs w:val="15"/>
          <w:color w:val="auto"/>
        </w:rPr>
        <w:t>This Indenture may not be amended to alter the subordination of any Outstanding Securities without the written consent of each holder of Senior Indebtedness then outstanding that would be adversely affected thereby.</w:t>
      </w:r>
    </w:p>
    <w:p>
      <w:pPr>
        <w:spacing w:after="0" w:line="174"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ARTICLE TEN</w:t>
      </w:r>
    </w:p>
    <w:p>
      <w:pPr>
        <w:spacing w:after="0" w:line="5"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COVENANTS</w:t>
      </w:r>
    </w:p>
    <w:p>
      <w:pPr>
        <w:spacing w:after="0" w:line="180"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5"/>
          <w:szCs w:val="15"/>
          <w:color w:val="auto"/>
        </w:rPr>
        <w:t>SECTION 1001.</w:t>
      </w:r>
      <w:r>
        <w:rPr>
          <w:sz w:val="20"/>
          <w:szCs w:val="20"/>
          <w:color w:val="auto"/>
        </w:rPr>
        <w:tab/>
      </w:r>
      <w:r>
        <w:rPr>
          <w:rFonts w:ascii="Courier New" w:cs="Courier New" w:eastAsia="Courier New" w:hAnsi="Courier New"/>
          <w:sz w:val="15"/>
          <w:szCs w:val="15"/>
          <w:color w:val="auto"/>
        </w:rPr>
        <w:t>Payment of Principal, Premium and Interest.</w:t>
      </w:r>
    </w:p>
    <w:p>
      <w:pPr>
        <w:spacing w:after="0" w:line="180" w:lineRule="exact"/>
        <w:rPr>
          <w:sz w:val="20"/>
          <w:szCs w:val="20"/>
          <w:color w:val="auto"/>
        </w:rPr>
      </w:pPr>
    </w:p>
    <w:p>
      <w:pPr>
        <w:ind w:right="3219" w:firstLine="818"/>
        <w:spacing w:after="0" w:line="246" w:lineRule="auto"/>
        <w:rPr>
          <w:sz w:val="20"/>
          <w:szCs w:val="20"/>
          <w:color w:val="auto"/>
        </w:rPr>
      </w:pPr>
      <w:r>
        <w:rPr>
          <w:rFonts w:ascii="Courier New" w:cs="Courier New" w:eastAsia="Courier New" w:hAnsi="Courier New"/>
          <w:sz w:val="15"/>
          <w:szCs w:val="15"/>
          <w:color w:val="auto"/>
        </w:rPr>
        <w:t>The Company covenants and agrees for the benefit of each series of Securities that it will duly and punctually pay the principal of and any premium and interest on the Securities of that series in accordance with the terms of the Securities, any coupons appertaining thereto and this Indenture. Unless otherwise specified as contemplated by Section 301 with respect to any series of Securities, any interest due on Bearer Securities on or before Maturity shall be payable only upon presentation and surrender of the several coupons for such interest installments as are evidenced thereby as they severally mature.</w:t>
      </w:r>
    </w:p>
    <w:p>
      <w:pPr>
        <w:spacing w:after="0" w:line="180"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5"/>
          <w:szCs w:val="15"/>
          <w:color w:val="auto"/>
        </w:rPr>
        <w:t>SECTION 1002.</w:t>
      </w:r>
      <w:r>
        <w:rPr>
          <w:sz w:val="20"/>
          <w:szCs w:val="20"/>
          <w:color w:val="auto"/>
        </w:rPr>
        <w:tab/>
      </w:r>
      <w:r>
        <w:rPr>
          <w:rFonts w:ascii="Courier New" w:cs="Courier New" w:eastAsia="Courier New" w:hAnsi="Courier New"/>
          <w:sz w:val="15"/>
          <w:szCs w:val="15"/>
          <w:color w:val="auto"/>
        </w:rPr>
        <w:t>Maintenance of Office or Agency.</w:t>
      </w:r>
    </w:p>
    <w:p>
      <w:pPr>
        <w:spacing w:after="0" w:line="180"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If Securities of a series are issuable only as Registered Securities, the Company will maintain in each Place of Payment for such series an office or agency where Securities of that series may be presented or surrendered for payment or, if applicable, for conversion, where Securities of that series may be surrendered for registration of transfer or exchange and where notices and demands to or upon the Company in respect of the Securities of that series and this Indenture may be served. If Securities of a series are issuable as Bearer Securities, the Company will maintain (A) in the Borough of Manhattan, The City of New York, an office or agency where any Registered Securities of that series may be presented or surrendered for payment or, if applicable, for conversion, where any Registered Securities of that series may be surrendered for registration of transfer, where Securities of that series may be surrendered for exchange, where notices and demands to or upon the Company in respect of the Securities of that series and this Indenture may be served and where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SUBORDINATED INDENTURE</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- 55 -</w:t>
      </w:r>
    </w:p>
    <w:p>
      <w:pPr>
        <w:sectPr>
          <w:pgSz w:w="11900" w:h="16838" w:orient="portrait"/>
          <w:cols w:equalWidth="0" w:num="1">
            <w:col w:w="10219"/>
          </w:cols>
          <w:pgMar w:left="240" w:top="293" w:right="1440" w:bottom="1440" w:gutter="0" w:footer="0" w:header="0"/>
        </w:sectPr>
      </w:pPr>
    </w:p>
    <w:bookmarkStart w:id="117" w:name="page118"/>
    <w:bookmarkEnd w:id="117"/>
    <w:p>
      <w:pPr>
        <w:ind w:left="260"/>
        <w:spacing w:after="0"/>
        <w:rPr>
          <w:sz w:val="20"/>
          <w:szCs w:val="20"/>
          <w:color w:val="auto"/>
        </w:rPr>
      </w:pPr>
      <w:r>
        <w:rPr>
          <w:rFonts w:ascii="Courier New" w:cs="Courier New" w:eastAsia="Courier New" w:hAnsi="Courier New"/>
          <w:sz w:val="15"/>
          <w:szCs w:val="15"/>
          <w:color w:val="auto"/>
        </w:rPr>
        <w:t>63</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Bearer Securities of that series and related coupons may be presented or surrendered for payment in the circumstances described in the following paragraph (and not otherwise), (B) subject to any laws or regulations applicable thereto, in a Place of Payment for that series which is located outside the United States, an office or agency where Securities of that series and related coupons may be presented and surrendered for payment (including payment of any additional amounts payable on Securities of that series pursuant to Section 1004) or, if applicable, for conversion; provided, however, that if the Securities of that series are listed on The International Stock Exchange of the United Kingdom and the Republic of Ireland Limited, the Luxembourg Stock Exchange or any other stock exchange located outside the United States and such stock exchange shall so require, the Company will maintain a Paying Agent for the Securities of that series in London, Luxembourg or any other required city located outside the United States, as the case may be, so long as the Securities of that series are listed on such exchange, and (C) subject to any laws or regulations applicable thereto, in a Place of Payment for that series located outside the United States an office or agency where any Registered Securities of that series may be surrendered for registration of transfer, where Securities of that series may be surrendered for exchange and where notices and demands to or upon the Company in respect of the Securities of that series and this Indenture may be served. The Company will give prompt written notice to the Trustee and prompt notices to the Holders as provided in Section 106 of the location, and any change in the location, of any such office or agency. If at any time the Company shall fail to maintain any such required office or agency in respect of any series of Securities or shall fail to furnish the Trustee with the address thereof, such presentations and surrenders of Securities of that series may be made and notices and demands may be made or served at the Corporate Trust Office of the Trustee, except that Bearer Securities of that series and the related coupons may be presented and surrendered for payment (including payment of any additional amounts payable on Bearer Securities of that series pursuant to Section 1004) or, if applicable, for conversion at any Paying Agent for such series located outside the United States, and the Company hereby appoints the same as its agents to receive such respective presentations, surrenders, notices and demands.</w:t>
      </w:r>
    </w:p>
    <w:p>
      <w:pPr>
        <w:spacing w:after="0" w:line="195"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No payment of principal, premium or interest on Bearer Securities shall be made at any office or agency of the Company in the United States or by check mailed to any address in the United States or by transfer to an account maintained with a bank located in the United States, provided, however, that if the Securities of a series are denominated and payable in Dollars payment of principal of and any premium and interest on any Bearer Security (including any additional amounts payable on Securities of such series pursuant to Section 1004) shall be made at the office of the Company's Paying Agent in the Borough of Manhattan, The City of New York, if (but only if) payment in Dollars of the full amount of such principal, premium, interest or additional amounts, as the case may be, at all offices or agencies outside the United States maintained for the purpose by the Company in accordance with this Indenture is illegal or effectively precluded by exchange controls or other similar restrictions.</w:t>
      </w:r>
    </w:p>
    <w:p>
      <w:pPr>
        <w:spacing w:after="0" w:line="183" w:lineRule="exact"/>
        <w:rPr>
          <w:sz w:val="20"/>
          <w:szCs w:val="20"/>
          <w:color w:val="auto"/>
        </w:rPr>
      </w:pPr>
    </w:p>
    <w:p>
      <w:pPr>
        <w:ind w:right="3139" w:firstLine="818"/>
        <w:spacing w:after="0" w:line="247" w:lineRule="auto"/>
        <w:rPr>
          <w:sz w:val="20"/>
          <w:szCs w:val="20"/>
          <w:color w:val="auto"/>
        </w:rPr>
      </w:pPr>
      <w:r>
        <w:rPr>
          <w:rFonts w:ascii="Courier New" w:cs="Courier New" w:eastAsia="Courier New" w:hAnsi="Courier New"/>
          <w:sz w:val="15"/>
          <w:szCs w:val="15"/>
          <w:color w:val="auto"/>
        </w:rPr>
        <w:t>The Company may also from time to time designate one or more other offices or agencies where Securities of one or more series may be presented or surrendered for any or all such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SUBORDINATED INDENTURE</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- 56 -</w:t>
      </w:r>
    </w:p>
    <w:p>
      <w:pPr>
        <w:sectPr>
          <w:pgSz w:w="11900" w:h="16838" w:orient="portrait"/>
          <w:cols w:equalWidth="0" w:num="1">
            <w:col w:w="10219"/>
          </w:cols>
          <w:pgMar w:left="240" w:top="293" w:right="1440" w:bottom="1440" w:gutter="0" w:footer="0" w:header="0"/>
        </w:sectPr>
      </w:pPr>
    </w:p>
    <w:bookmarkStart w:id="118" w:name="page119"/>
    <w:bookmarkEnd w:id="118"/>
    <w:p>
      <w:pPr>
        <w:ind w:left="260"/>
        <w:spacing w:after="0"/>
        <w:rPr>
          <w:sz w:val="20"/>
          <w:szCs w:val="20"/>
          <w:color w:val="auto"/>
        </w:rPr>
      </w:pPr>
      <w:r>
        <w:rPr>
          <w:rFonts w:ascii="Courier New" w:cs="Courier New" w:eastAsia="Courier New" w:hAnsi="Courier New"/>
          <w:sz w:val="15"/>
          <w:szCs w:val="15"/>
          <w:color w:val="auto"/>
        </w:rPr>
        <w:t>64</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and may from time to time rescind such designations; provided, however, that no such designation or rescission shall in any manner relieve the Company of its obligation to so maintain an office or agency in accordance with the requirements set forth above for Securities of any series for such purposes. The Company will give prompt written notice to the Trustee and the Holders of any such designation or rescission and of any other change in the location of any such other office or agency.</w:t>
      </w:r>
    </w:p>
    <w:p>
      <w:pPr>
        <w:spacing w:after="0" w:line="179"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5"/>
          <w:szCs w:val="15"/>
          <w:color w:val="auto"/>
        </w:rPr>
        <w:t>SECTION 1003.</w:t>
      </w:r>
      <w:r>
        <w:rPr>
          <w:sz w:val="20"/>
          <w:szCs w:val="20"/>
          <w:color w:val="auto"/>
        </w:rPr>
        <w:tab/>
      </w:r>
      <w:r>
        <w:rPr>
          <w:rFonts w:ascii="Courier New" w:cs="Courier New" w:eastAsia="Courier New" w:hAnsi="Courier New"/>
          <w:sz w:val="15"/>
          <w:szCs w:val="15"/>
          <w:color w:val="auto"/>
        </w:rPr>
        <w:t>Money for Securities Payments to Be Held in Trust.</w:t>
      </w:r>
    </w:p>
    <w:p>
      <w:pPr>
        <w:spacing w:after="0" w:line="180"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If the Company shall at any time act as its own Paying Agent with respect to any series of Securities, it will, on or before each due date of the principal of and any premium or interest on any of the Securities of that series, segregate and hold in trust for the benefit of the Persons entitled thereto a sum sufficient to pay the principal and any premium or interest so becoming due until such sums shall be paid to such Persons or otherwise disposed of as herein provided and will promptly notify the Trustee of its action or failure to so act.</w:t>
      </w:r>
    </w:p>
    <w:p>
      <w:pPr>
        <w:spacing w:after="0" w:line="180"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Whenever the Company shall have one or more Paying Agents for any series of Securities, it will, on or prior to each due date of the principal of and any premium or interest on any Securities of that series, deposit with a Paying Agent a sum sufficient to pay the principal and any premium or interest so becoming due, such sum to be held in trust for the benefit of the Persons entitled to such principal, premium or interest, and (unless such Paying Agent is the Trustee) the Company will promptly notify the Trustee of its action or failure to so act.</w:t>
      </w:r>
    </w:p>
    <w:p>
      <w:pPr>
        <w:spacing w:after="0" w:line="180" w:lineRule="exact"/>
        <w:rPr>
          <w:sz w:val="20"/>
          <w:szCs w:val="20"/>
          <w:color w:val="auto"/>
        </w:rPr>
      </w:pPr>
    </w:p>
    <w:p>
      <w:pPr>
        <w:ind w:right="3139" w:firstLine="818"/>
        <w:spacing w:after="0" w:line="246" w:lineRule="auto"/>
        <w:rPr>
          <w:sz w:val="20"/>
          <w:szCs w:val="20"/>
          <w:color w:val="auto"/>
        </w:rPr>
      </w:pPr>
      <w:r>
        <w:rPr>
          <w:rFonts w:ascii="Courier New" w:cs="Courier New" w:eastAsia="Courier New" w:hAnsi="Courier New"/>
          <w:sz w:val="15"/>
          <w:szCs w:val="15"/>
          <w:color w:val="auto"/>
        </w:rPr>
        <w:t>The Company will cause each Paying Agent for any series of Securities (other than the Company or the Trustee) to execute and deliver to the Trustee an instrument in which such Paying Agent shall agree with the Trustee, subject to the provisions of this Section, that such Paying Agent will (i) comply with the provisions of the Trust Indenture Act applicable to it as a Paying Agent and (ii) during the continuance of any default by the Company (or any other obligor upon the Securities of that series) in the making of any payment in respect of the Securities of that series, and upon the written request of the Trustee, forthwith pay to the Trustee all sums held in trust by such Paying Agent for payment in respect of the Securities of that series.</w:t>
      </w:r>
    </w:p>
    <w:p>
      <w:pPr>
        <w:spacing w:after="0" w:line="181"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The Company may at any time, for the purpose of obtaining the satisfaction and discharge of this Indenture or for any other purpose, pay, or by Company Order direct any Paying Agent to pay, to the Trustee all sums held in trust by the Company or such Paying Agent, such sums to be held by the Trustee upon the same trusts as those upon which such sums were held by the Company or such Paying Agent; and, upon such payment by any Paying Agent to the Trustee, such Paying Agent shall be released from all further liability with respect to such money.</w:t>
      </w:r>
    </w:p>
    <w:p>
      <w:pPr>
        <w:spacing w:after="0" w:line="180"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Any money deposited with the Trustee or any Paying Agent, or then held by the Company, in trust for the payment of the principal of and any premium or interest on any Security of any series and remaining unclaimed for two years after such principal and any premium or interest has become due and payable shall be paid to the Company on Company Request (unless otherwise required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SUBORDINATED INDENTURE</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- 57 -</w:t>
      </w:r>
    </w:p>
    <w:p>
      <w:pPr>
        <w:sectPr>
          <w:pgSz w:w="11900" w:h="16838" w:orient="portrait"/>
          <w:cols w:equalWidth="0" w:num="1">
            <w:col w:w="10219"/>
          </w:cols>
          <w:pgMar w:left="240" w:top="293" w:right="1440" w:bottom="1440" w:gutter="0" w:footer="0" w:header="0"/>
        </w:sectPr>
      </w:pPr>
    </w:p>
    <w:bookmarkStart w:id="119" w:name="page120"/>
    <w:bookmarkEnd w:id="119"/>
    <w:p>
      <w:pPr>
        <w:ind w:left="260"/>
        <w:spacing w:after="0"/>
        <w:rPr>
          <w:sz w:val="20"/>
          <w:szCs w:val="20"/>
          <w:color w:val="auto"/>
        </w:rPr>
      </w:pPr>
      <w:r>
        <w:rPr>
          <w:rFonts w:ascii="Courier New" w:cs="Courier New" w:eastAsia="Courier New" w:hAnsi="Courier New"/>
          <w:sz w:val="15"/>
          <w:szCs w:val="15"/>
          <w:color w:val="auto"/>
        </w:rPr>
        <w:t>65</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mandatory provisions of applicable escheat or abandoned or unclaimed property law), or (if then held by the Company) shall be discharged from such trust; and the Holder of such Security or any coupon appertaining thereto shall (unless otherwise required by mandatory provisions of applicable escheat or abandoned or unclaimed property law) thereafter, as an unsecured general creditor, look only to the Company for payment thereof, and all liability of the Trustee or such Paying Agent with respect to such trust money, and all liability of the Company as trustee thereof, shall thereupon cease; provided, however, that the Trustee or such Paying Agent, before being required to make any such repayment, may at the expense of the Company cause to be published once, in an Authorized Newspaper in each Place of Payment, notice that such money remains unclaimed and that, after a date specified therein, which shall not be less than 30 days from the date of such publication, any unclaimed balance of such money then remaining will be repaid to the Company.</w:t>
      </w:r>
    </w:p>
    <w:p>
      <w:pPr>
        <w:spacing w:after="0" w:line="183"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5"/>
          <w:szCs w:val="15"/>
          <w:color w:val="auto"/>
        </w:rPr>
        <w:t>SECTION 1004.</w:t>
      </w:r>
      <w:r>
        <w:rPr>
          <w:sz w:val="20"/>
          <w:szCs w:val="20"/>
          <w:color w:val="auto"/>
        </w:rPr>
        <w:tab/>
      </w:r>
      <w:r>
        <w:rPr>
          <w:rFonts w:ascii="Courier New" w:cs="Courier New" w:eastAsia="Courier New" w:hAnsi="Courier New"/>
          <w:sz w:val="15"/>
          <w:szCs w:val="15"/>
          <w:color w:val="auto"/>
        </w:rPr>
        <w:t>Additional Amounts.</w:t>
      </w:r>
    </w:p>
    <w:p>
      <w:pPr>
        <w:spacing w:after="0" w:line="180" w:lineRule="exact"/>
        <w:rPr>
          <w:sz w:val="20"/>
          <w:szCs w:val="20"/>
          <w:color w:val="auto"/>
        </w:rPr>
      </w:pPr>
    </w:p>
    <w:p>
      <w:pPr>
        <w:jc w:val="both"/>
        <w:ind w:right="3219" w:firstLine="818"/>
        <w:spacing w:after="0" w:line="246" w:lineRule="auto"/>
        <w:rPr>
          <w:sz w:val="20"/>
          <w:szCs w:val="20"/>
          <w:color w:val="auto"/>
        </w:rPr>
      </w:pPr>
      <w:r>
        <w:rPr>
          <w:rFonts w:ascii="Courier New" w:cs="Courier New" w:eastAsia="Courier New" w:hAnsi="Courier New"/>
          <w:sz w:val="15"/>
          <w:szCs w:val="15"/>
          <w:color w:val="auto"/>
        </w:rPr>
        <w:t>If the Securities of a series provide for the payment of additional amounts, the Company will pay to the Holder of any Security of such series or any coupon appertaining thereto additional amounts as provided therein.</w:t>
      </w:r>
    </w:p>
    <w:p>
      <w:pPr>
        <w:spacing w:after="0" w:line="2"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Whenever in this Indenture there is mentioned, in any context, the payment of the principal of or any premium or interest on, or in respect of, any Security of any series or payment of any related coupon or the net proceeds received on the sale or exchange of any Security of any series, such mention shall be deemed to include mention of the payment of additional amounts provided for in this Section to the extent that, in such context, additional amounts are, were or would be payable in respect thereof pursuant to the provisions of this Section and express mention of the payment of additional amounts (if applicable) in any provisions hereof shall not be construed as excluding additional amounts in those provisions hereof where such express mention is not made.</w:t>
      </w:r>
    </w:p>
    <w:p>
      <w:pPr>
        <w:spacing w:after="0" w:line="181"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If the Securities of a series provide for the payment of additional amounts, at least 10 days prior to the first Interest Payment Date with respect to that series of Securities (or if the Securities of that series will not bear interest prior to Maturity, the first day on which a payment of principal and any premium is made), and at least 10 days prior to each date of payment of principal and any premium or interest if there has been any change with respect to the matters set forth in the below-mentioned Officers' Certificate, the Company will furnish the Trustee and the Company's principal Paying Agent or Paying Agents, if other than the Trustee, with an Officers' Certificate instructing the Trustee and such Paying Agent or Paying Agents whether such payment of principal of and any premium or interest on the Securities of that series shall be made to Holders of Securities of that series or any related coupons who are United States Aliens without withholding for or on account of any tax, assessment or other governmental charge described in the Securities of that series. If any such withholding shall be required, then such Officers' Certificate shall specify by country the amount, if any, required to be withheld on such payments to such Holders of Securities or coupons and the Company will pay to the Trustee or such Paying Agent the additional amounts required by this Section. The Company covenants to indemnify the Trustee and any Paying Agent for, and to hold them harmless against, any loss, liability or expense reasonably incurred without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SUBORDINATED INDENTURE</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- 58 -</w:t>
      </w:r>
    </w:p>
    <w:p>
      <w:pPr>
        <w:sectPr>
          <w:pgSz w:w="11900" w:h="16838" w:orient="portrait"/>
          <w:cols w:equalWidth="0" w:num="1">
            <w:col w:w="10219"/>
          </w:cols>
          <w:pgMar w:left="240" w:top="293" w:right="1440" w:bottom="1440" w:gutter="0" w:footer="0" w:header="0"/>
        </w:sectPr>
      </w:pPr>
    </w:p>
    <w:bookmarkStart w:id="120" w:name="page121"/>
    <w:bookmarkEnd w:id="120"/>
    <w:p>
      <w:pPr>
        <w:ind w:left="260"/>
        <w:spacing w:after="0"/>
        <w:rPr>
          <w:sz w:val="20"/>
          <w:szCs w:val="20"/>
          <w:color w:val="auto"/>
        </w:rPr>
      </w:pPr>
      <w:r>
        <w:rPr>
          <w:rFonts w:ascii="Courier New" w:cs="Courier New" w:eastAsia="Courier New" w:hAnsi="Courier New"/>
          <w:sz w:val="15"/>
          <w:szCs w:val="15"/>
          <w:color w:val="auto"/>
        </w:rPr>
        <w:t>66</w:t>
      </w:r>
    </w:p>
    <w:p>
      <w:pPr>
        <w:spacing w:after="0" w:line="5" w:lineRule="exact"/>
        <w:rPr>
          <w:sz w:val="20"/>
          <w:szCs w:val="20"/>
          <w:color w:val="auto"/>
        </w:rPr>
      </w:pPr>
    </w:p>
    <w:p>
      <w:pPr>
        <w:ind w:right="3499"/>
        <w:spacing w:after="0" w:line="247" w:lineRule="auto"/>
        <w:rPr>
          <w:sz w:val="20"/>
          <w:szCs w:val="20"/>
          <w:color w:val="auto"/>
        </w:rPr>
      </w:pPr>
      <w:r>
        <w:rPr>
          <w:rFonts w:ascii="Courier New" w:cs="Courier New" w:eastAsia="Courier New" w:hAnsi="Courier New"/>
          <w:sz w:val="15"/>
          <w:szCs w:val="15"/>
          <w:color w:val="auto"/>
        </w:rPr>
        <w:t>negligence or bad faith on their part arising out of or in connection with actions taken or omitted by any of them in reliance on any Officers' Certificate furnished pursuant to this Section.</w:t>
      </w:r>
    </w:p>
    <w:p>
      <w:pPr>
        <w:spacing w:after="0" w:line="174"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5"/>
          <w:szCs w:val="15"/>
          <w:color w:val="auto"/>
        </w:rPr>
        <w:t>SECTION 1005.</w:t>
      </w:r>
      <w:r>
        <w:rPr>
          <w:sz w:val="20"/>
          <w:szCs w:val="20"/>
          <w:color w:val="auto"/>
        </w:rPr>
        <w:tab/>
      </w:r>
      <w:r>
        <w:rPr>
          <w:rFonts w:ascii="Courier New" w:cs="Courier New" w:eastAsia="Courier New" w:hAnsi="Courier New"/>
          <w:sz w:val="15"/>
          <w:szCs w:val="15"/>
          <w:color w:val="auto"/>
        </w:rPr>
        <w:t>Purchase of Securities by Company or Subsidiary.</w:t>
      </w:r>
    </w:p>
    <w:p>
      <w:pPr>
        <w:spacing w:after="0" w:line="180" w:lineRule="exact"/>
        <w:rPr>
          <w:sz w:val="20"/>
          <w:szCs w:val="20"/>
          <w:color w:val="auto"/>
        </w:rPr>
      </w:pPr>
    </w:p>
    <w:p>
      <w:pPr>
        <w:ind w:right="3139" w:firstLine="818"/>
        <w:spacing w:after="0" w:line="246" w:lineRule="auto"/>
        <w:rPr>
          <w:sz w:val="20"/>
          <w:szCs w:val="20"/>
          <w:color w:val="auto"/>
        </w:rPr>
      </w:pPr>
      <w:r>
        <w:rPr>
          <w:rFonts w:ascii="Courier New" w:cs="Courier New" w:eastAsia="Courier New" w:hAnsi="Courier New"/>
          <w:sz w:val="15"/>
          <w:szCs w:val="15"/>
          <w:color w:val="auto"/>
        </w:rPr>
        <w:t>If and so long as the Securities of a series are listed on The International Stock Exchange of the United Kingdom and the Republic of Ireland Limited and such stock exchange shall so require, the Company will not, and will not permit any of its Subsidiaries to, purchase any Securities of that series by private treaty at a price (exclusive of expenses and accrued interest) which exceeds 120% of the mean of the nominal quotations of the Securities of that series as shown in The Stock Exchange Daily Official List for the last trading day preceding the date of purchase.</w:t>
      </w:r>
    </w:p>
    <w:p>
      <w:pPr>
        <w:spacing w:after="0" w:line="180"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5"/>
          <w:szCs w:val="15"/>
          <w:color w:val="auto"/>
        </w:rPr>
        <w:t>SECTION 1006.</w:t>
      </w:r>
      <w:r>
        <w:rPr>
          <w:sz w:val="20"/>
          <w:szCs w:val="20"/>
          <w:color w:val="auto"/>
        </w:rPr>
        <w:tab/>
      </w:r>
      <w:r>
        <w:rPr>
          <w:rFonts w:ascii="Courier New" w:cs="Courier New" w:eastAsia="Courier New" w:hAnsi="Courier New"/>
          <w:sz w:val="15"/>
          <w:szCs w:val="15"/>
          <w:color w:val="auto"/>
        </w:rPr>
        <w:t>Appointments to Fill Vacancies in Trustee's Office.</w:t>
      </w:r>
    </w:p>
    <w:p>
      <w:pPr>
        <w:spacing w:after="0" w:line="180" w:lineRule="exact"/>
        <w:rPr>
          <w:sz w:val="20"/>
          <w:szCs w:val="20"/>
          <w:color w:val="auto"/>
        </w:rPr>
      </w:pPr>
    </w:p>
    <w:p>
      <w:pPr>
        <w:ind w:right="3219" w:firstLine="818"/>
        <w:spacing w:after="0" w:line="247" w:lineRule="auto"/>
        <w:rPr>
          <w:sz w:val="20"/>
          <w:szCs w:val="20"/>
          <w:color w:val="auto"/>
        </w:rPr>
      </w:pPr>
      <w:r>
        <w:rPr>
          <w:rFonts w:ascii="Courier New" w:cs="Courier New" w:eastAsia="Courier New" w:hAnsi="Courier New"/>
          <w:sz w:val="15"/>
          <w:szCs w:val="15"/>
          <w:color w:val="auto"/>
        </w:rPr>
        <w:t>The Company, whenever necessary to avoid or fill a vacancy in the office of the Trustee, will appoint, in the manner provided in Section 610, a Trustee, so that there shall at all times be a Trustee hereunder.</w:t>
      </w:r>
    </w:p>
    <w:p>
      <w:pPr>
        <w:spacing w:after="0" w:line="174"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5"/>
          <w:szCs w:val="15"/>
          <w:color w:val="auto"/>
        </w:rPr>
        <w:t>SECTION 1007.</w:t>
      </w:r>
      <w:r>
        <w:rPr>
          <w:sz w:val="20"/>
          <w:szCs w:val="20"/>
          <w:color w:val="auto"/>
        </w:rPr>
        <w:tab/>
      </w:r>
      <w:r>
        <w:rPr>
          <w:rFonts w:ascii="Courier New" w:cs="Courier New" w:eastAsia="Courier New" w:hAnsi="Courier New"/>
          <w:sz w:val="15"/>
          <w:szCs w:val="15"/>
          <w:color w:val="auto"/>
        </w:rPr>
        <w:t>Statement by Officer as to Default.</w:t>
      </w:r>
    </w:p>
    <w:p>
      <w:pPr>
        <w:spacing w:after="0" w:line="180"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The Company will deliver to the Trustee, within 120 days after the end of each fiscal year of the Company ending after the date hereof, a brief certificate from the principal executive officer, principal financial officer or principal accounting officer as to his or her knowledge of the Company's compliance with all conditions and covenants under this Indenture. For purposes of this Section 1007, such compliance shall be determined without regard to any period of grace or requirement of notice under this Indenture.</w:t>
      </w:r>
    </w:p>
    <w:p>
      <w:pPr>
        <w:spacing w:after="0" w:line="179"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5"/>
          <w:szCs w:val="15"/>
          <w:color w:val="auto"/>
        </w:rPr>
        <w:t>SECTION 1008.</w:t>
      </w:r>
      <w:r>
        <w:rPr>
          <w:sz w:val="20"/>
          <w:szCs w:val="20"/>
          <w:color w:val="auto"/>
        </w:rPr>
        <w:tab/>
      </w:r>
      <w:r>
        <w:rPr>
          <w:rFonts w:ascii="Courier New" w:cs="Courier New" w:eastAsia="Courier New" w:hAnsi="Courier New"/>
          <w:sz w:val="15"/>
          <w:szCs w:val="15"/>
          <w:color w:val="auto"/>
        </w:rPr>
        <w:t>Waiver of Certain Covenants.</w:t>
      </w:r>
    </w:p>
    <w:p>
      <w:pPr>
        <w:spacing w:after="0" w:line="180"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The Company may omit in any particular instance to comply with any term, provision or condition set forth in Section 1005 or any covenant added hereto pursuant to Section 901(2) (unless otherwise provided in the supplemental indenture adding such covenant hereto) with respect to the Securities of any series if before the time for such compliance the Holders of a majority in principal amount of the Outstanding Securities of such series shall, by Act of such Holders, either waive such compliance in such instance or generally waive compliance with such term, provision or condition, but no such waiver shall extend to or affect such term, provision or condition except to the extent so expressly waived, and, until such waiver shall become effective, the obligations of the Company and the duties of the Trustee in respect of any such term, provision or condition shall remain in full force and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SUBORDINATED INDENTURE</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- 59 -</w:t>
      </w:r>
    </w:p>
    <w:p>
      <w:pPr>
        <w:sectPr>
          <w:pgSz w:w="11900" w:h="16838" w:orient="portrait"/>
          <w:cols w:equalWidth="0" w:num="1">
            <w:col w:w="10219"/>
          </w:cols>
          <w:pgMar w:left="240" w:top="293" w:right="1440" w:bottom="1440" w:gutter="0" w:footer="0" w:header="0"/>
        </w:sectPr>
      </w:pPr>
    </w:p>
    <w:bookmarkStart w:id="121" w:name="page122"/>
    <w:bookmarkEnd w:id="121"/>
    <w:p>
      <w:pPr>
        <w:ind w:left="260"/>
        <w:spacing w:after="0"/>
        <w:rPr>
          <w:sz w:val="20"/>
          <w:szCs w:val="20"/>
          <w:color w:val="auto"/>
        </w:rPr>
      </w:pPr>
      <w:r>
        <w:rPr>
          <w:rFonts w:ascii="Courier New" w:cs="Courier New" w:eastAsia="Courier New" w:hAnsi="Courier New"/>
          <w:sz w:val="15"/>
          <w:szCs w:val="15"/>
          <w:color w:val="auto"/>
        </w:rPr>
        <w:t>67</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ARTICLE ELEVEN</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REDEMPTION OF SECURITIES</w:t>
      </w:r>
    </w:p>
    <w:p>
      <w:pPr>
        <w:spacing w:after="0" w:line="180"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5"/>
          <w:szCs w:val="15"/>
          <w:color w:val="auto"/>
        </w:rPr>
        <w:t>SECTION 1101.</w:t>
      </w:r>
      <w:r>
        <w:rPr>
          <w:sz w:val="20"/>
          <w:szCs w:val="20"/>
          <w:color w:val="auto"/>
        </w:rPr>
        <w:tab/>
      </w:r>
      <w:r>
        <w:rPr>
          <w:rFonts w:ascii="Courier New" w:cs="Courier New" w:eastAsia="Courier New" w:hAnsi="Courier New"/>
          <w:sz w:val="15"/>
          <w:szCs w:val="15"/>
          <w:color w:val="auto"/>
        </w:rPr>
        <w:t>Applicability of Article.</w:t>
      </w:r>
    </w:p>
    <w:p>
      <w:pPr>
        <w:spacing w:after="0" w:line="180" w:lineRule="exact"/>
        <w:rPr>
          <w:sz w:val="20"/>
          <w:szCs w:val="20"/>
          <w:color w:val="auto"/>
        </w:rPr>
      </w:pPr>
    </w:p>
    <w:p>
      <w:pPr>
        <w:ind w:right="3499" w:firstLine="818"/>
        <w:spacing w:after="0" w:line="246" w:lineRule="auto"/>
        <w:rPr>
          <w:sz w:val="20"/>
          <w:szCs w:val="20"/>
          <w:color w:val="auto"/>
        </w:rPr>
      </w:pPr>
      <w:r>
        <w:rPr>
          <w:rFonts w:ascii="Courier New" w:cs="Courier New" w:eastAsia="Courier New" w:hAnsi="Courier New"/>
          <w:sz w:val="15"/>
          <w:szCs w:val="15"/>
          <w:color w:val="auto"/>
        </w:rPr>
        <w:t>Securities of any series which are redeemable before their Stated Maturity shall be redeemable in accordance with their terms and (except as otherwise specified as contemplated by Section 301 for Securities of any series) in accordance with this Article.</w:t>
      </w:r>
    </w:p>
    <w:p>
      <w:pPr>
        <w:spacing w:after="0" w:line="177"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5"/>
          <w:szCs w:val="15"/>
          <w:color w:val="auto"/>
        </w:rPr>
        <w:t>SECTION 1102.</w:t>
      </w:r>
      <w:r>
        <w:rPr>
          <w:sz w:val="20"/>
          <w:szCs w:val="20"/>
          <w:color w:val="auto"/>
        </w:rPr>
        <w:tab/>
      </w:r>
      <w:r>
        <w:rPr>
          <w:rFonts w:ascii="Courier New" w:cs="Courier New" w:eastAsia="Courier New" w:hAnsi="Courier New"/>
          <w:sz w:val="15"/>
          <w:szCs w:val="15"/>
          <w:color w:val="auto"/>
        </w:rPr>
        <w:t>Election to Redeem; Notice to Trustee.</w:t>
      </w:r>
    </w:p>
    <w:p>
      <w:pPr>
        <w:spacing w:after="0" w:line="180"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The election of the Company to redeem any Securities shall be evidenced by a Board Resolution. In the case of any redemption at the election of the Company of less than all the Securities of any series, the Company shall, at least 45 days prior to the Redemption Date fixed by the Company (unless a shorter notice shall be satisfactory to the Trustee), notify the Trustee of such Redemption Date, of the principal amount of Securities of such series to be redeemed and, if applicable, of the tenor of the Securities of such series to be redeemed. In the case of any redemption of Securities (i) prior to the expiration of any restriction on such redemption provided in the terms of such Securities or elsewhere in this Indenture, or (ii) pursuant to an election of the Company which is subject to a condition specified in the terms of such Securities, the Company shall furnish the Trustee with an Officers' Certificate evidencing compliance with such restriction or condition.</w:t>
      </w:r>
    </w:p>
    <w:p>
      <w:pPr>
        <w:spacing w:after="0" w:line="183"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5"/>
          <w:szCs w:val="15"/>
          <w:color w:val="auto"/>
        </w:rPr>
        <w:t>SECTION 1103.</w:t>
      </w:r>
      <w:r>
        <w:rPr>
          <w:sz w:val="20"/>
          <w:szCs w:val="20"/>
          <w:color w:val="auto"/>
        </w:rPr>
        <w:tab/>
      </w:r>
      <w:r>
        <w:rPr>
          <w:rFonts w:ascii="Courier New" w:cs="Courier New" w:eastAsia="Courier New" w:hAnsi="Courier New"/>
          <w:sz w:val="15"/>
          <w:szCs w:val="15"/>
          <w:color w:val="auto"/>
        </w:rPr>
        <w:t>Selection of Securities to Be Redeemed.</w:t>
      </w:r>
    </w:p>
    <w:p>
      <w:pPr>
        <w:spacing w:after="0" w:line="180"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If less than all the Securities of any series are to be redeemed (unless all of the Securities of such series of a specified tenor are to be redeemed) the particular Securities to be redeemed shall be selected not more than 45 days prior to the Redemption Date by the Company or the Trustee, from the Outstanding Securities of such series not previously called for redemption, by such method as the Company or the Trustee shall deem fair and appropriate and which may provide for the selection for redemption of portions (equal to the minimum authorized denomination for Securities of that series or any integral multiple thereof) of the principal amount of Registered Securities of such series of a denomination larger than the minimum authorized denomination for Securities of that series or of the principal amount of global Securities of such series. If less than all of the Securities of such series and of a specified tenor are to be redeemed, the particular Securities to be redeemed shall be selected not more than 45 days prior to the Redemption Date by the Company or the Trustee, from the Outstanding Securities of such series and specified tenor not previously called for redemption in accordance with the preceding sentence.</w:t>
      </w:r>
    </w:p>
    <w:p>
      <w:pPr>
        <w:spacing w:after="0" w:line="185"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The Company or the Trustee, as the case may be, shall promptly notify the other in writing of the Securities selected for redemption and, in the case of any Securities selected for partial redemption, the principal amount thereof to be redeemed.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SUBORDINATED INDENTURE</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- 60 -</w:t>
      </w:r>
    </w:p>
    <w:p>
      <w:pPr>
        <w:sectPr>
          <w:pgSz w:w="11900" w:h="16838" w:orient="portrait"/>
          <w:cols w:equalWidth="0" w:num="1">
            <w:col w:w="10219"/>
          </w:cols>
          <w:pgMar w:left="240" w:top="293" w:right="1440" w:bottom="1440" w:gutter="0" w:footer="0" w:header="0"/>
        </w:sectPr>
      </w:pPr>
    </w:p>
    <w:bookmarkStart w:id="122" w:name="page123"/>
    <w:bookmarkEnd w:id="122"/>
    <w:p>
      <w:pPr>
        <w:ind w:left="260"/>
        <w:spacing w:after="0"/>
        <w:rPr>
          <w:sz w:val="20"/>
          <w:szCs w:val="20"/>
          <w:color w:val="auto"/>
        </w:rPr>
      </w:pPr>
      <w:r>
        <w:rPr>
          <w:rFonts w:ascii="Courier New" w:cs="Courier New" w:eastAsia="Courier New" w:hAnsi="Courier New"/>
          <w:sz w:val="15"/>
          <w:szCs w:val="15"/>
          <w:color w:val="auto"/>
        </w:rPr>
        <w:t>68</w:t>
      </w:r>
    </w:p>
    <w:p>
      <w:pPr>
        <w:spacing w:after="0" w:line="5"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For all purposes of this Indenture, unless the context otherwise requires, all provisions relating to the redemption of Securities shall relate, in the case of any Securities redeemed or to be redeemed only in part, to the portion of the principal amount of such Securities which has been or is to be redeemed. If any Security selected for partial redemption is surrendered for conversion after such selection and before termination of the conversion right with respect to the portion of the Security so selected, the converted portion of such Security shall be deemed (so far as may be) to be the portion selected for redemption. Upon any redemption of less than all the Securities of a series, for purposes of selection for redemption the Company and the Trustee may treat as Outstanding Securities surrendered for conversion during the period of 15 days next preceding the mailing of a notice of redemption, and need not treat as Outstanding any Security authenticated and delivered during such period in exchange for the unconverted portion of any Security converted in part during such period.</w:t>
      </w:r>
    </w:p>
    <w:p>
      <w:pPr>
        <w:spacing w:after="0" w:line="184"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5"/>
          <w:szCs w:val="15"/>
          <w:color w:val="auto"/>
        </w:rPr>
        <w:t>SECTION 1104.</w:t>
      </w:r>
      <w:r>
        <w:rPr>
          <w:sz w:val="20"/>
          <w:szCs w:val="20"/>
          <w:color w:val="auto"/>
        </w:rPr>
        <w:tab/>
      </w:r>
      <w:r>
        <w:rPr>
          <w:rFonts w:ascii="Courier New" w:cs="Courier New" w:eastAsia="Courier New" w:hAnsi="Courier New"/>
          <w:sz w:val="15"/>
          <w:szCs w:val="15"/>
          <w:color w:val="auto"/>
        </w:rPr>
        <w:t>Notice of Redemption.</w:t>
      </w:r>
    </w:p>
    <w:p>
      <w:pPr>
        <w:spacing w:after="0" w:line="180" w:lineRule="exact"/>
        <w:rPr>
          <w:sz w:val="20"/>
          <w:szCs w:val="20"/>
          <w:color w:val="auto"/>
        </w:rPr>
      </w:pPr>
    </w:p>
    <w:p>
      <w:pPr>
        <w:jc w:val="both"/>
        <w:ind w:right="3139" w:firstLine="818"/>
        <w:spacing w:after="0" w:line="247" w:lineRule="auto"/>
        <w:rPr>
          <w:sz w:val="20"/>
          <w:szCs w:val="20"/>
          <w:color w:val="auto"/>
        </w:rPr>
      </w:pPr>
      <w:r>
        <w:rPr>
          <w:rFonts w:ascii="Courier New" w:cs="Courier New" w:eastAsia="Courier New" w:hAnsi="Courier New"/>
          <w:sz w:val="15"/>
          <w:szCs w:val="15"/>
          <w:color w:val="auto"/>
        </w:rPr>
        <w:t>Notice of redemption shall be given in the manner provided in Section 106 to the Holders of Securities to be redeemed not less than 30 nor more than 45 days prior to the Redemption Date.</w:t>
      </w:r>
    </w:p>
    <w:p>
      <w:pPr>
        <w:spacing w:after="0" w:line="174"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All notices of redemption shall state:</w:t>
      </w:r>
    </w:p>
    <w:p>
      <w:pPr>
        <w:spacing w:after="0" w:line="180" w:lineRule="exact"/>
        <w:rPr>
          <w:sz w:val="20"/>
          <w:szCs w:val="20"/>
          <w:color w:val="auto"/>
        </w:rPr>
      </w:pPr>
    </w:p>
    <w:p>
      <w:pPr>
        <w:ind w:left="2360" w:hanging="822"/>
        <w:spacing w:after="0"/>
        <w:tabs>
          <w:tab w:leader="none" w:pos="2360"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Redemption Date,</w:t>
      </w:r>
    </w:p>
    <w:p>
      <w:pPr>
        <w:spacing w:after="0" w:line="179" w:lineRule="exact"/>
        <w:rPr>
          <w:rFonts w:ascii="Courier New" w:cs="Courier New" w:eastAsia="Courier New" w:hAnsi="Courier New"/>
          <w:sz w:val="15"/>
          <w:szCs w:val="15"/>
          <w:color w:val="auto"/>
        </w:rPr>
      </w:pPr>
    </w:p>
    <w:p>
      <w:pPr>
        <w:ind w:left="2360" w:hanging="822"/>
        <w:spacing w:after="0"/>
        <w:tabs>
          <w:tab w:leader="none" w:pos="2360"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Redemption Price,</w:t>
      </w:r>
    </w:p>
    <w:p>
      <w:pPr>
        <w:spacing w:after="0" w:line="179" w:lineRule="exact"/>
        <w:rPr>
          <w:rFonts w:ascii="Courier New" w:cs="Courier New" w:eastAsia="Courier New" w:hAnsi="Courier New"/>
          <w:sz w:val="15"/>
          <w:szCs w:val="15"/>
          <w:color w:val="auto"/>
        </w:rPr>
      </w:pPr>
    </w:p>
    <w:p>
      <w:pPr>
        <w:ind w:left="820" w:right="3219" w:firstLine="718"/>
        <w:spacing w:after="0" w:line="246" w:lineRule="auto"/>
        <w:tabs>
          <w:tab w:leader="none" w:pos="2365"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less than all the Outstanding Securities of any series are to be redeemed, the identification (and, in the case of partial redemption of any Securities, the principal amounts) of the particular Securities to be redeemed, and that on and after the Redemption Date, upon surrender of the Securities, new Securities of such series in principal amount equal to the unredeemed part thereof will be issued,</w:t>
      </w:r>
    </w:p>
    <w:p>
      <w:pPr>
        <w:spacing w:after="0" w:line="179" w:lineRule="exact"/>
        <w:rPr>
          <w:rFonts w:ascii="Courier New" w:cs="Courier New" w:eastAsia="Courier New" w:hAnsi="Courier New"/>
          <w:sz w:val="15"/>
          <w:szCs w:val="15"/>
          <w:color w:val="auto"/>
        </w:rPr>
      </w:pPr>
    </w:p>
    <w:p>
      <w:pPr>
        <w:ind w:left="820" w:right="3039" w:firstLine="718"/>
        <w:spacing w:after="0" w:line="246" w:lineRule="auto"/>
        <w:tabs>
          <w:tab w:leader="none" w:pos="2365"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on the Redemption Date the Redemption Price will become due and payable upon each such Security to be redeemed and, if applicable, that interest thereon will cease to accrue on and after said date,</w:t>
      </w:r>
    </w:p>
    <w:p>
      <w:pPr>
        <w:spacing w:after="0" w:line="177" w:lineRule="exact"/>
        <w:rPr>
          <w:rFonts w:ascii="Courier New" w:cs="Courier New" w:eastAsia="Courier New" w:hAnsi="Courier New"/>
          <w:sz w:val="15"/>
          <w:szCs w:val="15"/>
          <w:color w:val="auto"/>
        </w:rPr>
      </w:pPr>
    </w:p>
    <w:p>
      <w:pPr>
        <w:ind w:left="820" w:right="3219" w:firstLine="718"/>
        <w:spacing w:after="0" w:line="246" w:lineRule="auto"/>
        <w:tabs>
          <w:tab w:leader="none" w:pos="2365"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place or places where such Securities, together in the case of Bearer Securities with all coupons appertaining thereto, if any, maturing after the Redemption Date, are to be surrendered for payment of the Redemption Price,</w:t>
      </w:r>
    </w:p>
    <w:p>
      <w:pPr>
        <w:spacing w:after="0" w:line="177" w:lineRule="exact"/>
        <w:rPr>
          <w:rFonts w:ascii="Courier New" w:cs="Courier New" w:eastAsia="Courier New" w:hAnsi="Courier New"/>
          <w:sz w:val="15"/>
          <w:szCs w:val="15"/>
          <w:color w:val="auto"/>
        </w:rPr>
      </w:pPr>
    </w:p>
    <w:p>
      <w:pPr>
        <w:ind w:left="2360" w:hanging="822"/>
        <w:spacing w:after="0"/>
        <w:tabs>
          <w:tab w:leader="none" w:pos="2360"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the redemption is for a sinking fund, if such is</w:t>
      </w:r>
    </w:p>
    <w:p>
      <w:pPr>
        <w:spacing w:after="0" w:line="4" w:lineRule="exact"/>
        <w:rPr>
          <w:rFonts w:ascii="Courier New" w:cs="Courier New" w:eastAsia="Courier New" w:hAnsi="Courier New"/>
          <w:sz w:val="15"/>
          <w:szCs w:val="15"/>
          <w:color w:val="auto"/>
        </w:rPr>
      </w:pPr>
    </w:p>
    <w:p>
      <w:pPr>
        <w:ind w:left="8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case,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SUBORDINATED INDENTURE</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- 61 -</w:t>
      </w:r>
    </w:p>
    <w:p>
      <w:pPr>
        <w:sectPr>
          <w:pgSz w:w="11900" w:h="16838" w:orient="portrait"/>
          <w:cols w:equalWidth="0" w:num="1">
            <w:col w:w="10219"/>
          </w:cols>
          <w:pgMar w:left="240" w:top="293" w:right="1440" w:bottom="1440" w:gutter="0" w:footer="0" w:header="0"/>
        </w:sectPr>
      </w:pPr>
    </w:p>
    <w:bookmarkStart w:id="123" w:name="page124"/>
    <w:bookmarkEnd w:id="123"/>
    <w:p>
      <w:pPr>
        <w:ind w:left="260"/>
        <w:spacing w:after="0"/>
        <w:rPr>
          <w:sz w:val="20"/>
          <w:szCs w:val="20"/>
          <w:color w:val="auto"/>
        </w:rPr>
      </w:pPr>
      <w:r>
        <w:rPr>
          <w:rFonts w:ascii="Courier New" w:cs="Courier New" w:eastAsia="Courier New" w:hAnsi="Courier New"/>
          <w:sz w:val="15"/>
          <w:szCs w:val="15"/>
          <w:color w:val="auto"/>
        </w:rPr>
        <w:t>69</w:t>
      </w:r>
    </w:p>
    <w:p>
      <w:pPr>
        <w:spacing w:after="0" w:line="5" w:lineRule="exact"/>
        <w:rPr>
          <w:sz w:val="20"/>
          <w:szCs w:val="20"/>
          <w:color w:val="auto"/>
        </w:rPr>
      </w:pPr>
    </w:p>
    <w:p>
      <w:pPr>
        <w:ind w:left="820" w:right="3139" w:firstLine="718"/>
        <w:spacing w:after="0" w:line="246" w:lineRule="auto"/>
        <w:tabs>
          <w:tab w:leader="none" w:pos="2365"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applicable, the Conversion Price then in effect and the date on which the right to convert the Securities or portions thereof to be redeemed will terminate and the place or places where such Securities may be surrendered for conversion.</w:t>
      </w:r>
    </w:p>
    <w:p>
      <w:pPr>
        <w:spacing w:after="0" w:line="177" w:lineRule="exact"/>
        <w:rPr>
          <w:sz w:val="20"/>
          <w:szCs w:val="20"/>
          <w:color w:val="auto"/>
        </w:rPr>
      </w:pPr>
    </w:p>
    <w:p>
      <w:pPr>
        <w:ind w:right="3679"/>
        <w:spacing w:after="0" w:line="247" w:lineRule="auto"/>
        <w:rPr>
          <w:sz w:val="20"/>
          <w:szCs w:val="20"/>
          <w:color w:val="auto"/>
        </w:rPr>
      </w:pPr>
      <w:r>
        <w:rPr>
          <w:rFonts w:ascii="Courier New" w:cs="Courier New" w:eastAsia="Courier New" w:hAnsi="Courier New"/>
          <w:sz w:val="15"/>
          <w:szCs w:val="15"/>
          <w:color w:val="auto"/>
        </w:rPr>
        <w:t>A notice of redemption published as contemplated by Section 106 need not identify particular Registered Securities to be redeemed.</w:t>
      </w:r>
    </w:p>
    <w:p>
      <w:pPr>
        <w:spacing w:after="0" w:line="175" w:lineRule="exact"/>
        <w:rPr>
          <w:sz w:val="20"/>
          <w:szCs w:val="20"/>
          <w:color w:val="auto"/>
        </w:rPr>
      </w:pPr>
    </w:p>
    <w:p>
      <w:pPr>
        <w:ind w:right="3039" w:firstLine="818"/>
        <w:spacing w:after="0" w:line="247" w:lineRule="auto"/>
        <w:rPr>
          <w:sz w:val="20"/>
          <w:szCs w:val="20"/>
          <w:color w:val="auto"/>
        </w:rPr>
      </w:pPr>
      <w:r>
        <w:rPr>
          <w:rFonts w:ascii="Courier New" w:cs="Courier New" w:eastAsia="Courier New" w:hAnsi="Courier New"/>
          <w:sz w:val="15"/>
          <w:szCs w:val="15"/>
          <w:color w:val="auto"/>
        </w:rPr>
        <w:t>Notice of redemption of Securities to be redeemed at the election of the Company shall be given by the Company or, at the Company's request, by the Trustee in the name and at the expense of the Company and shall be irrevocable.</w:t>
      </w:r>
    </w:p>
    <w:p>
      <w:pPr>
        <w:spacing w:after="0" w:line="174"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5"/>
          <w:szCs w:val="15"/>
          <w:color w:val="auto"/>
        </w:rPr>
        <w:t>SECTION 1105.</w:t>
      </w:r>
      <w:r>
        <w:rPr>
          <w:sz w:val="20"/>
          <w:szCs w:val="20"/>
          <w:color w:val="auto"/>
        </w:rPr>
        <w:tab/>
      </w:r>
      <w:r>
        <w:rPr>
          <w:rFonts w:ascii="Courier New" w:cs="Courier New" w:eastAsia="Courier New" w:hAnsi="Courier New"/>
          <w:sz w:val="15"/>
          <w:szCs w:val="15"/>
          <w:color w:val="auto"/>
        </w:rPr>
        <w:t>Deposit of Redemption Price.</w:t>
      </w:r>
    </w:p>
    <w:p>
      <w:pPr>
        <w:spacing w:after="0" w:line="180"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On or prior to any Redemption Date, the Company shall deposit with the Trustee or with a Paying Agent (or, if the Company is acting as its own Paying Agent, segregate and hold in trust as provided in Section 1003) an amount of money sufficient to pay the Redemption Price of, and (except if the Redemption Date shall be an Interest Payment Date) accrued interest on, all the Securities which are to be redeemed on that date. If any Security called for redemption is converted pursuant hereto, any money deposited with the Trustee or any Paying Agent or so segregated and held in trust for the redemption of such Security shall be paid to the Company upon delivery of a Company Request to the Trustee or such Paying Agent, or, if then held by the Company, shall be discharged from such trust.</w:t>
      </w:r>
    </w:p>
    <w:p>
      <w:pPr>
        <w:spacing w:after="0" w:line="181"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5"/>
          <w:szCs w:val="15"/>
          <w:color w:val="auto"/>
        </w:rPr>
        <w:t>SECTION 1106.</w:t>
      </w:r>
      <w:r>
        <w:rPr>
          <w:sz w:val="20"/>
          <w:szCs w:val="20"/>
          <w:color w:val="auto"/>
        </w:rPr>
        <w:tab/>
      </w:r>
      <w:r>
        <w:rPr>
          <w:rFonts w:ascii="Courier New" w:cs="Courier New" w:eastAsia="Courier New" w:hAnsi="Courier New"/>
          <w:sz w:val="15"/>
          <w:szCs w:val="15"/>
          <w:color w:val="auto"/>
        </w:rPr>
        <w:t>Securities Payable on Redemption Date.</w:t>
      </w:r>
    </w:p>
    <w:p>
      <w:pPr>
        <w:spacing w:after="0" w:line="180"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Notice of redemption having been given as aforesaid, the Securities so to be redeemed shall, on the Redemption Date, become due and payable at the Redemption Price therein specified, and from and after such date (unless the Company shall default in the payment of the Redemption Price and accrued interest) such Securities shall cease to bear interest and the coupons for such interest appertaining to any Bearer Securities so to be redeemed, except to the extent provided below, shall be void. Upon surrender of any such Security for redemption in accordance with said notice, together with all coupons, if any, appertaining thereto maturing after the Redemption Date, such Security shall be paid by the Company at the Redemption Price, together with accrued interest to the Redemption Date; provided, however, that installments of interest on Bearer Securities whose Stated Maturity is on or prior to the Redemption Date shall be payable only at an office or agency located outside the United States (except as otherwise provided in Section 1002) and, unless otherwise specified as contemplated by Section 301, only upon presentation and surrender of coupons for such interest, and provided, further, that unless otherwise specified as contemplated by Section 301, installments of interest on Registered Securities whose Stated Maturity is on or prior to the Redemption Date shall be payable to the Holders of such Securities, or one or more Predecessor Securities, registered as such at the close of business on the relevant Record Dates according to their terms and the provisions of Section 307.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SUBORDINATED INDENTURE</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- 62 -</w:t>
      </w:r>
    </w:p>
    <w:p>
      <w:pPr>
        <w:sectPr>
          <w:pgSz w:w="11900" w:h="16838" w:orient="portrait"/>
          <w:cols w:equalWidth="0" w:num="1">
            <w:col w:w="10219"/>
          </w:cols>
          <w:pgMar w:left="240" w:top="293" w:right="1440" w:bottom="1440" w:gutter="0" w:footer="0" w:header="0"/>
        </w:sectPr>
      </w:pPr>
    </w:p>
    <w:bookmarkStart w:id="124" w:name="page125"/>
    <w:bookmarkEnd w:id="124"/>
    <w:p>
      <w:pPr>
        <w:ind w:left="260"/>
        <w:spacing w:after="0"/>
        <w:rPr>
          <w:sz w:val="20"/>
          <w:szCs w:val="20"/>
          <w:color w:val="auto"/>
        </w:rPr>
      </w:pPr>
      <w:r>
        <w:rPr>
          <w:rFonts w:ascii="Courier New" w:cs="Courier New" w:eastAsia="Courier New" w:hAnsi="Courier New"/>
          <w:sz w:val="15"/>
          <w:szCs w:val="15"/>
          <w:color w:val="auto"/>
        </w:rPr>
        <w:t>70</w:t>
      </w:r>
    </w:p>
    <w:p>
      <w:pPr>
        <w:spacing w:after="0" w:line="5"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If any Bearer Security surrendered for redemption shall not be accompanied by all appurtenant coupons maturing after the Redemption Date, such Security may be paid after deducting from the Redemption Price an amount equal to the face amount of all such missing coupons, or the surrender of such missing coupon or coupons may be waived by the Company and the Trustee if there be furnished to them such security or indemnity as they may require to save each of them and any Paying Agent harmless. If thereafter the Holder of such Security shall surrender to the Trustee or any Paying Agent any such missing coupon in respect of which a deduction shall have been made from the Redemption Price, such Holder shall be entitled to receive the amount so deducted; provided, however, that interest represented by coupons shall be payable only at an office or agency located outside the United States (except as otherwise provided in Section 1002) and, unless otherwise specified as contemplated by Section 301, only upon presentation and surrender of those coupons.</w:t>
      </w:r>
    </w:p>
    <w:p>
      <w:pPr>
        <w:spacing w:after="0" w:line="183"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If any Security called for redemption shall not be so paid upon surrender thereof for redemption, the principal and any premium shall, until paid, bear interest from the Redemption Date at the rate prescribed therefor in the Security.</w:t>
      </w:r>
    </w:p>
    <w:p>
      <w:pPr>
        <w:spacing w:after="0" w:line="177"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5"/>
          <w:szCs w:val="15"/>
          <w:color w:val="auto"/>
        </w:rPr>
        <w:t>SECTION 1107.</w:t>
      </w:r>
      <w:r>
        <w:rPr>
          <w:sz w:val="20"/>
          <w:szCs w:val="20"/>
          <w:color w:val="auto"/>
        </w:rPr>
        <w:tab/>
      </w:r>
      <w:r>
        <w:rPr>
          <w:rFonts w:ascii="Courier New" w:cs="Courier New" w:eastAsia="Courier New" w:hAnsi="Courier New"/>
          <w:sz w:val="15"/>
          <w:szCs w:val="15"/>
          <w:color w:val="auto"/>
        </w:rPr>
        <w:t>Securities Redeemed in Part.</w:t>
      </w:r>
    </w:p>
    <w:p>
      <w:pPr>
        <w:spacing w:after="0" w:line="180"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Any Registered Security which is to be redeemed only in part shall be surrendered at a Place of Payment thereof (with, if the Company or the Trustee so requires, due endorsement by, or a written instrument of transfer in form satisfactory to the Company and the Trustee duly executed by, the Holder thereof or his attorney duly authorized in writing), and the Company shall execute, and the Trustee shall authenticate and deliver to the Holder of such Security without service charge, a new Registered Security or Securities of the same series and of like tenor, of any authorized denomination as requested by such Holder, in aggregate principal amount equal to and in exchange for the unredeemed portion of the principal of the Security so surrendered.</w:t>
      </w:r>
    </w:p>
    <w:p>
      <w:pPr>
        <w:spacing w:after="0" w:line="18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ARTICLE TWELVE</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SINKING FUNDS</w:t>
      </w:r>
    </w:p>
    <w:p>
      <w:pPr>
        <w:spacing w:after="0" w:line="180"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5"/>
          <w:szCs w:val="15"/>
          <w:color w:val="auto"/>
        </w:rPr>
        <w:t>SECTION 1201.</w:t>
      </w:r>
      <w:r>
        <w:rPr>
          <w:sz w:val="20"/>
          <w:szCs w:val="20"/>
          <w:color w:val="auto"/>
        </w:rPr>
        <w:tab/>
      </w:r>
      <w:r>
        <w:rPr>
          <w:rFonts w:ascii="Courier New" w:cs="Courier New" w:eastAsia="Courier New" w:hAnsi="Courier New"/>
          <w:sz w:val="15"/>
          <w:szCs w:val="15"/>
          <w:color w:val="auto"/>
        </w:rPr>
        <w:t>Applicability of Article.</w:t>
      </w:r>
    </w:p>
    <w:p>
      <w:pPr>
        <w:spacing w:after="0" w:line="180" w:lineRule="exact"/>
        <w:rPr>
          <w:sz w:val="20"/>
          <w:szCs w:val="20"/>
          <w:color w:val="auto"/>
        </w:rPr>
      </w:pPr>
    </w:p>
    <w:p>
      <w:pPr>
        <w:ind w:right="3039" w:firstLine="818"/>
        <w:spacing w:after="0" w:line="247" w:lineRule="auto"/>
        <w:rPr>
          <w:sz w:val="20"/>
          <w:szCs w:val="20"/>
          <w:color w:val="auto"/>
        </w:rPr>
      </w:pPr>
      <w:r>
        <w:rPr>
          <w:rFonts w:ascii="Courier New" w:cs="Courier New" w:eastAsia="Courier New" w:hAnsi="Courier New"/>
          <w:sz w:val="15"/>
          <w:szCs w:val="15"/>
          <w:color w:val="auto"/>
        </w:rPr>
        <w:t>The provisions of this Article shall be applicable to any sinking fund for the retirement of Securities of a series except as otherwise specified as contemplated by Section 301 for Securities of such series.</w:t>
      </w:r>
    </w:p>
    <w:p>
      <w:pPr>
        <w:spacing w:after="0" w:line="174"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If provided for by the terms of Securities of any series, the cash amount of any sinking fund payment may be subject to reduction as provided in Section 1202. Each sinking fund payment shall be applied to the redemption of Securities of any series as provided for by the terms of Securities of such series.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SUBORDINATED INDENTURE</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- 63 -</w:t>
      </w:r>
    </w:p>
    <w:p>
      <w:pPr>
        <w:sectPr>
          <w:pgSz w:w="11900" w:h="16838" w:orient="portrait"/>
          <w:cols w:equalWidth="0" w:num="1">
            <w:col w:w="10219"/>
          </w:cols>
          <w:pgMar w:left="240" w:top="293" w:right="1440" w:bottom="1440" w:gutter="0" w:footer="0" w:header="0"/>
        </w:sectPr>
      </w:pPr>
    </w:p>
    <w:bookmarkStart w:id="125" w:name="page126"/>
    <w:bookmarkEnd w:id="125"/>
    <w:p>
      <w:pPr>
        <w:ind w:left="267"/>
        <w:spacing w:after="0"/>
        <w:rPr>
          <w:sz w:val="20"/>
          <w:szCs w:val="20"/>
          <w:color w:val="auto"/>
        </w:rPr>
      </w:pPr>
      <w:r>
        <w:rPr>
          <w:rFonts w:ascii="Courier New" w:cs="Courier New" w:eastAsia="Courier New" w:hAnsi="Courier New"/>
          <w:sz w:val="15"/>
          <w:szCs w:val="15"/>
          <w:color w:val="auto"/>
        </w:rPr>
        <w:t>71</w:t>
      </w:r>
    </w:p>
    <w:p>
      <w:pPr>
        <w:spacing w:after="0" w:line="5" w:lineRule="exact"/>
        <w:rPr>
          <w:sz w:val="20"/>
          <w:szCs w:val="20"/>
          <w:color w:val="auto"/>
        </w:rPr>
      </w:pPr>
    </w:p>
    <w:p>
      <w:pPr>
        <w:ind w:left="7"/>
        <w:spacing w:after="0"/>
        <w:tabs>
          <w:tab w:leader="none" w:pos="1526" w:val="left"/>
        </w:tabs>
        <w:rPr>
          <w:sz w:val="20"/>
          <w:szCs w:val="20"/>
          <w:color w:val="auto"/>
        </w:rPr>
      </w:pPr>
      <w:r>
        <w:rPr>
          <w:rFonts w:ascii="Courier New" w:cs="Courier New" w:eastAsia="Courier New" w:hAnsi="Courier New"/>
          <w:sz w:val="15"/>
          <w:szCs w:val="15"/>
          <w:color w:val="auto"/>
        </w:rPr>
        <w:t>SECTION 1202.</w:t>
      </w:r>
      <w:r>
        <w:rPr>
          <w:sz w:val="20"/>
          <w:szCs w:val="20"/>
          <w:color w:val="auto"/>
        </w:rPr>
        <w:tab/>
      </w:r>
      <w:r>
        <w:rPr>
          <w:rFonts w:ascii="Courier New" w:cs="Courier New" w:eastAsia="Courier New" w:hAnsi="Courier New"/>
          <w:sz w:val="15"/>
          <w:szCs w:val="15"/>
          <w:color w:val="auto"/>
        </w:rPr>
        <w:t>Satisfaction of Sinking Fund Payments with Securities.</w:t>
      </w:r>
    </w:p>
    <w:p>
      <w:pPr>
        <w:spacing w:after="0" w:line="180" w:lineRule="exact"/>
        <w:rPr>
          <w:sz w:val="20"/>
          <w:szCs w:val="20"/>
          <w:color w:val="auto"/>
        </w:rPr>
      </w:pPr>
    </w:p>
    <w:p>
      <w:pPr>
        <w:jc w:val="both"/>
        <w:ind w:left="7" w:right="3139" w:firstLine="818"/>
        <w:spacing w:after="0" w:line="246" w:lineRule="auto"/>
        <w:rPr>
          <w:sz w:val="20"/>
          <w:szCs w:val="20"/>
          <w:color w:val="auto"/>
        </w:rPr>
      </w:pPr>
      <w:r>
        <w:rPr>
          <w:rFonts w:ascii="Courier New" w:cs="Courier New" w:eastAsia="Courier New" w:hAnsi="Courier New"/>
          <w:sz w:val="15"/>
          <w:szCs w:val="15"/>
          <w:color w:val="auto"/>
        </w:rPr>
        <w:t>The Company (1) may deliver Outstanding Securities of a series (other than any previously called for redemption), together in the case of any Bearer Securities of such series with all unmatured coupons appertaining thereto, and</w:t>
      </w:r>
    </w:p>
    <w:p>
      <w:pPr>
        <w:spacing w:after="0" w:line="2" w:lineRule="exact"/>
        <w:rPr>
          <w:sz w:val="20"/>
          <w:szCs w:val="20"/>
          <w:color w:val="auto"/>
        </w:rPr>
      </w:pPr>
    </w:p>
    <w:p>
      <w:pPr>
        <w:ind w:left="7" w:right="3039" w:hanging="7"/>
        <w:spacing w:after="0" w:line="246" w:lineRule="auto"/>
        <w:tabs>
          <w:tab w:leader="none" w:pos="370"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may apply as a credit Securities of a series which have been (x) converted into Common Stock or (y)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as provided for by the terms of such series, provided,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w:t>
      </w:r>
    </w:p>
    <w:p>
      <w:pPr>
        <w:spacing w:after="0" w:line="182" w:lineRule="exact"/>
        <w:rPr>
          <w:sz w:val="20"/>
          <w:szCs w:val="20"/>
          <w:color w:val="auto"/>
        </w:rPr>
      </w:pPr>
    </w:p>
    <w:p>
      <w:pPr>
        <w:ind w:left="7"/>
        <w:spacing w:after="0"/>
        <w:tabs>
          <w:tab w:leader="none" w:pos="1526" w:val="left"/>
        </w:tabs>
        <w:rPr>
          <w:sz w:val="20"/>
          <w:szCs w:val="20"/>
          <w:color w:val="auto"/>
        </w:rPr>
      </w:pPr>
      <w:r>
        <w:rPr>
          <w:rFonts w:ascii="Courier New" w:cs="Courier New" w:eastAsia="Courier New" w:hAnsi="Courier New"/>
          <w:sz w:val="15"/>
          <w:szCs w:val="15"/>
          <w:color w:val="auto"/>
        </w:rPr>
        <w:t>SECTION 1203.</w:t>
      </w:r>
      <w:r>
        <w:rPr>
          <w:sz w:val="20"/>
          <w:szCs w:val="20"/>
          <w:color w:val="auto"/>
        </w:rPr>
        <w:tab/>
      </w:r>
      <w:r>
        <w:rPr>
          <w:rFonts w:ascii="Courier New" w:cs="Courier New" w:eastAsia="Courier New" w:hAnsi="Courier New"/>
          <w:sz w:val="15"/>
          <w:szCs w:val="15"/>
          <w:color w:val="auto"/>
        </w:rPr>
        <w:t>Redemption of Securities for Sinking Fund.</w:t>
      </w:r>
    </w:p>
    <w:p>
      <w:pPr>
        <w:spacing w:after="0" w:line="180" w:lineRule="exact"/>
        <w:rPr>
          <w:sz w:val="20"/>
          <w:szCs w:val="20"/>
          <w:color w:val="auto"/>
        </w:rPr>
      </w:pPr>
    </w:p>
    <w:p>
      <w:pPr>
        <w:ind w:left="7" w:right="3039" w:firstLine="818"/>
        <w:spacing w:after="0" w:line="246" w:lineRule="auto"/>
        <w:rPr>
          <w:sz w:val="20"/>
          <w:szCs w:val="20"/>
          <w:color w:val="auto"/>
        </w:rPr>
      </w:pPr>
      <w:r>
        <w:rPr>
          <w:rFonts w:ascii="Courier New" w:cs="Courier New" w:eastAsia="Courier New" w:hAnsi="Courier New"/>
          <w:sz w:val="15"/>
          <w:szCs w:val="15"/>
          <w:color w:val="auto"/>
        </w:rPr>
        <w:t>Not less than 45 days prior to each sinking fund payment date for any series of Securities, the Company will deliver to the Trustee a Company Order specifying the amount of the next ensuing sinking fund payment for that series pursuant to the terms of that series, the portion thereof, if any, which is to be satisfied by payment of cash and the portion thereof, if any, which is to be satisfied by delivering and crediting Securities of that series pursuant to Section 1202 and will also deliver to the Trustee any Securities to be so credited. Not less than 30 days before each such sinking fund payment date the Company or the Trustee shall select the Securities to be redeemed upon such sinking fund payment date in the manner specified in Section 1103 and cause notice of the redemption thereof to be given in the name of and at the expense of the Company in the manner provided in Section 1104. Such notice having been duly given, the redemption of such Securities shall be made upon the terms and in the manner stated in Sections 1106 and 1107.</w:t>
      </w:r>
    </w:p>
    <w:p>
      <w:pPr>
        <w:spacing w:after="0" w:line="183"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ARTICLE THIRTEEN</w:t>
      </w:r>
    </w:p>
    <w:p>
      <w:pPr>
        <w:spacing w:after="0" w:line="5"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DEFEASANCE AND COVENANT DEFEASANCE</w:t>
      </w:r>
    </w:p>
    <w:p>
      <w:pPr>
        <w:spacing w:after="0" w:line="180" w:lineRule="exact"/>
        <w:rPr>
          <w:sz w:val="20"/>
          <w:szCs w:val="20"/>
          <w:color w:val="auto"/>
        </w:rPr>
      </w:pPr>
    </w:p>
    <w:p>
      <w:pPr>
        <w:ind w:left="7"/>
        <w:spacing w:after="0"/>
        <w:tabs>
          <w:tab w:leader="none" w:pos="1526" w:val="left"/>
        </w:tabs>
        <w:rPr>
          <w:sz w:val="20"/>
          <w:szCs w:val="20"/>
          <w:color w:val="auto"/>
        </w:rPr>
      </w:pPr>
      <w:r>
        <w:rPr>
          <w:rFonts w:ascii="Courier New" w:cs="Courier New" w:eastAsia="Courier New" w:hAnsi="Courier New"/>
          <w:sz w:val="15"/>
          <w:szCs w:val="15"/>
          <w:color w:val="auto"/>
        </w:rPr>
        <w:t>SECTION 1301.</w:t>
      </w:r>
      <w:r>
        <w:rPr>
          <w:sz w:val="20"/>
          <w:szCs w:val="20"/>
          <w:color w:val="auto"/>
        </w:rPr>
        <w:tab/>
      </w:r>
      <w:r>
        <w:rPr>
          <w:rFonts w:ascii="Courier New" w:cs="Courier New" w:eastAsia="Courier New" w:hAnsi="Courier New"/>
          <w:sz w:val="15"/>
          <w:szCs w:val="15"/>
          <w:color w:val="auto"/>
        </w:rPr>
        <w:t>Company's Option to Effect Defeasance or Covenant Defeasance.</w:t>
      </w:r>
    </w:p>
    <w:p>
      <w:pPr>
        <w:spacing w:after="0" w:line="180" w:lineRule="exact"/>
        <w:rPr>
          <w:sz w:val="20"/>
          <w:szCs w:val="20"/>
          <w:color w:val="auto"/>
        </w:rPr>
      </w:pPr>
    </w:p>
    <w:p>
      <w:pPr>
        <w:ind w:left="7" w:right="3039" w:firstLine="818"/>
        <w:spacing w:after="0" w:line="246" w:lineRule="auto"/>
        <w:rPr>
          <w:sz w:val="20"/>
          <w:szCs w:val="20"/>
          <w:color w:val="auto"/>
        </w:rPr>
      </w:pPr>
      <w:r>
        <w:rPr>
          <w:rFonts w:ascii="Courier New" w:cs="Courier New" w:eastAsia="Courier New" w:hAnsi="Courier New"/>
          <w:sz w:val="15"/>
          <w:szCs w:val="15"/>
          <w:color w:val="auto"/>
        </w:rPr>
        <w:t>The Company may at its option by Board Resolution, at any time, elect to have either Section 1302 or Section 1303 applied to the Outstanding Securities of any series upon compliance with the conditions set forth below in this Article Thirteen.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SUBORDINATED INDENTURE</w:t>
      </w:r>
    </w:p>
    <w:p>
      <w:pPr>
        <w:spacing w:after="0" w:line="5"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- 64 -</w:t>
      </w:r>
    </w:p>
    <w:p>
      <w:pPr>
        <w:sectPr>
          <w:pgSz w:w="11900" w:h="16838" w:orient="portrait"/>
          <w:cols w:equalWidth="0" w:num="1">
            <w:col w:w="10226"/>
          </w:cols>
          <w:pgMar w:left="233" w:top="293" w:right="1440" w:bottom="1440" w:gutter="0" w:footer="0" w:header="0"/>
        </w:sectPr>
      </w:pPr>
    </w:p>
    <w:bookmarkStart w:id="126" w:name="page127"/>
    <w:bookmarkEnd w:id="126"/>
    <w:p>
      <w:pPr>
        <w:ind w:left="260"/>
        <w:spacing w:after="0"/>
        <w:rPr>
          <w:sz w:val="20"/>
          <w:szCs w:val="20"/>
          <w:color w:val="auto"/>
        </w:rPr>
      </w:pPr>
      <w:r>
        <w:rPr>
          <w:rFonts w:ascii="Courier New" w:cs="Courier New" w:eastAsia="Courier New" w:hAnsi="Courier New"/>
          <w:sz w:val="15"/>
          <w:szCs w:val="15"/>
          <w:color w:val="auto"/>
        </w:rPr>
        <w:t>72</w:t>
      </w:r>
    </w:p>
    <w:p>
      <w:pPr>
        <w:spacing w:after="0" w:line="5"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5"/>
          <w:szCs w:val="15"/>
          <w:color w:val="auto"/>
        </w:rPr>
        <w:t>SECTION 1302.</w:t>
      </w:r>
      <w:r>
        <w:rPr>
          <w:sz w:val="20"/>
          <w:szCs w:val="20"/>
          <w:color w:val="auto"/>
        </w:rPr>
        <w:tab/>
      </w:r>
      <w:r>
        <w:rPr>
          <w:rFonts w:ascii="Courier New" w:cs="Courier New" w:eastAsia="Courier New" w:hAnsi="Courier New"/>
          <w:sz w:val="15"/>
          <w:szCs w:val="15"/>
          <w:color w:val="auto"/>
        </w:rPr>
        <w:t>Defeasance and Discharge.</w:t>
      </w:r>
    </w:p>
    <w:p>
      <w:pPr>
        <w:spacing w:after="0" w:line="180"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Upon the Company's exercise of the option provided in Section 1301 applicable to this Section, the Company shall be deemed to have been discharged from its obligations with respect to the Outstanding Securities of any series (other than any convertible series) on the date the conditions set forth below are satisfied (hereinafter, "defeasance"). For this purpose, such defeasance means that the Company shall be deemed to have paid and discharged the entire indebtedness represented by the Outstanding Securities of such series and to have satisfied all its other obligations under the Securities of such series and this Indenture insofar as the Securities of such series are concerned (and the Trustee, at the expense of the Company, shall execute proper instruments acknowledging the same), except for the following which shall survive until otherwise terminated or discharged hereunder: (A) the rights of Holders of the Securities of such series to receive, solely from the trust fund described in Section 1304 and as more fully set forth in such Section, payments in respect of the principal of and any premium and interest on the Securities of such series when such payments are due, (B) the Company's obligations with respect to such Securities under Sections 304, 305, 306, 1002, 1003 and 1004, (C) the rights, powers, trusts, duties and immunities of the Trustee hereunder and (D) this Article Thirteen. Subject to compliance with this Article Thirteen, the Company may exercise its option under this Section 1302 notwithstanding the prior exercise of its option under Section 1303.</w:t>
      </w:r>
    </w:p>
    <w:p>
      <w:pPr>
        <w:spacing w:after="0" w:line="187"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5"/>
          <w:szCs w:val="15"/>
          <w:color w:val="auto"/>
        </w:rPr>
        <w:t>SECTION 1303.</w:t>
      </w:r>
      <w:r>
        <w:rPr>
          <w:sz w:val="20"/>
          <w:szCs w:val="20"/>
          <w:color w:val="auto"/>
        </w:rPr>
        <w:tab/>
      </w:r>
      <w:r>
        <w:rPr>
          <w:rFonts w:ascii="Courier New" w:cs="Courier New" w:eastAsia="Courier New" w:hAnsi="Courier New"/>
          <w:sz w:val="15"/>
          <w:szCs w:val="15"/>
          <w:color w:val="auto"/>
        </w:rPr>
        <w:t>Covenant Defeasance.</w:t>
      </w:r>
    </w:p>
    <w:p>
      <w:pPr>
        <w:spacing w:after="0" w:line="180"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Upon the Company's exercise of the option provided in Section 1301 applicable to this Section, (i) the Company shall be released from its obligations with respect to the Securities of such series under Sections 801 and 1005 and any covenant added to this Indenture pursuant to Section 901(2) hereof, and (ii) the occurrence of an event specified in Section 501(4) (with respect to Sections 801 and 1005 and any covenant added to this Indenture pursuant to Section 901(2) hereof) shall not be deemed to be an Event of Default on and after the date the conditions set forth below are satisfied (hereinafter, "covenant defeasance"), but the remainder of this Indenture and such Securities shall be unaffected thereby. For this purpose, such covenant defeasance means that the Company may omit to comply with and shall have no liability in respect of any term, condition or limitation set forth in any such Section or covenant (to the extent so specified in the case of Section 501(4)), whether directly or indirectly, by reason of any reference elsewhere herein to any such Section or covenant or by reason of any reference in any such Section or clause to any other provision herein or in any such Section or clause to any other provision herein or in any other document, but the remainder of this Indenture and such Securities shall be unaffected thereby.</w:t>
      </w:r>
    </w:p>
    <w:p>
      <w:pPr>
        <w:spacing w:after="0" w:line="186"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5"/>
          <w:szCs w:val="15"/>
          <w:color w:val="auto"/>
        </w:rPr>
        <w:t>SECTION 1304.</w:t>
      </w:r>
      <w:r>
        <w:rPr>
          <w:sz w:val="20"/>
          <w:szCs w:val="20"/>
          <w:color w:val="auto"/>
        </w:rPr>
        <w:tab/>
      </w:r>
      <w:r>
        <w:rPr>
          <w:rFonts w:ascii="Courier New" w:cs="Courier New" w:eastAsia="Courier New" w:hAnsi="Courier New"/>
          <w:sz w:val="15"/>
          <w:szCs w:val="15"/>
          <w:color w:val="auto"/>
        </w:rPr>
        <w:t>Conditions to Defeasance or Covenant Defeasance.</w:t>
      </w:r>
    </w:p>
    <w:p>
      <w:pPr>
        <w:spacing w:after="0" w:line="180" w:lineRule="exact"/>
        <w:rPr>
          <w:sz w:val="20"/>
          <w:szCs w:val="20"/>
          <w:color w:val="auto"/>
        </w:rPr>
      </w:pPr>
    </w:p>
    <w:p>
      <w:pPr>
        <w:ind w:right="3039" w:firstLine="818"/>
        <w:spacing w:after="0" w:line="247" w:lineRule="auto"/>
        <w:rPr>
          <w:sz w:val="20"/>
          <w:szCs w:val="20"/>
          <w:color w:val="auto"/>
        </w:rPr>
      </w:pPr>
      <w:r>
        <w:rPr>
          <w:rFonts w:ascii="Courier New" w:cs="Courier New" w:eastAsia="Courier New" w:hAnsi="Courier New"/>
          <w:sz w:val="15"/>
          <w:szCs w:val="15"/>
          <w:color w:val="auto"/>
        </w:rPr>
        <w:t>The following shall be the conditions to application of either Section 1302 or Section 1303 to the then Outstanding Securities of any series: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SUBORDINATED INDENTURE</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- 65 -</w:t>
      </w:r>
    </w:p>
    <w:p>
      <w:pPr>
        <w:sectPr>
          <w:pgSz w:w="11900" w:h="16838" w:orient="portrait"/>
          <w:cols w:equalWidth="0" w:num="1">
            <w:col w:w="10219"/>
          </w:cols>
          <w:pgMar w:left="240" w:top="293" w:right="1440" w:bottom="1440" w:gutter="0" w:footer="0" w:header="0"/>
        </w:sectPr>
      </w:pPr>
    </w:p>
    <w:bookmarkStart w:id="127" w:name="page128"/>
    <w:bookmarkEnd w:id="127"/>
    <w:p>
      <w:pPr>
        <w:spacing w:after="0"/>
        <w:rPr>
          <w:sz w:val="20"/>
          <w:szCs w:val="20"/>
          <w:color w:val="auto"/>
        </w:rPr>
      </w:pPr>
      <w:r>
        <w:rPr>
          <w:rFonts w:ascii="Courier New" w:cs="Courier New" w:eastAsia="Courier New" w:hAnsi="Courier New"/>
          <w:sz w:val="15"/>
          <w:szCs w:val="15"/>
          <w:color w:val="auto"/>
        </w:rPr>
        <w:t>73</w:t>
      </w:r>
    </w:p>
    <w:p>
      <w:pPr>
        <w:spacing w:after="0" w:line="5" w:lineRule="exact"/>
        <w:rPr>
          <w:sz w:val="20"/>
          <w:szCs w:val="20"/>
          <w:color w:val="auto"/>
        </w:rPr>
      </w:pPr>
    </w:p>
    <w:p>
      <w:pPr>
        <w:ind w:left="560" w:right="3039" w:firstLine="718"/>
        <w:spacing w:after="0" w:line="246" w:lineRule="auto"/>
        <w:tabs>
          <w:tab w:leader="none" w:pos="2105" w:val="left"/>
        </w:tabs>
        <w:numPr>
          <w:ilvl w:val="1"/>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irrevocably have deposited or caused to be deposited with the Trustee (or another trustee satisfying the requirements of Section 609 who shall agree to comply with the provisions of this Article Thirteen applicable to it) as trust funds in trust for the purpose of making the following payments specifically pledged as security for, and dedicated solely to, the benefit of the Holders of the Securities of such series, (A) money in an amount, or</w:t>
      </w:r>
    </w:p>
    <w:p>
      <w:pPr>
        <w:spacing w:after="0" w:line="4" w:lineRule="exact"/>
        <w:rPr>
          <w:rFonts w:ascii="Courier New" w:cs="Courier New" w:eastAsia="Courier New" w:hAnsi="Courier New"/>
          <w:sz w:val="15"/>
          <w:szCs w:val="15"/>
          <w:color w:val="auto"/>
        </w:rPr>
      </w:pPr>
    </w:p>
    <w:p>
      <w:pPr>
        <w:ind w:left="560" w:right="3039" w:hanging="9"/>
        <w:spacing w:after="0" w:line="246" w:lineRule="auto"/>
        <w:tabs>
          <w:tab w:leader="none" w:pos="923"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 Government Obligations which through the scheduled payment of principal and interest in respect thereof in accordance with their terms will provide, not later than one day before the due date of any payment, money in an amount, or (C) a combination thereof, sufficient, in the opinion of a nationally recognized firm of independent public accountants expressed in a written certification thereof delivered to the Trustee, to pay and discharge, and which shall be applied by the Trustee (or other qualifying trustee) to pay and discharge, the principal of (and premium, if any) and each installment of interest on the Securities and any coupons pertaining thereto on the Stated Maturity of such principal (and premium, if any) or installment of interest in accordance with the terms of this Indenture and of the Securities of such series. For this purpose, "U.S. Government Obligations" means securities that are (x) direct obligations of the United States of America for the payment of which its full faith and credit is pledged or (y) obligations of a Person controlled or supervised by and acting as an agency or instrumentality of the United States of America the payment of which is unconditionally guaranteed as a full faith and credit obligation by the United States of America, which, in either case, are not callable or redeemable at the option of the issuer thereof, and shall also include a depository receipt issued by a bank (as defined in Section 3(a)(2) of the Securities Act of</w:t>
      </w:r>
    </w:p>
    <w:p>
      <w:pPr>
        <w:spacing w:after="0" w:line="13" w:lineRule="exact"/>
        <w:rPr>
          <w:rFonts w:ascii="Courier New" w:cs="Courier New" w:eastAsia="Courier New" w:hAnsi="Courier New"/>
          <w:sz w:val="15"/>
          <w:szCs w:val="15"/>
          <w:color w:val="auto"/>
        </w:rPr>
      </w:pPr>
    </w:p>
    <w:p>
      <w:pPr>
        <w:ind w:left="560" w:right="30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1933) as custodian with respect to any such U.S. Government Obligation or a specific payment of principal of or interest on any such U.S. Government Obligation held by such custodian for the account of the holder of such depository receipt, provided, that (except as required by law) such custodian is not authorized to make any deduction from the amount payable to the holder of such depository receipt from any amount received by the custodian in respect of the U.S. Government Obligation or the specific payment of principal of or interest on the U.S. Government Obligation evidenced by such depository receipt.</w:t>
      </w:r>
    </w:p>
    <w:p>
      <w:pPr>
        <w:spacing w:after="0" w:line="180" w:lineRule="exact"/>
        <w:rPr>
          <w:rFonts w:ascii="Courier New" w:cs="Courier New" w:eastAsia="Courier New" w:hAnsi="Courier New"/>
          <w:sz w:val="15"/>
          <w:szCs w:val="15"/>
          <w:color w:val="auto"/>
        </w:rPr>
      </w:pPr>
    </w:p>
    <w:p>
      <w:pPr>
        <w:ind w:left="560" w:right="3139" w:firstLine="718"/>
        <w:spacing w:after="0" w:line="246" w:lineRule="auto"/>
        <w:tabs>
          <w:tab w:leader="none" w:pos="2105" w:val="left"/>
        </w:tabs>
        <w:numPr>
          <w:ilvl w:val="1"/>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an election under Section 1302, the Company shall have delivered to the Trustee an Opinion of Counsel stating that (x) the Company has received from, or there has been published by, the Internal Revenue Service a ruling, or (y) since the date of this Indenture there has been a change in the applicable Federal income tax law, in either case to the effect that, and based thereon such opinion shall confirm that, the Holders of the Outstanding Securities of such series will not recognize income, gain or loss for Federal income tax purposes as a result of such deposit, defeasance and discharge and will be subject to Federal income tax on the same amounts, in the same manner and at the same times as would have been the case if such deposit, defeasance and discharge had not occurred.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SUBORDINATED INDENTURE</w:t>
      </w:r>
    </w:p>
    <w:p>
      <w:pPr>
        <w:spacing w:after="0" w:line="5"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- 66 -</w:t>
      </w:r>
    </w:p>
    <w:p>
      <w:pPr>
        <w:sectPr>
          <w:pgSz w:w="11900" w:h="16838" w:orient="portrait"/>
          <w:cols w:equalWidth="0" w:num="1">
            <w:col w:w="9959"/>
          </w:cols>
          <w:pgMar w:left="500" w:top="293" w:right="1440" w:bottom="1440" w:gutter="0" w:footer="0" w:header="0"/>
        </w:sectPr>
      </w:pPr>
    </w:p>
    <w:bookmarkStart w:id="128" w:name="page129"/>
    <w:bookmarkEnd w:id="128"/>
    <w:p>
      <w:pPr>
        <w:ind w:left="260"/>
        <w:spacing w:after="0"/>
        <w:rPr>
          <w:sz w:val="20"/>
          <w:szCs w:val="20"/>
          <w:color w:val="auto"/>
        </w:rPr>
      </w:pPr>
      <w:r>
        <w:rPr>
          <w:rFonts w:ascii="Courier New" w:cs="Courier New" w:eastAsia="Courier New" w:hAnsi="Courier New"/>
          <w:sz w:val="15"/>
          <w:szCs w:val="15"/>
          <w:color w:val="auto"/>
        </w:rPr>
        <w:t>74</w:t>
      </w:r>
    </w:p>
    <w:p>
      <w:pPr>
        <w:spacing w:after="0" w:line="5" w:lineRule="exact"/>
        <w:rPr>
          <w:sz w:val="20"/>
          <w:szCs w:val="20"/>
          <w:color w:val="auto"/>
        </w:rPr>
      </w:pPr>
    </w:p>
    <w:p>
      <w:pPr>
        <w:ind w:left="820" w:right="3039" w:firstLine="718"/>
        <w:spacing w:after="0" w:line="246" w:lineRule="auto"/>
        <w:tabs>
          <w:tab w:leader="none" w:pos="2365"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an election under Section 1303, the Company shall have delivered to the Trustee an Opinion of Counsel to the effect that the Holders of the Outstanding Securities of such series will not recognize gain or loss for Federal income tax purposes as a result of such deposit and covenant defeasance and will be subject to Federal income tax on the same amount, in the same manner and at the same times as would have been the case if such deposit and covenant defeasance had not occurred.</w:t>
      </w:r>
    </w:p>
    <w:p>
      <w:pPr>
        <w:spacing w:after="0" w:line="179" w:lineRule="exact"/>
        <w:rPr>
          <w:rFonts w:ascii="Courier New" w:cs="Courier New" w:eastAsia="Courier New" w:hAnsi="Courier New"/>
          <w:sz w:val="15"/>
          <w:szCs w:val="15"/>
          <w:color w:val="auto"/>
        </w:rPr>
      </w:pPr>
    </w:p>
    <w:p>
      <w:pPr>
        <w:ind w:left="820" w:right="3039" w:firstLine="718"/>
        <w:spacing w:after="0" w:line="246" w:lineRule="auto"/>
        <w:tabs>
          <w:tab w:leader="none" w:pos="2365"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Event of Default or event which with notice or lapse of time or both would become an Event of Default with respect to the Securities of such series shall have occurred and be continuing on the date of such deposit or, insofar as subsections 501(5) and (6) are concerned, at any time during the period ending on the 121st day after the date of such deposit (it being understood that this condition shall not be deemed satisfied until the expiration of such period).</w:t>
      </w:r>
    </w:p>
    <w:p>
      <w:pPr>
        <w:spacing w:after="0" w:line="179" w:lineRule="exact"/>
        <w:rPr>
          <w:rFonts w:ascii="Courier New" w:cs="Courier New" w:eastAsia="Courier New" w:hAnsi="Courier New"/>
          <w:sz w:val="15"/>
          <w:szCs w:val="15"/>
          <w:color w:val="auto"/>
        </w:rPr>
      </w:pPr>
    </w:p>
    <w:p>
      <w:pPr>
        <w:ind w:left="820" w:right="3219" w:firstLine="718"/>
        <w:spacing w:after="0" w:line="246" w:lineRule="auto"/>
        <w:tabs>
          <w:tab w:leader="none" w:pos="2365"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defeasance or covenant defeasance shall not cause the Trustee to have a conflicting interest within the meaning of the Trust Indenture Act with respect to any securities of the Company.</w:t>
      </w:r>
    </w:p>
    <w:p>
      <w:pPr>
        <w:spacing w:after="0" w:line="177" w:lineRule="exact"/>
        <w:rPr>
          <w:rFonts w:ascii="Courier New" w:cs="Courier New" w:eastAsia="Courier New" w:hAnsi="Courier New"/>
          <w:sz w:val="15"/>
          <w:szCs w:val="15"/>
          <w:color w:val="auto"/>
        </w:rPr>
      </w:pPr>
    </w:p>
    <w:p>
      <w:pPr>
        <w:ind w:left="820" w:right="3039" w:firstLine="718"/>
        <w:spacing w:after="0" w:line="246" w:lineRule="auto"/>
        <w:tabs>
          <w:tab w:leader="none" w:pos="2365"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defeasance or covenant defeasance shall not result in a breach or violation of, or constitute a default under, any other agreement or instrument to which the Company is a party or by which it is bound.</w:t>
      </w:r>
    </w:p>
    <w:p>
      <w:pPr>
        <w:spacing w:after="0" w:line="177" w:lineRule="exact"/>
        <w:rPr>
          <w:rFonts w:ascii="Courier New" w:cs="Courier New" w:eastAsia="Courier New" w:hAnsi="Courier New"/>
          <w:sz w:val="15"/>
          <w:szCs w:val="15"/>
          <w:color w:val="auto"/>
        </w:rPr>
      </w:pPr>
    </w:p>
    <w:p>
      <w:pPr>
        <w:ind w:left="820" w:right="3039" w:firstLine="718"/>
        <w:spacing w:after="0" w:line="246" w:lineRule="auto"/>
        <w:tabs>
          <w:tab w:leader="none" w:pos="2365"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have delivered to the Trustee an Officers' Certificate and an Opinion of Counsel, each stating that all conditions precedent provided for relating to either the defeasance under Section 1302 or the covenant defeasance under Section 1303 (as the case may be) have been complied with.</w:t>
      </w:r>
    </w:p>
    <w:p>
      <w:pPr>
        <w:spacing w:after="0" w:line="177" w:lineRule="exact"/>
        <w:rPr>
          <w:rFonts w:ascii="Courier New" w:cs="Courier New" w:eastAsia="Courier New" w:hAnsi="Courier New"/>
          <w:sz w:val="15"/>
          <w:szCs w:val="15"/>
          <w:color w:val="auto"/>
        </w:rPr>
      </w:pPr>
    </w:p>
    <w:p>
      <w:pPr>
        <w:ind w:left="820" w:right="3219" w:firstLine="718"/>
        <w:spacing w:after="0" w:line="246" w:lineRule="auto"/>
        <w:tabs>
          <w:tab w:leader="none" w:pos="2365"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defeasance or covenant defeasance shall not result in the trust arising from such deposit constituting an investment company as defined in the Investment Company Act of 1940, or such trust shall be qualified under such Act or exempt from regulation thereunder.</w:t>
      </w:r>
    </w:p>
    <w:p>
      <w:pPr>
        <w:spacing w:after="0" w:line="178"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SECTION 1305. Deposited Money and U.S. Government Obligations to Be Held in Trust; Other Miscellaneous Provisions.</w:t>
      </w:r>
    </w:p>
    <w:p>
      <w:pPr>
        <w:spacing w:after="0" w:line="175" w:lineRule="exact"/>
        <w:rPr>
          <w:sz w:val="20"/>
          <w:szCs w:val="20"/>
          <w:color w:val="auto"/>
        </w:rPr>
      </w:pPr>
    </w:p>
    <w:p>
      <w:pPr>
        <w:ind w:right="3139" w:firstLine="818"/>
        <w:spacing w:after="0" w:line="246" w:lineRule="auto"/>
        <w:rPr>
          <w:sz w:val="20"/>
          <w:szCs w:val="20"/>
          <w:color w:val="auto"/>
        </w:rPr>
      </w:pPr>
      <w:r>
        <w:rPr>
          <w:rFonts w:ascii="Courier New" w:cs="Courier New" w:eastAsia="Courier New" w:hAnsi="Courier New"/>
          <w:sz w:val="15"/>
          <w:szCs w:val="15"/>
          <w:color w:val="auto"/>
        </w:rPr>
        <w:t>Subject to the provisions of the last paragraph of Section 1003, all money and U.S. Government Obligations (including the proceeds thereof) deposited with the Trustee (or other qualifying trustee -- collectively, for purposes of this Section 1305, the "Trustee") pursuant to Section 1304 in respect of the Securities of such series shall be held in trust and applied by the Trustee, in accordance with the provisions of such Securities of such series and this Indenture, to the payment, either directly or through any Paying Agent (including the Company acting as its own Paying Agent) as the Trustee may determine, to the Holders of the Securities of such series, of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SUBORDINATED INDENTURE</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- 67 -</w:t>
      </w:r>
    </w:p>
    <w:p>
      <w:pPr>
        <w:sectPr>
          <w:pgSz w:w="11900" w:h="16838" w:orient="portrait"/>
          <w:cols w:equalWidth="0" w:num="1">
            <w:col w:w="10219"/>
          </w:cols>
          <w:pgMar w:left="240" w:top="293" w:right="1440" w:bottom="1440" w:gutter="0" w:footer="0" w:header="0"/>
        </w:sectPr>
      </w:pPr>
    </w:p>
    <w:bookmarkStart w:id="129" w:name="page130"/>
    <w:bookmarkEnd w:id="129"/>
    <w:p>
      <w:pPr>
        <w:ind w:left="260"/>
        <w:spacing w:after="0"/>
        <w:rPr>
          <w:sz w:val="20"/>
          <w:szCs w:val="20"/>
          <w:color w:val="auto"/>
        </w:rPr>
      </w:pPr>
      <w:r>
        <w:rPr>
          <w:rFonts w:ascii="Courier New" w:cs="Courier New" w:eastAsia="Courier New" w:hAnsi="Courier New"/>
          <w:sz w:val="15"/>
          <w:szCs w:val="15"/>
          <w:color w:val="auto"/>
        </w:rPr>
        <w:t>75</w:t>
      </w:r>
    </w:p>
    <w:p>
      <w:pPr>
        <w:spacing w:after="0" w:line="5" w:lineRule="exact"/>
        <w:rPr>
          <w:sz w:val="20"/>
          <w:szCs w:val="20"/>
          <w:color w:val="auto"/>
        </w:rPr>
      </w:pPr>
    </w:p>
    <w:p>
      <w:pPr>
        <w:ind w:right="3419"/>
        <w:spacing w:after="0" w:line="247" w:lineRule="auto"/>
        <w:rPr>
          <w:sz w:val="20"/>
          <w:szCs w:val="20"/>
          <w:color w:val="auto"/>
        </w:rPr>
      </w:pPr>
      <w:r>
        <w:rPr>
          <w:rFonts w:ascii="Courier New" w:cs="Courier New" w:eastAsia="Courier New" w:hAnsi="Courier New"/>
          <w:sz w:val="15"/>
          <w:szCs w:val="15"/>
          <w:color w:val="auto"/>
        </w:rPr>
        <w:t>sums due and to become due thereon in respect of principal (and premium, if any) and interest, but such money need not be segregated from other funds except to the extent required by law.</w:t>
      </w:r>
    </w:p>
    <w:p>
      <w:pPr>
        <w:spacing w:after="0" w:line="174" w:lineRule="exact"/>
        <w:rPr>
          <w:sz w:val="20"/>
          <w:szCs w:val="20"/>
          <w:color w:val="auto"/>
        </w:rPr>
      </w:pPr>
    </w:p>
    <w:p>
      <w:pPr>
        <w:ind w:right="3139" w:firstLine="818"/>
        <w:spacing w:after="0" w:line="246" w:lineRule="auto"/>
        <w:rPr>
          <w:sz w:val="20"/>
          <w:szCs w:val="20"/>
          <w:color w:val="auto"/>
        </w:rPr>
      </w:pPr>
      <w:r>
        <w:rPr>
          <w:rFonts w:ascii="Courier New" w:cs="Courier New" w:eastAsia="Courier New" w:hAnsi="Courier New"/>
          <w:sz w:val="15"/>
          <w:szCs w:val="15"/>
          <w:color w:val="auto"/>
        </w:rPr>
        <w:t>The Company shall pay and indemnify the Trustee against any tax, fee or other charge imposed on or assessed against the U.S. Government Obligations deposited pursuant to Section 1304 or the principal and interest received in respect thereof other than any such tax, fee or other charge which by law is for the account of the Holders of the Outstanding Securities.</w:t>
      </w:r>
    </w:p>
    <w:p>
      <w:pPr>
        <w:spacing w:after="0" w:line="178"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Anything in this Article Thirteen to the contrary notwithstanding, the Trustee shall deliver or pay to the Company from time to time upon Company Request any money or U.S. Government Obligations held by it as provided in Section 1304 which, in the opinion of a nationally recognized firm of independent public accountants expressed in a written certification thereof delivered to the Trustee, are in excess of the amount thereof which would then be required to be deposited to effect an equivalent defeasance or covenant defeasance.</w:t>
      </w:r>
    </w:p>
    <w:p>
      <w:pPr>
        <w:spacing w:after="0" w:line="180"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5"/>
          <w:szCs w:val="15"/>
          <w:color w:val="auto"/>
        </w:rPr>
        <w:t>SECTION 1306.</w:t>
      </w:r>
      <w:r>
        <w:rPr>
          <w:sz w:val="20"/>
          <w:szCs w:val="20"/>
          <w:color w:val="auto"/>
        </w:rPr>
        <w:tab/>
      </w:r>
      <w:r>
        <w:rPr>
          <w:rFonts w:ascii="Courier New" w:cs="Courier New" w:eastAsia="Courier New" w:hAnsi="Courier New"/>
          <w:sz w:val="15"/>
          <w:szCs w:val="15"/>
          <w:color w:val="auto"/>
        </w:rPr>
        <w:t>Reinstatement.</w:t>
      </w:r>
    </w:p>
    <w:p>
      <w:pPr>
        <w:spacing w:after="0" w:line="180"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If the Trustee or the Paying Agent is unable to apply any money in accordance with Section 1302 or 1303 by reason of any order or judgment of any court or governmental authority enjoining, restraining or otherwise prohibiting such application, then the Company's obligations under this Indenture and the Securities of such series shall be revived and reinstated as though no deposit had occurred pursuant to this Article Thirteen until such time as the Trustee or Paying Agent is permitted to apply all such money in accordance with Section 1302 or 1303; provided, however, that if the Company makes any payment of principal of or any premium or interest on any Security following the reinstatement of its obligations, the Company shall be subrogated to the rights of the Holders of the Securities of such series to receive such payment from the money held by the Trustee or the Paying Agent.</w:t>
      </w:r>
    </w:p>
    <w:p>
      <w:pPr>
        <w:spacing w:after="0" w:line="182"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ARTICLE FOURTEEN</w:t>
      </w:r>
    </w:p>
    <w:p>
      <w:pPr>
        <w:spacing w:after="0" w:line="5"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MEETINGS OF HOLDERS OF SECURITIES</w:t>
      </w:r>
    </w:p>
    <w:p>
      <w:pPr>
        <w:spacing w:after="0" w:line="180"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5"/>
          <w:szCs w:val="15"/>
          <w:color w:val="auto"/>
        </w:rPr>
        <w:t>SECTION 1401.</w:t>
      </w:r>
      <w:r>
        <w:rPr>
          <w:sz w:val="20"/>
          <w:szCs w:val="20"/>
          <w:color w:val="auto"/>
        </w:rPr>
        <w:tab/>
      </w:r>
      <w:r>
        <w:rPr>
          <w:rFonts w:ascii="Courier New" w:cs="Courier New" w:eastAsia="Courier New" w:hAnsi="Courier New"/>
          <w:sz w:val="15"/>
          <w:szCs w:val="15"/>
          <w:color w:val="auto"/>
        </w:rPr>
        <w:t>Purposes for Which Meetings May Be Called.</w:t>
      </w:r>
    </w:p>
    <w:p>
      <w:pPr>
        <w:spacing w:after="0" w:line="180"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If Securities of a series are issuable as Bearer Securities, a meeting of Holders of Securities of such series may be called at any time and from time to time pursuant to this Article to make, give or take any request, demand, authorization, direction, notice, consent, waiver or other action provided by this Indenture to be made, given or taken by Holders of Securities of such series.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SUBORDINATED INDENTURE</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- 68 -</w:t>
      </w:r>
    </w:p>
    <w:p>
      <w:pPr>
        <w:sectPr>
          <w:pgSz w:w="11900" w:h="16838" w:orient="portrait"/>
          <w:cols w:equalWidth="0" w:num="1">
            <w:col w:w="10219"/>
          </w:cols>
          <w:pgMar w:left="240" w:top="293" w:right="1440" w:bottom="1440" w:gutter="0" w:footer="0" w:header="0"/>
        </w:sectPr>
      </w:pPr>
    </w:p>
    <w:bookmarkStart w:id="130" w:name="page131"/>
    <w:bookmarkEnd w:id="130"/>
    <w:p>
      <w:pPr>
        <w:ind w:left="260"/>
        <w:spacing w:after="0"/>
        <w:rPr>
          <w:sz w:val="20"/>
          <w:szCs w:val="20"/>
          <w:color w:val="auto"/>
        </w:rPr>
      </w:pPr>
      <w:r>
        <w:rPr>
          <w:rFonts w:ascii="Courier New" w:cs="Courier New" w:eastAsia="Courier New" w:hAnsi="Courier New"/>
          <w:sz w:val="15"/>
          <w:szCs w:val="15"/>
          <w:color w:val="auto"/>
        </w:rPr>
        <w:t>76</w:t>
      </w:r>
    </w:p>
    <w:p>
      <w:pPr>
        <w:spacing w:after="0" w:line="5"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5"/>
          <w:szCs w:val="15"/>
          <w:color w:val="auto"/>
        </w:rPr>
        <w:t>SECTION 1402.</w:t>
      </w:r>
      <w:r>
        <w:rPr>
          <w:sz w:val="20"/>
          <w:szCs w:val="20"/>
          <w:color w:val="auto"/>
        </w:rPr>
        <w:tab/>
      </w:r>
      <w:r>
        <w:rPr>
          <w:rFonts w:ascii="Courier New" w:cs="Courier New" w:eastAsia="Courier New" w:hAnsi="Courier New"/>
          <w:sz w:val="15"/>
          <w:szCs w:val="15"/>
          <w:color w:val="auto"/>
        </w:rPr>
        <w:t>Call, Notice and Place of Meetings.</w:t>
      </w:r>
    </w:p>
    <w:p>
      <w:pPr>
        <w:spacing w:after="0" w:line="180" w:lineRule="exact"/>
        <w:rPr>
          <w:sz w:val="20"/>
          <w:szCs w:val="20"/>
          <w:color w:val="auto"/>
        </w:rPr>
      </w:pPr>
    </w:p>
    <w:p>
      <w:pPr>
        <w:ind w:right="3139" w:firstLine="811"/>
        <w:spacing w:after="0" w:line="246" w:lineRule="auto"/>
        <w:tabs>
          <w:tab w:leader="none" w:pos="1545"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may at any time call a meeting of Holders of Securities of any series for any purpose specified in Section 1401, to be held at such time and at such place in the Borough of Manhattan, The City of New York, or in London as the Trustee shall determine. Notice of every meeting of Holders of Securities of any series, setting forth the time and the place of such meeting and in general terms the action proposed to be taken at such meeting, shall be given, in the manner provided in Section 106, not less than 21 nor more than 120 days prior to the date fixed for the meeting.</w:t>
      </w:r>
    </w:p>
    <w:p>
      <w:pPr>
        <w:spacing w:after="0" w:line="179" w:lineRule="exact"/>
        <w:rPr>
          <w:rFonts w:ascii="Courier New" w:cs="Courier New" w:eastAsia="Courier New" w:hAnsi="Courier New"/>
          <w:sz w:val="15"/>
          <w:szCs w:val="15"/>
          <w:color w:val="auto"/>
        </w:rPr>
      </w:pPr>
    </w:p>
    <w:p>
      <w:pPr>
        <w:ind w:right="3039" w:firstLine="811"/>
        <w:spacing w:after="0" w:line="246" w:lineRule="auto"/>
        <w:tabs>
          <w:tab w:leader="none" w:pos="1545"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at any time the Company, pursuant to a Board Resolution, or the Holders of at least 10% in principal amount of the Outstanding Securities of any series shall have requested the Trustee to call a meeting of the Holders of Securities of such series for any purpose specified in Section 1401, by written request setting forth in reasonable detail the action proposed to be taken at the meeting, and the Trustee shall not have made the first publication of the notice of such meeting within 21 days after receipt of such request or shall not thereafter proceed to cause the meeting to be held as provided herein, then the Company or the Holders of Securities of such series in the amount above specified, as the case may be, may determine the time and the place in the Borough of Manhattan, The City of New York, or in London for such meeting and may call such meeting for such purposes by giving notice thereof as provided in subsection (a) of this Section.</w:t>
      </w:r>
    </w:p>
    <w:p>
      <w:pPr>
        <w:spacing w:after="0" w:line="183"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5"/>
          <w:szCs w:val="15"/>
          <w:color w:val="auto"/>
        </w:rPr>
        <w:t>SECTION 1403.</w:t>
      </w:r>
      <w:r>
        <w:rPr>
          <w:sz w:val="20"/>
          <w:szCs w:val="20"/>
          <w:color w:val="auto"/>
        </w:rPr>
        <w:tab/>
      </w:r>
      <w:r>
        <w:rPr>
          <w:rFonts w:ascii="Courier New" w:cs="Courier New" w:eastAsia="Courier New" w:hAnsi="Courier New"/>
          <w:sz w:val="15"/>
          <w:szCs w:val="15"/>
          <w:color w:val="auto"/>
        </w:rPr>
        <w:t>Persons Entitled to Vote at Meetings.</w:t>
      </w:r>
    </w:p>
    <w:p>
      <w:pPr>
        <w:spacing w:after="0" w:line="180"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To be entitled to vote at any meeting of Holders a Person shall (a) be a Holder of one or more Securities or (b) be a Person appointed by an instrument in writing as proxy by a Holder of one or more Securities. The only Persons who shall be entitled to be present or to speak at any meeting of Holders shall be the Persons entitled to vote at such meeting and their counsel and any representatives of the Trustee and its counsel and any representatives of the Company and its counsel.</w:t>
      </w:r>
    </w:p>
    <w:p>
      <w:pPr>
        <w:spacing w:after="0" w:line="179"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5"/>
          <w:szCs w:val="15"/>
          <w:color w:val="auto"/>
        </w:rPr>
        <w:t>SECTION 1404.</w:t>
      </w:r>
      <w:r>
        <w:rPr>
          <w:sz w:val="20"/>
          <w:szCs w:val="20"/>
          <w:color w:val="auto"/>
        </w:rPr>
        <w:tab/>
      </w:r>
      <w:r>
        <w:rPr>
          <w:rFonts w:ascii="Courier New" w:cs="Courier New" w:eastAsia="Courier New" w:hAnsi="Courier New"/>
          <w:sz w:val="15"/>
          <w:szCs w:val="15"/>
          <w:color w:val="auto"/>
        </w:rPr>
        <w:t>Quorum; Action.</w:t>
      </w:r>
    </w:p>
    <w:p>
      <w:pPr>
        <w:spacing w:after="0" w:line="180"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The Persons entitled to vote a majority in principal amount of the Outstanding Securities of a series shall constitute a quorum for a meeting of Holders of Securities of such series. In the absence of a quorum within 30 minutes of the time appointed for any such meeting, the meeting shall, if convened at the request of Holders of Securities of such series, be dissolved. In any other case the meeting may be adjourned for a period of not less than 10 days as determined by the chairman of the meeting prior to the adjournment of such meeting. In the absence of a quorum at any such adjourned meeting, such adjourned meeting may be further adjourned for a period of not less than 10 days as determined by the chairman of the meeting prior to the adjournment of such adjourned meeting. Notice of the reconvening of any adjourned meeting shall be given as provided in Section 1402(a), except that such notice need be given only once not less than five days prior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SUBORDINATED INDENTURE</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- 69 -</w:t>
      </w:r>
    </w:p>
    <w:p>
      <w:pPr>
        <w:sectPr>
          <w:pgSz w:w="11900" w:h="16838" w:orient="portrait"/>
          <w:cols w:equalWidth="0" w:num="1">
            <w:col w:w="10219"/>
          </w:cols>
          <w:pgMar w:left="240" w:top="293" w:right="1440" w:bottom="1440" w:gutter="0" w:footer="0" w:header="0"/>
        </w:sectPr>
      </w:pPr>
    </w:p>
    <w:bookmarkStart w:id="131" w:name="page132"/>
    <w:bookmarkEnd w:id="131"/>
    <w:p>
      <w:pPr>
        <w:ind w:left="260"/>
        <w:spacing w:after="0"/>
        <w:rPr>
          <w:sz w:val="20"/>
          <w:szCs w:val="20"/>
          <w:color w:val="auto"/>
        </w:rPr>
      </w:pPr>
      <w:r>
        <w:rPr>
          <w:rFonts w:ascii="Courier New" w:cs="Courier New" w:eastAsia="Courier New" w:hAnsi="Courier New"/>
          <w:sz w:val="15"/>
          <w:szCs w:val="15"/>
          <w:color w:val="auto"/>
        </w:rPr>
        <w:t>77</w:t>
      </w:r>
    </w:p>
    <w:p>
      <w:pPr>
        <w:spacing w:after="0" w:line="5"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the date on which the meeting is scheduled to be reconvened. Notice of the reconvening of an adjourned meeting shall state expressly the percentage, as provided above, of the principal amount of the Outstanding Securities of such series which shall constitute a quorum.</w:t>
      </w:r>
    </w:p>
    <w:p>
      <w:pPr>
        <w:spacing w:after="0" w:line="177"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Except as limited by Section 512 or the proviso to the first paragraph of Section 902, any resolution presented to a meeting (or adjourned meeting duly reconvened at which a quorum is present as aforesaid) may be adopted by the affirmative vote of the Holders of a majority in principal amount of the Outstanding Securities of that series; provided, however, that any resolution with respect to any request, demand, authorization, direction, notice, consent, waiver or other action which this Indenture expressly provides may be made, given or taken by the Holders of a specified percentage, which is less than a majority, in principal amount of the Outstanding Securities of a series may be adopted at a meeting (or an adjourned meeting duly reconvened and at which a quorum is present as aforesaid) by the affirmative vote of the Holders of such specified percentage in principal amount of the Outstanding Securities of that series.</w:t>
      </w:r>
    </w:p>
    <w:p>
      <w:pPr>
        <w:spacing w:after="0" w:line="183" w:lineRule="exact"/>
        <w:rPr>
          <w:sz w:val="20"/>
          <w:szCs w:val="20"/>
          <w:color w:val="auto"/>
        </w:rPr>
      </w:pPr>
    </w:p>
    <w:p>
      <w:pPr>
        <w:ind w:right="3139" w:firstLine="818"/>
        <w:spacing w:after="0" w:line="246" w:lineRule="auto"/>
        <w:rPr>
          <w:sz w:val="20"/>
          <w:szCs w:val="20"/>
          <w:color w:val="auto"/>
        </w:rPr>
      </w:pPr>
      <w:r>
        <w:rPr>
          <w:rFonts w:ascii="Courier New" w:cs="Courier New" w:eastAsia="Courier New" w:hAnsi="Courier New"/>
          <w:sz w:val="15"/>
          <w:szCs w:val="15"/>
          <w:color w:val="auto"/>
        </w:rPr>
        <w:t>To the extent consistent with the terms of this Indenture, any resolution passed or decision taken at any meeting of Holders of Securities of any series duly held in accordance with this Section shall be binding on all the Holders of Securities of such series and the related coupons, whether or not present or represented at the meeting.</w:t>
      </w:r>
    </w:p>
    <w:p>
      <w:pPr>
        <w:spacing w:after="0" w:line="178" w:lineRule="exact"/>
        <w:rPr>
          <w:sz w:val="20"/>
          <w:szCs w:val="20"/>
          <w:color w:val="auto"/>
        </w:rPr>
      </w:pPr>
    </w:p>
    <w:p>
      <w:pPr>
        <w:ind w:right="3419"/>
        <w:spacing w:after="0" w:line="247" w:lineRule="auto"/>
        <w:rPr>
          <w:sz w:val="20"/>
          <w:szCs w:val="20"/>
          <w:color w:val="auto"/>
        </w:rPr>
      </w:pPr>
      <w:r>
        <w:rPr>
          <w:rFonts w:ascii="Courier New" w:cs="Courier New" w:eastAsia="Courier New" w:hAnsi="Courier New"/>
          <w:sz w:val="15"/>
          <w:szCs w:val="15"/>
          <w:color w:val="auto"/>
        </w:rPr>
        <w:t>SECTION 1405. Determination of Voting Rights; Conduct and Adjournment of Meetings.</w:t>
      </w:r>
    </w:p>
    <w:p>
      <w:pPr>
        <w:spacing w:after="0" w:line="175" w:lineRule="exact"/>
        <w:rPr>
          <w:sz w:val="20"/>
          <w:szCs w:val="20"/>
          <w:color w:val="auto"/>
        </w:rPr>
      </w:pPr>
    </w:p>
    <w:p>
      <w:pPr>
        <w:ind w:right="3039" w:firstLine="811"/>
        <w:spacing w:after="0" w:line="246" w:lineRule="auto"/>
        <w:tabs>
          <w:tab w:leader="none" w:pos="1545"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other provisions of this Indenture, the Trustee may make such reasonable regulations as it may deem advisable for any meeting of Holders of Securities of a series in regard to proof of the holding of Securities of such series and of the appointment of proxies and in regard to the appointment and duties of inspectors of votes, the submission and examination of proxies, certificates and other evidence of the right to vote, and such other matters concerning the conduct of the meeting as it shall deem appropriate. Except as otherwise permitted or required by any such regulations, the holding of Securities shall be proved in the manner specified in Section 104 and the appointment of any proxy shall be proved in the manner specified in Section 104 or by having the signature of the Person executing the proxy witnessed or guaranteed by any trust company, bank or banker authorized by Section 104 to certify to the holding of Bearer Securities. Such regulations may provide that written instruments appointing proxies, regular on their face, may be presumed valid and genuine without the proof specified in Section 104 or other proof.</w:t>
      </w:r>
    </w:p>
    <w:p>
      <w:pPr>
        <w:spacing w:after="0" w:line="184" w:lineRule="exact"/>
        <w:rPr>
          <w:rFonts w:ascii="Courier New" w:cs="Courier New" w:eastAsia="Courier New" w:hAnsi="Courier New"/>
          <w:sz w:val="15"/>
          <w:szCs w:val="15"/>
          <w:color w:val="auto"/>
        </w:rPr>
      </w:pPr>
    </w:p>
    <w:p>
      <w:pPr>
        <w:ind w:right="3039" w:firstLine="811"/>
        <w:spacing w:after="0" w:line="246" w:lineRule="auto"/>
        <w:tabs>
          <w:tab w:leader="none" w:pos="1545"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by an instrument in writing, appoint a temporary chairman of the meeting, unless the meeting shall have been called by the Company or by Holders of Securities as provided in Section 1402(b), in which case the Company or the Holders of Securities of the series calling the meeting, as the case may be, shall in like manner appoint a temporary chairman. A permanent chairman and a permanent secretary of the meeting shall be elected by vote of the Persons entitled to vote a majority in principal amount of the Outstanding Securities of such series represented at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SUBORDINATED INDENTURE</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- 70 -</w:t>
      </w:r>
    </w:p>
    <w:p>
      <w:pPr>
        <w:sectPr>
          <w:pgSz w:w="11900" w:h="16838" w:orient="portrait"/>
          <w:cols w:equalWidth="0" w:num="1">
            <w:col w:w="10219"/>
          </w:cols>
          <w:pgMar w:left="240" w:top="293" w:right="1440" w:bottom="1440" w:gutter="0" w:footer="0" w:header="0"/>
        </w:sectPr>
      </w:pPr>
    </w:p>
    <w:bookmarkStart w:id="132" w:name="page133"/>
    <w:bookmarkEnd w:id="132"/>
    <w:p>
      <w:pPr>
        <w:ind w:left="260"/>
        <w:spacing w:after="0"/>
        <w:rPr>
          <w:sz w:val="20"/>
          <w:szCs w:val="20"/>
          <w:color w:val="auto"/>
        </w:rPr>
      </w:pPr>
      <w:r>
        <w:rPr>
          <w:rFonts w:ascii="Courier New" w:cs="Courier New" w:eastAsia="Courier New" w:hAnsi="Courier New"/>
          <w:sz w:val="15"/>
          <w:szCs w:val="15"/>
          <w:color w:val="auto"/>
        </w:rPr>
        <w:t>78</w:t>
      </w:r>
    </w:p>
    <w:p>
      <w:pPr>
        <w:spacing w:after="0" w:line="5" w:lineRule="exact"/>
        <w:rPr>
          <w:sz w:val="20"/>
          <w:szCs w:val="20"/>
          <w:color w:val="auto"/>
        </w:rPr>
      </w:pPr>
    </w:p>
    <w:p>
      <w:pPr>
        <w:ind w:right="3039" w:firstLine="811"/>
        <w:spacing w:after="0" w:line="246" w:lineRule="auto"/>
        <w:tabs>
          <w:tab w:leader="none" w:pos="1545"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any meeting each Holder of a Security of such series or proxy shall be entitled to one vote for each $1,000 principal amount of the Outstanding Securities of such series held or represented by him; provided, however, that no vote shall be cast or counted at any meeting in respect of any Security challenged as not Outstanding and ruled by the chairman of the meeting to be not Outstanding. The chairman of the meeting shall have no right to vote, except as a Holder of a Security of such series or proxy.</w:t>
      </w:r>
    </w:p>
    <w:p>
      <w:pPr>
        <w:spacing w:after="0" w:line="179" w:lineRule="exact"/>
        <w:rPr>
          <w:rFonts w:ascii="Courier New" w:cs="Courier New" w:eastAsia="Courier New" w:hAnsi="Courier New"/>
          <w:sz w:val="15"/>
          <w:szCs w:val="15"/>
          <w:color w:val="auto"/>
        </w:rPr>
      </w:pPr>
    </w:p>
    <w:p>
      <w:pPr>
        <w:ind w:right="3039" w:firstLine="811"/>
        <w:spacing w:after="0" w:line="246" w:lineRule="auto"/>
        <w:tabs>
          <w:tab w:leader="none" w:pos="1545"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meeting of Holders of Securities of any series duly called pursuant to Section 1402 at which a quorum is present may be adjourned from time to time by Persons entitled to vote a majority in principal amount of the Outstanding Securities of such series represented at the meeting; and the meeting may be held as so adjourned without further notice.</w:t>
      </w:r>
    </w:p>
    <w:p>
      <w:pPr>
        <w:spacing w:after="0" w:line="178"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5"/>
          <w:szCs w:val="15"/>
          <w:color w:val="auto"/>
        </w:rPr>
        <w:t>SECTION 1406.</w:t>
      </w:r>
      <w:r>
        <w:rPr>
          <w:sz w:val="20"/>
          <w:szCs w:val="20"/>
          <w:color w:val="auto"/>
        </w:rPr>
        <w:tab/>
      </w:r>
      <w:r>
        <w:rPr>
          <w:rFonts w:ascii="Courier New" w:cs="Courier New" w:eastAsia="Courier New" w:hAnsi="Courier New"/>
          <w:sz w:val="15"/>
          <w:szCs w:val="15"/>
          <w:color w:val="auto"/>
        </w:rPr>
        <w:t>Counting Votes and Recording Action of Meetings.</w:t>
      </w:r>
    </w:p>
    <w:p>
      <w:pPr>
        <w:spacing w:after="0" w:line="180"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The vote upon any resolution submitted to any meeting of Holders of Securities of any series shall be by written ballots on which shall be subscribed the signatures of the Holders of Securities of such series or of their representatives by proxy and the principal amounts and serial numbers of the Outstanding Securities of such series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at least in duplicate, of the proceedings of each meeting of Holders of Securities of any series shall be prepared by the secretary of the meeting and there shall be attached to said record the original reports of the inspectors of votes on any vote by ballot taken thereat and affidavits by one or more persons having knowledge of the facts setting forth a copy of the notice of the meeting and showing that said notice was given as provided in Section 1402 and, if applicable, Section 1404. Each copy shall be signed and verified by the affidavits of the permanent chairman and secretary of the meeting and one such copy shall be delivered to the Company, and another to the Trustee to be preserved by the Trustee, the latter to have attached thereto the ballots voted at the meeting. Any record so signed and verified shall be conclusive evidence of the matters therein stated.</w:t>
      </w:r>
    </w:p>
    <w:p>
      <w:pPr>
        <w:spacing w:after="0" w:line="187"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ARTICLE FIFTEEN</w:t>
      </w:r>
    </w:p>
    <w:p>
      <w:pPr>
        <w:spacing w:after="0" w:line="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CONVERSION OF SECURITIES</w:t>
      </w:r>
    </w:p>
    <w:p>
      <w:pPr>
        <w:spacing w:after="0" w:line="180"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5"/>
          <w:szCs w:val="15"/>
          <w:color w:val="auto"/>
        </w:rPr>
        <w:t>SECTION 1501.</w:t>
      </w:r>
      <w:r>
        <w:rPr>
          <w:sz w:val="20"/>
          <w:szCs w:val="20"/>
          <w:color w:val="auto"/>
        </w:rPr>
        <w:tab/>
      </w:r>
      <w:r>
        <w:rPr>
          <w:rFonts w:ascii="Courier New" w:cs="Courier New" w:eastAsia="Courier New" w:hAnsi="Courier New"/>
          <w:sz w:val="15"/>
          <w:szCs w:val="15"/>
          <w:color w:val="auto"/>
        </w:rPr>
        <w:t>Applicability of Article.</w:t>
      </w:r>
    </w:p>
    <w:p>
      <w:pPr>
        <w:spacing w:after="0" w:line="180"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The provisions of this Article shall be applicable to the Securities of any series which are convertible into Common Stock or, if so provided in a Board Resolution, Officers' Certificate or executed supplemental indenture referred to in Sections 201 and 301 by or pursuant to which the form and terms of the Securities of such series were established, cash in lieu thereof, as and to the extent provided by the terms of the Securities of such series.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SUBORDINATED INDENTURE</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- 71 -</w:t>
      </w:r>
    </w:p>
    <w:p>
      <w:pPr>
        <w:sectPr>
          <w:pgSz w:w="11900" w:h="16838" w:orient="portrait"/>
          <w:cols w:equalWidth="0" w:num="1">
            <w:col w:w="10219"/>
          </w:cols>
          <w:pgMar w:left="240" w:top="293" w:right="1440" w:bottom="1440" w:gutter="0" w:footer="0" w:header="0"/>
        </w:sectPr>
      </w:pPr>
    </w:p>
    <w:bookmarkStart w:id="133" w:name="page134"/>
    <w:bookmarkEnd w:id="133"/>
    <w:p>
      <w:pPr>
        <w:ind w:left="260"/>
        <w:spacing w:after="0"/>
        <w:rPr>
          <w:sz w:val="20"/>
          <w:szCs w:val="20"/>
          <w:color w:val="auto"/>
        </w:rPr>
      </w:pPr>
      <w:r>
        <w:rPr>
          <w:rFonts w:ascii="Courier New" w:cs="Courier New" w:eastAsia="Courier New" w:hAnsi="Courier New"/>
          <w:sz w:val="15"/>
          <w:szCs w:val="15"/>
          <w:color w:val="auto"/>
        </w:rPr>
        <w:t>79</w:t>
      </w:r>
    </w:p>
    <w:p>
      <w:pPr>
        <w:spacing w:after="0" w:line="5"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5"/>
          <w:szCs w:val="15"/>
          <w:color w:val="auto"/>
        </w:rPr>
        <w:t>SECTION 1502.</w:t>
      </w:r>
      <w:r>
        <w:rPr>
          <w:sz w:val="20"/>
          <w:szCs w:val="20"/>
          <w:color w:val="auto"/>
        </w:rPr>
        <w:tab/>
      </w:r>
      <w:r>
        <w:rPr>
          <w:rFonts w:ascii="Courier New" w:cs="Courier New" w:eastAsia="Courier New" w:hAnsi="Courier New"/>
          <w:sz w:val="15"/>
          <w:szCs w:val="15"/>
          <w:color w:val="auto"/>
        </w:rPr>
        <w:t>Exercise of Conversion Privilege.</w:t>
      </w:r>
    </w:p>
    <w:p>
      <w:pPr>
        <w:spacing w:after="0" w:line="180"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In order to exercise the conversion privilege, the Holder of any Security to be converted shall surrender such Security to the Conversion Agent at any time during usual business hours at its office or agency maintained for the purpose as provided in this Indenture, accompanied by a fully executed written notice, in substantially the form set forth on the reverse of the Security, that the Holder elects to convert such Security or a stated portion thereof constituting a multiple of $1,000 in principal amount, and, if such Security is surrendered for conversion during the period between the close of business on any record date for such Security and the opening of business on the related Interest Payment Date and has not been called for redemption on a Redemption Date within such period (or on such Interest Payment Date), accompanied also by payment of an amount equal to the interest payable on such Interest Payment Date on the portion of the principal amount of the Security being surrendered for conversion. Such notice shall also state the name or names (and address) in which the certificate or certificates for shares of Common Stock shall be issued (or to whom payment in cash in lieu of Common Stock shall be made). Securities surrendered for conversion shall (if so required by the Company or the Conversion Agent) be duly endorsed by, or be accompanied by a written instrument or instruments of transfer in form satisfactory to the Company and the Conversion Agent duly executed by, the Holder or his attorney duly authorized in writing. As promptly as practicable after the receipt of such notice and the surrender of such Security as aforesaid, the Company shall, subject to the provisions of Section 1507, issue and deliver at such office or agency to such Holder, or on his written order, a certificate or certificates for the number of full shares of Common Stock issuable on conversion of such Security in accordance with the provisions of such Security and cash, as provided in Section 1503, in respect of any fraction of a share of Common Stock otherwise issuable upon such conversion or, if so provided in a Board Resolution, Officers' Certificate or executed supplemental indenture referred to in Sections 201 and 301 by or pursuant to which the form and terms of the Securities of such series were established, cash in lieu of shares of Common Stock. Such conversion shall be at the Conversion Price in effect, and shall be deemed to have been effected, immediately prior to the close of business on the date (herein called the "Date of Conversion") on which such notice in proper form shall have been received by the Conversion Agent and such Security shall have been surrendered as aforesaid, and the Person or Persons in whose name or names any certificate or certificates for shares of Common Stock shall be issuable, if any, upon such conversion shall be deemed to have become on the Date of Conversion the holder or holders of record of the shares represented thereby; provided, however, that any such surrender on any date when the stock transfer books of the Company shall be closed shall constitute the Person or Persons in whose name or names the certificate or certificates for such shares are to be issued, if any, as the record holder or holders thereof for all purposes at the opening of business on the next succeeding day on which such stock transfer books are open but such conversion shall nevertheless be at the Conversion Price in effect at the close of business on the date when such Security shall have been so surrendered with the conversion notice in proper form. In the case of conversion of a portion, but less than all, of a Security, the Company shall execute, and the Trustee shall authenticate and deliver to the Holder thereof, at the expense of the Company, a Security or Securities in the aggregate principal amount of the unconverted portion of the Security surrendered. Except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SUBORDINATED INDENTURE</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- 72 -</w:t>
      </w:r>
    </w:p>
    <w:p>
      <w:pPr>
        <w:sectPr>
          <w:pgSz w:w="11900" w:h="16838" w:orient="portrait"/>
          <w:cols w:equalWidth="0" w:num="1">
            <w:col w:w="10219"/>
          </w:cols>
          <w:pgMar w:left="240" w:top="293" w:right="1440" w:bottom="1440" w:gutter="0" w:footer="0" w:header="0"/>
        </w:sectPr>
      </w:pPr>
    </w:p>
    <w:bookmarkStart w:id="134" w:name="page135"/>
    <w:bookmarkEnd w:id="134"/>
    <w:p>
      <w:pPr>
        <w:ind w:left="260"/>
        <w:spacing w:after="0"/>
        <w:rPr>
          <w:sz w:val="20"/>
          <w:szCs w:val="20"/>
          <w:color w:val="auto"/>
        </w:rPr>
      </w:pPr>
      <w:r>
        <w:rPr>
          <w:rFonts w:ascii="Courier New" w:cs="Courier New" w:eastAsia="Courier New" w:hAnsi="Courier New"/>
          <w:sz w:val="15"/>
          <w:szCs w:val="15"/>
          <w:color w:val="auto"/>
        </w:rPr>
        <w:t>80</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otherwise expressly provided in this Indenture, no payment or adjustment shall be made for interest accrued on any Security (or portion thereof) converted or for dividends or distributions on any Common Stock issued upon conversion of any Security. The right, if any, of a Holder of any Security to cause the Company to redeem, purchase or repay such Security shall terminate upon receipt by the Company of any notice of conversion of such Security.</w:t>
      </w:r>
    </w:p>
    <w:p>
      <w:pPr>
        <w:spacing w:after="0" w:line="178"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5"/>
          <w:szCs w:val="15"/>
          <w:color w:val="auto"/>
        </w:rPr>
        <w:t>SECTION 1503.</w:t>
      </w:r>
      <w:r>
        <w:rPr>
          <w:sz w:val="20"/>
          <w:szCs w:val="20"/>
          <w:color w:val="auto"/>
        </w:rPr>
        <w:tab/>
      </w:r>
      <w:r>
        <w:rPr>
          <w:rFonts w:ascii="Courier New" w:cs="Courier New" w:eastAsia="Courier New" w:hAnsi="Courier New"/>
          <w:sz w:val="15"/>
          <w:szCs w:val="15"/>
          <w:color w:val="auto"/>
        </w:rPr>
        <w:t>Fractional Interests.</w:t>
      </w:r>
    </w:p>
    <w:p>
      <w:pPr>
        <w:spacing w:after="0" w:line="180"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No fractions of shares or scrip representing fractions of shares shall be issued upon conversion of Securities. If more than one Security shall be surrendered for conversion at one time by the same Holder, the number of full shares which shall be issuable upon conversion thereof shall be computed on the basis of the aggregate principal amount of the Securities so surrendered. If any fraction of a share of Common Stock would, except for the provisions of this Section 1503, be issuable on the conversion of any Security or Securities, the Company shall make payment in lieu thereof in cash equal to the value of such fraction computed on the basis of the Last Sale Price of one share of Common Stock on the most recent Trading Day prior to the Date of Conversion. "Last Sale Price" on any Trading Day shall mean (i) the closing price regular way (or, if no closing price is reported the average of the bid and asked prices) as reported on the New York Stock Exchange Composite Tape, or (ii) if on such Trading Day the Common Stock is not listed or admitted to trading on such exchange, the closing price regular way (or, if no closing price is reported the average of the bid and asked prices) on the principal national securities exchange on which the Common Stock is listed or admitted to trading, or (iii) if not listed or admitted to trading on any national securities exchange on such Trading Day, then the average of the closing bid and asked prices as reported through the National Association of Securities Dealers, Inc. on its NASDAQ National Market or other NASDAQ market or through a similar organization if NASDAQ is no longer reporting information, or (iv) if the Common Stock is not listed or admitted to trading on any national securities exchange or quoted on such National Market or other NASDAQ market on such Trading Day, then the average of the closing bid and asked prices in the over-the-counter market as furnished by any New York Stock Exchange member firm selected from time to time by the Company for that purpose or (v) if not quoted by any such organization on such Trading Day, the fair value of such Common Stock on such Trading Day, as determined by the Board of Directors. The term "Trading Day" shall mean each Monday, Tuesday, Wednesday, Thursday and Friday, other than any day on which securities are not traded on any of the above mentioned exchanges or in such markets.</w:t>
      </w:r>
    </w:p>
    <w:p>
      <w:pPr>
        <w:spacing w:after="0" w:line="194"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5"/>
          <w:szCs w:val="15"/>
          <w:color w:val="auto"/>
        </w:rPr>
        <w:t>SECTION 1504.</w:t>
      </w:r>
      <w:r>
        <w:rPr>
          <w:sz w:val="20"/>
          <w:szCs w:val="20"/>
          <w:color w:val="auto"/>
        </w:rPr>
        <w:tab/>
      </w:r>
      <w:r>
        <w:rPr>
          <w:rFonts w:ascii="Courier New" w:cs="Courier New" w:eastAsia="Courier New" w:hAnsi="Courier New"/>
          <w:sz w:val="15"/>
          <w:szCs w:val="15"/>
          <w:color w:val="auto"/>
        </w:rPr>
        <w:t>Adjustment of Conversion Price.</w:t>
      </w:r>
    </w:p>
    <w:p>
      <w:pPr>
        <w:spacing w:after="0" w:line="180" w:lineRule="exact"/>
        <w:rPr>
          <w:sz w:val="20"/>
          <w:szCs w:val="20"/>
          <w:color w:val="auto"/>
        </w:rPr>
      </w:pPr>
    </w:p>
    <w:p>
      <w:pPr>
        <w:ind w:right="3219" w:firstLine="818"/>
        <w:spacing w:after="0" w:line="246" w:lineRule="auto"/>
        <w:rPr>
          <w:sz w:val="20"/>
          <w:szCs w:val="20"/>
          <w:color w:val="auto"/>
        </w:rPr>
      </w:pPr>
      <w:r>
        <w:rPr>
          <w:rFonts w:ascii="Courier New" w:cs="Courier New" w:eastAsia="Courier New" w:hAnsi="Courier New"/>
          <w:sz w:val="15"/>
          <w:szCs w:val="15"/>
          <w:color w:val="auto"/>
        </w:rPr>
        <w:t>The conversion price or rate (herein called the "Conversion Price") for a series of Securities shall be as set forth in a Board Resolution, Officers' Certificate or executed supplemental indenture referred to in Sections 201 and 301 by or pursuant to which the form and terms of the Securities of such series were established, and, except as otherwise provided therein, shall be subject to adjustment from time to time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SUBORDINATED INDENTURE</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- 73 -</w:t>
      </w:r>
    </w:p>
    <w:p>
      <w:pPr>
        <w:sectPr>
          <w:pgSz w:w="11900" w:h="16838" w:orient="portrait"/>
          <w:cols w:equalWidth="0" w:num="1">
            <w:col w:w="10219"/>
          </w:cols>
          <w:pgMar w:left="240" w:top="293" w:right="1440" w:bottom="1440" w:gutter="0" w:footer="0" w:header="0"/>
        </w:sectPr>
      </w:pPr>
    </w:p>
    <w:bookmarkStart w:id="135" w:name="page136"/>
    <w:bookmarkEnd w:id="135"/>
    <w:p>
      <w:pPr>
        <w:ind w:left="180"/>
        <w:spacing w:after="0"/>
        <w:rPr>
          <w:sz w:val="20"/>
          <w:szCs w:val="20"/>
          <w:color w:val="auto"/>
        </w:rPr>
      </w:pPr>
      <w:r>
        <w:rPr>
          <w:rFonts w:ascii="Courier New" w:cs="Courier New" w:eastAsia="Courier New" w:hAnsi="Courier New"/>
          <w:sz w:val="15"/>
          <w:szCs w:val="15"/>
          <w:color w:val="auto"/>
        </w:rPr>
        <w:t>81</w:t>
      </w:r>
    </w:p>
    <w:p>
      <w:pPr>
        <w:spacing w:after="0" w:line="5" w:lineRule="exact"/>
        <w:rPr>
          <w:sz w:val="20"/>
          <w:szCs w:val="20"/>
          <w:color w:val="auto"/>
        </w:rPr>
      </w:pPr>
    </w:p>
    <w:p>
      <w:pPr>
        <w:ind w:left="-80" w:right="3039" w:firstLine="811"/>
        <w:spacing w:after="0" w:line="246" w:lineRule="auto"/>
        <w:tabs>
          <w:tab w:leader="none" w:pos="1465"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the Company shall (1) pay a dividend or make a distribution in shares of Common Stock on the Common Stock, (2) subdivide its outstanding shares of Common Stock into a greater number of shares, (3) combine its outstanding shares of Common Stock into a smaller number of shares or (4) issue by reclassification of its Common Stock any shares of capital stock of the Company, the Conversion Price in effect immediately prior to such action shall be adjusted so that the Holder of any Security thereafter surrendered for conversion shall be entitled to receive the number of shares of Common Stock or other capital stock of the Company which he would have owned immediately following such action had such Security been converted immediately prior thereto. An adjustment made pursuant to this subsection (a) shall become effective immediately, except as provided in subsection (e) below, after the record date in the case of a dividend or distribution and shall become effective immediately after the effective date in the case of a subdivision, combination or reclassification. If as a result of an adjustment made pursuant to this subsection (a), the Holder of any Security thereafter surrendered for conversion shall become entitled to receive shares of two or more classes of capital stock (including shares of Common Stock and other capital stock) of the Company, the Board of Directors (whose determination shall be conclusive and shall be described in a statement filed with the Trustee) shall determine the allocation of the adjusted Conversion Price between or among shares of such classes of capital stock or shares of Common Stock and other capital stock.</w:t>
      </w:r>
    </w:p>
    <w:p>
      <w:pPr>
        <w:spacing w:after="0" w:line="188" w:lineRule="exact"/>
        <w:rPr>
          <w:rFonts w:ascii="Courier New" w:cs="Courier New" w:eastAsia="Courier New" w:hAnsi="Courier New"/>
          <w:sz w:val="15"/>
          <w:szCs w:val="15"/>
          <w:color w:val="auto"/>
        </w:rPr>
      </w:pPr>
    </w:p>
    <w:p>
      <w:pPr>
        <w:ind w:left="-80" w:right="3039" w:firstLine="811"/>
        <w:spacing w:after="0" w:line="246" w:lineRule="auto"/>
        <w:tabs>
          <w:tab w:leader="none" w:pos="1465"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the Company shall issue rights, options or warrants to all holders of Common Stock entitling them (for a period not exceeding 45 days from the date of such issuance) to subscribe for or purchase shares of Common Stock at a price per share less than the current market price per share (as determined pursuant to subsection (d) below) of the Common Stock on the record date mentioned below, the Conversion Price shall be adjusted to a price, computed to the nearest cent, so that the same shall equal the price determined by multiplying;</w:t>
      </w:r>
    </w:p>
    <w:p>
      <w:pPr>
        <w:spacing w:after="0" w:line="179" w:lineRule="exact"/>
        <w:rPr>
          <w:rFonts w:ascii="Courier New" w:cs="Courier New" w:eastAsia="Courier New" w:hAnsi="Courier New"/>
          <w:sz w:val="15"/>
          <w:szCs w:val="15"/>
          <w:color w:val="auto"/>
        </w:rPr>
      </w:pPr>
    </w:p>
    <w:p>
      <w:pPr>
        <w:ind w:left="740" w:right="3219" w:firstLine="718"/>
        <w:spacing w:after="0" w:line="247" w:lineRule="auto"/>
        <w:tabs>
          <w:tab w:leader="none" w:pos="2285" w:val="left"/>
        </w:tabs>
        <w:numPr>
          <w:ilvl w:val="1"/>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Conversion Price in effect immediately prior to the date of issuance of such rights, options or warrants by a fraction, of which</w:t>
      </w:r>
    </w:p>
    <w:p>
      <w:pPr>
        <w:spacing w:after="0" w:line="174" w:lineRule="exact"/>
        <w:rPr>
          <w:rFonts w:ascii="Courier New" w:cs="Courier New" w:eastAsia="Courier New" w:hAnsi="Courier New"/>
          <w:sz w:val="15"/>
          <w:szCs w:val="15"/>
          <w:color w:val="auto"/>
        </w:rPr>
      </w:pPr>
    </w:p>
    <w:p>
      <w:pPr>
        <w:ind w:left="740" w:right="3139" w:firstLine="718"/>
        <w:spacing w:after="0" w:line="246" w:lineRule="auto"/>
        <w:tabs>
          <w:tab w:leader="none" w:pos="2285" w:val="left"/>
        </w:tabs>
        <w:numPr>
          <w:ilvl w:val="1"/>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numerator shall be (A) the number of shares of Common Stock outstanding on the date of issuance of such rights, options or warrants, immediately prior to such issuance, plus (B) the number of shares which the aggregate offering price of the total number of shares so offered for subscription or purchase would purchase at such current market price (determined by multiplying such total number of shares by the exercise price of such rights, options or warrants and dividing the product so obtained by such current market price), and of which</w:t>
      </w:r>
    </w:p>
    <w:p>
      <w:pPr>
        <w:spacing w:after="0" w:line="180" w:lineRule="exact"/>
        <w:rPr>
          <w:rFonts w:ascii="Courier New" w:cs="Courier New" w:eastAsia="Courier New" w:hAnsi="Courier New"/>
          <w:sz w:val="15"/>
          <w:szCs w:val="15"/>
          <w:color w:val="auto"/>
        </w:rPr>
      </w:pPr>
    </w:p>
    <w:p>
      <w:pPr>
        <w:ind w:left="740" w:right="3139" w:firstLine="718"/>
        <w:spacing w:after="0" w:line="246" w:lineRule="auto"/>
        <w:tabs>
          <w:tab w:leader="none" w:pos="2285" w:val="left"/>
        </w:tabs>
        <w:numPr>
          <w:ilvl w:val="1"/>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denominator shall be (A) the number of shares of Common Stock outstanding on the date of issuance of such rights, options or warrants, immediately prior to such issuance, plus (B) the number of additional shares of Common Stock which are so offered for subscription or purchase.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SUBORDINATED INDENTURE</w:t>
      </w:r>
    </w:p>
    <w:p>
      <w:pPr>
        <w:spacing w:after="0" w:line="5"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- 74 -</w:t>
      </w:r>
    </w:p>
    <w:p>
      <w:pPr>
        <w:sectPr>
          <w:pgSz w:w="11900" w:h="16838" w:orient="portrait"/>
          <w:cols w:equalWidth="0" w:num="1">
            <w:col w:w="10139"/>
          </w:cols>
          <w:pgMar w:left="320" w:top="293" w:right="1440" w:bottom="1440" w:gutter="0" w:footer="0" w:header="0"/>
        </w:sectPr>
      </w:pPr>
    </w:p>
    <w:bookmarkStart w:id="136" w:name="page137"/>
    <w:bookmarkEnd w:id="136"/>
    <w:p>
      <w:pPr>
        <w:ind w:left="267"/>
        <w:spacing w:after="0"/>
        <w:rPr>
          <w:sz w:val="20"/>
          <w:szCs w:val="20"/>
          <w:color w:val="auto"/>
        </w:rPr>
      </w:pPr>
      <w:r>
        <w:rPr>
          <w:rFonts w:ascii="Courier New" w:cs="Courier New" w:eastAsia="Courier New" w:hAnsi="Courier New"/>
          <w:sz w:val="15"/>
          <w:szCs w:val="15"/>
          <w:color w:val="auto"/>
        </w:rPr>
        <w:t>82</w:t>
      </w:r>
    </w:p>
    <w:p>
      <w:pPr>
        <w:spacing w:after="0" w:line="5" w:lineRule="exact"/>
        <w:rPr>
          <w:sz w:val="20"/>
          <w:szCs w:val="20"/>
          <w:color w:val="auto"/>
        </w:rPr>
      </w:pPr>
    </w:p>
    <w:p>
      <w:pPr>
        <w:ind w:left="7" w:right="3319"/>
        <w:spacing w:after="0" w:line="247" w:lineRule="auto"/>
        <w:rPr>
          <w:sz w:val="20"/>
          <w:szCs w:val="20"/>
          <w:color w:val="auto"/>
        </w:rPr>
      </w:pPr>
      <w:r>
        <w:rPr>
          <w:rFonts w:ascii="Courier New" w:cs="Courier New" w:eastAsia="Courier New" w:hAnsi="Courier New"/>
          <w:sz w:val="15"/>
          <w:szCs w:val="15"/>
          <w:color w:val="auto"/>
        </w:rPr>
        <w:t>Such adjustment shall become effective immediately, except as provided in subsection (e) below, after the record date for the determination of holders entitled to receive such rights, options or warrants.</w:t>
      </w:r>
    </w:p>
    <w:p>
      <w:pPr>
        <w:spacing w:after="0" w:line="174" w:lineRule="exact"/>
        <w:rPr>
          <w:sz w:val="20"/>
          <w:szCs w:val="20"/>
          <w:color w:val="auto"/>
        </w:rPr>
      </w:pPr>
    </w:p>
    <w:p>
      <w:pPr>
        <w:ind w:left="7" w:right="3039" w:firstLine="811"/>
        <w:spacing w:after="0" w:line="246" w:lineRule="auto"/>
        <w:tabs>
          <w:tab w:leader="none" w:pos="1552" w:val="left"/>
        </w:tabs>
        <w:numPr>
          <w:ilvl w:val="1"/>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the Company shall distribute to substantially all holders of Common Stock evidences of indebtedness, equity securities (including equity interests in the Company's Subsidiaries) other than Common Stock, or other assets (other than cash dividends paid out of surplus of the Company), or shall distribute to substantially all holders of Common Stock rights, options or warrants to subscribe for securities (other than those referred to in subsection (b) above) then in each such case the Conversion Price shall be adjusted so that the same shall equal the price determined by multiplying the Conversion Price in effect immediately prior to the date of such distribution by a fraction of which the numerator shall be the current market price per share (determined as provided in subsection (d) below) of the Common Stock on the record date mentioned below less the then fair market value (as determined by the Board of Directors, whose determination shall, if made in good faith, be conclusive evidence of such fair market value) of the portion of the assets so distributed or of such subscription rights, options or warrants applicable to one share of Common Stock, and of which the denominator shall be such current market price per share of the Common Stock. Such adjustment shall become effective immediately, except as provided in subsection (e) below, after the record date for the determination of stockholders entitled to receive such distribution.</w:t>
      </w:r>
    </w:p>
    <w:p>
      <w:pPr>
        <w:spacing w:after="0" w:line="186" w:lineRule="exact"/>
        <w:rPr>
          <w:rFonts w:ascii="Courier New" w:cs="Courier New" w:eastAsia="Courier New" w:hAnsi="Courier New"/>
          <w:sz w:val="15"/>
          <w:szCs w:val="15"/>
          <w:color w:val="auto"/>
        </w:rPr>
      </w:pPr>
    </w:p>
    <w:p>
      <w:pPr>
        <w:ind w:left="1547" w:hanging="729"/>
        <w:spacing w:after="0"/>
        <w:tabs>
          <w:tab w:leader="none" w:pos="1547" w:val="left"/>
        </w:tabs>
        <w:numPr>
          <w:ilvl w:val="1"/>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purposes of any computation under subsections (b) and</w:t>
      </w:r>
    </w:p>
    <w:p>
      <w:pPr>
        <w:spacing w:after="0" w:line="4" w:lineRule="exact"/>
        <w:rPr>
          <w:rFonts w:ascii="Courier New" w:cs="Courier New" w:eastAsia="Courier New" w:hAnsi="Courier New"/>
          <w:sz w:val="15"/>
          <w:szCs w:val="15"/>
          <w:color w:val="auto"/>
        </w:rPr>
      </w:pPr>
    </w:p>
    <w:p>
      <w:pPr>
        <w:ind w:left="7" w:right="3039" w:hanging="7"/>
        <w:spacing w:after="0" w:line="247" w:lineRule="auto"/>
        <w:tabs>
          <w:tab w:leader="none" w:pos="370"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above, the current market price per share of Common Stock on any date shall be deemed to be the average of the Last Sale Prices for the 30 consecutive Trading Days commencing 45 Trading Days before the date in question.</w:t>
      </w:r>
    </w:p>
    <w:p>
      <w:pPr>
        <w:spacing w:after="0" w:line="174" w:lineRule="exact"/>
        <w:rPr>
          <w:rFonts w:ascii="Courier New" w:cs="Courier New" w:eastAsia="Courier New" w:hAnsi="Courier New"/>
          <w:sz w:val="15"/>
          <w:szCs w:val="15"/>
          <w:color w:val="auto"/>
        </w:rPr>
      </w:pPr>
    </w:p>
    <w:p>
      <w:pPr>
        <w:ind w:left="7" w:right="3039" w:firstLine="811"/>
        <w:spacing w:after="0" w:line="246" w:lineRule="auto"/>
        <w:tabs>
          <w:tab w:leader="none" w:pos="1552" w:val="left"/>
        </w:tabs>
        <w:numPr>
          <w:ilvl w:val="1"/>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any case in which this Section 1504 shall require that an adjustment be made immediately following a record date, the Company may elect to defer the effectiveness of such adjustment (but in no event until a date later than the effective time of the event giving rise to such adjustment), in which case the Company shall, with respect to any Security converted after such record date and before such adjustment shall have become effective, (i) defer paying any cash payment pursuant to Section 1503 or issuing to the Holder of such Security the number of shares of Common Stock and other capital stock of the Company issuable upon such conversion in excess of the number of shares of Common Stock and other capital stock of the Company issuable thereupon only on the basis of the Conversion Price prior to adjustment and (ii), not later than five Business Days after such adjustment shall have become effective, pay to such Holder the appropriate cash payment pursuant to Section 1503 and issue to such Holder the additional shares of Common Stock and other capital stock of the Company issuable on such conversion.</w:t>
      </w:r>
    </w:p>
    <w:p>
      <w:pPr>
        <w:spacing w:after="0" w:line="183" w:lineRule="exact"/>
        <w:rPr>
          <w:rFonts w:ascii="Courier New" w:cs="Courier New" w:eastAsia="Courier New" w:hAnsi="Courier New"/>
          <w:sz w:val="15"/>
          <w:szCs w:val="15"/>
          <w:color w:val="auto"/>
        </w:rPr>
      </w:pPr>
    </w:p>
    <w:p>
      <w:pPr>
        <w:ind w:left="7" w:right="3039" w:firstLine="811"/>
        <w:spacing w:after="0" w:line="246" w:lineRule="auto"/>
        <w:tabs>
          <w:tab w:leader="none" w:pos="1552" w:val="left"/>
        </w:tabs>
        <w:numPr>
          <w:ilvl w:val="1"/>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adjustment in the Conversion Price shall be required unless such adjustment would require an increase or decrease of at least 1% of the Conversion Price; provided, however, that any adjustments which by reason of this subsection (f) are not required to be made shall be carried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SUBORDINATED INDENTURE</w:t>
      </w:r>
    </w:p>
    <w:p>
      <w:pPr>
        <w:spacing w:after="0" w:line="5"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- 75 -</w:t>
      </w:r>
    </w:p>
    <w:p>
      <w:pPr>
        <w:sectPr>
          <w:pgSz w:w="11900" w:h="16838" w:orient="portrait"/>
          <w:cols w:equalWidth="0" w:num="1">
            <w:col w:w="10226"/>
          </w:cols>
          <w:pgMar w:left="233" w:top="293" w:right="1440" w:bottom="1440" w:gutter="0" w:footer="0" w:header="0"/>
        </w:sectPr>
      </w:pPr>
    </w:p>
    <w:bookmarkStart w:id="137" w:name="page138"/>
    <w:bookmarkEnd w:id="137"/>
    <w:p>
      <w:pPr>
        <w:ind w:left="260"/>
        <w:spacing w:after="0"/>
        <w:rPr>
          <w:sz w:val="20"/>
          <w:szCs w:val="20"/>
          <w:color w:val="auto"/>
        </w:rPr>
      </w:pPr>
      <w:r>
        <w:rPr>
          <w:rFonts w:ascii="Courier New" w:cs="Courier New" w:eastAsia="Courier New" w:hAnsi="Courier New"/>
          <w:sz w:val="15"/>
          <w:szCs w:val="15"/>
          <w:color w:val="auto"/>
        </w:rPr>
        <w:t>83</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forward and taken into account in any subsequent adjustment and, provided, further, that adjustment shall be required and made in accordance with the provisions of this Article Fifteen (other than this subsection (f)) not later than such time as may be required in order to preserve the tax-free nature of a distribution to the holders of Securities or Common Stock. All calculations under this Article Fifteen shall be made to the nearest cent or to the nearest one-hundredth of a share, as the case may be.</w:t>
      </w:r>
    </w:p>
    <w:p>
      <w:pPr>
        <w:spacing w:after="0" w:line="179" w:lineRule="exact"/>
        <w:rPr>
          <w:sz w:val="20"/>
          <w:szCs w:val="20"/>
          <w:color w:val="auto"/>
        </w:rPr>
      </w:pPr>
    </w:p>
    <w:p>
      <w:pPr>
        <w:ind w:right="3139" w:firstLine="811"/>
        <w:spacing w:after="0" w:line="246" w:lineRule="auto"/>
        <w:tabs>
          <w:tab w:leader="none" w:pos="1545"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Whenever the Conversion Price is adjusted as herein provided, the Company shall promptly (i) file with the Trustee and each Conversion Agent an Officers' Certificate setting forth the Conversion Price after such adjustment and setting forth a brief statement of the facts requiring such adjustment, which certificate shall be conclusive evidence of the correctness of such adjustment, and (ii) give or cause to be given a notice of such adjustment to each Holder of Securities in the manner provided in Section 106.</w:t>
      </w:r>
    </w:p>
    <w:p>
      <w:pPr>
        <w:spacing w:after="0" w:line="179"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Anything in this Section 1504 to the contrary notwithstanding, the Company shall be entitled to make such reductions in the Conversion Price, in addition to those required by this Section 1504, as it in its discretion shall determine to be advisable in order that any stock dividend, subdivision of shares, distribution of rights, options or warrants to purchase stock or securities, or distribution of other assets (other than cash dividends) hereafter made by the Company to its stockholders shall not be taxable.</w:t>
      </w:r>
    </w:p>
    <w:p>
      <w:pPr>
        <w:spacing w:after="0" w:line="179" w:lineRule="exact"/>
        <w:rPr>
          <w:sz w:val="20"/>
          <w:szCs w:val="20"/>
          <w:color w:val="auto"/>
        </w:rPr>
      </w:pPr>
    </w:p>
    <w:p>
      <w:pPr>
        <w:ind w:right="3679"/>
        <w:spacing w:after="0" w:line="247" w:lineRule="auto"/>
        <w:rPr>
          <w:sz w:val="20"/>
          <w:szCs w:val="20"/>
          <w:color w:val="auto"/>
        </w:rPr>
      </w:pPr>
      <w:r>
        <w:rPr>
          <w:rFonts w:ascii="Courier New" w:cs="Courier New" w:eastAsia="Courier New" w:hAnsi="Courier New"/>
          <w:sz w:val="15"/>
          <w:szCs w:val="15"/>
          <w:color w:val="auto"/>
        </w:rPr>
        <w:t>SECTION 1505. Continuation of Conversion Privilege in Case of Merger, Consolidation or Sale of Assets.</w:t>
      </w:r>
    </w:p>
    <w:p>
      <w:pPr>
        <w:spacing w:after="0" w:line="175"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If any of the following shall occur, namely: (a) any consolidation or merger of the Company as a result of which the holders of Common Stock shall be entitled to receive stock, other securities or other assets (including cash) with respect to or in exchange for Common Stock; or (b) any conveyance, transfer or lease of the properties and assets of the Company substantially as an entirety to any Person, then the Company, or such successor or purchasing Person, as the case may be, shall, as a condition precedent to such consolidation, merger, conveyance, transfer or lease, execute and deliver to the Trustee a supplemental indenture (which shall conform to the Trust Indenture Act) providing that the Holder of each convertible Security then Outstanding shall have the right to convert such Security into the kind and amount of shares of stock and other securities and property (including cash) receivable upon or in connection with such consolidation, merger, conveyance, transfer or lease by a holder of the number of shares of Common Stock issuable upon conversion of such Security immediately prior to such consolidation, merger, conveyance, transfer or lease. Such supplemental indenture shall provide for adjustments which shall be as nearly equivalent as may be practicable to the adjustments provided for in this Article Fifteen. If, in the case of any such consolidation, merger, conveyance, transfer or lease, the stock or other securities and property (including cash) receivable thereupon or in connection therewith by a holder of shares of Common Stock includes shares of stock or other securities and property (including cash) of a Person other than the successor or purchasing Person, as the case may be, in such consolidation, merger, conveyance,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SUBORDINATED INDENTURE</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- 76 -</w:t>
      </w:r>
    </w:p>
    <w:p>
      <w:pPr>
        <w:sectPr>
          <w:pgSz w:w="11900" w:h="16838" w:orient="portrait"/>
          <w:cols w:equalWidth="0" w:num="1">
            <w:col w:w="10219"/>
          </w:cols>
          <w:pgMar w:left="240" w:top="293" w:right="1440" w:bottom="1440" w:gutter="0" w:footer="0" w:header="0"/>
        </w:sectPr>
      </w:pPr>
    </w:p>
    <w:bookmarkStart w:id="138" w:name="page139"/>
    <w:bookmarkEnd w:id="138"/>
    <w:p>
      <w:pPr>
        <w:ind w:left="260"/>
        <w:spacing w:after="0"/>
        <w:rPr>
          <w:sz w:val="20"/>
          <w:szCs w:val="20"/>
          <w:color w:val="auto"/>
        </w:rPr>
      </w:pPr>
      <w:r>
        <w:rPr>
          <w:rFonts w:ascii="Courier New" w:cs="Courier New" w:eastAsia="Courier New" w:hAnsi="Courier New"/>
          <w:sz w:val="15"/>
          <w:szCs w:val="15"/>
          <w:color w:val="auto"/>
        </w:rPr>
        <w:t>84</w:t>
      </w:r>
    </w:p>
    <w:p>
      <w:pPr>
        <w:spacing w:after="0" w:line="5"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transfer or lease, then such supplemental indenture shall also be executed by such other Person and shall contain such additional provisions to protect the interests of the Holders of the Securities as the Board of Directors shall reasonably consider necessary by reason of the foregoing. The provisions of this Section 1505 shall similarly apply to successive consolidations, mergers, conveyances, transfer or leases.</w:t>
      </w:r>
    </w:p>
    <w:p>
      <w:pPr>
        <w:spacing w:after="0" w:line="178" w:lineRule="exact"/>
        <w:rPr>
          <w:sz w:val="20"/>
          <w:szCs w:val="20"/>
          <w:color w:val="auto"/>
        </w:rPr>
      </w:pPr>
    </w:p>
    <w:p>
      <w:pPr>
        <w:ind w:right="3219" w:firstLine="818"/>
        <w:spacing w:after="0" w:line="247" w:lineRule="auto"/>
        <w:rPr>
          <w:sz w:val="20"/>
          <w:szCs w:val="20"/>
          <w:color w:val="auto"/>
        </w:rPr>
      </w:pPr>
      <w:r>
        <w:rPr>
          <w:rFonts w:ascii="Courier New" w:cs="Courier New" w:eastAsia="Courier New" w:hAnsi="Courier New"/>
          <w:sz w:val="15"/>
          <w:szCs w:val="15"/>
          <w:color w:val="auto"/>
        </w:rPr>
        <w:t>Notice of the execution of each such supplemental indenture shall be given to each Holder of Securities in the manner provided in Section 106.</w:t>
      </w:r>
    </w:p>
    <w:p>
      <w:pPr>
        <w:spacing w:after="0" w:line="175"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Neither the Trustee nor any Conversion Agent shall be under any responsibility to determine the correctness of any provisions contained in any such supplemental indenture relating either to the kind or amount of shares of stock or other securities or property (including cash) receivable by Holders of Securities upon the conversion of their Securities after any such consolidation, merger, conveyance, transfer or lease or to any adjustment to be made with respect thereto, but, subject to the provisions of Sections 601 and 603, may accept as conclusive evidence of the correctness of any such provision, and shall be protected in relying upon, the Officers' Certificate (which the Company shall be obligated to file with the Trustee prior the execution of any such supplemental indenture) with respect thereto.</w:t>
      </w:r>
    </w:p>
    <w:p>
      <w:pPr>
        <w:spacing w:after="0" w:line="181"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5"/>
          <w:szCs w:val="15"/>
          <w:color w:val="auto"/>
        </w:rPr>
        <w:t>SECTION 1506.</w:t>
      </w:r>
      <w:r>
        <w:rPr>
          <w:sz w:val="20"/>
          <w:szCs w:val="20"/>
          <w:color w:val="auto"/>
        </w:rPr>
        <w:tab/>
      </w:r>
      <w:r>
        <w:rPr>
          <w:rFonts w:ascii="Courier New" w:cs="Courier New" w:eastAsia="Courier New" w:hAnsi="Courier New"/>
          <w:sz w:val="15"/>
          <w:szCs w:val="15"/>
          <w:color w:val="auto"/>
        </w:rPr>
        <w:t>Notice of Certain Events.</w:t>
      </w:r>
    </w:p>
    <w:p>
      <w:pPr>
        <w:spacing w:after="0" w:line="180"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If:</w:t>
      </w:r>
    </w:p>
    <w:p>
      <w:pPr>
        <w:spacing w:after="0" w:line="180" w:lineRule="exact"/>
        <w:rPr>
          <w:sz w:val="20"/>
          <w:szCs w:val="20"/>
          <w:color w:val="auto"/>
        </w:rPr>
      </w:pPr>
    </w:p>
    <w:p>
      <w:pPr>
        <w:ind w:left="820" w:right="3039" w:firstLine="718"/>
        <w:spacing w:after="0" w:line="247" w:lineRule="auto"/>
        <w:tabs>
          <w:tab w:leader="none" w:pos="2365"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declare a dividend (or any other distribution) payable to the holders of Common Stock otherwise than in cash; or</w:t>
      </w:r>
    </w:p>
    <w:p>
      <w:pPr>
        <w:spacing w:after="0" w:line="174" w:lineRule="exact"/>
        <w:rPr>
          <w:rFonts w:ascii="Courier New" w:cs="Courier New" w:eastAsia="Courier New" w:hAnsi="Courier New"/>
          <w:sz w:val="15"/>
          <w:szCs w:val="15"/>
          <w:color w:val="auto"/>
        </w:rPr>
      </w:pPr>
    </w:p>
    <w:p>
      <w:pPr>
        <w:ind w:left="820" w:right="3319" w:firstLine="718"/>
        <w:spacing w:after="0" w:line="246" w:lineRule="auto"/>
        <w:tabs>
          <w:tab w:leader="none" w:pos="2365"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authorize the granting to all holders of Common Stock of rights, options or warrants to subscribe for or purchase any shares of stock of any class or of any other rights, options or warrants; or</w:t>
      </w:r>
    </w:p>
    <w:p>
      <w:pPr>
        <w:spacing w:after="0" w:line="177" w:lineRule="exact"/>
        <w:rPr>
          <w:rFonts w:ascii="Courier New" w:cs="Courier New" w:eastAsia="Courier New" w:hAnsi="Courier New"/>
          <w:sz w:val="15"/>
          <w:szCs w:val="15"/>
          <w:color w:val="auto"/>
        </w:rPr>
      </w:pPr>
    </w:p>
    <w:p>
      <w:pPr>
        <w:ind w:left="820" w:right="3039" w:firstLine="718"/>
        <w:spacing w:after="0" w:line="246" w:lineRule="auto"/>
        <w:tabs>
          <w:tab w:leader="none" w:pos="2365"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authorize any reclassification or change of the Common Stock (other than a subdivision or combination of its outstanding shares of Common Stock), or any consolidation or merger to which the Company is a party and for which approval of any stockholders of the Company is required, or the conveyance, transfer or lease of the properties and assets of the Company substantially as an entirety; or</w:t>
      </w:r>
    </w:p>
    <w:p>
      <w:pPr>
        <w:spacing w:after="0" w:line="179" w:lineRule="exact"/>
        <w:rPr>
          <w:rFonts w:ascii="Courier New" w:cs="Courier New" w:eastAsia="Courier New" w:hAnsi="Courier New"/>
          <w:sz w:val="15"/>
          <w:szCs w:val="15"/>
          <w:color w:val="auto"/>
        </w:rPr>
      </w:pPr>
    </w:p>
    <w:p>
      <w:pPr>
        <w:ind w:left="820" w:right="3039" w:firstLine="718"/>
        <w:spacing w:after="0" w:line="247" w:lineRule="auto"/>
        <w:tabs>
          <w:tab w:leader="none" w:pos="2365"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shall be authorized or ordered any voluntary or involuntary dissolution, liquidation or winding-up of the Company;</w:t>
      </w:r>
    </w:p>
    <w:p>
      <w:pPr>
        <w:spacing w:after="0" w:line="175" w:lineRule="exact"/>
        <w:rPr>
          <w:sz w:val="20"/>
          <w:szCs w:val="20"/>
          <w:color w:val="auto"/>
        </w:rPr>
      </w:pPr>
    </w:p>
    <w:p>
      <w:pPr>
        <w:ind w:right="3319"/>
        <w:spacing w:after="0" w:line="246" w:lineRule="auto"/>
        <w:rPr>
          <w:sz w:val="20"/>
          <w:szCs w:val="20"/>
          <w:color w:val="auto"/>
        </w:rPr>
      </w:pPr>
      <w:r>
        <w:rPr>
          <w:rFonts w:ascii="Courier New" w:cs="Courier New" w:eastAsia="Courier New" w:hAnsi="Courier New"/>
          <w:sz w:val="15"/>
          <w:szCs w:val="15"/>
          <w:color w:val="auto"/>
        </w:rPr>
        <w:t>then, the Company shall cause to be filed at the office or agency maintained for the purpose of conversion of the Securities as provided in Section 1002, and shall cause to be given to each Holder of Securities, in the manner provided in Section 106, at least 20 days before the date hereinafter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SUBORDINATED INDENTURE</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- 77 -</w:t>
      </w:r>
    </w:p>
    <w:p>
      <w:pPr>
        <w:sectPr>
          <w:pgSz w:w="11900" w:h="16838" w:orient="portrait"/>
          <w:cols w:equalWidth="0" w:num="1">
            <w:col w:w="10219"/>
          </w:cols>
          <w:pgMar w:left="240" w:top="293" w:right="1440" w:bottom="1440" w:gutter="0" w:footer="0" w:header="0"/>
        </w:sectPr>
      </w:pPr>
    </w:p>
    <w:bookmarkStart w:id="139" w:name="page140"/>
    <w:bookmarkEnd w:id="139"/>
    <w:p>
      <w:pPr>
        <w:ind w:left="260"/>
        <w:spacing w:after="0"/>
        <w:rPr>
          <w:sz w:val="20"/>
          <w:szCs w:val="20"/>
          <w:color w:val="auto"/>
        </w:rPr>
      </w:pPr>
      <w:r>
        <w:rPr>
          <w:rFonts w:ascii="Courier New" w:cs="Courier New" w:eastAsia="Courier New" w:hAnsi="Courier New"/>
          <w:sz w:val="15"/>
          <w:szCs w:val="15"/>
          <w:color w:val="auto"/>
        </w:rPr>
        <w:t>85</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specified (or the earlier of the dates hereinafter specified, in the event that more than one date is specified), a notice stating the date on which (1) a record is expected to be taken for the purpose of such dividend, distribution or rights, or if a record is not to be taken, the date as of which the holders of Common Stock of record to be entitled to such dividend, distribution or rights are to be determined, or (2) such reclassification, change, consolidation, merger, conveyance, transfer or lease, dissolution, liquidation or winding-up is expected to become effective and the date, if any is to be fixed, as of which it is expected that holders of Common Stock of record shall be entitled to exchange their shares of Common Stock for securities or other property deliverable upon such reclassification, change, consolidation, merger, conveyance, transfer or lease, dissolution, liquidation or winding-up.</w:t>
      </w:r>
    </w:p>
    <w:p>
      <w:pPr>
        <w:spacing w:after="0" w:line="182"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5"/>
          <w:szCs w:val="15"/>
          <w:color w:val="auto"/>
        </w:rPr>
        <w:t>SECTION 1507.</w:t>
      </w:r>
      <w:r>
        <w:rPr>
          <w:sz w:val="20"/>
          <w:szCs w:val="20"/>
          <w:color w:val="auto"/>
        </w:rPr>
        <w:tab/>
      </w:r>
      <w:r>
        <w:rPr>
          <w:rFonts w:ascii="Courier New" w:cs="Courier New" w:eastAsia="Courier New" w:hAnsi="Courier New"/>
          <w:sz w:val="15"/>
          <w:szCs w:val="15"/>
          <w:color w:val="auto"/>
        </w:rPr>
        <w:t>Taxes on Conversion.</w:t>
      </w:r>
    </w:p>
    <w:p>
      <w:pPr>
        <w:spacing w:after="0" w:line="180"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The Company will pay any and all documentary, stamp or similar taxes payable to the United States of America or any political subdivision or taxing authority thereof or therein in respect of the issue or delivery of shares of Common Stock on conversion of Securities pursuant thereto; provided, however, that the Company shall not be required to pay any tax which may be payable in respect of any transfer involved in the issue or delivery of shares of Common Stock in a name other than that of the Holder of the Securities to be converted (or payment of cash in lieu thereof to a Person other than such Holder) and no such issue or delivery (or payment) shall be made unless and until the Person requesting such issue or delivery (or payment) has paid to the Company the amount of any such tax or has established, to the satisfaction of the Company, that such tax has been paid. The Company extends no protection with respect to any other taxes imposed in connection with conversion of Securities.</w:t>
      </w:r>
    </w:p>
    <w:p>
      <w:pPr>
        <w:spacing w:after="0" w:line="183"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5"/>
          <w:szCs w:val="15"/>
          <w:color w:val="auto"/>
        </w:rPr>
        <w:t>SECTION 1508.</w:t>
      </w:r>
      <w:r>
        <w:rPr>
          <w:sz w:val="20"/>
          <w:szCs w:val="20"/>
          <w:color w:val="auto"/>
        </w:rPr>
        <w:tab/>
      </w:r>
      <w:r>
        <w:rPr>
          <w:rFonts w:ascii="Courier New" w:cs="Courier New" w:eastAsia="Courier New" w:hAnsi="Courier New"/>
          <w:sz w:val="15"/>
          <w:szCs w:val="15"/>
          <w:color w:val="auto"/>
        </w:rPr>
        <w:t>Company to Provide Stock.</w:t>
      </w:r>
    </w:p>
    <w:p>
      <w:pPr>
        <w:spacing w:after="0" w:line="180"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The Company shall reserve, free from preemptive rights, out of its authorized but unissued shares, sufficient shares to provide for the conversion of convertible Securities from time to time as such Securities are presented for conversion, provided, however, that nothing contained herein shall be construed to preclude the Company from satisfying its obligations in respect of the conversion of Securities by delivery of repurchased shares of Common Stock which are held in the treasury of the Company.</w:t>
      </w:r>
    </w:p>
    <w:p>
      <w:pPr>
        <w:spacing w:after="0" w:line="179"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If any shares of Common Stock to be reserved for the purpose of conversion of Securities hereunder require registration with or approval of any governmental authority under any Federal or State law before such shares may be validly issued or delivered upon conversion, then the Company covenants that it will in good faith and as expeditiously as possible endeavor to secure such registration or approval, as the case may be; provided, however, that nothing in this Section 1508 shall be deemed to affect in any way the obligations of the Company to convert Securities into Common Stock as provided in this Article Fifteen.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SUBORDINATED INDENTURE</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- 78 -</w:t>
      </w:r>
    </w:p>
    <w:p>
      <w:pPr>
        <w:sectPr>
          <w:pgSz w:w="11900" w:h="16838" w:orient="portrait"/>
          <w:cols w:equalWidth="0" w:num="1">
            <w:col w:w="10219"/>
          </w:cols>
          <w:pgMar w:left="240" w:top="293" w:right="1440" w:bottom="1440" w:gutter="0" w:footer="0" w:header="0"/>
        </w:sectPr>
      </w:pPr>
    </w:p>
    <w:bookmarkStart w:id="140" w:name="page141"/>
    <w:bookmarkEnd w:id="140"/>
    <w:p>
      <w:pPr>
        <w:ind w:left="260"/>
        <w:spacing w:after="0"/>
        <w:rPr>
          <w:sz w:val="20"/>
          <w:szCs w:val="20"/>
          <w:color w:val="auto"/>
        </w:rPr>
      </w:pPr>
      <w:r>
        <w:rPr>
          <w:rFonts w:ascii="Courier New" w:cs="Courier New" w:eastAsia="Courier New" w:hAnsi="Courier New"/>
          <w:sz w:val="15"/>
          <w:szCs w:val="15"/>
          <w:color w:val="auto"/>
        </w:rPr>
        <w:t>86</w:t>
      </w:r>
    </w:p>
    <w:p>
      <w:pPr>
        <w:spacing w:after="0" w:line="5"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Before taking any action which would cause an adjustment reducing the Conversion Price below the then par value, if any, of the Common Stock, the Company will take all corporate action which may, in the opinion of counsel, be necessary in order that the Company may validly and legally issue fully paid and non-assessable shares of Common Stock at such adjusted Conversion Price.</w:t>
      </w:r>
    </w:p>
    <w:p>
      <w:pPr>
        <w:spacing w:after="0" w:line="178" w:lineRule="exact"/>
        <w:rPr>
          <w:sz w:val="20"/>
          <w:szCs w:val="20"/>
          <w:color w:val="auto"/>
        </w:rPr>
      </w:pPr>
    </w:p>
    <w:p>
      <w:pPr>
        <w:ind w:right="3419" w:firstLine="818"/>
        <w:spacing w:after="0" w:line="247" w:lineRule="auto"/>
        <w:rPr>
          <w:sz w:val="20"/>
          <w:szCs w:val="20"/>
          <w:color w:val="auto"/>
        </w:rPr>
      </w:pPr>
      <w:r>
        <w:rPr>
          <w:rFonts w:ascii="Courier New" w:cs="Courier New" w:eastAsia="Courier New" w:hAnsi="Courier New"/>
          <w:sz w:val="15"/>
          <w:szCs w:val="15"/>
          <w:color w:val="auto"/>
        </w:rPr>
        <w:t>The Company covenants that all shares of Common Stock which may be issued upon conversion of Securities will upon issue be fully paid and non-assessable by the Company and free of preemptive rights.</w:t>
      </w:r>
    </w:p>
    <w:p>
      <w:pPr>
        <w:spacing w:after="0" w:line="174"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5"/>
          <w:szCs w:val="15"/>
          <w:color w:val="auto"/>
        </w:rPr>
        <w:t>SECTION 1509.</w:t>
      </w:r>
      <w:r>
        <w:rPr>
          <w:sz w:val="20"/>
          <w:szCs w:val="20"/>
          <w:color w:val="auto"/>
        </w:rPr>
        <w:tab/>
      </w:r>
      <w:r>
        <w:rPr>
          <w:rFonts w:ascii="Courier New" w:cs="Courier New" w:eastAsia="Courier New" w:hAnsi="Courier New"/>
          <w:sz w:val="15"/>
          <w:szCs w:val="15"/>
          <w:color w:val="auto"/>
        </w:rPr>
        <w:t>Disclaimer of Responsibility for Certain Matters.</w:t>
      </w:r>
    </w:p>
    <w:p>
      <w:pPr>
        <w:spacing w:after="0" w:line="180" w:lineRule="exact"/>
        <w:rPr>
          <w:sz w:val="20"/>
          <w:szCs w:val="20"/>
          <w:color w:val="auto"/>
        </w:rPr>
      </w:pPr>
    </w:p>
    <w:p>
      <w:pPr>
        <w:ind w:right="3139" w:firstLine="818"/>
        <w:spacing w:after="0" w:line="246" w:lineRule="auto"/>
        <w:rPr>
          <w:sz w:val="20"/>
          <w:szCs w:val="20"/>
          <w:color w:val="auto"/>
        </w:rPr>
      </w:pPr>
      <w:r>
        <w:rPr>
          <w:rFonts w:ascii="Courier New" w:cs="Courier New" w:eastAsia="Courier New" w:hAnsi="Courier New"/>
          <w:sz w:val="15"/>
          <w:szCs w:val="15"/>
          <w:color w:val="auto"/>
        </w:rPr>
        <w:t>Neither the Trustee, any Conversion Agent nor any agent of either shall at any time be under any duty or responsibility to any Holder of Securities to determine whether any facts exist which may require any adjustment of the Conversion Price, or with respect to the Officers' Certificate referred to in Section 1504(g), or with respect to the nature or extent of any such adjustment when made, or with respect to the method employed, or herein or in any supplemental indenture provided to be employed, in making the same. Neither the Trustee, any Conversion Agent nor any agent of either shall be accountable with respect to the validity or value (or the kind or amount) of any shares of Common Stock, or of any securities or property (including cash), which may at any time be issued or delivered upon the conversion of any Security, and neither the Trustee, any Conversion Agent nor any agent of either makes any representation with respect thereto. Neither the Trustee, any Conversion Agent nor any agent of either shall be responsible for any failure of the Company to issue, register the transfer of or deliver any shares of Common Stock or stock certificates or other securities or property (including cash) upon the surrender of any Security for the purpose of conversion or, subject to Sections 601 and 603, to comply with any of the covenants of the Company contained in this Article Fifteen.</w:t>
      </w:r>
    </w:p>
    <w:p>
      <w:pPr>
        <w:spacing w:after="0" w:line="186" w:lineRule="exact"/>
        <w:rPr>
          <w:sz w:val="20"/>
          <w:szCs w:val="20"/>
          <w:color w:val="auto"/>
        </w:rPr>
      </w:pPr>
    </w:p>
    <w:p>
      <w:pPr>
        <w:ind w:right="3859"/>
        <w:spacing w:after="0" w:line="247" w:lineRule="auto"/>
        <w:rPr>
          <w:sz w:val="20"/>
          <w:szCs w:val="20"/>
          <w:color w:val="auto"/>
        </w:rPr>
      </w:pPr>
      <w:r>
        <w:rPr>
          <w:rFonts w:ascii="Courier New" w:cs="Courier New" w:eastAsia="Courier New" w:hAnsi="Courier New"/>
          <w:sz w:val="15"/>
          <w:szCs w:val="15"/>
          <w:color w:val="auto"/>
        </w:rPr>
        <w:t>SECTION 1510. Return of Funds Deposited for Redemption of Converted Securities.</w:t>
      </w:r>
    </w:p>
    <w:p>
      <w:pPr>
        <w:spacing w:after="0" w:line="175"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Any funds which at any time shall have been deposited by the Company or on its behalf with the Trustee or any Paying Agent for the purpose of paying the principal of and interest, if any, on any of the Securities and which shall not be required for such purposes because of the conversion of such Securities, as provided in this Indenture, shall forthwith after such conversion be repaid to the Company by the Trustee or such Paying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SUBORDINATED INDENTURE</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- 79 -</w:t>
      </w:r>
    </w:p>
    <w:p>
      <w:pPr>
        <w:sectPr>
          <w:pgSz w:w="11900" w:h="16838" w:orient="portrait"/>
          <w:cols w:equalWidth="0" w:num="1">
            <w:col w:w="10219"/>
          </w:cols>
          <w:pgMar w:left="240" w:top="293" w:right="1440" w:bottom="1440" w:gutter="0" w:footer="0" w:header="0"/>
        </w:sectPr>
      </w:pPr>
    </w:p>
    <w:bookmarkStart w:id="141" w:name="page142"/>
    <w:bookmarkEnd w:id="141"/>
    <w:p>
      <w:pPr>
        <w:ind w:left="260"/>
        <w:spacing w:after="0"/>
        <w:rPr>
          <w:sz w:val="20"/>
          <w:szCs w:val="20"/>
          <w:color w:val="auto"/>
        </w:rPr>
      </w:pPr>
      <w:r>
        <w:rPr>
          <w:rFonts w:ascii="Courier New" w:cs="Courier New" w:eastAsia="Courier New" w:hAnsi="Courier New"/>
          <w:sz w:val="15"/>
          <w:szCs w:val="15"/>
          <w:color w:val="auto"/>
        </w:rPr>
        <w:t>87</w:t>
      </w:r>
    </w:p>
    <w:p>
      <w:pPr>
        <w:spacing w:after="0" w:line="5"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ARTICLE SIXTEEN</w:t>
      </w:r>
    </w:p>
    <w:p>
      <w:pPr>
        <w:spacing w:after="0" w:line="5"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SUBORDINATION</w:t>
      </w:r>
    </w:p>
    <w:p>
      <w:pPr>
        <w:spacing w:after="0" w:line="180"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5"/>
          <w:szCs w:val="15"/>
          <w:color w:val="auto"/>
        </w:rPr>
        <w:t>SECTION 1601.</w:t>
      </w:r>
      <w:r>
        <w:rPr>
          <w:sz w:val="20"/>
          <w:szCs w:val="20"/>
          <w:color w:val="auto"/>
        </w:rPr>
        <w:tab/>
      </w:r>
      <w:r>
        <w:rPr>
          <w:rFonts w:ascii="Courier New" w:cs="Courier New" w:eastAsia="Courier New" w:hAnsi="Courier New"/>
          <w:sz w:val="15"/>
          <w:szCs w:val="15"/>
          <w:color w:val="auto"/>
        </w:rPr>
        <w:t>Securities Subordinated to Senior Indebtedness.</w:t>
      </w:r>
    </w:p>
    <w:p>
      <w:pPr>
        <w:spacing w:after="0" w:line="180" w:lineRule="exact"/>
        <w:rPr>
          <w:sz w:val="20"/>
          <w:szCs w:val="20"/>
          <w:color w:val="auto"/>
        </w:rPr>
      </w:pPr>
    </w:p>
    <w:p>
      <w:pPr>
        <w:ind w:right="3219" w:firstLine="818"/>
        <w:spacing w:after="0" w:line="246" w:lineRule="auto"/>
        <w:rPr>
          <w:sz w:val="20"/>
          <w:szCs w:val="20"/>
          <w:color w:val="auto"/>
        </w:rPr>
      </w:pPr>
      <w:r>
        <w:rPr>
          <w:rFonts w:ascii="Courier New" w:cs="Courier New" w:eastAsia="Courier New" w:hAnsi="Courier New"/>
          <w:sz w:val="15"/>
          <w:szCs w:val="15"/>
          <w:color w:val="auto"/>
        </w:rPr>
        <w:t>The Company covenants and agrees that anything in this Indenture to the contrary notwithstanding, the indebtedness evidenced by the Securities of each series is subordinate and junior in right of payment to all Senior Indebtedness to the extent provided herein or, if so provided in a Board Resolution, Officers' Certificate or executed supplemental indenture referred to in Sections 201 and 301 by or pursuant to which the form and terms of the Securities of such series were established, as and to the extent provided by the terms of the Securities of such series, and each Holder of Securities of each series, by his acceptance thereof, likewise covenants and agrees to the subordination herein or therein provided and shall be bound by the provisions hereof or thereof.</w:t>
      </w:r>
    </w:p>
    <w:p>
      <w:pPr>
        <w:spacing w:after="0" w:line="181"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Subject to Section 1604, if the Company shall default in the payment of any principal of or premium or interest on any Senior Indebtedness when the same becomes due and payable, whether at Stated Maturity or at a date fixed for redemption or by declaration of acceleration or otherwise, then, upon written notice of such default to the Company by the holders of such Senior Indebtedness or any trustee therefor, unless and until such default shall have been cured or waived or shall have ceased to exist, no direct or indirect payment (in cash, property, securities, by set-off or otherwise) shall be made or agreed to be made on account of the principal of or any premium or interest on any of the Securities, or in respect of any redemption, retirement, purchase or other acquisition of any of the Securities other than those made in capital stock of the Company (or cash in lieu of fractional shares thereof) pursuant to Article Fifteen or otherwise made in capital stock of the Company (or cash in lieu of fractional shares thereof).</w:t>
      </w:r>
    </w:p>
    <w:p>
      <w:pPr>
        <w:spacing w:after="0" w:line="183"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If (a) without the consent of the Company a court having jurisdiction shall enter an order for relief with respect to the Company under the Bankruptcy Code or without the consent of the Company a court having jurisdiction shall enter a judgment, order or decree adjudging the Company a bankrupt or insolvent, or enter an order for relief for reorganization, arrangement, adjustment or composition of or in respect of the Company under the Bankruptcy Code or applicable state insolvency law, or (b) the Company shall institute proceedings for entry of an order for relief with respect to the Company under the Bankruptcy Code or for an adjudication of insolvency, or shall consent to the institution of bankruptcy or insolvency proceedings against it, or shall file a petition seeking, or seek or consent to reorganization, arrangement, composition or relief under the Bankruptcy Code or any applicable State law, or shall consent to the filing of such petition or to the appointment of a receiver, custodian, liquidator, assignee, trustee, sequestrator or similar official of the Company or of substantially all of its property, or the Company shall make a general assignment for the benefit of creditors as recognized under the Bankruptcy Code, then all Senior Indebtedness (including any interest thereon accruing after the commencement of any such proceedings) shall first be paid in full before any payment or distribution, whether in cash, securities or other property, shall be made to any Holder of any Securities on account thereof. Any payment or distribution, whether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SUBORDINATED INDENTURE</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- 80 -</w:t>
      </w:r>
    </w:p>
    <w:p>
      <w:pPr>
        <w:sectPr>
          <w:pgSz w:w="11900" w:h="16838" w:orient="portrait"/>
          <w:cols w:equalWidth="0" w:num="1">
            <w:col w:w="10219"/>
          </w:cols>
          <w:pgMar w:left="240" w:top="293" w:right="1440" w:bottom="1440" w:gutter="0" w:footer="0" w:header="0"/>
        </w:sectPr>
      </w:pPr>
    </w:p>
    <w:bookmarkStart w:id="142" w:name="page143"/>
    <w:bookmarkEnd w:id="142"/>
    <w:p>
      <w:pPr>
        <w:ind w:left="260"/>
        <w:spacing w:after="0"/>
        <w:rPr>
          <w:sz w:val="20"/>
          <w:szCs w:val="20"/>
          <w:color w:val="auto"/>
        </w:rPr>
      </w:pPr>
      <w:r>
        <w:rPr>
          <w:rFonts w:ascii="Courier New" w:cs="Courier New" w:eastAsia="Courier New" w:hAnsi="Courier New"/>
          <w:sz w:val="15"/>
          <w:szCs w:val="15"/>
          <w:color w:val="auto"/>
        </w:rPr>
        <w:t>88</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in cash, securities or other property (other than securities of the Company or any other corporation provided for by a plan of reorganization or readjustment the payment of which is subordinate, at least to the extent provided in these subordination provisions with respect to the indebtedness evidenced by the Securities, to the payment of all Senior Indebtedness then outstanding and to any securities issued in respect thereof under any such plan of reorganization or readjustment), which would otherwise (but for these subordination provisions) be payable or deliverable in respect of the Securities of any series shall be paid or delivered directly to the holders of Senior Indebtedness in accordance with the priorities then existing among such holders until all Senior Indebtedness (including any interest thereon accruing after the commencement of any such proceedings) shall have been paid in full. In the event of any such proceeding, after payment in full of all sums owing with respect to Senior Indebtedness, the Holders of the Securities, together with the holders of any other obligations of the Company ranking on a parity with the Securities, shall be entitled to be paid from the remaining assets of the Company the amounts at the time due and owing on account of unpaid principal of and any premium and interest on the Securities and such other obligations before any payment or other distribution, whether in cash, property or otherwise, shall be made on account of any capital stock or any obligations of the Company ranking junior to the Securities and such other obligations.</w:t>
      </w:r>
    </w:p>
    <w:p>
      <w:pPr>
        <w:spacing w:after="0" w:line="187"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If, notwithstanding the foregoing, any payment or distribution of any character, whether in cash, securities or other property (other than securities of the Company or any other corporation provided for by a plan of reorganization or readjustment the payment of which is subordinate, at least to the extent provided in these subordination provisions with respect to the indebtedness evidenced by the Securities, to the payment of all Senior Indebtedness then outstanding and to any securities issued in respect thereof under any such plan of reorganization or readjustment), shall be received by the Trustee or any Holder in contravention of any of the terms hereof, such payment or distribution shall be received in trust for the benefit of, and shall be paid over or delivered and transferred to, the holders of the Senior Indebtedness then outstanding in accordance with the priorities then existing among such holders for application to the payment of all Senior Indebtedness remaining unpaid, to the extent necessary to pay all such Senior Indebtedness in full. In the event of the failure of the Trustee or any Holder to endorse or assign any such payment, distribution or security, each holder of Senior Indebtedness is hereby irrevocably authorized to endorse or assign the same.</w:t>
      </w:r>
    </w:p>
    <w:p>
      <w:pPr>
        <w:spacing w:after="0" w:line="185" w:lineRule="exact"/>
        <w:rPr>
          <w:sz w:val="20"/>
          <w:szCs w:val="20"/>
          <w:color w:val="auto"/>
        </w:rPr>
      </w:pPr>
    </w:p>
    <w:p>
      <w:pPr>
        <w:ind w:right="3139" w:firstLine="818"/>
        <w:spacing w:after="0" w:line="246" w:lineRule="auto"/>
        <w:rPr>
          <w:sz w:val="20"/>
          <w:szCs w:val="20"/>
          <w:color w:val="auto"/>
        </w:rPr>
      </w:pPr>
      <w:r>
        <w:rPr>
          <w:rFonts w:ascii="Courier New" w:cs="Courier New" w:eastAsia="Courier New" w:hAnsi="Courier New"/>
          <w:sz w:val="15"/>
          <w:szCs w:val="15"/>
          <w:color w:val="auto"/>
        </w:rPr>
        <w:t>No present or future holder of any Senior Indebtedness shall be prejudiced in the right to enforce subordination of the indebtedness evidenced by the Securities by any act or failure to act on the part of the Company. Nothing contained herein shall impair, as between the Company and the Holders of Securities of each series, the obligation of the Company to pay to such Holders the principal of and any premium and interest on such Securities or prevent the Trustee or the Holder from exercising all rights, powers and remedies otherwise permitted by applicable law or hereunder upon a default or Event of Default hereunder, all subject to the rights of the holders of the Senior Indebtedness to receive cash, securities or other property otherwise payable or deliverable to the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SUBORDINATED INDENTURE</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- 81 -</w:t>
      </w:r>
    </w:p>
    <w:p>
      <w:pPr>
        <w:sectPr>
          <w:pgSz w:w="11900" w:h="16838" w:orient="portrait"/>
          <w:cols w:equalWidth="0" w:num="1">
            <w:col w:w="10219"/>
          </w:cols>
          <w:pgMar w:left="240" w:top="293" w:right="1440" w:bottom="1440" w:gutter="0" w:footer="0" w:header="0"/>
        </w:sectPr>
      </w:pPr>
    </w:p>
    <w:bookmarkStart w:id="143" w:name="page144"/>
    <w:bookmarkEnd w:id="143"/>
    <w:p>
      <w:pPr>
        <w:ind w:left="260"/>
        <w:spacing w:after="0"/>
        <w:rPr>
          <w:sz w:val="20"/>
          <w:szCs w:val="20"/>
          <w:color w:val="auto"/>
        </w:rPr>
      </w:pPr>
      <w:r>
        <w:rPr>
          <w:rFonts w:ascii="Courier New" w:cs="Courier New" w:eastAsia="Courier New" w:hAnsi="Courier New"/>
          <w:sz w:val="15"/>
          <w:szCs w:val="15"/>
          <w:color w:val="auto"/>
        </w:rPr>
        <w:t>89</w:t>
      </w:r>
    </w:p>
    <w:p>
      <w:pPr>
        <w:spacing w:after="0" w:line="5"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Senior Indebtedness shall not be deemed to have been paid in full unless the holders thereof shall have received cash, securities or other property equal to the amount of such Senior Indebtedness then outstanding. Upon the payment in full of all Senior Indebtedness, the Holders of Securities of each series shall be subrogated to all rights of any holders of Senior Indebtedness to receive any further payments or distributions applicable to the Senior Indebtedness until the indebtedness evidenced by the Securities of such series shall have been paid in full, and such payments or distributions received by such Holders, by reason of such subrogation, of cash, securities or other property which otherwise would be paid or distributed to the holders of Senior Indebtedness, shall, as between the Company and its creditors other than the holders of Senior Indebtedness, on the one hand, and such Holders, on the other hand, be deemed to be a payment by the Company on account of Senior Indebtedness, and not on account of the Securities of such series.</w:t>
      </w:r>
    </w:p>
    <w:p>
      <w:pPr>
        <w:spacing w:after="0" w:line="183"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The provisions of this Section 1601 shall not impair any rights, interests, remedies or powers of any secured creditor of the Company in respect of any security interest the creation of which is not prohibited by the provisions of this Indenture.</w:t>
      </w:r>
    </w:p>
    <w:p>
      <w:pPr>
        <w:spacing w:after="0" w:line="177"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The securing of any obligations of the Company, otherwise ranking on a parity with the Securities of ranking junior to the Securities, shall not be deemed to prevent such obligations from constituting, respectively, obligations ranking on a parity with the Securities or ranking junior to the Securities.</w:t>
      </w:r>
    </w:p>
    <w:p>
      <w:pPr>
        <w:spacing w:after="0" w:line="177"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SECTION 1602. Reliance on Certificate of Liquidating Agent; Further Evidence as to Ownership of Senior Indebtedness.</w:t>
      </w:r>
    </w:p>
    <w:p>
      <w:pPr>
        <w:spacing w:after="0" w:line="175"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Upon any payment or distribution of assets of the Company, the Trustee and the Holders shall be entitled to rely upon an order or decree issued by any court of competent jurisdiction in which such dissolution or winding-up or liquidation or reorganization or arrangement proceedings are pending or upon a certificate of the trustee in bankruptcy, receiver, assignee for the benefit of creditors or other Person making such payment or distribution, delivered to the Trustee or to the Holders, for the purpose of ascertaining the Persons entitled to participate in such distribution, the holders of the Senior Indebtedness and other indebtedness of the Company, the amount thereof or payable thereon, the amount or amounts paid or distributed thereon and all other facts pertinent thereto or to this Article Sixteen. In the absence of any such bankruptcy trustee, receiver, assignee or other Person, the Trustee shall be entitled to rely upon a written notice by a Person representing himself to be a holder of Senior Indebtedness (or a trustee or representative on behalf of such holder) as evidence that such Person is a holder of Senior Indebtedness (or is such a trustee or representative). If the Trustee determines, in good faith, that further evidence is required with respect to the right of any Person as a holder of Senior Indebtedness to participate in any payment or distribution pursuant to this Article Sixteen, the Trustee may request such Person to furnish evidence to the reasonable satisfaction of the Trustee as to the amount of Senior Indebtedness held by such Person, as to the extent to which such Person is entitled to participate in such payment or distribution, and as to other facts pertinent to the rights of such Person under this Article Sixteen,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SUBORDINATED INDENTURE</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- 82 -</w:t>
      </w:r>
    </w:p>
    <w:p>
      <w:pPr>
        <w:sectPr>
          <w:pgSz w:w="11900" w:h="16838" w:orient="portrait"/>
          <w:cols w:equalWidth="0" w:num="1">
            <w:col w:w="10219"/>
          </w:cols>
          <w:pgMar w:left="240" w:top="293" w:right="1440" w:bottom="1440" w:gutter="0" w:footer="0" w:header="0"/>
        </w:sectPr>
      </w:pPr>
    </w:p>
    <w:bookmarkStart w:id="144" w:name="page145"/>
    <w:bookmarkEnd w:id="144"/>
    <w:p>
      <w:pPr>
        <w:ind w:left="267"/>
        <w:spacing w:after="0"/>
        <w:rPr>
          <w:sz w:val="20"/>
          <w:szCs w:val="20"/>
          <w:color w:val="auto"/>
        </w:rPr>
      </w:pPr>
      <w:r>
        <w:rPr>
          <w:rFonts w:ascii="Courier New" w:cs="Courier New" w:eastAsia="Courier New" w:hAnsi="Courier New"/>
          <w:sz w:val="15"/>
          <w:szCs w:val="15"/>
          <w:color w:val="auto"/>
        </w:rPr>
        <w:t>90</w:t>
      </w:r>
    </w:p>
    <w:p>
      <w:pPr>
        <w:spacing w:after="0" w:line="5" w:lineRule="exact"/>
        <w:rPr>
          <w:sz w:val="20"/>
          <w:szCs w:val="20"/>
          <w:color w:val="auto"/>
        </w:rPr>
      </w:pPr>
    </w:p>
    <w:p>
      <w:pPr>
        <w:ind w:left="7" w:right="3319"/>
        <w:spacing w:after="0" w:line="247" w:lineRule="auto"/>
        <w:rPr>
          <w:sz w:val="20"/>
          <w:szCs w:val="20"/>
          <w:color w:val="auto"/>
        </w:rPr>
      </w:pPr>
      <w:r>
        <w:rPr>
          <w:rFonts w:ascii="Courier New" w:cs="Courier New" w:eastAsia="Courier New" w:hAnsi="Courier New"/>
          <w:sz w:val="15"/>
          <w:szCs w:val="15"/>
          <w:color w:val="auto"/>
        </w:rPr>
        <w:t>and if such evidence is not furnished, the Trustee may defer any payment to such Person pending judicial determination as to the right of such Person to receive such payment.</w:t>
      </w:r>
    </w:p>
    <w:p>
      <w:pPr>
        <w:spacing w:after="0" w:line="174" w:lineRule="exact"/>
        <w:rPr>
          <w:sz w:val="20"/>
          <w:szCs w:val="20"/>
          <w:color w:val="auto"/>
        </w:rPr>
      </w:pPr>
    </w:p>
    <w:p>
      <w:pPr>
        <w:ind w:left="7"/>
        <w:spacing w:after="0"/>
        <w:tabs>
          <w:tab w:leader="none" w:pos="1526" w:val="left"/>
        </w:tabs>
        <w:rPr>
          <w:sz w:val="20"/>
          <w:szCs w:val="20"/>
          <w:color w:val="auto"/>
        </w:rPr>
      </w:pPr>
      <w:r>
        <w:rPr>
          <w:rFonts w:ascii="Courier New" w:cs="Courier New" w:eastAsia="Courier New" w:hAnsi="Courier New"/>
          <w:sz w:val="15"/>
          <w:szCs w:val="15"/>
          <w:color w:val="auto"/>
        </w:rPr>
        <w:t>SECTION 1603.</w:t>
      </w:r>
      <w:r>
        <w:rPr>
          <w:sz w:val="20"/>
          <w:szCs w:val="20"/>
          <w:color w:val="auto"/>
        </w:rPr>
        <w:tab/>
      </w:r>
      <w:r>
        <w:rPr>
          <w:rFonts w:ascii="Courier New" w:cs="Courier New" w:eastAsia="Courier New" w:hAnsi="Courier New"/>
          <w:sz w:val="15"/>
          <w:szCs w:val="15"/>
          <w:color w:val="auto"/>
        </w:rPr>
        <w:t>Payment Permitted If No Default.</w:t>
      </w:r>
    </w:p>
    <w:p>
      <w:pPr>
        <w:spacing w:after="0" w:line="180" w:lineRule="exact"/>
        <w:rPr>
          <w:sz w:val="20"/>
          <w:szCs w:val="20"/>
          <w:color w:val="auto"/>
        </w:rPr>
      </w:pPr>
    </w:p>
    <w:p>
      <w:pPr>
        <w:ind w:left="7" w:right="3039" w:firstLine="818"/>
        <w:spacing w:after="0" w:line="246" w:lineRule="auto"/>
        <w:rPr>
          <w:sz w:val="20"/>
          <w:szCs w:val="20"/>
          <w:color w:val="auto"/>
        </w:rPr>
      </w:pPr>
      <w:r>
        <w:rPr>
          <w:rFonts w:ascii="Courier New" w:cs="Courier New" w:eastAsia="Courier New" w:hAnsi="Courier New"/>
          <w:sz w:val="15"/>
          <w:szCs w:val="15"/>
          <w:color w:val="auto"/>
        </w:rPr>
        <w:t>Nothing contained in this Article Sixteen shall prevent (a) the Company at any time, except during the pendency of any default in the payment of any principal of or premium or interest on any Senior Indebtedness as described in Section 1601 or of any of the events described in clauses (a) and</w:t>
      </w:r>
    </w:p>
    <w:p>
      <w:pPr>
        <w:spacing w:after="0" w:line="2" w:lineRule="exact"/>
        <w:rPr>
          <w:sz w:val="20"/>
          <w:szCs w:val="20"/>
          <w:color w:val="auto"/>
        </w:rPr>
      </w:pPr>
    </w:p>
    <w:p>
      <w:pPr>
        <w:ind w:left="7" w:right="3039" w:hanging="7"/>
        <w:spacing w:after="0" w:line="246" w:lineRule="auto"/>
        <w:tabs>
          <w:tab w:leader="none" w:pos="370"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Section 1601, from making payments of the principal of or any premium or interest on the Securities, or (b) the application by the Trustee or any Paying Agent of any moneys deposited with it hereunder to payments of the principal of or any premium or interest, on the Securities, unless and until the Trustee or such Paying Agent, as the case may be, shall have timely received the Officers' Certificate or written notice provided for in Section 1605.</w:t>
      </w:r>
    </w:p>
    <w:p>
      <w:pPr>
        <w:spacing w:after="0" w:line="178" w:lineRule="exact"/>
        <w:rPr>
          <w:sz w:val="20"/>
          <w:szCs w:val="20"/>
          <w:color w:val="auto"/>
        </w:rPr>
      </w:pPr>
    </w:p>
    <w:p>
      <w:pPr>
        <w:ind w:left="7"/>
        <w:spacing w:after="0"/>
        <w:tabs>
          <w:tab w:leader="none" w:pos="1526" w:val="left"/>
        </w:tabs>
        <w:rPr>
          <w:sz w:val="20"/>
          <w:szCs w:val="20"/>
          <w:color w:val="auto"/>
        </w:rPr>
      </w:pPr>
      <w:r>
        <w:rPr>
          <w:rFonts w:ascii="Courier New" w:cs="Courier New" w:eastAsia="Courier New" w:hAnsi="Courier New"/>
          <w:sz w:val="15"/>
          <w:szCs w:val="15"/>
          <w:color w:val="auto"/>
        </w:rPr>
        <w:t>SECTION 1604.</w:t>
      </w:r>
      <w:r>
        <w:rPr>
          <w:sz w:val="20"/>
          <w:szCs w:val="20"/>
          <w:color w:val="auto"/>
        </w:rPr>
        <w:tab/>
      </w:r>
      <w:r>
        <w:rPr>
          <w:rFonts w:ascii="Courier New" w:cs="Courier New" w:eastAsia="Courier New" w:hAnsi="Courier New"/>
          <w:sz w:val="15"/>
          <w:szCs w:val="15"/>
          <w:color w:val="auto"/>
        </w:rPr>
        <w:t>Disputes with Holders of Certain Senior Indebtedness.</w:t>
      </w:r>
    </w:p>
    <w:p>
      <w:pPr>
        <w:spacing w:after="0" w:line="180" w:lineRule="exact"/>
        <w:rPr>
          <w:sz w:val="20"/>
          <w:szCs w:val="20"/>
          <w:color w:val="auto"/>
        </w:rPr>
      </w:pPr>
    </w:p>
    <w:p>
      <w:pPr>
        <w:ind w:left="7" w:right="3139" w:firstLine="818"/>
        <w:spacing w:after="0" w:line="246" w:lineRule="auto"/>
        <w:rPr>
          <w:sz w:val="20"/>
          <w:szCs w:val="20"/>
          <w:color w:val="auto"/>
        </w:rPr>
      </w:pPr>
      <w:r>
        <w:rPr>
          <w:rFonts w:ascii="Courier New" w:cs="Courier New" w:eastAsia="Courier New" w:hAnsi="Courier New"/>
          <w:sz w:val="15"/>
          <w:szCs w:val="15"/>
          <w:color w:val="auto"/>
        </w:rPr>
        <w:t>Any failure by the Company to make any payment on or under any Senior Indebtedness, other than any Senior Indebtedness as to which the provisions of this Section 1604 shall have been waived by the Company in the instrument or instruments by which the Company incurred, assumed, guaranteed or otherwise created such Senior Indebtedness, shall not be deemed a default under Section 1601 if (i) the Company shall be disputing its obligation to make such payment or perform such obligation, and (ii) either (A) no final judgment relating to such dispute shall have been issued against the Company which is in full force and effect and is not subject to further review, including a judgment that has become final by reason of the expiration of the time within which a party may seek further appeal or review, or (B) in the event of a judgment that is subject to further review or appeal has been issued, the Company shall in good faith be prosecuting an appeal or other proceeding for review, and a stay of execution shall have been obtained pending such appeal or review.</w:t>
      </w:r>
    </w:p>
    <w:p>
      <w:pPr>
        <w:spacing w:after="0" w:line="183" w:lineRule="exact"/>
        <w:rPr>
          <w:sz w:val="20"/>
          <w:szCs w:val="20"/>
          <w:color w:val="auto"/>
        </w:rPr>
      </w:pPr>
    </w:p>
    <w:p>
      <w:pPr>
        <w:ind w:left="7"/>
        <w:spacing w:after="0"/>
        <w:tabs>
          <w:tab w:leader="none" w:pos="1526" w:val="left"/>
        </w:tabs>
        <w:rPr>
          <w:sz w:val="20"/>
          <w:szCs w:val="20"/>
          <w:color w:val="auto"/>
        </w:rPr>
      </w:pPr>
      <w:r>
        <w:rPr>
          <w:rFonts w:ascii="Courier New" w:cs="Courier New" w:eastAsia="Courier New" w:hAnsi="Courier New"/>
          <w:sz w:val="15"/>
          <w:szCs w:val="15"/>
          <w:color w:val="auto"/>
        </w:rPr>
        <w:t>SECTION 1605.</w:t>
      </w:r>
      <w:r>
        <w:rPr>
          <w:sz w:val="20"/>
          <w:szCs w:val="20"/>
          <w:color w:val="auto"/>
        </w:rPr>
        <w:tab/>
      </w:r>
      <w:r>
        <w:rPr>
          <w:rFonts w:ascii="Courier New" w:cs="Courier New" w:eastAsia="Courier New" w:hAnsi="Courier New"/>
          <w:sz w:val="15"/>
          <w:szCs w:val="15"/>
          <w:color w:val="auto"/>
        </w:rPr>
        <w:t>Trustee Not Charged with Knowledge of Prohibition.</w:t>
      </w:r>
    </w:p>
    <w:p>
      <w:pPr>
        <w:spacing w:after="0" w:line="180" w:lineRule="exact"/>
        <w:rPr>
          <w:sz w:val="20"/>
          <w:szCs w:val="20"/>
          <w:color w:val="auto"/>
        </w:rPr>
      </w:pPr>
    </w:p>
    <w:p>
      <w:pPr>
        <w:ind w:left="7" w:right="3039" w:firstLine="818"/>
        <w:spacing w:after="0" w:line="246" w:lineRule="auto"/>
        <w:rPr>
          <w:sz w:val="20"/>
          <w:szCs w:val="20"/>
          <w:color w:val="auto"/>
        </w:rPr>
      </w:pPr>
      <w:r>
        <w:rPr>
          <w:rFonts w:ascii="Courier New" w:cs="Courier New" w:eastAsia="Courier New" w:hAnsi="Courier New"/>
          <w:sz w:val="15"/>
          <w:szCs w:val="15"/>
          <w:color w:val="auto"/>
        </w:rPr>
        <w:t>Anything contained in this Article Sixteen or elsewhere in this Indenture to the contrary notwithstanding, the Trustee shall not at any time be charged with knowledge of the existence of any facts which would prohibit the making of any payment of moneys to or by the Trustee and shall be entitled to assume conclusively that no such facts exist and that no event specified in clauses (a) and (b) of Section 1601 has happened, unless and until the Trustee shall have received an Officers' Certificate to that effect or notice in writing to that effect signed by or on behalf of the holder or holders, or their representatives, of Senior Indebtedness who shall have been certified by the Company or otherwise established to the reasonable satisfaction of the Trustee to be such holder or holders or representatives or from any trustee under any indenture pursuant to which such Senior Indebtedness shall be outstanding; provided, however, that if the Trustee shall not have received the Officers' Certificate or notice provided for in this Section 1605 at least three Business Days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SUBORDINATED INDENTURE</w:t>
      </w:r>
    </w:p>
    <w:p>
      <w:pPr>
        <w:spacing w:after="0" w:line="5"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- 83 -</w:t>
      </w:r>
    </w:p>
    <w:p>
      <w:pPr>
        <w:sectPr>
          <w:pgSz w:w="11900" w:h="16838" w:orient="portrait"/>
          <w:cols w:equalWidth="0" w:num="1">
            <w:col w:w="10226"/>
          </w:cols>
          <w:pgMar w:left="233" w:top="293" w:right="1440" w:bottom="1440" w:gutter="0" w:footer="0" w:header="0"/>
        </w:sectPr>
      </w:pPr>
    </w:p>
    <w:bookmarkStart w:id="145" w:name="page146"/>
    <w:bookmarkEnd w:id="145"/>
    <w:p>
      <w:pPr>
        <w:ind w:left="260"/>
        <w:spacing w:after="0"/>
        <w:rPr>
          <w:sz w:val="20"/>
          <w:szCs w:val="20"/>
          <w:color w:val="auto"/>
        </w:rPr>
      </w:pPr>
      <w:r>
        <w:rPr>
          <w:rFonts w:ascii="Courier New" w:cs="Courier New" w:eastAsia="Courier New" w:hAnsi="Courier New"/>
          <w:sz w:val="15"/>
          <w:szCs w:val="15"/>
          <w:color w:val="auto"/>
        </w:rPr>
        <w:t>91</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preceding the date upon which by the terms hereof any such moneys may become payable for any purpose (including, without limitation, the payment of the principal of or any premium or interest on any Security), then, anything herein contained to the contrary notwithstanding, the Trustee shall have full power and authority to receive such moneys and apply the same to the purpose for which they were received and shall not be affected by any notice to the contrary which may be received by it within three Business Days preceding such date. The Company shall give prompt written notice to the Trustee and to each Paying Agent of any facts which would prohibit any payment of moneys to or by the Trustee or any Paying Agent, and the Trustee shall not be charged with knowledge of the curing of any default or the elimination of any other fact or condition preventing such payment or distribution unless and until the Trustee shall have received an Officers' Certificate to such effect.</w:t>
      </w:r>
    </w:p>
    <w:p>
      <w:pPr>
        <w:spacing w:after="0" w:line="183"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5"/>
          <w:szCs w:val="15"/>
          <w:color w:val="auto"/>
        </w:rPr>
        <w:t>SECTION 1606.</w:t>
      </w:r>
      <w:r>
        <w:rPr>
          <w:sz w:val="20"/>
          <w:szCs w:val="20"/>
          <w:color w:val="auto"/>
        </w:rPr>
        <w:tab/>
      </w:r>
      <w:r>
        <w:rPr>
          <w:rFonts w:ascii="Courier New" w:cs="Courier New" w:eastAsia="Courier New" w:hAnsi="Courier New"/>
          <w:sz w:val="15"/>
          <w:szCs w:val="15"/>
          <w:color w:val="auto"/>
        </w:rPr>
        <w:t>Trustee to Effectuate Subordination.</w:t>
      </w:r>
    </w:p>
    <w:p>
      <w:pPr>
        <w:spacing w:after="0" w:line="180"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Each Holder of the Securities by his acceptance thereof authorizes and expressly directs the Trustee on his behalf to take such action as may be necessary or appropriate to effectuate the subordination provisions contained in this Article Sixteen and to protect the rights of the Holders pursuant to this Indenture, and appoints the Trustee his attorney-in-fact for such purpose, including, in the event of any dissolution, winding up, liquidation or reorganization of the Company (whether in bankruptcy, insolvency or receivership proceedings or upon an assignment for the benefit of creditors of the Company), the immediate filing of a claim for the unpaid balance of his Securities in the form required in said proceedings and cause said claim to be approved. If the Trustee does not file a proper claim or proof of debt in the form required in such proceeding prior to 30 days before the expiration of the time to file such claim or claims, then the holders of the Senior Indebtedness or their representatives are or is hereby authorized to have the right to file and are or is hereby authorized to file an appropriate claim for and on behalf of the Holders of said Securities. Nothing herein contained shall be deemed to authorize the Trustee or the holders of Senior Indebtedness or their representative to authorize or consent to or accept or adopt on behalf of any Securityholder any plan of reorganization, arrangement, adjustment or composition affecting the Securities or the rights of any Holder thereof, or to authorize the Trustee or the holders of Senior Indebtedness or their representative to vote in respect of the claim of any Securityholder in any such proceeding.</w:t>
      </w:r>
    </w:p>
    <w:p>
      <w:pPr>
        <w:spacing w:after="0" w:line="189"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5"/>
          <w:szCs w:val="15"/>
          <w:color w:val="auto"/>
        </w:rPr>
        <w:t>SECTION 1607.</w:t>
      </w:r>
      <w:r>
        <w:rPr>
          <w:sz w:val="20"/>
          <w:szCs w:val="20"/>
          <w:color w:val="auto"/>
        </w:rPr>
        <w:tab/>
      </w:r>
      <w:r>
        <w:rPr>
          <w:rFonts w:ascii="Courier New" w:cs="Courier New" w:eastAsia="Courier New" w:hAnsi="Courier New"/>
          <w:sz w:val="15"/>
          <w:szCs w:val="15"/>
          <w:color w:val="auto"/>
        </w:rPr>
        <w:t>Rights of Trustee as Holder of Senior Indebtedness.</w:t>
      </w:r>
    </w:p>
    <w:p>
      <w:pPr>
        <w:spacing w:after="0" w:line="180"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The Trustee shall be entitled to all the rights set forth in this Article Sixteen with respect to any Senior Indebtedness which may at the time be held by it, to the same extent as any other holder of Senior Indebtedness and nothing in this Indenture shall deprive the Trustee of any of its rights as such holder. Nothing in this Article Sixteen shall apply to claims of, or payments to, the Trustee under or pursuant to Section 607.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SUBORDINATED INDENTURE</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- 84 -</w:t>
      </w:r>
    </w:p>
    <w:p>
      <w:pPr>
        <w:sectPr>
          <w:pgSz w:w="11900" w:h="16838" w:orient="portrait"/>
          <w:cols w:equalWidth="0" w:num="1">
            <w:col w:w="10219"/>
          </w:cols>
          <w:pgMar w:left="240" w:top="293" w:right="1440" w:bottom="1440" w:gutter="0" w:footer="0" w:header="0"/>
        </w:sectPr>
      </w:pPr>
    </w:p>
    <w:bookmarkStart w:id="146" w:name="page147"/>
    <w:bookmarkEnd w:id="146"/>
    <w:p>
      <w:pPr>
        <w:ind w:left="260"/>
        <w:spacing w:after="0"/>
        <w:rPr>
          <w:sz w:val="20"/>
          <w:szCs w:val="20"/>
          <w:color w:val="auto"/>
        </w:rPr>
      </w:pPr>
      <w:r>
        <w:rPr>
          <w:rFonts w:ascii="Courier New" w:cs="Courier New" w:eastAsia="Courier New" w:hAnsi="Courier New"/>
          <w:sz w:val="15"/>
          <w:szCs w:val="15"/>
          <w:color w:val="auto"/>
        </w:rPr>
        <w:t>92</w:t>
      </w:r>
    </w:p>
    <w:p>
      <w:pPr>
        <w:spacing w:after="0" w:line="5"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5"/>
          <w:szCs w:val="15"/>
          <w:color w:val="auto"/>
        </w:rPr>
        <w:t>SECTION 1608.</w:t>
      </w:r>
      <w:r>
        <w:rPr>
          <w:sz w:val="20"/>
          <w:szCs w:val="20"/>
          <w:color w:val="auto"/>
        </w:rPr>
        <w:tab/>
      </w:r>
      <w:r>
        <w:rPr>
          <w:rFonts w:ascii="Courier New" w:cs="Courier New" w:eastAsia="Courier New" w:hAnsi="Courier New"/>
          <w:sz w:val="15"/>
          <w:szCs w:val="15"/>
          <w:color w:val="auto"/>
        </w:rPr>
        <w:t>Article Applicable to Paying Agents.</w:t>
      </w:r>
    </w:p>
    <w:p>
      <w:pPr>
        <w:spacing w:after="0" w:line="180"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In case at any time any Paying Agent other than the Trustee shall have been appointed by the Company and be then acting hereunder, the term "Trustee" as used in this Article Sixteen shall in such case (unless the context shall otherwise require) be construed as extending to and including such Paying Agent within its meaning as fully for all intents and purposes as if the Paying Agent were named in this Article Sixteen in addition to or in place of the Trustee; provided, however, that Sections 1605 and 1607 shall not apply to the Company if its acts as Paying Agent.</w:t>
      </w:r>
    </w:p>
    <w:p>
      <w:pPr>
        <w:spacing w:after="0" w:line="180"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SECTION 1609. Subordination Rights Not Impaired by Acts or Omissions of the Company or Holders of Senior Indebtedness.</w:t>
      </w:r>
    </w:p>
    <w:p>
      <w:pPr>
        <w:spacing w:after="0" w:line="175"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No right of any present or future holders of any Senior Indebtedness to enforce subordination as herein provided shall at any time in any way be prejudiced or impaired by any act or failure to act on the part of the Company or by any act or failure to act, in good faith, by any such holder, or by any noncompliance by the Company with the terms, provisions and covenants of this Indenture, regardless of any knowledge thereof which any such holder may have or be otherwise charged with. The holders of Senior Indebtedness may, at any time or from time to time and in their absolute discretion, change the manner, place or terms of payment, change or extend the time of payment of, or renew or alter, any such Senior Indebtedness, or amend or supplement any instrument pursuant to which any such Senior Indebtedness is issued or by which it may be secured, or release any security therefor, or exercise or refrain from exercising any other of their rights under the Senior Indebtedness, including, without limitation, the waiver of default thereunder, all without notice to or assent from the Holders of the Securities or the Trustee and without affecting the obligations of the Company, the Trustee or the Holders of Securities under this Article Sixteen.</w:t>
      </w:r>
    </w:p>
    <w:p>
      <w:pPr>
        <w:spacing w:after="0" w:line="185"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5"/>
          <w:szCs w:val="15"/>
          <w:color w:val="auto"/>
        </w:rPr>
        <w:t>SECTION 1610.</w:t>
      </w:r>
      <w:r>
        <w:rPr>
          <w:sz w:val="20"/>
          <w:szCs w:val="20"/>
          <w:color w:val="auto"/>
        </w:rPr>
        <w:tab/>
      </w:r>
      <w:r>
        <w:rPr>
          <w:rFonts w:ascii="Courier New" w:cs="Courier New" w:eastAsia="Courier New" w:hAnsi="Courier New"/>
          <w:sz w:val="15"/>
          <w:szCs w:val="15"/>
          <w:color w:val="auto"/>
        </w:rPr>
        <w:t>Trustee Not Fiduciary for Holders of Senior Indebtedness.</w:t>
      </w:r>
    </w:p>
    <w:p>
      <w:pPr>
        <w:spacing w:after="0" w:line="180"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The Trustee shall not be deemed to owe any fiduciary duty to the holders of the Senior Indebtedness, and shall not be liable to any such holders if it shall mistakenly pay over or distribute money or assets to Securityholders or the Company.</w:t>
      </w:r>
    </w:p>
    <w:p>
      <w:pPr>
        <w:spacing w:after="0" w:line="352"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____________________________</w:t>
      </w:r>
    </w:p>
    <w:p>
      <w:pPr>
        <w:spacing w:after="0" w:line="180" w:lineRule="exact"/>
        <w:rPr>
          <w:sz w:val="20"/>
          <w:szCs w:val="20"/>
          <w:color w:val="auto"/>
        </w:rPr>
      </w:pPr>
    </w:p>
    <w:p>
      <w:pPr>
        <w:ind w:right="3039" w:firstLine="818"/>
        <w:spacing w:after="0" w:line="247" w:lineRule="auto"/>
        <w:rPr>
          <w:sz w:val="20"/>
          <w:szCs w:val="20"/>
          <w:color w:val="auto"/>
        </w:rPr>
      </w:pPr>
      <w:r>
        <w:rPr>
          <w:rFonts w:ascii="Courier New" w:cs="Courier New" w:eastAsia="Courier New" w:hAnsi="Courier New"/>
          <w:sz w:val="15"/>
          <w:szCs w:val="15"/>
          <w:color w:val="auto"/>
        </w:rPr>
        <w:t>This instrument may be executed in any number of counterparts, each of which so executed shall be deemed to be an original, but all such counterparts shall together constitute but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SUBORDINATED INDENTURE</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- 85 -</w:t>
      </w:r>
    </w:p>
    <w:p>
      <w:pPr>
        <w:sectPr>
          <w:pgSz w:w="11900" w:h="16838" w:orient="portrait"/>
          <w:cols w:equalWidth="0" w:num="1">
            <w:col w:w="10219"/>
          </w:cols>
          <w:pgMar w:left="240" w:top="293" w:right="1440" w:bottom="1440" w:gutter="0" w:footer="0" w:header="0"/>
        </w:sectPr>
      </w:pPr>
    </w:p>
    <w:bookmarkStart w:id="147" w:name="page148"/>
    <w:bookmarkEnd w:id="147"/>
    <w:p>
      <w:pPr>
        <w:ind w:left="260"/>
        <w:spacing w:after="0"/>
        <w:rPr>
          <w:sz w:val="20"/>
          <w:szCs w:val="20"/>
          <w:color w:val="auto"/>
        </w:rPr>
      </w:pPr>
      <w:r>
        <w:rPr>
          <w:rFonts w:ascii="Courier New" w:cs="Courier New" w:eastAsia="Courier New" w:hAnsi="Courier New"/>
          <w:sz w:val="15"/>
          <w:szCs w:val="15"/>
          <w:color w:val="auto"/>
        </w:rPr>
        <w:t>93</w:t>
      </w:r>
    </w:p>
    <w:p>
      <w:pPr>
        <w:spacing w:after="0" w:line="5" w:lineRule="exact"/>
        <w:rPr>
          <w:sz w:val="20"/>
          <w:szCs w:val="20"/>
          <w:color w:val="auto"/>
        </w:rPr>
      </w:pPr>
    </w:p>
    <w:p>
      <w:pPr>
        <w:ind w:right="3219" w:firstLine="818"/>
        <w:spacing w:after="0" w:line="247" w:lineRule="auto"/>
        <w:rPr>
          <w:sz w:val="20"/>
          <w:szCs w:val="20"/>
          <w:color w:val="auto"/>
        </w:rPr>
      </w:pPr>
      <w:r>
        <w:rPr>
          <w:rFonts w:ascii="Courier New" w:cs="Courier New" w:eastAsia="Courier New" w:hAnsi="Courier New"/>
          <w:sz w:val="15"/>
          <w:szCs w:val="15"/>
          <w:color w:val="auto"/>
        </w:rPr>
        <w:t>IN WITNESS WHEREOF, the parties hereto have caused this Indenture to be duly executed, all as of the day and year first above written.</w:t>
      </w:r>
    </w:p>
    <w:p>
      <w:pPr>
        <w:spacing w:after="0" w:line="200" w:lineRule="exact"/>
        <w:rPr>
          <w:sz w:val="20"/>
          <w:szCs w:val="20"/>
          <w:color w:val="auto"/>
        </w:rPr>
      </w:pPr>
    </w:p>
    <w:p>
      <w:pPr>
        <w:spacing w:after="0" w:line="32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USA WASTE SERVICES, INC.</w:t>
      </w:r>
    </w:p>
    <w:p>
      <w:pPr>
        <w:spacing w:after="0" w:line="354" w:lineRule="exact"/>
        <w:rPr>
          <w:sz w:val="20"/>
          <w:szCs w:val="20"/>
          <w:color w:val="auto"/>
        </w:rPr>
      </w:pPr>
    </w:p>
    <w:p>
      <w:pPr>
        <w:ind w:left="3540"/>
        <w:spacing w:after="0"/>
        <w:tabs>
          <w:tab w:leader="none" w:pos="424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RONALD JONES</w:t>
      </w:r>
    </w:p>
    <w:p>
      <w:pPr>
        <w:spacing w:after="0" w:line="5" w:lineRule="exact"/>
        <w:rPr>
          <w:sz w:val="20"/>
          <w:szCs w:val="20"/>
          <w:color w:val="auto"/>
        </w:rPr>
      </w:pPr>
    </w:p>
    <w:p>
      <w:pPr>
        <w:ind w:left="4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center"/>
        <w:ind w:right="419"/>
        <w:spacing w:after="0"/>
        <w:rPr>
          <w:sz w:val="20"/>
          <w:szCs w:val="20"/>
          <w:color w:val="auto"/>
        </w:rPr>
      </w:pPr>
      <w:r>
        <w:rPr>
          <w:rFonts w:ascii="Courier New" w:cs="Courier New" w:eastAsia="Courier New" w:hAnsi="Courier New"/>
          <w:sz w:val="15"/>
          <w:szCs w:val="15"/>
          <w:color w:val="auto"/>
        </w:rPr>
        <w:t>Vice President</w:t>
      </w:r>
    </w:p>
    <w:p>
      <w:pPr>
        <w:spacing w:after="0" w:line="35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TEXAS COMMERCE BANK</w:t>
      </w:r>
    </w:p>
    <w:p>
      <w:pPr>
        <w:spacing w:after="0" w:line="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NATIONAL ASSOCIATION, AS TRUSTEE</w:t>
      </w:r>
    </w:p>
    <w:p>
      <w:pPr>
        <w:spacing w:after="0" w:line="354" w:lineRule="exact"/>
        <w:rPr>
          <w:sz w:val="20"/>
          <w:szCs w:val="20"/>
          <w:color w:val="auto"/>
        </w:rPr>
      </w:pPr>
    </w:p>
    <w:p>
      <w:pPr>
        <w:ind w:left="3540"/>
        <w:spacing w:after="0"/>
        <w:tabs>
          <w:tab w:leader="none" w:pos="424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MAURI J. COWEN</w:t>
      </w:r>
    </w:p>
    <w:p>
      <w:pPr>
        <w:spacing w:after="0" w:line="5" w:lineRule="exact"/>
        <w:rPr>
          <w:sz w:val="20"/>
          <w:szCs w:val="20"/>
          <w:color w:val="auto"/>
        </w:rPr>
      </w:pPr>
    </w:p>
    <w:p>
      <w:pPr>
        <w:ind w:left="4260"/>
        <w:spacing w:after="0"/>
        <w:rPr>
          <w:sz w:val="20"/>
          <w:szCs w:val="20"/>
          <w:color w:val="auto"/>
        </w:rPr>
      </w:pPr>
      <w:r>
        <w:rPr>
          <w:rFonts w:ascii="Courier New" w:cs="Courier New" w:eastAsia="Courier New" w:hAnsi="Courier New"/>
          <w:sz w:val="15"/>
          <w:szCs w:val="15"/>
          <w:color w:val="auto"/>
        </w:rPr>
        <w:t>--------------------------------</w:t>
      </w:r>
    </w:p>
    <w:p>
      <w:pPr>
        <w:spacing w:after="0" w:line="354" w:lineRule="exact"/>
        <w:rPr>
          <w:sz w:val="20"/>
          <w:szCs w:val="20"/>
          <w:color w:val="auto"/>
        </w:rPr>
      </w:pPr>
    </w:p>
    <w:p>
      <w:pPr>
        <w:ind w:left="3540"/>
        <w:spacing w:after="0"/>
        <w:tabs>
          <w:tab w:leader="none" w:pos="4240" w:val="left"/>
        </w:tabs>
        <w:rPr>
          <w:sz w:val="20"/>
          <w:szCs w:val="20"/>
          <w:color w:val="auto"/>
        </w:rPr>
      </w:pPr>
      <w:r>
        <w:rPr>
          <w:rFonts w:ascii="Courier New" w:cs="Courier New" w:eastAsia="Courier New" w:hAnsi="Courier New"/>
          <w:sz w:val="15"/>
          <w:szCs w:val="15"/>
          <w:color w:val="auto"/>
        </w:rPr>
        <w:t>Name:</w:t>
        <w:tab/>
        <w:t>Mauri J. Cowen</w:t>
      </w:r>
    </w:p>
    <w:p>
      <w:pPr>
        <w:spacing w:after="0" w:line="5" w:lineRule="exact"/>
        <w:rPr>
          <w:sz w:val="20"/>
          <w:szCs w:val="20"/>
          <w:color w:val="auto"/>
        </w:rPr>
      </w:pPr>
    </w:p>
    <w:p>
      <w:pPr>
        <w:ind w:left="4260"/>
        <w:spacing w:after="0"/>
        <w:rPr>
          <w:sz w:val="20"/>
          <w:szCs w:val="20"/>
          <w:color w:val="auto"/>
        </w:rPr>
      </w:pPr>
      <w:r>
        <w:rPr>
          <w:rFonts w:ascii="Courier New" w:cs="Courier New" w:eastAsia="Courier New" w:hAnsi="Courier New"/>
          <w:sz w:val="15"/>
          <w:szCs w:val="15"/>
          <w:color w:val="auto"/>
        </w:rPr>
        <w:t>--------------------------------</w:t>
      </w:r>
    </w:p>
    <w:p>
      <w:pPr>
        <w:spacing w:after="0" w:line="354" w:lineRule="exact"/>
        <w:rPr>
          <w:sz w:val="20"/>
          <w:szCs w:val="20"/>
          <w:color w:val="auto"/>
        </w:rPr>
      </w:pPr>
    </w:p>
    <w:p>
      <w:pPr>
        <w:ind w:left="3540"/>
        <w:spacing w:after="0"/>
        <w:tabs>
          <w:tab w:leader="none" w:pos="4240" w:val="left"/>
        </w:tabs>
        <w:rPr>
          <w:sz w:val="20"/>
          <w:szCs w:val="20"/>
          <w:color w:val="auto"/>
        </w:rPr>
      </w:pPr>
      <w:r>
        <w:rPr>
          <w:rFonts w:ascii="Courier New" w:cs="Courier New" w:eastAsia="Courier New" w:hAnsi="Courier New"/>
          <w:sz w:val="15"/>
          <w:szCs w:val="15"/>
          <w:color w:val="auto"/>
        </w:rPr>
        <w:t>Title:</w:t>
        <w:tab/>
        <w:t>Vice President and Trust Officer</w:t>
      </w:r>
    </w:p>
    <w:p>
      <w:pPr>
        <w:spacing w:after="0" w:line="5" w:lineRule="exact"/>
        <w:rPr>
          <w:sz w:val="20"/>
          <w:szCs w:val="20"/>
          <w:color w:val="auto"/>
        </w:rPr>
      </w:pPr>
    </w:p>
    <w:p>
      <w:pPr>
        <w:ind w:left="426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SUBORDINATED INDENTURE</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- 86 -</w:t>
      </w:r>
    </w:p>
    <w:p>
      <w:pPr>
        <w:sectPr>
          <w:pgSz w:w="11900" w:h="16838" w:orient="portrait"/>
          <w:cols w:equalWidth="0" w:num="1">
            <w:col w:w="10219"/>
          </w:cols>
          <w:pgMar w:left="240" w:top="293" w:right="1440" w:bottom="1440" w:gutter="0" w:footer="0" w:header="0"/>
        </w:sectPr>
      </w:pPr>
    </w:p>
    <w:bookmarkStart w:id="148" w:name="page149"/>
    <w:bookmarkEnd w:id="148"/>
    <w:p>
      <w:pPr>
        <w:ind w:left="267"/>
        <w:spacing w:after="0"/>
        <w:rPr>
          <w:sz w:val="20"/>
          <w:szCs w:val="20"/>
          <w:color w:val="auto"/>
        </w:rPr>
      </w:pPr>
      <w:r>
        <w:rPr>
          <w:rFonts w:ascii="Courier New" w:cs="Courier New" w:eastAsia="Courier New" w:hAnsi="Courier New"/>
          <w:sz w:val="15"/>
          <w:szCs w:val="15"/>
          <w:color w:val="auto"/>
        </w:rPr>
        <w:t>94</w:t>
      </w:r>
    </w:p>
    <w:p>
      <w:pPr>
        <w:spacing w:after="0" w:line="5" w:lineRule="exact"/>
        <w:rPr>
          <w:sz w:val="20"/>
          <w:szCs w:val="20"/>
          <w:color w:val="auto"/>
        </w:rPr>
      </w:pPr>
    </w:p>
    <w:p>
      <w:pPr>
        <w:jc w:val="center"/>
        <w:ind w:right="3032"/>
        <w:spacing w:after="0"/>
        <w:rPr>
          <w:sz w:val="20"/>
          <w:szCs w:val="20"/>
          <w:color w:val="auto"/>
        </w:rPr>
      </w:pPr>
      <w:r>
        <w:rPr>
          <w:rFonts w:ascii="Courier New" w:cs="Courier New" w:eastAsia="Courier New" w:hAnsi="Courier New"/>
          <w:sz w:val="15"/>
          <w:szCs w:val="15"/>
          <w:color w:val="auto"/>
        </w:rPr>
        <w:t>EXHIBIT A</w:t>
      </w:r>
    </w:p>
    <w:p>
      <w:pPr>
        <w:spacing w:after="0" w:line="180"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FORM OF CERTIFICATE TO BE GIVEN BY</w:t>
      </w:r>
    </w:p>
    <w:p>
      <w:pPr>
        <w:spacing w:after="0" w:line="5" w:lineRule="exact"/>
        <w:rPr>
          <w:sz w:val="20"/>
          <w:szCs w:val="20"/>
          <w:color w:val="auto"/>
        </w:rPr>
      </w:pPr>
    </w:p>
    <w:p>
      <w:pPr>
        <w:jc w:val="center"/>
        <w:ind w:right="3032"/>
        <w:spacing w:after="0"/>
        <w:rPr>
          <w:sz w:val="20"/>
          <w:szCs w:val="20"/>
          <w:color w:val="auto"/>
        </w:rPr>
      </w:pPr>
      <w:r>
        <w:rPr>
          <w:rFonts w:ascii="Courier New" w:cs="Courier New" w:eastAsia="Courier New" w:hAnsi="Courier New"/>
          <w:sz w:val="15"/>
          <w:szCs w:val="15"/>
          <w:color w:val="auto"/>
        </w:rPr>
        <w:t>BENEFICIAL OWNER OF</w:t>
      </w:r>
    </w:p>
    <w:p>
      <w:pPr>
        <w:spacing w:after="0" w:line="5" w:lineRule="exact"/>
        <w:rPr>
          <w:sz w:val="20"/>
          <w:szCs w:val="20"/>
          <w:color w:val="auto"/>
        </w:rPr>
      </w:pPr>
    </w:p>
    <w:p>
      <w:pPr>
        <w:jc w:val="center"/>
        <w:ind w:right="3032"/>
        <w:spacing w:after="0"/>
        <w:rPr>
          <w:sz w:val="20"/>
          <w:szCs w:val="20"/>
          <w:color w:val="auto"/>
        </w:rPr>
      </w:pPr>
      <w:r>
        <w:rPr>
          <w:rFonts w:ascii="Courier New" w:cs="Courier New" w:eastAsia="Courier New" w:hAnsi="Courier New"/>
          <w:sz w:val="15"/>
          <w:szCs w:val="15"/>
          <w:color w:val="auto"/>
        </w:rPr>
        <w:t>INTEREST IN A TEMPORARY GLOBAL SECURITY</w:t>
      </w:r>
    </w:p>
    <w:p>
      <w:pPr>
        <w:spacing w:after="0" w:line="180" w:lineRule="exact"/>
        <w:rPr>
          <w:sz w:val="20"/>
          <w:szCs w:val="20"/>
          <w:color w:val="auto"/>
        </w:rPr>
      </w:pPr>
    </w:p>
    <w:p>
      <w:pPr>
        <w:ind w:left="2547"/>
        <w:spacing w:after="0"/>
        <w:rPr>
          <w:sz w:val="20"/>
          <w:szCs w:val="20"/>
          <w:color w:val="auto"/>
        </w:rPr>
      </w:pPr>
      <w:r>
        <w:rPr>
          <w:rFonts w:ascii="Courier New" w:cs="Courier New" w:eastAsia="Courier New" w:hAnsi="Courier New"/>
          <w:sz w:val="15"/>
          <w:szCs w:val="15"/>
          <w:color w:val="auto"/>
        </w:rPr>
        <w:t>USA WASTE SERVICES, INC.</w:t>
      </w:r>
    </w:p>
    <w:p>
      <w:pPr>
        <w:spacing w:after="0" w:line="180" w:lineRule="exact"/>
        <w:rPr>
          <w:sz w:val="20"/>
          <w:szCs w:val="20"/>
          <w:color w:val="auto"/>
        </w:rPr>
      </w:pPr>
    </w:p>
    <w:p>
      <w:pPr>
        <w:ind w:left="2627"/>
        <w:spacing w:after="0"/>
        <w:rPr>
          <w:sz w:val="20"/>
          <w:szCs w:val="20"/>
          <w:color w:val="auto"/>
        </w:rPr>
      </w:pPr>
      <w:r>
        <w:rPr>
          <w:rFonts w:ascii="Courier New" w:cs="Courier New" w:eastAsia="Courier New" w:hAnsi="Courier New"/>
          <w:sz w:val="15"/>
          <w:szCs w:val="15"/>
          <w:color w:val="auto"/>
        </w:rPr>
        <w:t>[Title of Securities]</w:t>
      </w:r>
    </w:p>
    <w:p>
      <w:pPr>
        <w:spacing w:after="0" w:line="180" w:lineRule="exact"/>
        <w:rPr>
          <w:sz w:val="20"/>
          <w:szCs w:val="20"/>
          <w:color w:val="auto"/>
        </w:rPr>
      </w:pPr>
    </w:p>
    <w:p>
      <w:pPr>
        <w:ind w:left="2827"/>
        <w:spacing w:after="0"/>
        <w:rPr>
          <w:sz w:val="20"/>
          <w:szCs w:val="20"/>
          <w:color w:val="auto"/>
        </w:rPr>
      </w:pPr>
      <w:r>
        <w:rPr>
          <w:rFonts w:ascii="Courier New" w:cs="Courier New" w:eastAsia="Courier New" w:hAnsi="Courier New"/>
          <w:sz w:val="15"/>
          <w:szCs w:val="15"/>
          <w:color w:val="auto"/>
        </w:rPr>
        <w:t>(the "Securities")</w:t>
      </w:r>
    </w:p>
    <w:p>
      <w:pPr>
        <w:spacing w:after="0" w:line="180" w:lineRule="exact"/>
        <w:rPr>
          <w:sz w:val="20"/>
          <w:szCs w:val="20"/>
          <w:color w:val="auto"/>
        </w:rPr>
      </w:pPr>
    </w:p>
    <w:p>
      <w:pPr>
        <w:ind w:left="7" w:right="3039" w:firstLine="818"/>
        <w:spacing w:after="0" w:line="246" w:lineRule="auto"/>
        <w:rPr>
          <w:sz w:val="20"/>
          <w:szCs w:val="20"/>
          <w:color w:val="auto"/>
        </w:rPr>
      </w:pPr>
      <w:r>
        <w:rPr>
          <w:rFonts w:ascii="Courier New" w:cs="Courier New" w:eastAsia="Courier New" w:hAnsi="Courier New"/>
          <w:sz w:val="15"/>
          <w:szCs w:val="15"/>
          <w:color w:val="auto"/>
        </w:rPr>
        <w:t>This is to certify that as of the date hereof, and except as set forth below, the above-captioned Securities held by you for our account (i) are owned by person(s) that are not citizens or residents of the United States, domestic partnerships, domestic corporations or any estate or trust the income of which is subject to United States Federal income taxation regardless of its source ("United States persons"), (ii) are owned by United States person(s) that are</w:t>
      </w:r>
    </w:p>
    <w:p>
      <w:pPr>
        <w:spacing w:after="0" w:line="4" w:lineRule="exact"/>
        <w:rPr>
          <w:sz w:val="20"/>
          <w:szCs w:val="20"/>
          <w:color w:val="auto"/>
        </w:rPr>
      </w:pPr>
    </w:p>
    <w:p>
      <w:pPr>
        <w:ind w:left="367" w:hanging="367"/>
        <w:spacing w:after="0"/>
        <w:tabs>
          <w:tab w:leader="none" w:pos="367"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foreign branches of United States financial institutions (as defined in</w:t>
      </w:r>
    </w:p>
    <w:p>
      <w:pPr>
        <w:spacing w:after="0" w:line="4" w:lineRule="exact"/>
        <w:rPr>
          <w:rFonts w:ascii="Courier New" w:cs="Courier New" w:eastAsia="Courier New" w:hAnsi="Courier New"/>
          <w:sz w:val="15"/>
          <w:szCs w:val="15"/>
          <w:color w:val="auto"/>
        </w:rPr>
      </w:pPr>
    </w:p>
    <w:p>
      <w:pPr>
        <w:ind w:left="7" w:right="30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U.S. Treasury Regulations Section 1.165-12(c)(1)(v)) ("financial institutions") purchasing for their own account or for resale, or (B) United States person(s) who acquired Securities through the foreign branches of the United States financial institutions and who hold the Securities through such United States financial institutions on the date hereof (and in either case (A) or (B), each such United States financial institution hereby agrees, on its own behalf or through its agent, to comply with the requirements of Section 165(j)(3)(A), (B) or (C) of the Internal Revenue Code of 1986 as amended, and the regulations thereunder), or (iii) are owned by United States or foreign financial institution(s) for purposes of resale during the restricted period (as defined in U.S. Treasury Regulations Section 1.163-5(c)(2)(i)(D)(7)), and in addition if the owner of the Securities is a United States or foreign financial institution described in clause (iii) above (whether or not also described in clause (i) or (ii)), this is to further certify that such financial institution has not acquired the Securities for purposes of resale directly or indirectly to a United States person or to a person within the United States or its possessions.</w:t>
      </w:r>
    </w:p>
    <w:p>
      <w:pPr>
        <w:spacing w:after="0" w:line="185" w:lineRule="exact"/>
        <w:rPr>
          <w:sz w:val="20"/>
          <w:szCs w:val="20"/>
          <w:color w:val="auto"/>
        </w:rPr>
      </w:pPr>
    </w:p>
    <w:p>
      <w:pPr>
        <w:jc w:val="center"/>
        <w:ind w:right="3032"/>
        <w:spacing w:after="0"/>
        <w:rPr>
          <w:sz w:val="20"/>
          <w:szCs w:val="20"/>
          <w:color w:val="auto"/>
        </w:rPr>
      </w:pPr>
      <w:r>
        <w:rPr>
          <w:rFonts w:ascii="Courier New" w:cs="Courier New" w:eastAsia="Courier New" w:hAnsi="Courier New"/>
          <w:sz w:val="15"/>
          <w:szCs w:val="15"/>
          <w:color w:val="auto"/>
        </w:rPr>
        <w:t>If the Securities are of the category contemplated in Section</w:t>
      </w:r>
    </w:p>
    <w:p>
      <w:pPr>
        <w:spacing w:after="0" w:line="5"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230.903(c)(3) of Regulation S under the Securities Act of 1933, as amended (the "Act"), then this is also to certify that, except as set forth below (i) in the case of debt securities, the Securities are beneficially owned by (a) non-U.S. person(s) or (b) U.S. person(s) who purchased the Securities in transactions which did not require registration under the Act; or (ii) in the case of equity securities, the Securities are owned by (x) non-U.S. person(s) (and such person(s) are not acquiring the Securities for the account or benefit of U.S. person(s)), or (y) U.S. person(s) who purchased the Securities in a transaction which did not require registration under the Act. If this certification is being delivered in connection with the exercise of warrants pursuant to Section 230.902(m) of Regulation S under the Act, then this is further to certify that, except as set forth below, the Securities are being exercised by and on behalf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SUBORDINATED INDENTURE</w:t>
      </w:r>
    </w:p>
    <w:p>
      <w:pPr>
        <w:spacing w:after="0" w:line="5" w:lineRule="exact"/>
        <w:rPr>
          <w:sz w:val="20"/>
          <w:szCs w:val="20"/>
          <w:color w:val="auto"/>
        </w:rPr>
      </w:pPr>
    </w:p>
    <w:p>
      <w:pPr>
        <w:jc w:val="center"/>
        <w:ind w:right="3032"/>
        <w:spacing w:after="0"/>
        <w:rPr>
          <w:sz w:val="20"/>
          <w:szCs w:val="20"/>
          <w:color w:val="auto"/>
        </w:rPr>
      </w:pPr>
      <w:r>
        <w:rPr>
          <w:rFonts w:ascii="Courier New" w:cs="Courier New" w:eastAsia="Courier New" w:hAnsi="Courier New"/>
          <w:sz w:val="15"/>
          <w:szCs w:val="15"/>
          <w:color w:val="auto"/>
        </w:rPr>
        <w:t>- 1 -</w:t>
      </w:r>
    </w:p>
    <w:p>
      <w:pPr>
        <w:sectPr>
          <w:pgSz w:w="11900" w:h="16838" w:orient="portrait"/>
          <w:cols w:equalWidth="0" w:num="1">
            <w:col w:w="10226"/>
          </w:cols>
          <w:pgMar w:left="233" w:top="293" w:right="1440" w:bottom="1440" w:gutter="0" w:footer="0" w:header="0"/>
        </w:sectPr>
      </w:pPr>
    </w:p>
    <w:bookmarkStart w:id="149" w:name="page150"/>
    <w:bookmarkEnd w:id="149"/>
    <w:p>
      <w:pPr>
        <w:ind w:left="260"/>
        <w:spacing w:after="0"/>
        <w:rPr>
          <w:sz w:val="20"/>
          <w:szCs w:val="20"/>
          <w:color w:val="auto"/>
        </w:rPr>
      </w:pPr>
      <w:r>
        <w:rPr>
          <w:rFonts w:ascii="Courier New" w:cs="Courier New" w:eastAsia="Courier New" w:hAnsi="Courier New"/>
          <w:sz w:val="15"/>
          <w:szCs w:val="15"/>
          <w:color w:val="auto"/>
        </w:rPr>
        <w:t>95</w:t>
      </w:r>
    </w:p>
    <w:p>
      <w:pPr>
        <w:spacing w:after="0" w:line="5" w:lineRule="exact"/>
        <w:rPr>
          <w:sz w:val="20"/>
          <w:szCs w:val="20"/>
          <w:color w:val="auto"/>
        </w:rPr>
      </w:pPr>
    </w:p>
    <w:p>
      <w:pPr>
        <w:ind w:right="3219"/>
        <w:spacing w:after="0" w:line="247" w:lineRule="auto"/>
        <w:rPr>
          <w:sz w:val="20"/>
          <w:szCs w:val="20"/>
          <w:color w:val="auto"/>
        </w:rPr>
      </w:pPr>
      <w:r>
        <w:rPr>
          <w:rFonts w:ascii="Courier New" w:cs="Courier New" w:eastAsia="Courier New" w:hAnsi="Courier New"/>
          <w:sz w:val="15"/>
          <w:szCs w:val="15"/>
          <w:color w:val="auto"/>
        </w:rPr>
        <w:t>of non-U.S. person(s). As used in this paragraph, the term "U.S. person" has the meaning given to it by Regulation S under the Act.</w:t>
      </w:r>
    </w:p>
    <w:p>
      <w:pPr>
        <w:spacing w:after="0" w:line="175"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As used herein, "United States" or "U.S." means the United States of America (including the States and District of Columbia); and its "possessions" include Puerto Rico, the U.S. Virgin Islands, Guam, American Samoa, Wake Island and the Northern Mariana Islands.</w:t>
      </w:r>
    </w:p>
    <w:p>
      <w:pPr>
        <w:spacing w:after="0" w:line="177"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We undertake to advise you promptly by tested telex on or prior to the date on which you intend to submit your certification relating to the Securities held by you for our account in accordance with your Operating Procedures if any applicable statement herein is not correct on such date, and in the absence of any such notification it may be assumed that this certification applies as of such date.</w:t>
      </w:r>
    </w:p>
    <w:p>
      <w:pPr>
        <w:spacing w:after="0" w:line="178"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This certification excepts and does not relate to $_________ of such</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interest in the above Securities in respect of which we are not able to certify and as to which we understand exchange and delivery of definitive Securities (or, if relevant, exercise of any rights or collection of any interest) cannot be made until we do so certify.</w:t>
      </w:r>
    </w:p>
    <w:p>
      <w:pPr>
        <w:spacing w:after="0" w:line="177"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We understand that this certification is required in connection with certain tax laws and, if applicable, certain securities laws of the United States. In connection therewith, if administrative or legal proceedings are commenced or threatened in connection with which this certification is or would be relevant, we irrevocably authorize you to produce this certification to any interested party in such proceedings.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 _______________, 199__.</w:t>
      </w:r>
    </w:p>
    <w:p>
      <w:pPr>
        <w:spacing w:after="0" w:line="354"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NAME OF PERSON MAKING CERTIFICATION</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To be dated no earlier than the Certification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SUBORDINATED INDENTURE</w:t>
      </w:r>
    </w:p>
    <w:p>
      <w:pPr>
        <w:spacing w:after="0" w:line="5"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- 2 -</w:t>
      </w:r>
    </w:p>
    <w:p>
      <w:pPr>
        <w:sectPr>
          <w:pgSz w:w="11900" w:h="16838" w:orient="portrait"/>
          <w:cols w:equalWidth="0" w:num="1">
            <w:col w:w="10219"/>
          </w:cols>
          <w:pgMar w:left="240" w:top="293" w:right="1440" w:bottom="1440" w:gutter="0" w:footer="0" w:header="0"/>
        </w:sectPr>
      </w:pPr>
    </w:p>
    <w:bookmarkStart w:id="150" w:name="page151"/>
    <w:bookmarkEnd w:id="150"/>
    <w:p>
      <w:pPr>
        <w:ind w:left="267"/>
        <w:spacing w:after="0"/>
        <w:rPr>
          <w:sz w:val="20"/>
          <w:szCs w:val="20"/>
          <w:color w:val="auto"/>
        </w:rPr>
      </w:pPr>
      <w:r>
        <w:rPr>
          <w:rFonts w:ascii="Courier New" w:cs="Courier New" w:eastAsia="Courier New" w:hAnsi="Courier New"/>
          <w:sz w:val="15"/>
          <w:szCs w:val="15"/>
          <w:color w:val="auto"/>
        </w:rPr>
        <w:t>96</w:t>
      </w:r>
    </w:p>
    <w:p>
      <w:pPr>
        <w:spacing w:after="0" w:line="5" w:lineRule="exact"/>
        <w:rPr>
          <w:sz w:val="20"/>
          <w:szCs w:val="20"/>
          <w:color w:val="auto"/>
        </w:rPr>
      </w:pPr>
    </w:p>
    <w:p>
      <w:pPr>
        <w:jc w:val="center"/>
        <w:ind w:right="3032"/>
        <w:spacing w:after="0"/>
        <w:rPr>
          <w:sz w:val="20"/>
          <w:szCs w:val="20"/>
          <w:color w:val="auto"/>
        </w:rPr>
      </w:pPr>
      <w:r>
        <w:rPr>
          <w:rFonts w:ascii="Courier New" w:cs="Courier New" w:eastAsia="Courier New" w:hAnsi="Courier New"/>
          <w:sz w:val="15"/>
          <w:szCs w:val="15"/>
          <w:color w:val="auto"/>
        </w:rPr>
        <w:t>EXHIBIT B</w:t>
      </w:r>
    </w:p>
    <w:p>
      <w:pPr>
        <w:spacing w:after="0" w:line="180" w:lineRule="exact"/>
        <w:rPr>
          <w:sz w:val="20"/>
          <w:szCs w:val="20"/>
          <w:color w:val="auto"/>
        </w:rPr>
      </w:pPr>
    </w:p>
    <w:p>
      <w:pPr>
        <w:ind w:left="1827"/>
        <w:spacing w:after="0"/>
        <w:rPr>
          <w:sz w:val="20"/>
          <w:szCs w:val="20"/>
          <w:color w:val="auto"/>
        </w:rPr>
      </w:pPr>
      <w:r>
        <w:rPr>
          <w:rFonts w:ascii="Courier New" w:cs="Courier New" w:eastAsia="Courier New" w:hAnsi="Courier New"/>
          <w:sz w:val="15"/>
          <w:szCs w:val="15"/>
          <w:color w:val="auto"/>
        </w:rPr>
        <w:t>FORM OF CERTIFICATION TO BE GIVEN BY THE</w:t>
      </w:r>
    </w:p>
    <w:p>
      <w:pPr>
        <w:spacing w:after="0" w:line="5" w:lineRule="exact"/>
        <w:rPr>
          <w:sz w:val="20"/>
          <w:szCs w:val="20"/>
          <w:color w:val="auto"/>
        </w:rPr>
      </w:pPr>
    </w:p>
    <w:p>
      <w:pPr>
        <w:ind w:left="2087"/>
        <w:spacing w:after="0"/>
        <w:rPr>
          <w:sz w:val="20"/>
          <w:szCs w:val="20"/>
          <w:color w:val="auto"/>
        </w:rPr>
      </w:pPr>
      <w:r>
        <w:rPr>
          <w:rFonts w:ascii="Courier New" w:cs="Courier New" w:eastAsia="Courier New" w:hAnsi="Courier New"/>
          <w:sz w:val="15"/>
          <w:szCs w:val="15"/>
          <w:color w:val="auto"/>
        </w:rPr>
        <w:t>EURO-CLEAR OPERATOR OR CEDEL S.A.</w:t>
      </w:r>
    </w:p>
    <w:p>
      <w:pPr>
        <w:spacing w:after="0" w:line="180" w:lineRule="exact"/>
        <w:rPr>
          <w:sz w:val="20"/>
          <w:szCs w:val="20"/>
          <w:color w:val="auto"/>
        </w:rPr>
      </w:pPr>
    </w:p>
    <w:p>
      <w:pPr>
        <w:ind w:left="2547"/>
        <w:spacing w:after="0"/>
        <w:rPr>
          <w:sz w:val="20"/>
          <w:szCs w:val="20"/>
          <w:color w:val="auto"/>
        </w:rPr>
      </w:pPr>
      <w:r>
        <w:rPr>
          <w:rFonts w:ascii="Courier New" w:cs="Courier New" w:eastAsia="Courier New" w:hAnsi="Courier New"/>
          <w:sz w:val="15"/>
          <w:szCs w:val="15"/>
          <w:color w:val="auto"/>
        </w:rPr>
        <w:t>USA WASTE SERVICES, INC.</w:t>
      </w:r>
    </w:p>
    <w:p>
      <w:pPr>
        <w:spacing w:after="0" w:line="180" w:lineRule="exact"/>
        <w:rPr>
          <w:sz w:val="20"/>
          <w:szCs w:val="20"/>
          <w:color w:val="auto"/>
        </w:rPr>
      </w:pPr>
    </w:p>
    <w:p>
      <w:pPr>
        <w:ind w:left="2627"/>
        <w:spacing w:after="0"/>
        <w:rPr>
          <w:sz w:val="20"/>
          <w:szCs w:val="20"/>
          <w:color w:val="auto"/>
        </w:rPr>
      </w:pPr>
      <w:r>
        <w:rPr>
          <w:rFonts w:ascii="Courier New" w:cs="Courier New" w:eastAsia="Courier New" w:hAnsi="Courier New"/>
          <w:sz w:val="15"/>
          <w:szCs w:val="15"/>
          <w:color w:val="auto"/>
        </w:rPr>
        <w:t>[Title of Securities]</w:t>
      </w:r>
    </w:p>
    <w:p>
      <w:pPr>
        <w:spacing w:after="0" w:line="180" w:lineRule="exact"/>
        <w:rPr>
          <w:sz w:val="20"/>
          <w:szCs w:val="20"/>
          <w:color w:val="auto"/>
        </w:rPr>
      </w:pPr>
    </w:p>
    <w:p>
      <w:pPr>
        <w:ind w:left="2827"/>
        <w:spacing w:after="0"/>
        <w:rPr>
          <w:sz w:val="20"/>
          <w:szCs w:val="20"/>
          <w:color w:val="auto"/>
        </w:rPr>
      </w:pPr>
      <w:r>
        <w:rPr>
          <w:rFonts w:ascii="Courier New" w:cs="Courier New" w:eastAsia="Courier New" w:hAnsi="Courier New"/>
          <w:sz w:val="15"/>
          <w:szCs w:val="15"/>
          <w:color w:val="auto"/>
        </w:rPr>
        <w:t>(the "Securities")</w:t>
      </w:r>
    </w:p>
    <w:p>
      <w:pPr>
        <w:spacing w:after="0" w:line="180" w:lineRule="exact"/>
        <w:rPr>
          <w:sz w:val="20"/>
          <w:szCs w:val="20"/>
          <w:color w:val="auto"/>
        </w:rPr>
      </w:pPr>
    </w:p>
    <w:p>
      <w:pPr>
        <w:ind w:left="7" w:right="3039" w:firstLine="818"/>
        <w:spacing w:after="0" w:line="246" w:lineRule="auto"/>
        <w:rPr>
          <w:sz w:val="20"/>
          <w:szCs w:val="20"/>
          <w:color w:val="auto"/>
        </w:rPr>
      </w:pPr>
      <w:r>
        <w:rPr>
          <w:rFonts w:ascii="Courier New" w:cs="Courier New" w:eastAsia="Courier New" w:hAnsi="Courier New"/>
          <w:sz w:val="15"/>
          <w:szCs w:val="15"/>
          <w:color w:val="auto"/>
        </w:rPr>
        <w:t>This is to certify that, based solely on certifications we have received in writing, by tested telex or by electronic transmission from member organizations appearing in our records as persons being entitled to a portion of the principal amount set forth below (our "Member Organizations") substantially to the effect set forth in the Indenture, dated as of __________,</w:t>
      </w:r>
    </w:p>
    <w:p>
      <w:pPr>
        <w:spacing w:after="0" w:line="3"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1996, between USA Waste Services, Inc. and _________________ as of the date</w:t>
      </w:r>
    </w:p>
    <w:p>
      <w:pPr>
        <w:spacing w:after="0" w:line="5"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hereof, [ ] principal amount of the above-captioned Securities (i) is owned by persons that are not citizens or residents of the United States, domestic partnerships, domestic corporations or any estate or trust the income of which is subject to United States Federal income taxation regardless of its source ("United States persons"), (ii) is owned by United States persons that are (A) foreign branches of United States financial institutions (as defined in U.S. Treasury Regulations Section 1.16512(c)(1)(v)) ("financial institutions") purchasing for their own account or for resale, or (B) United States persons who acquired the Securities through foreign branches of United States financial institutions and who hold the Securities through such United States financial institutions on the date hereof (and in either case (A) or (B), each such United States financial institution has agreed, on its own behalf or through its agent, that it will comply with the requirements of Section 165(1)(3)(A),</w:t>
      </w:r>
    </w:p>
    <w:p>
      <w:pPr>
        <w:spacing w:after="0" w:line="8" w:lineRule="exact"/>
        <w:rPr>
          <w:sz w:val="20"/>
          <w:szCs w:val="20"/>
          <w:color w:val="auto"/>
        </w:rPr>
      </w:pPr>
    </w:p>
    <w:p>
      <w:pPr>
        <w:ind w:left="7" w:right="3039" w:hanging="7"/>
        <w:spacing w:after="0" w:line="246" w:lineRule="auto"/>
        <w:tabs>
          <w:tab w:leader="none" w:pos="370"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 (C) of the Internal Revenue Code of 1986, as amended, and the regulations thereunder), or (iii) is owned by United States or foreign financial institutions for purposes of resale during the restricted period (as defined in U.S. Treasury Regulations Section 1.1635(c)(2)(i)(D)(7)), and to the further effect that the United States or foreign financial institutions described in clause (iii) above (whether or not also described in clause (i) or (ii)) have certified that they have not acquired the Securities for purposes of resale directly or indirectly to a United States person or to a person within the United States or its possessions.</w:t>
      </w:r>
    </w:p>
    <w:p>
      <w:pPr>
        <w:spacing w:after="0" w:line="180" w:lineRule="exact"/>
        <w:rPr>
          <w:sz w:val="20"/>
          <w:szCs w:val="20"/>
          <w:color w:val="auto"/>
        </w:rPr>
      </w:pPr>
    </w:p>
    <w:p>
      <w:pPr>
        <w:ind w:left="7" w:right="3039" w:firstLine="818"/>
        <w:spacing w:after="0" w:line="246" w:lineRule="auto"/>
        <w:rPr>
          <w:sz w:val="20"/>
          <w:szCs w:val="20"/>
          <w:color w:val="auto"/>
        </w:rPr>
      </w:pPr>
      <w:r>
        <w:rPr>
          <w:rFonts w:ascii="Courier New" w:cs="Courier New" w:eastAsia="Courier New" w:hAnsi="Courier New"/>
          <w:sz w:val="15"/>
          <w:szCs w:val="15"/>
          <w:color w:val="auto"/>
        </w:rPr>
        <w:t>If the Securities are of the category contemplated in Section 230.903(c)(3) of Regulation S under the Securities Act of 1933, as amended, then this is also to certify with respect to such principal amount of Securities set forth above that, except as set forth below, we have received in writing, by tested telex or by electronic transmission, from our Member Organizations entitled to a portion of such principal amount, certifications with respect to such portion, substantially to the effect set forth in the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SUBORDINATED INDENTURE</w:t>
      </w:r>
    </w:p>
    <w:p>
      <w:pPr>
        <w:spacing w:after="0" w:line="5" w:lineRule="exact"/>
        <w:rPr>
          <w:sz w:val="20"/>
          <w:szCs w:val="20"/>
          <w:color w:val="auto"/>
        </w:rPr>
      </w:pPr>
    </w:p>
    <w:p>
      <w:pPr>
        <w:jc w:val="center"/>
        <w:ind w:right="3032"/>
        <w:spacing w:after="0"/>
        <w:rPr>
          <w:sz w:val="20"/>
          <w:szCs w:val="20"/>
          <w:color w:val="auto"/>
        </w:rPr>
      </w:pPr>
      <w:r>
        <w:rPr>
          <w:rFonts w:ascii="Courier New" w:cs="Courier New" w:eastAsia="Courier New" w:hAnsi="Courier New"/>
          <w:sz w:val="15"/>
          <w:szCs w:val="15"/>
          <w:color w:val="auto"/>
        </w:rPr>
        <w:t>- 1 -</w:t>
      </w:r>
    </w:p>
    <w:p>
      <w:pPr>
        <w:sectPr>
          <w:pgSz w:w="11900" w:h="16838" w:orient="portrait"/>
          <w:cols w:equalWidth="0" w:num="1">
            <w:col w:w="10226"/>
          </w:cols>
          <w:pgMar w:left="233" w:top="293" w:right="1440" w:bottom="1440" w:gutter="0" w:footer="0" w:header="0"/>
        </w:sectPr>
      </w:pPr>
    </w:p>
    <w:bookmarkStart w:id="151" w:name="page152"/>
    <w:bookmarkEnd w:id="151"/>
    <w:p>
      <w:pPr>
        <w:ind w:left="260"/>
        <w:spacing w:after="0"/>
        <w:rPr>
          <w:sz w:val="20"/>
          <w:szCs w:val="20"/>
          <w:color w:val="auto"/>
        </w:rPr>
      </w:pPr>
      <w:r>
        <w:rPr>
          <w:rFonts w:ascii="Courier New" w:cs="Courier New" w:eastAsia="Courier New" w:hAnsi="Courier New"/>
          <w:sz w:val="15"/>
          <w:szCs w:val="15"/>
          <w:color w:val="auto"/>
        </w:rPr>
        <w:t>97</w:t>
      </w:r>
    </w:p>
    <w:p>
      <w:pPr>
        <w:spacing w:after="0" w:line="5"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We further certify (i) that we are not making available herewith for exchange (or, if relevant, exercise of any rights or collection of any interest) any portion of the temporary global Security excepted in such certifications and (ii) that as of the date hereof we have not received any notification from any of our Member Organizations to the effect that the statements made by such Member Organizations with respect to any portion of the part submitted herewith for exchange (or, if relevant, exercise of any rights or collection of any interest) are no longer true and cannot be relied upon as of the date hereof.</w:t>
      </w:r>
    </w:p>
    <w:p>
      <w:pPr>
        <w:spacing w:after="0" w:line="180"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We understand that this certification is required in connection with certain tax laws and, if applicable, certain securities laws of the United States. In connection therewith, if administrative or legal proceedings are commenced or threatened in connection with which this certification is or would be relevant, we irrevocably authorize you to produce this certification or a copy hereof to any interested party in such proceedings.</w:t>
      </w:r>
    </w:p>
    <w:p>
      <w:pPr>
        <w:spacing w:after="0" w:line="178" w:lineRule="exact"/>
        <w:rPr>
          <w:sz w:val="20"/>
          <w:szCs w:val="20"/>
          <w:color w:val="auto"/>
        </w:rPr>
      </w:pPr>
    </w:p>
    <w:p>
      <w:pPr>
        <w:spacing w:after="0"/>
        <w:tabs>
          <w:tab w:leader="none" w:pos="700" w:val="left"/>
        </w:tabs>
        <w:rPr>
          <w:sz w:val="20"/>
          <w:szCs w:val="20"/>
          <w:color w:val="auto"/>
        </w:rPr>
      </w:pPr>
      <w:r>
        <w:rPr>
          <w:rFonts w:ascii="Courier New" w:cs="Courier New" w:eastAsia="Courier New" w:hAnsi="Courier New"/>
          <w:sz w:val="15"/>
          <w:szCs w:val="15"/>
          <w:color w:val="auto"/>
        </w:rPr>
        <w:t>Dated:</w:t>
        <w:tab/>
        <w:t>___________________, 199__.</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 the Exchange Date or the Interest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Payment Date)</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[Morgan Guaranty Trust Company of New</w:t>
      </w:r>
    </w:p>
    <w:p>
      <w:pPr>
        <w:spacing w:after="0" w:line="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York, as operator of the Euro-clear</w:t>
      </w:r>
    </w:p>
    <w:p>
      <w:pPr>
        <w:spacing w:after="0" w:line="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System]</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or</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[CEDEL S.A.]</w:t>
      </w:r>
    </w:p>
    <w:p>
      <w:pPr>
        <w:spacing w:after="0" w:line="35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SUBORDINATED INDENTURE</w:t>
      </w:r>
    </w:p>
    <w:p>
      <w:pPr>
        <w:spacing w:after="0" w:line="5"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- 2 -</w:t>
      </w:r>
    </w:p>
    <w:p>
      <w:pPr>
        <w:sectPr>
          <w:pgSz w:w="11900" w:h="16838" w:orient="portrait"/>
          <w:cols w:equalWidth="0" w:num="1">
            <w:col w:w="10219"/>
          </w:cols>
          <w:pgMar w:left="240" w:top="293" w:right="1440" w:bottom="1440" w:gutter="0" w:footer="0" w:header="0"/>
        </w:sectPr>
      </w:pPr>
    </w:p>
    <w:bookmarkStart w:id="152" w:name="page153"/>
    <w:bookmarkEnd w:id="152"/>
    <w:p>
      <w:pPr>
        <w:ind w:left="260"/>
        <w:spacing w:after="0"/>
        <w:rPr>
          <w:sz w:val="20"/>
          <w:szCs w:val="20"/>
          <w:color w:val="auto"/>
        </w:rPr>
      </w:pPr>
      <w:r>
        <w:rPr>
          <w:rFonts w:ascii="Courier New" w:cs="Courier New" w:eastAsia="Courier New" w:hAnsi="Courier New"/>
          <w:sz w:val="15"/>
          <w:szCs w:val="15"/>
          <w:color w:val="auto"/>
        </w:rPr>
        <w:t>1</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USA WASTE SERVICES, INC.</w:t>
      </w:r>
    </w:p>
    <w:p>
      <w:pPr>
        <w:spacing w:after="0" w:line="180"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Officers' Certificate to Trustee</w:t>
      </w:r>
    </w:p>
    <w:p>
      <w:pPr>
        <w:spacing w:after="0" w:line="180"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Pursuant to Sections 201 and 301 of the Indenture</w:t>
      </w:r>
    </w:p>
    <w:p>
      <w:pPr>
        <w:spacing w:after="0" w:line="354"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Each of the undersigned officers of USA Waste Services, Inc., a</w:t>
      </w:r>
    </w:p>
    <w:p>
      <w:pPr>
        <w:spacing w:after="0" w:line="5" w:lineRule="exact"/>
        <w:rPr>
          <w:sz w:val="20"/>
          <w:szCs w:val="20"/>
          <w:color w:val="auto"/>
        </w:rPr>
      </w:pPr>
    </w:p>
    <w:p>
      <w:pPr>
        <w:spacing w:after="0"/>
        <w:tabs>
          <w:tab w:leader="none" w:pos="2420" w:val="left"/>
        </w:tabs>
        <w:rPr>
          <w:sz w:val="20"/>
          <w:szCs w:val="20"/>
          <w:color w:val="auto"/>
        </w:rPr>
      </w:pPr>
      <w:r>
        <w:rPr>
          <w:rFonts w:ascii="Courier New" w:cs="Courier New" w:eastAsia="Courier New" w:hAnsi="Courier New"/>
          <w:sz w:val="15"/>
          <w:szCs w:val="15"/>
          <w:color w:val="auto"/>
        </w:rPr>
        <w:t>Delaware corporation (the</w:t>
        <w:tab/>
        <w:t>"Company"), does hereby certify as follows:</w:t>
      </w:r>
    </w:p>
    <w:p>
      <w:pPr>
        <w:spacing w:after="0" w:line="180" w:lineRule="exact"/>
        <w:rPr>
          <w:sz w:val="20"/>
          <w:szCs w:val="20"/>
          <w:color w:val="auto"/>
        </w:rPr>
      </w:pPr>
    </w:p>
    <w:p>
      <w:pPr>
        <w:ind w:left="820" w:right="3039"/>
        <w:spacing w:after="0" w:line="246" w:lineRule="auto"/>
        <w:rPr>
          <w:sz w:val="20"/>
          <w:szCs w:val="20"/>
          <w:color w:val="auto"/>
        </w:rPr>
      </w:pPr>
      <w:r>
        <w:rPr>
          <w:rFonts w:ascii="Courier New" w:cs="Courier New" w:eastAsia="Courier New" w:hAnsi="Courier New"/>
          <w:sz w:val="15"/>
          <w:szCs w:val="15"/>
          <w:color w:val="auto"/>
        </w:rPr>
        <w:t>The undersigned, having read the Indenture, dated as of February 1, 1997 (the "Indenture"), between the Company and Texas Commerce Bank National Association, as Trustee (the "Trustee"), including Sections 201 and 301 thereof, and the definitions in such Indenture relating thereto and other corporate documents and records, and having made such examination or investigation as each considers is necessary to enable the undersigned to express an informed opinion, certify that the terms of the series of Securities established under the Indenture to be entitled the "4% Convertible Subordinated Notes due 2002" of the Company (the "Series"), are as set forth in the Board Resolution (as defined in the Indenture) attached hereto, and all conditions precedent provided for in the Indenture relating to the establishment of such Series have been complied with in the establishment of the terms of such Series.</w:t>
      </w:r>
    </w:p>
    <w:p>
      <w:pPr>
        <w:spacing w:after="0" w:line="183" w:lineRule="exact"/>
        <w:rPr>
          <w:sz w:val="20"/>
          <w:szCs w:val="20"/>
          <w:color w:val="auto"/>
        </w:rPr>
      </w:pPr>
    </w:p>
    <w:p>
      <w:pPr>
        <w:ind w:right="3039" w:firstLine="818"/>
        <w:spacing w:after="0" w:line="247" w:lineRule="auto"/>
        <w:rPr>
          <w:sz w:val="20"/>
          <w:szCs w:val="20"/>
          <w:color w:val="auto"/>
        </w:rPr>
      </w:pPr>
      <w:r>
        <w:rPr>
          <w:rFonts w:ascii="Courier New" w:cs="Courier New" w:eastAsia="Courier New" w:hAnsi="Courier New"/>
          <w:sz w:val="15"/>
          <w:szCs w:val="15"/>
          <w:color w:val="auto"/>
        </w:rPr>
        <w:t>IN WITNESS WHEREOF, each of the undersigned has placed his or her hand this 7th day of February 1997.</w:t>
      </w:r>
    </w:p>
    <w:p>
      <w:pPr>
        <w:spacing w:after="0" w:line="349"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Title:</w:t>
      </w:r>
    </w:p>
    <w:p>
      <w:pPr>
        <w:spacing w:after="0" w:line="5" w:lineRule="exact"/>
        <w:rPr>
          <w:sz w:val="20"/>
          <w:szCs w:val="20"/>
          <w:color w:val="auto"/>
        </w:rPr>
      </w:pPr>
    </w:p>
    <w:p>
      <w:pPr>
        <w:ind w:left="4180"/>
        <w:spacing w:after="0"/>
        <w:rPr>
          <w:sz w:val="20"/>
          <w:szCs w:val="20"/>
          <w:color w:val="auto"/>
        </w:rPr>
      </w:pPr>
      <w:r>
        <w:rPr>
          <w:rFonts w:ascii="Courier New" w:cs="Courier New" w:eastAsia="Courier New" w:hAnsi="Courier New"/>
          <w:sz w:val="15"/>
          <w:szCs w:val="15"/>
          <w:color w:val="auto"/>
        </w:rPr>
        <w:t>---------------------------------</w:t>
      </w:r>
    </w:p>
    <w:p>
      <w:pPr>
        <w:spacing w:after="0" w:line="354"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Title:</w:t>
      </w:r>
    </w:p>
    <w:p>
      <w:pPr>
        <w:spacing w:after="0" w:line="5" w:lineRule="exact"/>
        <w:rPr>
          <w:sz w:val="20"/>
          <w:szCs w:val="20"/>
          <w:color w:val="auto"/>
        </w:rPr>
      </w:pPr>
    </w:p>
    <w:p>
      <w:pPr>
        <w:ind w:left="418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142" w:right="1440" w:bottom="1440" w:gutter="0" w:footer="0" w:header="0"/>
        </w:sectPr>
      </w:pPr>
    </w:p>
    <w:bookmarkStart w:id="153" w:name="page154"/>
    <w:bookmarkEnd w:id="153"/>
    <w:p>
      <w:pPr>
        <w:ind w:left="260"/>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USA WASTE SERVICES, INC.</w:t>
      </w:r>
    </w:p>
    <w:p>
      <w:pPr>
        <w:spacing w:after="0" w:line="180"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RESOLUTIONS</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OF THE</w:t>
      </w:r>
    </w:p>
    <w:p>
      <w:pPr>
        <w:spacing w:after="0" w:line="5"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PRICING COMMITTEE</w:t>
      </w:r>
    </w:p>
    <w:p>
      <w:pPr>
        <w:spacing w:after="0" w:line="5"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_________________________</w:t>
      </w:r>
    </w:p>
    <w:p>
      <w:pPr>
        <w:spacing w:after="0" w:line="180"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4% CONVERTIBLE SUBORDINATED</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NOTES DUE 2002</w:t>
      </w:r>
    </w:p>
    <w:p>
      <w:pPr>
        <w:spacing w:after="0" w:line="354"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RESOLVED, that pursuant to the authority delegated to this Pricing Committee by the Board of Directors of USA Waste Services, Inc. (the "Company") by resolutions adopted on November 27, 1996, and in accordance with Sections 201 and 301 of the Subordinated Indenture dated as of February 1, 1997 (the "Indenture") between the Company and Texas Commerce Bank, National Association, as trustee (the "Trustee"), a separate series of Securities shall be issued and designated as the Company's 4% Convertible Subordinated Notes due 2002 (the "Notes"); and</w:t>
      </w:r>
    </w:p>
    <w:p>
      <w:pPr>
        <w:spacing w:after="0" w:line="180" w:lineRule="exact"/>
        <w:rPr>
          <w:sz w:val="20"/>
          <w:szCs w:val="20"/>
          <w:color w:val="auto"/>
        </w:rPr>
      </w:pPr>
    </w:p>
    <w:p>
      <w:pPr>
        <w:ind w:right="3139" w:firstLine="818"/>
        <w:spacing w:after="0" w:line="246" w:lineRule="auto"/>
        <w:rPr>
          <w:sz w:val="20"/>
          <w:szCs w:val="20"/>
          <w:color w:val="auto"/>
        </w:rPr>
      </w:pPr>
      <w:r>
        <w:rPr>
          <w:rFonts w:ascii="Courier New" w:cs="Courier New" w:eastAsia="Courier New" w:hAnsi="Courier New"/>
          <w:sz w:val="15"/>
          <w:szCs w:val="15"/>
          <w:color w:val="auto"/>
        </w:rPr>
        <w:t>FURTHER RESOLVED, that in addition to the terms provided in the Indenture with respect to Securities of a series issued thereunder, the terms of the Notes shall be as follows (with all capitalized terms used below having the respective meanings ascribed thereto in the Indenture):</w:t>
      </w:r>
    </w:p>
    <w:p>
      <w:pPr>
        <w:spacing w:after="0" w:line="177" w:lineRule="exact"/>
        <w:rPr>
          <w:sz w:val="20"/>
          <w:szCs w:val="20"/>
          <w:color w:val="auto"/>
        </w:rPr>
      </w:pPr>
    </w:p>
    <w:p>
      <w:pPr>
        <w:ind w:left="820" w:right="3139" w:firstLine="718"/>
        <w:spacing w:after="0" w:line="246" w:lineRule="auto"/>
        <w:tabs>
          <w:tab w:leader="none" w:pos="2365"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principal amount of Notes which may be authenticated and delivered is $535,275,000 (except for Notes authenticated and delivered upon registration of transfer of, or in exchange for, or in lieu of, other Notes pursuant to Article Three or Sections 906, 1107 or 1502 of the Indenture);</w:t>
      </w:r>
    </w:p>
    <w:p>
      <w:pPr>
        <w:spacing w:after="0" w:line="177" w:lineRule="exact"/>
        <w:rPr>
          <w:rFonts w:ascii="Courier New" w:cs="Courier New" w:eastAsia="Courier New" w:hAnsi="Courier New"/>
          <w:sz w:val="15"/>
          <w:szCs w:val="15"/>
          <w:color w:val="auto"/>
        </w:rPr>
      </w:pPr>
    </w:p>
    <w:p>
      <w:pPr>
        <w:ind w:left="820" w:right="3599" w:firstLine="718"/>
        <w:spacing w:after="0" w:line="247" w:lineRule="auto"/>
        <w:tabs>
          <w:tab w:leader="none" w:pos="2365"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principal amount of the Notes is payable on February 1, 2002, unless earlier repaid;</w:t>
      </w:r>
    </w:p>
    <w:p>
      <w:pPr>
        <w:spacing w:after="0" w:line="174" w:lineRule="exact"/>
        <w:rPr>
          <w:rFonts w:ascii="Courier New" w:cs="Courier New" w:eastAsia="Courier New" w:hAnsi="Courier New"/>
          <w:sz w:val="15"/>
          <w:szCs w:val="15"/>
          <w:color w:val="auto"/>
        </w:rPr>
      </w:pPr>
    </w:p>
    <w:p>
      <w:pPr>
        <w:ind w:left="820" w:right="3039" w:firstLine="718"/>
        <w:spacing w:after="0" w:line="246" w:lineRule="auto"/>
        <w:tabs>
          <w:tab w:leader="none" w:pos="2365"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on the Notes shall accrue at a rate of 4% per annum. The Notes will bear interest from February 7, 1997 or from the most recent Interest Payment Date (as defined below) to which interest has been paid or provided for, and such interest will be payable on February 1 and August 1 of each calendar year (each, an "Interest Payment Date"), commencing August 1, 1997, to the persons in whose names such Notes are registered at the close of business on the January 15 and July 15, respectively, immediately preceding the relevant Interest Payment Date, whether or not a Business Day;</w:t>
      </w:r>
    </w:p>
    <w:p>
      <w:pPr>
        <w:spacing w:after="0" w:line="180" w:lineRule="exact"/>
        <w:rPr>
          <w:rFonts w:ascii="Courier New" w:cs="Courier New" w:eastAsia="Courier New" w:hAnsi="Courier New"/>
          <w:sz w:val="15"/>
          <w:szCs w:val="15"/>
          <w:color w:val="auto"/>
        </w:rPr>
      </w:pPr>
    </w:p>
    <w:p>
      <w:pPr>
        <w:ind w:left="820" w:right="3219" w:firstLine="718"/>
        <w:spacing w:after="0" w:line="246" w:lineRule="auto"/>
        <w:tabs>
          <w:tab w:leader="none" w:pos="2365"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entire principal amount of the Notes shall initially be issued in the form of one or more Global Securities, without coupons, for which The Depository Trust Company shall be the Depositary. The Global Securities representing the Notes shall only be exchangeable for Notes in definitive form pursuant to and in accordance with the terms of Section 305 of the Indenture;</w:t>
      </w:r>
    </w:p>
    <w:p>
      <w:pPr>
        <w:sectPr>
          <w:pgSz w:w="11900" w:h="16838" w:orient="portrait"/>
          <w:cols w:equalWidth="0" w:num="1">
            <w:col w:w="10219"/>
          </w:cols>
          <w:pgMar w:left="240" w:top="293" w:right="1440" w:bottom="1440" w:gutter="0" w:footer="0" w:header="0"/>
        </w:sectPr>
      </w:pPr>
    </w:p>
    <w:bookmarkStart w:id="154" w:name="page155"/>
    <w:bookmarkEnd w:id="154"/>
    <w:p>
      <w:pPr>
        <w:spacing w:after="0"/>
        <w:rPr>
          <w:sz w:val="20"/>
          <w:szCs w:val="20"/>
          <w:color w:val="auto"/>
        </w:rPr>
      </w:pPr>
      <w:r>
        <w:rPr>
          <w:rFonts w:ascii="Courier New" w:cs="Courier New" w:eastAsia="Courier New" w:hAnsi="Courier New"/>
          <w:sz w:val="15"/>
          <w:szCs w:val="15"/>
          <w:color w:val="auto"/>
        </w:rPr>
        <w:t>3</w:t>
      </w:r>
    </w:p>
    <w:p>
      <w:pPr>
        <w:spacing w:after="0" w:line="180" w:lineRule="exact"/>
        <w:rPr>
          <w:sz w:val="20"/>
          <w:szCs w:val="20"/>
          <w:color w:val="auto"/>
        </w:rPr>
      </w:pPr>
    </w:p>
    <w:p>
      <w:pPr>
        <w:ind w:left="2000" w:hanging="722"/>
        <w:spacing w:after="0"/>
        <w:tabs>
          <w:tab w:leader="none" w:pos="2000"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payments in respect of Notes represented by a</w:t>
      </w:r>
    </w:p>
    <w:p>
      <w:pPr>
        <w:spacing w:after="0" w:line="5" w:lineRule="exact"/>
        <w:rPr>
          <w:sz w:val="20"/>
          <w:szCs w:val="20"/>
          <w:color w:val="auto"/>
        </w:rPr>
      </w:pPr>
    </w:p>
    <w:p>
      <w:pPr>
        <w:ind w:left="560" w:right="3139"/>
        <w:spacing w:after="0" w:line="246" w:lineRule="auto"/>
        <w:rPr>
          <w:sz w:val="20"/>
          <w:szCs w:val="20"/>
          <w:color w:val="auto"/>
        </w:rPr>
      </w:pPr>
      <w:r>
        <w:rPr>
          <w:rFonts w:ascii="Courier New" w:cs="Courier New" w:eastAsia="Courier New" w:hAnsi="Courier New"/>
          <w:sz w:val="15"/>
          <w:szCs w:val="15"/>
          <w:color w:val="auto"/>
        </w:rPr>
        <w:t>Global Security (including principal, premium, if any, and interest) will be made by wire transfer of immediately available funds to the accounts specified by the Depositary. Payments in respect of Notes in definitive form (including principal, premium, if any, and interest) shall be made at the office or agency of the Company maintained for such purposes, which office or agency shall be maintained in the Borough of Manhattan, City of New York except that, at the option of the Company, any payments of interest may be made by check mailed on or before the due date by first class mail to the address of the Persons entitled thereto as shown on the Security Register;</w:t>
      </w:r>
    </w:p>
    <w:p>
      <w:pPr>
        <w:spacing w:after="0" w:line="181" w:lineRule="exact"/>
        <w:rPr>
          <w:sz w:val="20"/>
          <w:szCs w:val="20"/>
          <w:color w:val="auto"/>
        </w:rPr>
      </w:pPr>
    </w:p>
    <w:p>
      <w:pPr>
        <w:ind w:left="560" w:right="3039" w:firstLine="718"/>
        <w:spacing w:after="0" w:line="246" w:lineRule="auto"/>
        <w:tabs>
          <w:tab w:leader="none" w:pos="2105"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not have the right to redeem any Notes prior to February 1, 2000. On and after such date, the Notes will be redeemable at the option of the Company, in whole or in part, upon not less than 30 nor more than 45 days notice to each Holder of Notes, at the following redemption prices (expressed as percentages of the principal amount) if redeemed during the 12-month period commencing February 1 of the years indicated below:</w:t>
      </w:r>
    </w:p>
    <w:p>
      <w:pPr>
        <w:sectPr>
          <w:pgSz w:w="11900" w:h="16838" w:orient="portrait"/>
          <w:cols w:equalWidth="0" w:num="1">
            <w:col w:w="9959"/>
          </w:cols>
          <w:pgMar w:left="500" w:top="293" w:right="1440" w:bottom="1440" w:gutter="0" w:footer="0" w:header="0"/>
        </w:sectPr>
      </w:pPr>
    </w:p>
    <w:p>
      <w:pPr>
        <w:spacing w:after="0" w:line="200" w:lineRule="exact"/>
        <w:rPr>
          <w:sz w:val="20"/>
          <w:szCs w:val="20"/>
          <w:color w:val="auto"/>
        </w:rPr>
      </w:pPr>
    </w:p>
    <w:p>
      <w:pPr>
        <w:spacing w:after="0" w:line="329"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Year</w:t>
      </w:r>
    </w:p>
    <w:p>
      <w:pPr>
        <w:spacing w:after="0" w:line="5"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Percentage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sectPr>
          <w:pgSz w:w="11900" w:h="16838" w:orient="portrait"/>
          <w:cols w:equalWidth="0" w:num="2">
            <w:col w:w="5640" w:space="720"/>
            <w:col w:w="3599"/>
          </w:cols>
          <w:pgMar w:left="500" w:top="293" w:right="1440" w:bottom="1440" w:gutter="0" w:footer="0" w:header="0"/>
          <w:type w:val="continuous"/>
        </w:sectPr>
      </w:pPr>
    </w:p>
    <w:p>
      <w:pPr>
        <w:ind w:left="1280"/>
        <w:spacing w:after="0"/>
        <w:tabs>
          <w:tab w:leader="none" w:pos="1900" w:val="left"/>
        </w:tabs>
        <w:rPr>
          <w:sz w:val="20"/>
          <w:szCs w:val="20"/>
          <w:color w:val="auto"/>
        </w:rPr>
      </w:pP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 . . . . . . . . . . . . . .. . . . . . . .</w:t>
      </w:r>
    </w:p>
    <w:p>
      <w:pPr>
        <w:spacing w:after="0" w:line="5" w:lineRule="exact"/>
        <w:rPr>
          <w:sz w:val="20"/>
          <w:szCs w:val="20"/>
          <w:color w:val="auto"/>
        </w:rPr>
      </w:pPr>
    </w:p>
    <w:p>
      <w:pPr>
        <w:ind w:left="1280"/>
        <w:spacing w:after="0"/>
        <w:tabs>
          <w:tab w:leader="none" w:pos="3160" w:val="left"/>
        </w:tabs>
        <w:rPr>
          <w:sz w:val="20"/>
          <w:szCs w:val="20"/>
          <w:color w:val="auto"/>
        </w:rPr>
      </w:pPr>
      <w:r>
        <w:rPr>
          <w:rFonts w:ascii="Courier New" w:cs="Courier New" w:eastAsia="Courier New" w:hAnsi="Courier New"/>
          <w:sz w:val="15"/>
          <w:szCs w:val="15"/>
          <w:color w:val="auto"/>
        </w:rPr>
        <w:t>2001 and thereafter</w:t>
        <w:tab/>
        <w:t>. . . . . . . .. . . . . . .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101.60%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100.80%</w:t>
      </w:r>
    </w:p>
    <w:p>
      <w:pPr>
        <w:spacing w:after="0" w:line="200" w:lineRule="exact"/>
        <w:rPr>
          <w:sz w:val="20"/>
          <w:szCs w:val="20"/>
          <w:color w:val="auto"/>
        </w:rPr>
      </w:pPr>
    </w:p>
    <w:p>
      <w:pPr>
        <w:sectPr>
          <w:pgSz w:w="11900" w:h="16838" w:orient="portrait"/>
          <w:cols w:equalWidth="0" w:num="2">
            <w:col w:w="5920" w:space="440"/>
            <w:col w:w="3599"/>
          </w:cols>
          <w:pgMar w:left="500" w:top="293" w:right="1440" w:bottom="1440" w:gutter="0" w:footer="0" w:header="0"/>
          <w:type w:val="continuous"/>
        </w:sectPr>
      </w:pPr>
    </w:p>
    <w:p>
      <w:pPr>
        <w:spacing w:after="0" w:line="154" w:lineRule="exact"/>
        <w:rPr>
          <w:sz w:val="20"/>
          <w:szCs w:val="20"/>
          <w:color w:val="auto"/>
        </w:rPr>
      </w:pPr>
    </w:p>
    <w:p>
      <w:pPr>
        <w:ind w:left="560" w:right="3139"/>
        <w:spacing w:after="0" w:line="246" w:lineRule="auto"/>
        <w:rPr>
          <w:sz w:val="20"/>
          <w:szCs w:val="20"/>
          <w:color w:val="auto"/>
        </w:rPr>
      </w:pPr>
      <w:r>
        <w:rPr>
          <w:rFonts w:ascii="Courier New" w:cs="Courier New" w:eastAsia="Courier New" w:hAnsi="Courier New"/>
          <w:sz w:val="15"/>
          <w:szCs w:val="15"/>
          <w:color w:val="auto"/>
        </w:rPr>
        <w:t>in each case (subject to the right of Holders of record on a Regular Record Date for the payment of interest to receive interest due on an Interest Payment Date that is on or prior to such Redemption Date) together with accrued and unpaid interest, if any, to the Redemption Date. In the case of a partial redemption, the Trustee shall select the Notes or portions thereof for redemption on a pro rata basis, by lot or in such other manner it deems fair and appropriate. The Notes may be redeemed in part in multiples of $1,000 only;</w:t>
      </w:r>
    </w:p>
    <w:p>
      <w:pPr>
        <w:spacing w:after="0" w:line="180" w:lineRule="exact"/>
        <w:rPr>
          <w:sz w:val="20"/>
          <w:szCs w:val="20"/>
          <w:color w:val="auto"/>
        </w:rPr>
      </w:pPr>
    </w:p>
    <w:p>
      <w:pPr>
        <w:ind w:left="560" w:right="3679" w:firstLine="718"/>
        <w:spacing w:after="0" w:line="247" w:lineRule="auto"/>
        <w:tabs>
          <w:tab w:leader="none" w:pos="2105"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Notes are not subject to a sinking fund or analogous provision;</w:t>
      </w:r>
    </w:p>
    <w:p>
      <w:pPr>
        <w:spacing w:after="0" w:line="174" w:lineRule="exact"/>
        <w:rPr>
          <w:rFonts w:ascii="Courier New" w:cs="Courier New" w:eastAsia="Courier New" w:hAnsi="Courier New"/>
          <w:sz w:val="15"/>
          <w:szCs w:val="15"/>
          <w:color w:val="auto"/>
        </w:rPr>
      </w:pPr>
    </w:p>
    <w:p>
      <w:pPr>
        <w:ind w:left="560" w:right="3039" w:firstLine="718"/>
        <w:spacing w:after="0" w:line="246" w:lineRule="auto"/>
        <w:tabs>
          <w:tab w:leader="none" w:pos="2105"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a Change of Control occurs at any time prior to the Stated Maturity of the principal of the Notes, each Holder of the Notes shall have the right, at such Holder's option, subject to the terms and conditions of this Indenture, pursuant to an irrevocable and unconditional offer by the Company (the "Repurchase Offer"), to require the Company to repurchase all or any part of such Holder's Notes (provided that the principal amount of such Notes must be $1,000 or an integral multiple thereof) on the date (the "Repurchase Date") that is no later than 45 Business Days after the occurrence of such Change of Control, at a cash price (the "Repurchase Price") equal to 100% of the principal amount thereof, together with accrued and unpaid interest to the Repurchase Date.</w:t>
      </w:r>
    </w:p>
    <w:p>
      <w:pPr>
        <w:spacing w:after="0" w:line="182" w:lineRule="exact"/>
        <w:rPr>
          <w:sz w:val="20"/>
          <w:szCs w:val="20"/>
          <w:color w:val="auto"/>
        </w:rPr>
      </w:pPr>
    </w:p>
    <w:p>
      <w:pPr>
        <w:ind w:left="560" w:right="3039" w:firstLine="727"/>
        <w:spacing w:after="0" w:line="247" w:lineRule="auto"/>
        <w:rPr>
          <w:sz w:val="20"/>
          <w:szCs w:val="20"/>
          <w:color w:val="auto"/>
        </w:rPr>
      </w:pPr>
      <w:r>
        <w:rPr>
          <w:rFonts w:ascii="Courier New" w:cs="Courier New" w:eastAsia="Courier New" w:hAnsi="Courier New"/>
          <w:sz w:val="15"/>
          <w:szCs w:val="15"/>
          <w:color w:val="auto"/>
        </w:rPr>
        <w:t>In the event that, pursuant to this paragraph (h), the Company shall be required to commence a Repurchase Offer, the Company shall follow the following procedures:</w:t>
      </w:r>
    </w:p>
    <w:p>
      <w:pPr>
        <w:spacing w:after="0" w:line="174" w:lineRule="exact"/>
        <w:rPr>
          <w:sz w:val="20"/>
          <w:szCs w:val="20"/>
          <w:color w:val="auto"/>
        </w:rPr>
      </w:pPr>
    </w:p>
    <w:p>
      <w:pPr>
        <w:ind w:left="1280" w:right="3039" w:firstLine="816"/>
        <w:spacing w:after="0" w:line="247" w:lineRule="auto"/>
        <w:tabs>
          <w:tab w:leader="none" w:pos="2825"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Repurchase Offer shall commence within 25 Business Days following a Change of Control;</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RESOLUTIONS</w:t>
      </w:r>
    </w:p>
    <w:p>
      <w:pPr>
        <w:spacing w:after="0" w:line="5"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959"/>
          </w:cols>
          <w:pgMar w:left="500" w:top="293" w:right="1440" w:bottom="1440" w:gutter="0" w:footer="0" w:header="0"/>
          <w:type w:val="continuous"/>
        </w:sectPr>
      </w:pPr>
    </w:p>
    <w:bookmarkStart w:id="155" w:name="page156"/>
    <w:bookmarkEnd w:id="155"/>
    <w:p>
      <w:pPr>
        <w:spacing w:after="0"/>
        <w:rPr>
          <w:sz w:val="20"/>
          <w:szCs w:val="20"/>
          <w:color w:val="auto"/>
        </w:rPr>
      </w:pPr>
      <w:r>
        <w:rPr>
          <w:rFonts w:ascii="Courier New" w:cs="Courier New" w:eastAsia="Courier New" w:hAnsi="Courier New"/>
          <w:sz w:val="15"/>
          <w:szCs w:val="15"/>
          <w:color w:val="auto"/>
        </w:rPr>
        <w:t>4</w:t>
      </w:r>
    </w:p>
    <w:p>
      <w:pPr>
        <w:spacing w:after="0" w:line="5" w:lineRule="exact"/>
        <w:rPr>
          <w:sz w:val="20"/>
          <w:szCs w:val="20"/>
          <w:color w:val="auto"/>
        </w:rPr>
      </w:pPr>
    </w:p>
    <w:p>
      <w:pPr>
        <w:ind w:left="1280" w:right="3039" w:firstLine="816"/>
        <w:spacing w:after="0" w:line="246" w:lineRule="auto"/>
        <w:tabs>
          <w:tab w:leader="none" w:pos="2825"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Repurchase Offer shall remain open for 20 Business Days following its commencement, except to the extent that a longer period is required by applicable law, but in any case not more than 60 Business Days following the Change of Control (the "Repurchase Offer Period");</w:t>
      </w:r>
    </w:p>
    <w:p>
      <w:pPr>
        <w:spacing w:after="0" w:line="177" w:lineRule="exact"/>
        <w:rPr>
          <w:rFonts w:ascii="Courier New" w:cs="Courier New" w:eastAsia="Courier New" w:hAnsi="Courier New"/>
          <w:sz w:val="15"/>
          <w:szCs w:val="15"/>
          <w:color w:val="auto"/>
        </w:rPr>
      </w:pPr>
    </w:p>
    <w:p>
      <w:pPr>
        <w:ind w:left="1280" w:right="3039" w:firstLine="816"/>
        <w:spacing w:after="0" w:line="247" w:lineRule="auto"/>
        <w:tabs>
          <w:tab w:leader="none" w:pos="2825"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expiration of a Repurchase Offer, the Company shall repurchase all Notes tendered in response to the Repurchase Offer;</w:t>
      </w:r>
    </w:p>
    <w:p>
      <w:pPr>
        <w:spacing w:after="0" w:line="174" w:lineRule="exact"/>
        <w:rPr>
          <w:rFonts w:ascii="Courier New" w:cs="Courier New" w:eastAsia="Courier New" w:hAnsi="Courier New"/>
          <w:sz w:val="15"/>
          <w:szCs w:val="15"/>
          <w:color w:val="auto"/>
        </w:rPr>
      </w:pPr>
    </w:p>
    <w:p>
      <w:pPr>
        <w:ind w:left="1280" w:right="3039" w:firstLine="816"/>
        <w:spacing w:after="0" w:line="246" w:lineRule="auto"/>
        <w:tabs>
          <w:tab w:leader="none" w:pos="2825"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Repurchase Date is on or after a Regular Record Date and on or before the related Interest Payment Date, any accrued interest will be paid to the Person in whose name a Note is registered at the close of business on such record date, and no additional interest will be payable to holders of Notes who tender Notes pursuant to the Repurchase Offer;</w:t>
      </w:r>
    </w:p>
    <w:p>
      <w:pPr>
        <w:spacing w:after="0" w:line="179" w:lineRule="exact"/>
        <w:rPr>
          <w:rFonts w:ascii="Courier New" w:cs="Courier New" w:eastAsia="Courier New" w:hAnsi="Courier New"/>
          <w:sz w:val="15"/>
          <w:szCs w:val="15"/>
          <w:color w:val="auto"/>
        </w:rPr>
      </w:pPr>
    </w:p>
    <w:p>
      <w:pPr>
        <w:ind w:left="1280" w:right="3039" w:firstLine="816"/>
        <w:spacing w:after="0" w:line="247" w:lineRule="auto"/>
        <w:tabs>
          <w:tab w:leader="none" w:pos="2825"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provide the Trustee with notice of the Repurchase Offer at least 5 Business Days before the commencement of any Repurchase Offer; and</w:t>
      </w:r>
    </w:p>
    <w:p>
      <w:pPr>
        <w:spacing w:after="0" w:line="174" w:lineRule="exact"/>
        <w:rPr>
          <w:rFonts w:ascii="Courier New" w:cs="Courier New" w:eastAsia="Courier New" w:hAnsi="Courier New"/>
          <w:sz w:val="15"/>
          <w:szCs w:val="15"/>
          <w:color w:val="auto"/>
        </w:rPr>
      </w:pPr>
    </w:p>
    <w:p>
      <w:pPr>
        <w:ind w:left="1280" w:right="3039" w:firstLine="816"/>
        <w:spacing w:after="0" w:line="246" w:lineRule="auto"/>
        <w:tabs>
          <w:tab w:leader="none" w:pos="2825"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or before the commencement of any Repurchase Offer, the Company or the Trustee (upon the request and at the expense of the Company) shall send, by first-class mail, a notice to each of the holders of Notes which shall govern the terms of the Repurchase Offer and shall state:</w:t>
      </w:r>
    </w:p>
    <w:p>
      <w:pPr>
        <w:spacing w:after="0" w:line="177" w:lineRule="exact"/>
        <w:rPr>
          <w:rFonts w:ascii="Courier New" w:cs="Courier New" w:eastAsia="Courier New" w:hAnsi="Courier New"/>
          <w:sz w:val="15"/>
          <w:szCs w:val="15"/>
          <w:color w:val="auto"/>
        </w:rPr>
      </w:pPr>
    </w:p>
    <w:p>
      <w:pPr>
        <w:jc w:val="both"/>
        <w:ind w:left="2100" w:right="3219" w:firstLine="723"/>
        <w:spacing w:after="0" w:line="246" w:lineRule="auto"/>
        <w:tabs>
          <w:tab w:leader="none" w:pos="3645" w:val="left"/>
        </w:tabs>
        <w:numPr>
          <w:ilvl w:val="1"/>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the Repurchase Offer is being made pursuant to such notice and this paragraph (h) and that all Notes, or portions thereof, tendered will be accepted for payment;</w:t>
      </w:r>
    </w:p>
    <w:p>
      <w:pPr>
        <w:spacing w:after="0" w:line="177" w:lineRule="exact"/>
        <w:rPr>
          <w:rFonts w:ascii="Courier New" w:cs="Courier New" w:eastAsia="Courier New" w:hAnsi="Courier New"/>
          <w:sz w:val="15"/>
          <w:szCs w:val="15"/>
          <w:color w:val="auto"/>
        </w:rPr>
      </w:pPr>
    </w:p>
    <w:p>
      <w:pPr>
        <w:ind w:left="2100" w:right="3139" w:firstLine="723"/>
        <w:spacing w:after="0" w:line="246" w:lineRule="auto"/>
        <w:tabs>
          <w:tab w:leader="none" w:pos="3645" w:val="left"/>
        </w:tabs>
        <w:numPr>
          <w:ilvl w:val="1"/>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Repurchase Price (including the amount of accrued and unpaid interest, if any), the Repurchase Date and the Repurchase Put Date (as defined in subparagraph (E) below);</w:t>
      </w:r>
    </w:p>
    <w:p>
      <w:pPr>
        <w:spacing w:after="0" w:line="177" w:lineRule="exact"/>
        <w:rPr>
          <w:rFonts w:ascii="Courier New" w:cs="Courier New" w:eastAsia="Courier New" w:hAnsi="Courier New"/>
          <w:sz w:val="15"/>
          <w:szCs w:val="15"/>
          <w:color w:val="auto"/>
        </w:rPr>
      </w:pPr>
    </w:p>
    <w:p>
      <w:pPr>
        <w:ind w:left="2100" w:right="3039" w:firstLine="723"/>
        <w:spacing w:after="0" w:line="247" w:lineRule="auto"/>
        <w:tabs>
          <w:tab w:leader="none" w:pos="3645" w:val="left"/>
        </w:tabs>
        <w:numPr>
          <w:ilvl w:val="1"/>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any Note or portion thereof, not tendered or accepted for payment will continue to accrue interest, if any;</w:t>
      </w:r>
    </w:p>
    <w:p>
      <w:pPr>
        <w:spacing w:after="0" w:line="174" w:lineRule="exact"/>
        <w:rPr>
          <w:rFonts w:ascii="Courier New" w:cs="Courier New" w:eastAsia="Courier New" w:hAnsi="Courier New"/>
          <w:sz w:val="15"/>
          <w:szCs w:val="15"/>
          <w:color w:val="auto"/>
        </w:rPr>
      </w:pPr>
    </w:p>
    <w:p>
      <w:pPr>
        <w:ind w:left="2100" w:right="3039" w:firstLine="723"/>
        <w:spacing w:after="0" w:line="246" w:lineRule="auto"/>
        <w:tabs>
          <w:tab w:leader="none" w:pos="3645" w:val="left"/>
        </w:tabs>
        <w:numPr>
          <w:ilvl w:val="1"/>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unless the Company defaults in depositing cash with the Paying Agent in accordance with this paragraph (h) or such payment is prevented pursuant to Article Sixteen of the Indenture (relating to Subordination), any Note or portion thereof, accepted for payment pursuant to the Repurchase Offer shall cease to accrue interest after the Repurchase Date;</w:t>
      </w:r>
    </w:p>
    <w:p>
      <w:pPr>
        <w:spacing w:after="0" w:line="179" w:lineRule="exact"/>
        <w:rPr>
          <w:rFonts w:ascii="Courier New" w:cs="Courier New" w:eastAsia="Courier New" w:hAnsi="Courier New"/>
          <w:sz w:val="15"/>
          <w:szCs w:val="15"/>
          <w:color w:val="auto"/>
        </w:rPr>
      </w:pPr>
    </w:p>
    <w:p>
      <w:pPr>
        <w:ind w:left="2100" w:right="3219" w:firstLine="723"/>
        <w:spacing w:after="0" w:line="246" w:lineRule="auto"/>
        <w:tabs>
          <w:tab w:leader="none" w:pos="3645" w:val="left"/>
        </w:tabs>
        <w:numPr>
          <w:ilvl w:val="1"/>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Holders electing to have a Note, or portion thereof, repurchased pursuant to a Repurchase Offer will be required to surrender the Note, with the form entitled "Option of Holder to Elect Repurchase" on the reverse of the Note completed, to the Paying Agent (which may not for purposes of this paragraph (h), notwithstanding anything in the Indenture to the contrary,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RESOLUTIONS</w:t>
      </w:r>
    </w:p>
    <w:p>
      <w:pPr>
        <w:spacing w:after="0" w:line="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- 3 -</w:t>
      </w:r>
    </w:p>
    <w:p>
      <w:pPr>
        <w:sectPr>
          <w:pgSz w:w="11900" w:h="16838" w:orient="portrait"/>
          <w:cols w:equalWidth="0" w:num="1">
            <w:col w:w="9959"/>
          </w:cols>
          <w:pgMar w:left="500" w:top="293" w:right="1440" w:bottom="1440" w:gutter="0" w:footer="0" w:header="0"/>
        </w:sectPr>
      </w:pPr>
    </w:p>
    <w:bookmarkStart w:id="156" w:name="page157"/>
    <w:bookmarkEnd w:id="156"/>
    <w:p>
      <w:pPr>
        <w:spacing w:after="0"/>
        <w:rPr>
          <w:sz w:val="20"/>
          <w:szCs w:val="20"/>
          <w:color w:val="auto"/>
        </w:rPr>
      </w:pPr>
      <w:r>
        <w:rPr>
          <w:rFonts w:ascii="Courier New" w:cs="Courier New" w:eastAsia="Courier New" w:hAnsi="Courier New"/>
          <w:sz w:val="15"/>
          <w:szCs w:val="15"/>
          <w:color w:val="auto"/>
        </w:rPr>
        <w:t>5</w:t>
      </w:r>
    </w:p>
    <w:p>
      <w:pPr>
        <w:spacing w:after="0" w:line="180"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be the Company or any Affiliate of the Company) at the</w:t>
      </w:r>
    </w:p>
    <w:p>
      <w:pPr>
        <w:spacing w:after="0" w:line="5"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address specified in the notice prior to the close of</w:t>
      </w:r>
    </w:p>
    <w:p>
      <w:pPr>
        <w:spacing w:after="0" w:line="5"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business on the earlier of (i) the third Business Day</w:t>
      </w:r>
    </w:p>
    <w:p>
      <w:pPr>
        <w:spacing w:after="0" w:line="5"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prior to the Repurchase Date and (ii) the third</w:t>
      </w:r>
    </w:p>
    <w:p>
      <w:pPr>
        <w:spacing w:after="0" w:line="5"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Business Day following the expiration of the</w:t>
      </w:r>
    </w:p>
    <w:p>
      <w:pPr>
        <w:spacing w:after="0" w:line="5"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Repurchase Offer (such earlier date being the</w:t>
      </w:r>
    </w:p>
    <w:p>
      <w:pPr>
        <w:spacing w:after="0" w:line="5"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"Repurchase Put Date");</w:t>
      </w:r>
    </w:p>
    <w:p>
      <w:pPr>
        <w:spacing w:after="0" w:line="180" w:lineRule="exact"/>
        <w:rPr>
          <w:sz w:val="20"/>
          <w:szCs w:val="20"/>
          <w:color w:val="auto"/>
        </w:rPr>
      </w:pPr>
    </w:p>
    <w:p>
      <w:pPr>
        <w:ind w:left="2100" w:right="3039" w:firstLine="723"/>
        <w:spacing w:after="0" w:line="246" w:lineRule="auto"/>
        <w:tabs>
          <w:tab w:leader="none" w:pos="3645"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Holders will be entitled to withdraw their election, in whole or in part, if the Paying Agent (which may not for purposes of this paragraph (h), notwithstanding anything in the Indenture to the contrary, be the Company or any Affiliate of the Company) receives, up to the close of business on the Repurchase Put Date, a telegraph, telex, facsimile transmission or letter setting forth the name of the Holder, the principal amount of the Notes the Holder is withdrawing and a statement that such Holder is withdrawing his election to have such principal amount of Notes repurchased; and</w:t>
      </w:r>
    </w:p>
    <w:p>
      <w:pPr>
        <w:spacing w:after="0" w:line="182" w:lineRule="exact"/>
        <w:rPr>
          <w:rFonts w:ascii="Courier New" w:cs="Courier New" w:eastAsia="Courier New" w:hAnsi="Courier New"/>
          <w:sz w:val="15"/>
          <w:szCs w:val="15"/>
          <w:color w:val="auto"/>
        </w:rPr>
      </w:pPr>
    </w:p>
    <w:p>
      <w:pPr>
        <w:ind w:left="3640" w:hanging="817"/>
        <w:spacing w:after="0"/>
        <w:tabs>
          <w:tab w:leader="none" w:pos="3640"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brief description of the events</w:t>
      </w:r>
    </w:p>
    <w:p>
      <w:pPr>
        <w:spacing w:after="0" w:line="4" w:lineRule="exact"/>
        <w:rPr>
          <w:rFonts w:ascii="Courier New" w:cs="Courier New" w:eastAsia="Courier New" w:hAnsi="Courier New"/>
          <w:sz w:val="15"/>
          <w:szCs w:val="15"/>
          <w:color w:val="auto"/>
        </w:rPr>
      </w:pPr>
    </w:p>
    <w:p>
      <w:pPr>
        <w:ind w:left="21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resulting in such Change of Control.</w:t>
      </w:r>
    </w:p>
    <w:p>
      <w:pPr>
        <w:spacing w:after="0" w:line="180" w:lineRule="exact"/>
        <w:rPr>
          <w:sz w:val="20"/>
          <w:szCs w:val="20"/>
          <w:color w:val="auto"/>
        </w:rPr>
      </w:pPr>
    </w:p>
    <w:p>
      <w:pPr>
        <w:ind w:left="560" w:right="3039" w:firstLine="727"/>
        <w:spacing w:after="0" w:line="246" w:lineRule="auto"/>
        <w:rPr>
          <w:sz w:val="20"/>
          <w:szCs w:val="20"/>
          <w:color w:val="auto"/>
        </w:rPr>
      </w:pPr>
      <w:r>
        <w:rPr>
          <w:rFonts w:ascii="Courier New" w:cs="Courier New" w:eastAsia="Courier New" w:hAnsi="Courier New"/>
          <w:sz w:val="15"/>
          <w:szCs w:val="15"/>
          <w:color w:val="auto"/>
        </w:rPr>
        <w:t>Any such Repurchase Offer shall comply with all applicable provision of Federal and state laws, including those regulating tender offers, if applicable, and any provisions of the Indenture which conflict with such laws shall be deemed to be superseded by the provisions of such laws.</w:t>
      </w:r>
    </w:p>
    <w:p>
      <w:pPr>
        <w:spacing w:after="0" w:line="178" w:lineRule="exact"/>
        <w:rPr>
          <w:sz w:val="20"/>
          <w:szCs w:val="20"/>
          <w:color w:val="auto"/>
        </w:rPr>
      </w:pPr>
    </w:p>
    <w:p>
      <w:pPr>
        <w:ind w:left="560" w:right="3039" w:firstLine="727"/>
        <w:spacing w:after="0" w:line="246" w:lineRule="auto"/>
        <w:rPr>
          <w:sz w:val="20"/>
          <w:szCs w:val="20"/>
          <w:color w:val="auto"/>
        </w:rPr>
      </w:pPr>
      <w:r>
        <w:rPr>
          <w:rFonts w:ascii="Courier New" w:cs="Courier New" w:eastAsia="Courier New" w:hAnsi="Courier New"/>
          <w:sz w:val="15"/>
          <w:szCs w:val="15"/>
          <w:color w:val="auto"/>
        </w:rPr>
        <w:t>On or before the Repurchase Date, the Company shall (i) accept for payment Notes or portions thereof properly tendered pursuant to the Repurchase Offer on or before the Repurchase Put Date, (ii) deposit with the Paying Agent cash sufficient to pay the Repurchase Price (together with accrued and unpaid interest, if any) of all Notes so tendered and (iii) deliver to the Trustee Notes so accepted, together with an Officers' Certificate listing the Notes or portions thereof being repurchased by the Company. The Paying Agent shall promptly mail to the Holders of Notes so accepted payment in an amount equal to the Repurchase Price (plus accrued and unpaid interest, if any), and the Trustee shall promptly authenticate and mail or deliver to such Holders a new Note or Notes equal in principal amount to any unpurchased portion of the Notes surrendered. Any Notes not so accepted shall be promptly mailed or delivered by the Company to the Holder thereof. The Company shall publicly announce the results of the Repurchase Offer on or as soon as practicable after the Repurchase Date.</w:t>
      </w:r>
    </w:p>
    <w:p>
      <w:pPr>
        <w:spacing w:after="0" w:line="185" w:lineRule="exact"/>
        <w:rPr>
          <w:sz w:val="20"/>
          <w:szCs w:val="20"/>
          <w:color w:val="auto"/>
        </w:rPr>
      </w:pPr>
    </w:p>
    <w:p>
      <w:pPr>
        <w:ind w:left="560" w:right="3139" w:firstLine="727"/>
        <w:spacing w:after="0" w:line="246" w:lineRule="auto"/>
        <w:rPr>
          <w:sz w:val="20"/>
          <w:szCs w:val="20"/>
          <w:color w:val="auto"/>
        </w:rPr>
      </w:pPr>
      <w:r>
        <w:rPr>
          <w:rFonts w:ascii="Courier New" w:cs="Courier New" w:eastAsia="Courier New" w:hAnsi="Courier New"/>
          <w:sz w:val="15"/>
          <w:szCs w:val="15"/>
          <w:color w:val="auto"/>
        </w:rPr>
        <w:t>As used herein, the term "Change of Control" shall mean the occurrence of any of the following events: (i) any merger or consolidation of the Company with or into any person or any sale, transfer or other conveyance, whether direct or indirect, of all or substantially all of the assets of the Company, on a consolidated basis, in one transaction or a series of related transactions, if, immediately after giving effect to such transaction, any "person" or "group" is or becomes the "beneficial owner", directly or indirectly, of more than 50% of the total voting power in the aggregate normally entitled to vote in the election of directors, managers, or trustees, as applicable, of the transferee or surviving entity; (ii) when any "person" or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RESOLUTIONS</w:t>
      </w:r>
    </w:p>
    <w:p>
      <w:pPr>
        <w:spacing w:after="0" w:line="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- 4 -</w:t>
      </w:r>
    </w:p>
    <w:p>
      <w:pPr>
        <w:sectPr>
          <w:pgSz w:w="11900" w:h="16838" w:orient="portrait"/>
          <w:cols w:equalWidth="0" w:num="1">
            <w:col w:w="9959"/>
          </w:cols>
          <w:pgMar w:left="500" w:top="293" w:right="1440" w:bottom="1440" w:gutter="0" w:footer="0" w:header="0"/>
        </w:sectPr>
      </w:pPr>
    </w:p>
    <w:bookmarkStart w:id="157" w:name="page158"/>
    <w:bookmarkEnd w:id="157"/>
    <w:p>
      <w:pPr>
        <w:spacing w:after="0"/>
        <w:rPr>
          <w:sz w:val="20"/>
          <w:szCs w:val="20"/>
          <w:color w:val="auto"/>
        </w:rPr>
      </w:pPr>
      <w:r>
        <w:rPr>
          <w:rFonts w:ascii="Courier New" w:cs="Courier New" w:eastAsia="Courier New" w:hAnsi="Courier New"/>
          <w:sz w:val="15"/>
          <w:szCs w:val="15"/>
          <w:color w:val="auto"/>
        </w:rPr>
        <w:t>6</w:t>
      </w:r>
    </w:p>
    <w:p>
      <w:pPr>
        <w:spacing w:after="0" w:line="5" w:lineRule="exact"/>
        <w:rPr>
          <w:sz w:val="20"/>
          <w:szCs w:val="20"/>
          <w:color w:val="auto"/>
        </w:rPr>
      </w:pPr>
    </w:p>
    <w:p>
      <w:pPr>
        <w:ind w:left="560" w:right="3039"/>
        <w:spacing w:after="0" w:line="246" w:lineRule="auto"/>
        <w:rPr>
          <w:sz w:val="20"/>
          <w:szCs w:val="20"/>
          <w:color w:val="auto"/>
        </w:rPr>
      </w:pPr>
      <w:r>
        <w:rPr>
          <w:rFonts w:ascii="Courier New" w:cs="Courier New" w:eastAsia="Courier New" w:hAnsi="Courier New"/>
          <w:sz w:val="15"/>
          <w:szCs w:val="15"/>
          <w:color w:val="auto"/>
        </w:rPr>
        <w:t>is or becomes the "beneficial owner", directly or indirectly, of more than 50% of the total voting power in the aggregate normally entitled to vote in the election of directors of the Company; (iii) when, during any period of 12 consecutive months after the date of issuance of the Notes (the "Issue Date"), individuals who at the beginning of any such 12-month period constituted the Board of Directors of the Company (together with any new directors whose election by such Board or whose nomination for election by the stockholders of the Company was approved by a vote of a majority of the directors then still in office who were either directors at the beginning of such period or whose election or nomination for election was previously so approved) cease for any reason to constitute a majority of the Board of Directors of the Company then in office; (iv) a sale or disposition, whether directly or indirectly, by the Company of all or substantially all of its assets; or (v) the pro rata distribution by the Company to its stockholders of substantially all of its assets.</w:t>
      </w:r>
    </w:p>
    <w:p>
      <w:pPr>
        <w:spacing w:after="0" w:line="184" w:lineRule="exact"/>
        <w:rPr>
          <w:sz w:val="20"/>
          <w:szCs w:val="20"/>
          <w:color w:val="auto"/>
        </w:rPr>
      </w:pPr>
    </w:p>
    <w:p>
      <w:pPr>
        <w:ind w:left="560" w:right="3039" w:firstLine="727"/>
        <w:spacing w:after="0" w:line="246" w:lineRule="auto"/>
        <w:rPr>
          <w:sz w:val="20"/>
          <w:szCs w:val="20"/>
          <w:color w:val="auto"/>
        </w:rPr>
      </w:pPr>
      <w:r>
        <w:rPr>
          <w:rFonts w:ascii="Courier New" w:cs="Courier New" w:eastAsia="Courier New" w:hAnsi="Courier New"/>
          <w:sz w:val="15"/>
          <w:szCs w:val="15"/>
          <w:color w:val="auto"/>
        </w:rPr>
        <w:t>For purposes of this definition of "Change of Control," (i) the terms "person" and "group" shall have the meaning used for purposes of Rules 13d-3 and 13d-5 under the Securities Exchange Act of 1934, as amended (the "Exchange Act") as in effect on the Issue Date, whether or not applicable; and (ii) the term "beneficial owner" shall have the meaning used in Rules 13d-3 and 13d-5 under the Exchange Act as in effect on the Issue Date, whether or not applicable, except that a "person" shall be deemed to have "beneficial ownership" of all shares that any such person has the right to acquire, whether such right is exercisable immediately or only after the passage of time or upon the occurrence of certain events.</w:t>
      </w:r>
    </w:p>
    <w:p>
      <w:pPr>
        <w:spacing w:after="0" w:line="181" w:lineRule="exact"/>
        <w:rPr>
          <w:sz w:val="20"/>
          <w:szCs w:val="20"/>
          <w:color w:val="auto"/>
        </w:rPr>
      </w:pPr>
    </w:p>
    <w:p>
      <w:pPr>
        <w:ind w:left="560" w:right="3219" w:firstLine="718"/>
        <w:spacing w:after="0" w:line="246" w:lineRule="auto"/>
        <w:tabs>
          <w:tab w:leader="none" w:pos="2105"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Notes may be presented for transfer or exchange at the office or agency of the Company maintained for such purpose, which office or agency shall be maintained in the Borough of Manhattan, City of New York.</w:t>
      </w:r>
    </w:p>
    <w:p>
      <w:pPr>
        <w:spacing w:after="0" w:line="177" w:lineRule="exact"/>
        <w:rPr>
          <w:rFonts w:ascii="Courier New" w:cs="Courier New" w:eastAsia="Courier New" w:hAnsi="Courier New"/>
          <w:sz w:val="15"/>
          <w:szCs w:val="15"/>
          <w:color w:val="auto"/>
        </w:rPr>
      </w:pPr>
    </w:p>
    <w:p>
      <w:pPr>
        <w:ind w:left="2100" w:hanging="822"/>
        <w:spacing w:after="0"/>
        <w:tabs>
          <w:tab w:leader="none" w:pos="2100"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Notes shall be denominated in Dollars;</w:t>
      </w:r>
    </w:p>
    <w:p>
      <w:pPr>
        <w:spacing w:after="0" w:line="179" w:lineRule="exact"/>
        <w:rPr>
          <w:rFonts w:ascii="Courier New" w:cs="Courier New" w:eastAsia="Courier New" w:hAnsi="Courier New"/>
          <w:sz w:val="15"/>
          <w:szCs w:val="15"/>
          <w:color w:val="auto"/>
        </w:rPr>
      </w:pPr>
    </w:p>
    <w:p>
      <w:pPr>
        <w:ind w:left="560" w:right="3419" w:firstLine="718"/>
        <w:spacing w:after="0" w:line="247" w:lineRule="auto"/>
        <w:tabs>
          <w:tab w:leader="none" w:pos="2105"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entire principal amount of the Notes shall be issuable as Registered Securities;</w:t>
      </w:r>
    </w:p>
    <w:p>
      <w:pPr>
        <w:spacing w:after="0" w:line="174" w:lineRule="exact"/>
        <w:rPr>
          <w:rFonts w:ascii="Courier New" w:cs="Courier New" w:eastAsia="Courier New" w:hAnsi="Courier New"/>
          <w:sz w:val="15"/>
          <w:szCs w:val="15"/>
          <w:color w:val="auto"/>
        </w:rPr>
      </w:pPr>
    </w:p>
    <w:p>
      <w:pPr>
        <w:ind w:left="560" w:right="3219" w:firstLine="718"/>
        <w:spacing w:after="0" w:line="247" w:lineRule="auto"/>
        <w:tabs>
          <w:tab w:leader="none" w:pos="2105"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principal of and interest on the Notes shall be paid in Dollars and the Holders shall not be permitted to elect payment in any other currency;</w:t>
      </w:r>
    </w:p>
    <w:p>
      <w:pPr>
        <w:spacing w:after="0" w:line="174" w:lineRule="exact"/>
        <w:rPr>
          <w:rFonts w:ascii="Courier New" w:cs="Courier New" w:eastAsia="Courier New" w:hAnsi="Courier New"/>
          <w:sz w:val="15"/>
          <w:szCs w:val="15"/>
          <w:color w:val="auto"/>
        </w:rPr>
      </w:pPr>
    </w:p>
    <w:p>
      <w:pPr>
        <w:ind w:left="560" w:right="3219" w:firstLine="718"/>
        <w:spacing w:after="0" w:line="247" w:lineRule="auto"/>
        <w:tabs>
          <w:tab w:leader="none" w:pos="2105"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provisions of Sections 1302 (relating to Defeasance and Discharge) and 1303 (relating to Covenant Defeasance) of the Indenture shall not apply to the Notes;</w:t>
      </w:r>
    </w:p>
    <w:p>
      <w:pPr>
        <w:spacing w:after="0" w:line="174" w:lineRule="exact"/>
        <w:rPr>
          <w:rFonts w:ascii="Courier New" w:cs="Courier New" w:eastAsia="Courier New" w:hAnsi="Courier New"/>
          <w:sz w:val="15"/>
          <w:szCs w:val="15"/>
          <w:color w:val="auto"/>
        </w:rPr>
      </w:pPr>
    </w:p>
    <w:p>
      <w:pPr>
        <w:ind w:left="560" w:right="3039" w:firstLine="718"/>
        <w:spacing w:after="0" w:line="247" w:lineRule="auto"/>
        <w:tabs>
          <w:tab w:leader="none" w:pos="2105"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the Events of Default specified in Section 501 of the Indenture, the following shall constitute Events of Default with respect to the Notes:</w:t>
      </w:r>
    </w:p>
    <w:p>
      <w:pPr>
        <w:spacing w:after="0" w:line="174" w:lineRule="exact"/>
        <w:rPr>
          <w:rFonts w:ascii="Courier New" w:cs="Courier New" w:eastAsia="Courier New" w:hAnsi="Courier New"/>
          <w:sz w:val="15"/>
          <w:szCs w:val="15"/>
          <w:color w:val="auto"/>
        </w:rPr>
      </w:pPr>
    </w:p>
    <w:p>
      <w:pPr>
        <w:ind w:left="1280" w:right="3039" w:firstLine="816"/>
        <w:spacing w:after="0" w:line="246" w:lineRule="auto"/>
        <w:tabs>
          <w:tab w:leader="none" w:pos="2825" w:val="left"/>
        </w:tabs>
        <w:numPr>
          <w:ilvl w:val="1"/>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failure by the Company to pay the Repurchase Price on the Repurchase Date in accordance with paragraph (h) above, whether or not such payment is prohibited by Article Sixteen of the Indenture; provided, however, that notwithstanding the notice requirement contained in Section 501(4) of the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RESOLUTIONS</w:t>
      </w:r>
    </w:p>
    <w:p>
      <w:pPr>
        <w:spacing w:after="0" w:line="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- 5 -</w:t>
      </w:r>
    </w:p>
    <w:p>
      <w:pPr>
        <w:sectPr>
          <w:pgSz w:w="11900" w:h="16838" w:orient="portrait"/>
          <w:cols w:equalWidth="0" w:num="1">
            <w:col w:w="9959"/>
          </w:cols>
          <w:pgMar w:left="500" w:top="293" w:right="1440" w:bottom="1440" w:gutter="0" w:footer="0" w:header="0"/>
        </w:sectPr>
      </w:pPr>
    </w:p>
    <w:bookmarkStart w:id="158" w:name="page159"/>
    <w:bookmarkEnd w:id="158"/>
    <w:p>
      <w:pPr>
        <w:spacing w:after="0"/>
        <w:rPr>
          <w:sz w:val="20"/>
          <w:szCs w:val="20"/>
          <w:color w:val="auto"/>
        </w:rPr>
      </w:pPr>
      <w:r>
        <w:rPr>
          <w:rFonts w:ascii="Courier New" w:cs="Courier New" w:eastAsia="Courier New" w:hAnsi="Courier New"/>
          <w:sz w:val="15"/>
          <w:szCs w:val="15"/>
          <w:color w:val="auto"/>
        </w:rPr>
        <w:t>7</w:t>
      </w:r>
    </w:p>
    <w:p>
      <w:pPr>
        <w:spacing w:after="0" w:line="5" w:lineRule="exact"/>
        <w:rPr>
          <w:sz w:val="20"/>
          <w:szCs w:val="20"/>
          <w:color w:val="auto"/>
        </w:rPr>
      </w:pPr>
    </w:p>
    <w:p>
      <w:pPr>
        <w:ind w:left="1280" w:right="2959"/>
        <w:spacing w:after="0" w:line="246" w:lineRule="auto"/>
        <w:rPr>
          <w:sz w:val="20"/>
          <w:szCs w:val="20"/>
          <w:color w:val="auto"/>
        </w:rPr>
      </w:pPr>
      <w:r>
        <w:rPr>
          <w:rFonts w:ascii="Courier New" w:cs="Courier New" w:eastAsia="Courier New" w:hAnsi="Courier New"/>
          <w:sz w:val="15"/>
          <w:szCs w:val="15"/>
          <w:color w:val="auto"/>
        </w:rPr>
        <w:t>with respect to a default under paragraph (h) hereof, the 90-day period referred to in Section 501(4) shall be deemed to have begun as of the date the Change of Control notice is required to be sent in the event that the Company has not complied with the provisions of paragraph (h) hereof and the Trustee or Holders of at least 25% in principal amount of the outstanding Notes thereafter give the Notice of Default referred to in Section 501(4) of the Indenture to the Company and, if applicable, the Trustee; and provided, further, that if the breach or default is a result of a default in the payment when due of the Repurchase Price on the Repurchase Date, such Event of Default shall be deemed, for purposes of Section 501 of the Indenture, to arise no later than on the final Repurchase Date; or</w:t>
      </w:r>
    </w:p>
    <w:p>
      <w:pPr>
        <w:spacing w:after="0" w:line="183" w:lineRule="exact"/>
        <w:rPr>
          <w:sz w:val="20"/>
          <w:szCs w:val="20"/>
          <w:color w:val="auto"/>
        </w:rPr>
      </w:pPr>
    </w:p>
    <w:p>
      <w:pPr>
        <w:ind w:left="1280" w:right="3039" w:firstLine="816"/>
        <w:spacing w:after="0" w:line="246" w:lineRule="auto"/>
        <w:tabs>
          <w:tab w:leader="none" w:pos="2825" w:val="left"/>
        </w:tabs>
        <w:numPr>
          <w:ilvl w:val="1"/>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default under Indebtedness of the Company or any of its Subsidiaries with an aggregate principal amount in excess of $50,000,000 (a) resulting from the failure to pay principal, premium or interest when due that extends beyond any stated period of grace applicable thereto or (b) as a result of which the maturity of such Indebtedness has been accelerated to its maturity; or</w:t>
      </w:r>
    </w:p>
    <w:p>
      <w:pPr>
        <w:spacing w:after="0" w:line="179" w:lineRule="exact"/>
        <w:rPr>
          <w:rFonts w:ascii="Courier New" w:cs="Courier New" w:eastAsia="Courier New" w:hAnsi="Courier New"/>
          <w:sz w:val="15"/>
          <w:szCs w:val="15"/>
          <w:color w:val="auto"/>
        </w:rPr>
      </w:pPr>
    </w:p>
    <w:p>
      <w:pPr>
        <w:ind w:left="1280" w:right="3039" w:firstLine="816"/>
        <w:spacing w:after="0" w:line="246" w:lineRule="auto"/>
        <w:tabs>
          <w:tab w:leader="none" w:pos="2825" w:val="left"/>
        </w:tabs>
        <w:numPr>
          <w:ilvl w:val="1"/>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final unsatisfied judgments, not covered by insurance (including self-insurance), or the issuance of any warrant of attachment against any portion of the property or assets of the Company or any of its Subsidiaries, aggregating in excess of $50,000,000, at any one time shall have been rendered against the Company or any of its Subsidiaries and not have been stayed, bonded or discharged for a period (during which execution shall not be effectively stayed) of 75 days (or, in case of any such final judgment which provides for payment over time, which shall so remain unstayed, unbonded or undischarged beyond any applicable payment date provided therein.)</w:t>
      </w:r>
    </w:p>
    <w:p>
      <w:pPr>
        <w:spacing w:after="0" w:line="182" w:lineRule="exact"/>
        <w:rPr>
          <w:rFonts w:ascii="Courier New" w:cs="Courier New" w:eastAsia="Courier New" w:hAnsi="Courier New"/>
          <w:sz w:val="15"/>
          <w:szCs w:val="15"/>
          <w:color w:val="auto"/>
        </w:rPr>
      </w:pPr>
    </w:p>
    <w:p>
      <w:pPr>
        <w:ind w:left="560" w:right="3039" w:firstLine="718"/>
        <w:spacing w:after="0" w:line="246" w:lineRule="auto"/>
        <w:tabs>
          <w:tab w:leader="none" w:pos="2105"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and upon compliance with the provisions of Article 15 of the Indenture, at the option of the Holder thereof, all or any portion of the principal amount of any Note may, at any time, be converted (but only in integral multiples of $1,000 principal amount) into fully paid and non-assessable shares of Common Stock, at the Conversion Price in effect at the Date of Conversion, until and including, but not after the close of business on the second Business Day prior to the Stated Maturity of the Notes unless such Note or some portion thereof shall have been called for redemption or delivered for repurchase prior to such date. Notes or portions thereof that have been called for redemption or delivered for repurchase prior to such date may be so converted until and including, but not after, the close of business on the Business Day prior to the Redemption Date or Repurchase Date, as applicable, for such Note, unless the Company subsequently fails to pay the applicable Redemption Price or Repurchase Price, as the case may be.</w:t>
      </w:r>
    </w:p>
    <w:p>
      <w:pPr>
        <w:spacing w:after="0" w:line="184" w:lineRule="exact"/>
        <w:rPr>
          <w:sz w:val="20"/>
          <w:szCs w:val="20"/>
          <w:color w:val="auto"/>
        </w:rPr>
      </w:pPr>
    </w:p>
    <w:p>
      <w:pPr>
        <w:ind w:left="560" w:right="3219" w:firstLine="727"/>
        <w:spacing w:after="0" w:line="246" w:lineRule="auto"/>
        <w:rPr>
          <w:sz w:val="20"/>
          <w:szCs w:val="20"/>
          <w:color w:val="auto"/>
        </w:rPr>
      </w:pPr>
      <w:r>
        <w:rPr>
          <w:rFonts w:ascii="Courier New" w:cs="Courier New" w:eastAsia="Courier New" w:hAnsi="Courier New"/>
          <w:sz w:val="15"/>
          <w:szCs w:val="15"/>
          <w:color w:val="auto"/>
        </w:rPr>
        <w:t>The Conversion Price of the Notes shall initially be $43.555 per share of Common Stock issuable upon conversion of the Notes (or 22.959 shares per $1,000 principal amount of Notes), subject to adjustment as provided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RESOLUTIONS</w:t>
      </w:r>
    </w:p>
    <w:p>
      <w:pPr>
        <w:spacing w:after="0" w:line="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- 6 -</w:t>
      </w:r>
    </w:p>
    <w:p>
      <w:pPr>
        <w:sectPr>
          <w:pgSz w:w="11900" w:h="16838" w:orient="portrait"/>
          <w:cols w:equalWidth="0" w:num="1">
            <w:col w:w="9959"/>
          </w:cols>
          <w:pgMar w:left="500" w:top="293" w:right="1440" w:bottom="1440" w:gutter="0" w:footer="0" w:header="0"/>
        </w:sectPr>
      </w:pPr>
    </w:p>
    <w:bookmarkStart w:id="159" w:name="page160"/>
    <w:bookmarkEnd w:id="159"/>
    <w:p>
      <w:pPr>
        <w:spacing w:after="0"/>
        <w:rPr>
          <w:sz w:val="20"/>
          <w:szCs w:val="20"/>
          <w:color w:val="auto"/>
        </w:rPr>
      </w:pPr>
      <w:r>
        <w:rPr>
          <w:rFonts w:ascii="Courier New" w:cs="Courier New" w:eastAsia="Courier New" w:hAnsi="Courier New"/>
          <w:sz w:val="15"/>
          <w:szCs w:val="15"/>
          <w:color w:val="auto"/>
        </w:rPr>
        <w:t>8</w:t>
      </w:r>
    </w:p>
    <w:p>
      <w:pPr>
        <w:spacing w:after="0" w:line="180" w:lineRule="exact"/>
        <w:rPr>
          <w:sz w:val="20"/>
          <w:szCs w:val="20"/>
          <w:color w:val="auto"/>
        </w:rPr>
      </w:pPr>
    </w:p>
    <w:p>
      <w:pPr>
        <w:ind w:left="560" w:right="3039" w:firstLine="727"/>
        <w:spacing w:after="0" w:line="247" w:lineRule="auto"/>
        <w:rPr>
          <w:sz w:val="20"/>
          <w:szCs w:val="20"/>
          <w:color w:val="auto"/>
        </w:rPr>
      </w:pPr>
      <w:r>
        <w:rPr>
          <w:rFonts w:ascii="Courier New" w:cs="Courier New" w:eastAsia="Courier New" w:hAnsi="Courier New"/>
          <w:sz w:val="15"/>
          <w:szCs w:val="15"/>
          <w:color w:val="auto"/>
        </w:rPr>
        <w:t>In addition to the provisions contained in Section 1502 of the Indenture (relating to Exercise of the Conversion Privilege), the following provisions shall apply to the Notes:</w:t>
      </w:r>
    </w:p>
    <w:p>
      <w:pPr>
        <w:spacing w:after="0" w:line="174" w:lineRule="exact"/>
        <w:rPr>
          <w:sz w:val="20"/>
          <w:szCs w:val="20"/>
          <w:color w:val="auto"/>
        </w:rPr>
      </w:pPr>
    </w:p>
    <w:p>
      <w:pPr>
        <w:ind w:left="1280" w:right="3039" w:firstLine="818"/>
        <w:spacing w:after="0" w:line="246" w:lineRule="auto"/>
        <w:rPr>
          <w:sz w:val="20"/>
          <w:szCs w:val="20"/>
          <w:color w:val="auto"/>
        </w:rPr>
      </w:pPr>
      <w:r>
        <w:rPr>
          <w:rFonts w:ascii="Courier New" w:cs="Courier New" w:eastAsia="Courier New" w:hAnsi="Courier New"/>
          <w:sz w:val="15"/>
          <w:szCs w:val="15"/>
          <w:color w:val="auto"/>
        </w:rPr>
        <w:t>The Holder of any Note at the close of business on a Regular Record Date will be entitled to receive the interest payable on such Note on the corresponding Interest Payment Date notwithstanding the conversion thereof after such Regular Record Date. The interest payment with respect to a Note called for redemption on a date during the period from the close of business on any Regular Record Date and the close of business on the corresponding Interest Payment Date will be payable on the corresponding Interest Payment Date to the registered Holder at the close of business on that Regular Record Date (notwithstanding the conversion of such Note before the corresponding Interest Payment Date) and a Holder who elects to convert need not include funds equal to the interest paid. In all cases, Holders as of the Regular Record Date immediately preceding February 1, 2000 will receive the interest payment due on February 1, 2000, even if such Holder surrenders a Note for conversion after such Regular Record Date as a result of the Company's exercise of its right to redeem the Notes on or after February 1, 2000.</w:t>
      </w:r>
    </w:p>
    <w:p>
      <w:pPr>
        <w:spacing w:after="0" w:line="186" w:lineRule="exact"/>
        <w:rPr>
          <w:sz w:val="20"/>
          <w:szCs w:val="20"/>
          <w:color w:val="auto"/>
        </w:rPr>
      </w:pPr>
    </w:p>
    <w:p>
      <w:pPr>
        <w:ind w:left="560" w:right="3779" w:firstLine="727"/>
        <w:spacing w:after="0" w:line="247" w:lineRule="auto"/>
        <w:rPr>
          <w:sz w:val="20"/>
          <w:szCs w:val="20"/>
          <w:color w:val="auto"/>
        </w:rPr>
      </w:pPr>
      <w:r>
        <w:rPr>
          <w:rFonts w:ascii="Courier New" w:cs="Courier New" w:eastAsia="Courier New" w:hAnsi="Courier New"/>
          <w:sz w:val="15"/>
          <w:szCs w:val="15"/>
          <w:color w:val="auto"/>
        </w:rPr>
        <w:t>The Conversion Price for the Notes shall be subject to adjustment from time to time as follows:</w:t>
      </w:r>
    </w:p>
    <w:p>
      <w:pPr>
        <w:spacing w:after="0" w:line="175" w:lineRule="exact"/>
        <w:rPr>
          <w:sz w:val="20"/>
          <w:szCs w:val="20"/>
          <w:color w:val="auto"/>
        </w:rPr>
      </w:pPr>
    </w:p>
    <w:p>
      <w:pPr>
        <w:ind w:left="1280" w:right="3039" w:firstLine="816"/>
        <w:spacing w:after="0" w:line="246" w:lineRule="auto"/>
        <w:tabs>
          <w:tab w:leader="none" w:pos="2825"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the Company shall (A) pay a dividend or make a distribution in shares of Common Stock on the Common Stock, (B) subdivide its outstanding shares of Common Stock into a greater number of shares, or (C) combine or reclassify its outstanding shares of Common Stock into a smaller number of shares, the Conversion Price in effect immediately prior to such action shall be adjusted so that the Holder of any Note thereafter surrendered for conversion shall be entitled to receive the number of shares of Common Stock which he would have owned immediately following such action had such Note been converted immediately prior thereto. An adjustment made pursuant to this subparagraph (1) shall become effective immediately, except as provided in subparagraph (8) below, after the record date in the case of a dividend or distribution and shall become effective immediately after the effective date in the case of a subdivision or combination. If as a result of an adjustment made pursuant to this subparagraph (1), the Holder of any Note thereafter surrendered for conversion shall become entitled to receive shares of two or more classes of capital stock (including shares of Common Stock and other capital stock) of the Company, the Board of Directors (whose determination shall be conclusive and shall be described in a statement filed with the Trustee) shall determine the allocation of the adjusted Conversion Price between or among shares of such classes of capital stock or shares of Common Stock and other capital stock.</w:t>
      </w:r>
    </w:p>
    <w:p>
      <w:pPr>
        <w:spacing w:after="0" w:line="191" w:lineRule="exact"/>
        <w:rPr>
          <w:rFonts w:ascii="Courier New" w:cs="Courier New" w:eastAsia="Courier New" w:hAnsi="Courier New"/>
          <w:sz w:val="15"/>
          <w:szCs w:val="15"/>
          <w:color w:val="auto"/>
        </w:rPr>
      </w:pPr>
    </w:p>
    <w:p>
      <w:pPr>
        <w:ind w:left="1280" w:right="3219" w:firstLine="816"/>
        <w:spacing w:after="0" w:line="247" w:lineRule="auto"/>
        <w:tabs>
          <w:tab w:leader="none" w:pos="2825"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the Company shall issue rights, options or warrants to all holders of Common Stock entitling them (for a period not exceeding 45 days from the date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RESOLUTIONS</w:t>
      </w:r>
    </w:p>
    <w:p>
      <w:pPr>
        <w:spacing w:after="0" w:line="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- 7 -</w:t>
      </w:r>
    </w:p>
    <w:p>
      <w:pPr>
        <w:sectPr>
          <w:pgSz w:w="11900" w:h="16838" w:orient="portrait"/>
          <w:cols w:equalWidth="0" w:num="1">
            <w:col w:w="9959"/>
          </w:cols>
          <w:pgMar w:left="500" w:top="293" w:right="1440" w:bottom="1440" w:gutter="0" w:footer="0" w:header="0"/>
        </w:sectPr>
      </w:pPr>
    </w:p>
    <w:bookmarkStart w:id="160" w:name="page161"/>
    <w:bookmarkEnd w:id="160"/>
    <w:p>
      <w:pPr>
        <w:spacing w:after="0"/>
        <w:rPr>
          <w:sz w:val="20"/>
          <w:szCs w:val="20"/>
          <w:color w:val="auto"/>
        </w:rPr>
      </w:pPr>
      <w:r>
        <w:rPr>
          <w:rFonts w:ascii="Courier New" w:cs="Courier New" w:eastAsia="Courier New" w:hAnsi="Courier New"/>
          <w:sz w:val="15"/>
          <w:szCs w:val="15"/>
          <w:color w:val="auto"/>
        </w:rPr>
        <w:t>9</w:t>
      </w:r>
    </w:p>
    <w:p>
      <w:pPr>
        <w:spacing w:after="0" w:line="5" w:lineRule="exact"/>
        <w:rPr>
          <w:sz w:val="20"/>
          <w:szCs w:val="20"/>
          <w:color w:val="auto"/>
        </w:rPr>
      </w:pPr>
    </w:p>
    <w:p>
      <w:pPr>
        <w:ind w:left="1280" w:right="2959"/>
        <w:spacing w:after="0" w:line="246" w:lineRule="auto"/>
        <w:rPr>
          <w:sz w:val="20"/>
          <w:szCs w:val="20"/>
          <w:color w:val="auto"/>
        </w:rPr>
      </w:pPr>
      <w:r>
        <w:rPr>
          <w:rFonts w:ascii="Courier New" w:cs="Courier New" w:eastAsia="Courier New" w:hAnsi="Courier New"/>
          <w:sz w:val="15"/>
          <w:szCs w:val="15"/>
          <w:color w:val="auto"/>
        </w:rPr>
        <w:t>such issuance) to subscribe for or purchase shares of Common Stock at a price per share less than the current market price per share (as determined pursuant to subparagraph (6) below) of the Common Stock on the record date mentioned below, the Conversion Price shall be adjusted to a price, computed to the nearest cent, so that the same shall equal the price determined by multiplying;</w:t>
      </w:r>
    </w:p>
    <w:p>
      <w:pPr>
        <w:spacing w:after="0" w:line="179" w:lineRule="exact"/>
        <w:rPr>
          <w:sz w:val="20"/>
          <w:szCs w:val="20"/>
          <w:color w:val="auto"/>
        </w:rPr>
      </w:pPr>
    </w:p>
    <w:p>
      <w:pPr>
        <w:ind w:left="2100" w:right="3219" w:firstLine="723"/>
        <w:spacing w:after="0" w:line="247" w:lineRule="auto"/>
        <w:tabs>
          <w:tab w:leader="none" w:pos="3645"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Conversion Price in effect immediately prior to the date of issuance of such rights, options or warrants by a fraction, of which</w:t>
      </w:r>
    </w:p>
    <w:p>
      <w:pPr>
        <w:spacing w:after="0" w:line="174" w:lineRule="exact"/>
        <w:rPr>
          <w:rFonts w:ascii="Courier New" w:cs="Courier New" w:eastAsia="Courier New" w:hAnsi="Courier New"/>
          <w:sz w:val="15"/>
          <w:szCs w:val="15"/>
          <w:color w:val="auto"/>
        </w:rPr>
      </w:pPr>
    </w:p>
    <w:p>
      <w:pPr>
        <w:ind w:left="2100" w:right="3039" w:firstLine="723"/>
        <w:spacing w:after="0" w:line="246" w:lineRule="auto"/>
        <w:tabs>
          <w:tab w:leader="none" w:pos="3645"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numerator shall be (x) the number of shares of Common Stock outstanding on the date of issuance of such rights, options or warrants, immediately prior to such issuance, plus (y) the number of shares which the aggregate offering price of the total number of shares so offered for subscription or purchase would purchase at such current market price (determined by multiplying such total number of shares by the exercise price of such rights, options or warrants and dividing the product so obtained by such current market price), and of which</w:t>
      </w:r>
    </w:p>
    <w:p>
      <w:pPr>
        <w:spacing w:after="0" w:line="182" w:lineRule="exact"/>
        <w:rPr>
          <w:rFonts w:ascii="Courier New" w:cs="Courier New" w:eastAsia="Courier New" w:hAnsi="Courier New"/>
          <w:sz w:val="15"/>
          <w:szCs w:val="15"/>
          <w:color w:val="auto"/>
        </w:rPr>
      </w:pPr>
    </w:p>
    <w:p>
      <w:pPr>
        <w:ind w:left="2100" w:right="3039" w:firstLine="723"/>
        <w:spacing w:after="0" w:line="246" w:lineRule="auto"/>
        <w:tabs>
          <w:tab w:leader="none" w:pos="3645"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denominator shall be (x) the number of shares of Common Stock outstanding on the date of issuance of such rights, options or warrants, immediately prior to such issuance, plus (y) the number of additional shares of Common Stock which are so offered for subscription or purchase.</w:t>
      </w:r>
    </w:p>
    <w:p>
      <w:pPr>
        <w:spacing w:after="0" w:line="178" w:lineRule="exact"/>
        <w:rPr>
          <w:sz w:val="20"/>
          <w:szCs w:val="20"/>
          <w:color w:val="auto"/>
        </w:rPr>
      </w:pPr>
    </w:p>
    <w:p>
      <w:pPr>
        <w:ind w:left="1280" w:right="3039"/>
        <w:spacing w:after="0" w:line="246" w:lineRule="auto"/>
        <w:rPr>
          <w:sz w:val="20"/>
          <w:szCs w:val="20"/>
          <w:color w:val="auto"/>
        </w:rPr>
      </w:pPr>
      <w:r>
        <w:rPr>
          <w:rFonts w:ascii="Courier New" w:cs="Courier New" w:eastAsia="Courier New" w:hAnsi="Courier New"/>
          <w:sz w:val="15"/>
          <w:szCs w:val="15"/>
          <w:color w:val="auto"/>
        </w:rPr>
        <w:t>Such adjustment shall become effective immediately, except as provided in subparagraph (8) below, after the record date for the determination of holders entitled to receive such rights, options or warrants; provided, however, that if any such rights, options or warrants issued by the Company as described in this subparagraph (2) are only exercisable upon the occurrence of certain triggering events relating to control and provided for in shareholder rights plans, then the Conversion Price will not be adjusted as provided in this subparagraph (2) until such triggering events occur.</w:t>
      </w:r>
    </w:p>
    <w:p>
      <w:pPr>
        <w:spacing w:after="0" w:line="181" w:lineRule="exact"/>
        <w:rPr>
          <w:sz w:val="20"/>
          <w:szCs w:val="20"/>
          <w:color w:val="auto"/>
        </w:rPr>
      </w:pPr>
    </w:p>
    <w:p>
      <w:pPr>
        <w:ind w:left="1280" w:right="3039" w:firstLine="816"/>
        <w:spacing w:after="0" w:line="246" w:lineRule="auto"/>
        <w:tabs>
          <w:tab w:leader="none" w:pos="2825"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the Company or any Subsidiary of the Company shall distribute to all holders of Common Stock any of its assets, evidences of indebtedness, cash or other assets or shares of capital stock, other than Common Stock (including securities, but other than (A) dividends or distributions exclusively in cash or (B) any dividend or distribution for which an adjustment is required to be made in accordance with subparagraph (1) or (2) above), then in each such case the Conversion Price shall be adjusted so that the same shall equal the price determined by multiplying the Conversion Price in effect immediately prior to the date of such distribution by a fraction of which the numerator shall be the current market price per share of the Common Stock (determined as provided in subparagraph (6) below) on the record date mentioned below less the then fair market value (as reasonably determined in good faith by the Board of Directors) of the portion of the assets so distributed applicable to one share of Common Stock, and of which the denominator shall be such current market price per share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RESOLUTIONS</w:t>
      </w:r>
    </w:p>
    <w:p>
      <w:pPr>
        <w:spacing w:after="0" w:line="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- 8 -</w:t>
      </w:r>
    </w:p>
    <w:p>
      <w:pPr>
        <w:sectPr>
          <w:pgSz w:w="11900" w:h="16838" w:orient="portrait"/>
          <w:cols w:equalWidth="0" w:num="1">
            <w:col w:w="9959"/>
          </w:cols>
          <w:pgMar w:left="500" w:top="293" w:right="1440" w:bottom="1440" w:gutter="0" w:footer="0" w:header="0"/>
        </w:sectPr>
      </w:pPr>
    </w:p>
    <w:bookmarkStart w:id="161" w:name="page162"/>
    <w:bookmarkEnd w:id="161"/>
    <w:p>
      <w:pPr>
        <w:spacing w:after="0"/>
        <w:rPr>
          <w:sz w:val="20"/>
          <w:szCs w:val="20"/>
          <w:color w:val="auto"/>
        </w:rPr>
      </w:pPr>
      <w:r>
        <w:rPr>
          <w:rFonts w:ascii="Courier New" w:cs="Courier New" w:eastAsia="Courier New" w:hAnsi="Courier New"/>
          <w:sz w:val="15"/>
          <w:szCs w:val="15"/>
          <w:color w:val="auto"/>
        </w:rPr>
        <w:t>10</w:t>
      </w:r>
    </w:p>
    <w:p>
      <w:pPr>
        <w:spacing w:after="0" w:line="5" w:lineRule="exact"/>
        <w:rPr>
          <w:sz w:val="20"/>
          <w:szCs w:val="20"/>
          <w:color w:val="auto"/>
        </w:rPr>
      </w:pPr>
    </w:p>
    <w:p>
      <w:pPr>
        <w:ind w:left="1280" w:right="3319"/>
        <w:spacing w:after="0" w:line="246" w:lineRule="auto"/>
        <w:rPr>
          <w:sz w:val="20"/>
          <w:szCs w:val="20"/>
          <w:color w:val="auto"/>
        </w:rPr>
      </w:pPr>
      <w:r>
        <w:rPr>
          <w:rFonts w:ascii="Courier New" w:cs="Courier New" w:eastAsia="Courier New" w:hAnsi="Courier New"/>
          <w:sz w:val="15"/>
          <w:szCs w:val="15"/>
          <w:color w:val="auto"/>
        </w:rPr>
        <w:t>Common Stock. Such adjustment shall become effective immediately, except as provided in subparagraph (8) below, after the record date for the determination of stockholders entitled to receive such distribution.</w:t>
      </w:r>
    </w:p>
    <w:p>
      <w:pPr>
        <w:spacing w:after="0" w:line="177" w:lineRule="exact"/>
        <w:rPr>
          <w:sz w:val="20"/>
          <w:szCs w:val="20"/>
          <w:color w:val="auto"/>
        </w:rPr>
      </w:pPr>
    </w:p>
    <w:p>
      <w:pPr>
        <w:ind w:left="1280" w:right="3039" w:firstLine="818"/>
        <w:spacing w:after="0" w:line="246" w:lineRule="auto"/>
        <w:rPr>
          <w:sz w:val="20"/>
          <w:szCs w:val="20"/>
          <w:color w:val="auto"/>
        </w:rPr>
      </w:pPr>
      <w:r>
        <w:rPr>
          <w:rFonts w:ascii="Courier New" w:cs="Courier New" w:eastAsia="Courier New" w:hAnsi="Courier New"/>
          <w:sz w:val="15"/>
          <w:szCs w:val="15"/>
          <w:color w:val="auto"/>
        </w:rPr>
        <w:t>Notwithstanding the foregoing, in the event that the fair market value of the assets, evidences of indebtedness or other securities so distributed applicable to one share of Common Stock equals or exceeds such current market price per share of Common Stock, or such current market price exceeds such fair market value by less than $0.10 per share, the Conversion Price shall not be adjusted pursuant to this subparagraph (3) and, to the extent applicable, the provisions of subparagraph (11) shall apply to such distribution.</w:t>
      </w:r>
    </w:p>
    <w:p>
      <w:pPr>
        <w:spacing w:after="0" w:line="180" w:lineRule="exact"/>
        <w:rPr>
          <w:sz w:val="20"/>
          <w:szCs w:val="20"/>
          <w:color w:val="auto"/>
        </w:rPr>
      </w:pPr>
    </w:p>
    <w:p>
      <w:pPr>
        <w:ind w:left="1280" w:right="3039" w:firstLine="816"/>
        <w:spacing w:after="0" w:line="246" w:lineRule="auto"/>
        <w:tabs>
          <w:tab w:leader="none" w:pos="2825" w:val="left"/>
        </w:tabs>
        <w:numPr>
          <w:ilvl w:val="1"/>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the Company or any Subsidiary of the Company shall make any distribution consisting exclusively of cash (excluding any cash portion of distributions for which an adjustment is required to be made in accordance with subparagraph (3) above, or cash distributed upon a merger or consolidation to which Section 1505 of the Indenture applies) to all holders of Common Stock in an aggregate amount that, combined together with (A) all other such all-cash distributions made within the then preceding 12 months in respect of which no adjustment has been made and (B) any cash and the fair market value of other consideration paid or payable in respect of any tender offer by the Company or any of its Subsidiaries for Common Stock concluded with the preceding 12 months in respect of which no adjustment has been made, exceeds 15% of the Company's market capitalization (defined as being the product of the then current market price of the Common Stock (determined as provided in subparagraph</w:t>
      </w:r>
    </w:p>
    <w:p>
      <w:pPr>
        <w:spacing w:after="0" w:line="10" w:lineRule="exact"/>
        <w:rPr>
          <w:rFonts w:ascii="Courier New" w:cs="Courier New" w:eastAsia="Courier New" w:hAnsi="Courier New"/>
          <w:sz w:val="15"/>
          <w:szCs w:val="15"/>
          <w:color w:val="auto"/>
        </w:rPr>
      </w:pPr>
    </w:p>
    <w:p>
      <w:pPr>
        <w:ind w:left="1280" w:right="3039" w:hanging="2"/>
        <w:spacing w:after="0" w:line="246" w:lineRule="auto"/>
        <w:tabs>
          <w:tab w:leader="none" w:pos="1643"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below) times the number of shares of Common Stock then outstanding) on the record date of such distribution, then in each such case the Conversion Price shall be adjusted so that the same shall equal the price determined by multiplying the Conversion Price in effect immediately prior to the date of such distribution by a fraction of which the numerator shall be the then current market price per share of the Common Stock on such record date less the amount of the cash so distributed applicable to one share of Common Stock, and of which the denominator shall be such current market price per share of the Common Stock. Such adjustment shall become effective immediately, except as provided in subparagraph (8) below, after the record date for the determination of stockholders entitled to receive such distribution. Notwithstanding the foregoing, in the event that the cash so distributed applicable to one share of Common Stock equals or exceeds such current market price per share of Common Stock, or such current market price exceeds such amount of cash by less than $0.10 per share, the Conversion Price shall not be adjusted pursuant to this subparagraph (4).</w:t>
      </w:r>
    </w:p>
    <w:p>
      <w:pPr>
        <w:spacing w:after="0" w:line="186" w:lineRule="exact"/>
        <w:rPr>
          <w:rFonts w:ascii="Courier New" w:cs="Courier New" w:eastAsia="Courier New" w:hAnsi="Courier New"/>
          <w:sz w:val="15"/>
          <w:szCs w:val="15"/>
          <w:color w:val="auto"/>
        </w:rPr>
      </w:pPr>
    </w:p>
    <w:p>
      <w:pPr>
        <w:ind w:left="1280" w:right="3039" w:firstLine="816"/>
        <w:spacing w:after="0" w:line="246" w:lineRule="auto"/>
        <w:tabs>
          <w:tab w:leader="none" w:pos="2825" w:val="left"/>
        </w:tabs>
        <w:numPr>
          <w:ilvl w:val="1"/>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there shall be completed a tender or exchange offer made by the Company or any Subsidiary of the Company for all or any portion of the Common Stock (any such tender or exchange offer being referred to as an "Offer") that involves an aggregate consideration having a fair market value as of the expiration of such Offer (the "Expiration Time") that, together with (A) any cash and the fair market value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RESOLUTIONS</w:t>
      </w:r>
    </w:p>
    <w:p>
      <w:pPr>
        <w:spacing w:after="0" w:line="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- 9 -</w:t>
      </w:r>
    </w:p>
    <w:p>
      <w:pPr>
        <w:sectPr>
          <w:pgSz w:w="11900" w:h="16838" w:orient="portrait"/>
          <w:cols w:equalWidth="0" w:num="1">
            <w:col w:w="9959"/>
          </w:cols>
          <w:pgMar w:left="500" w:top="293" w:right="1440" w:bottom="1440" w:gutter="0" w:footer="0" w:header="0"/>
        </w:sectPr>
      </w:pPr>
    </w:p>
    <w:bookmarkStart w:id="162" w:name="page163"/>
    <w:bookmarkEnd w:id="162"/>
    <w:p>
      <w:pPr>
        <w:spacing w:after="0"/>
        <w:rPr>
          <w:sz w:val="20"/>
          <w:szCs w:val="20"/>
          <w:color w:val="auto"/>
        </w:rPr>
      </w:pPr>
      <w:r>
        <w:rPr>
          <w:rFonts w:ascii="Courier New" w:cs="Courier New" w:eastAsia="Courier New" w:hAnsi="Courier New"/>
          <w:sz w:val="15"/>
          <w:szCs w:val="15"/>
          <w:color w:val="auto"/>
        </w:rPr>
        <w:t>11</w:t>
      </w:r>
    </w:p>
    <w:p>
      <w:pPr>
        <w:spacing w:after="0" w:line="5" w:lineRule="exact"/>
        <w:rPr>
          <w:sz w:val="20"/>
          <w:szCs w:val="20"/>
          <w:color w:val="auto"/>
        </w:rPr>
      </w:pPr>
    </w:p>
    <w:p>
      <w:pPr>
        <w:ind w:left="1280" w:right="2959"/>
        <w:spacing w:after="0" w:line="246" w:lineRule="auto"/>
        <w:rPr>
          <w:sz w:val="20"/>
          <w:szCs w:val="20"/>
          <w:color w:val="auto"/>
        </w:rPr>
      </w:pPr>
      <w:r>
        <w:rPr>
          <w:rFonts w:ascii="Courier New" w:cs="Courier New" w:eastAsia="Courier New" w:hAnsi="Courier New"/>
          <w:sz w:val="15"/>
          <w:szCs w:val="15"/>
          <w:color w:val="auto"/>
        </w:rPr>
        <w:t>other consideration payable in respect of any other Offer, as of the expiration of such other Offer, expiring within the 12 months preceding the expiration of such Offer and in respect of which no Conversion Price adjustment pursuant to this subparagraph (5) has been made and (B) the aggregate amount of any all-cash distributions referred to in subparagraph (4) above to all holders of Common Stock within the 12 months preceding the expiration of such Offer for which no conversion price adjustment pursuant to such subparagraph (4) has been made, exceeds 15% of the product of the then current market price per share (determined as provided in subparagraph (6) below) of the Common Stock on the Expiration Time times the number of shares of Common Stock outstanding (including any tendered shares) on the Expiration Time, the Conversion Price shall be reduced by multiplying such Conversion Price in effect immediately prior to the Expiration Time by a fraction of which the numerator shall be (X) the product of the then current market price per share (determined as provided in subparagraph</w:t>
      </w:r>
    </w:p>
    <w:p>
      <w:pPr>
        <w:spacing w:after="0" w:line="11" w:lineRule="exact"/>
        <w:rPr>
          <w:sz w:val="20"/>
          <w:szCs w:val="20"/>
          <w:color w:val="auto"/>
        </w:rPr>
      </w:pPr>
    </w:p>
    <w:p>
      <w:pPr>
        <w:ind w:left="1280" w:right="2959" w:hanging="2"/>
        <w:spacing w:after="0" w:line="246" w:lineRule="auto"/>
        <w:tabs>
          <w:tab w:leader="none" w:pos="1643"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below) of the Common Stock on the Expiration Time times the number of shares of Common Stock outstanding (including any tendered shares) on the Expiration Time minus (Y) the fair market value of the aggregate consideration payable to stockholders based on the acceptance (up to any maximum specified in the terms of the Offer) of all shares validly tendered and not withdrawn as of the Expiration Time (the shares deemed so accepted being referred to as the "Purchased Shares") and the denominator shall be the product of (X) such current market price per share on the Expiration Time times (Y) such number of outstanding shares on the Expiration Time less the number of Purchased Shares, such reduction to become effective immediately prior to the opening of business on the day following the Expiration Time.</w:t>
      </w:r>
    </w:p>
    <w:p>
      <w:pPr>
        <w:spacing w:after="0" w:line="183" w:lineRule="exact"/>
        <w:rPr>
          <w:sz w:val="20"/>
          <w:szCs w:val="20"/>
          <w:color w:val="auto"/>
        </w:rPr>
      </w:pPr>
    </w:p>
    <w:p>
      <w:pPr>
        <w:ind w:left="1280" w:right="3139" w:firstLine="818"/>
        <w:spacing w:after="0" w:line="246" w:lineRule="auto"/>
        <w:rPr>
          <w:sz w:val="20"/>
          <w:szCs w:val="20"/>
          <w:color w:val="auto"/>
        </w:rPr>
      </w:pPr>
      <w:r>
        <w:rPr>
          <w:rFonts w:ascii="Courier New" w:cs="Courier New" w:eastAsia="Courier New" w:hAnsi="Courier New"/>
          <w:sz w:val="15"/>
          <w:szCs w:val="15"/>
          <w:color w:val="auto"/>
        </w:rPr>
        <w:t>For purposes of this subparagraph (5), the fair market value of any consideration with respect to an Offer shall be reasonably determined in good faith by the Board of Directors of the Company and described in a Board Resolution.</w:t>
      </w:r>
    </w:p>
    <w:p>
      <w:pPr>
        <w:spacing w:after="0" w:line="177" w:lineRule="exact"/>
        <w:rPr>
          <w:sz w:val="20"/>
          <w:szCs w:val="20"/>
          <w:color w:val="auto"/>
        </w:rPr>
      </w:pPr>
    </w:p>
    <w:p>
      <w:pPr>
        <w:ind w:left="1280" w:right="3039" w:firstLine="816"/>
        <w:spacing w:after="0" w:line="246" w:lineRule="auto"/>
        <w:tabs>
          <w:tab w:leader="none" w:pos="2825"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purpose of any computation under subparagraphs (2), (3), (4) and (5) above, the current market price per share of Common Stock on any date shall be deemed to be the average of the Last Sale Prices of a share of Common Stock for the five consecutive Trading Days selected by the Company commencing not more than 20 Trading Days before, and ending not later than, the earlier of the date in question and the date before the "'ex' date," with respect to the issuance, distribution or Offer requiring such computation. For purposes of this paragraph, the term "'ex'date," when used with respect to any issuance, distribution or payments with respect to an Offer, means the first date on which the Common Stock trades regular way on the New York Stock Exchange (or if not listed or admitted to trading thereon, then on the principal national securities exchange on which the Common Stock is listed or admitted to trading) without the right to receive such issuance, distribution or Offer.</w:t>
      </w:r>
    </w:p>
    <w:p>
      <w:pPr>
        <w:spacing w:after="0" w:line="185" w:lineRule="exact"/>
        <w:rPr>
          <w:rFonts w:ascii="Courier New" w:cs="Courier New" w:eastAsia="Courier New" w:hAnsi="Courier New"/>
          <w:sz w:val="15"/>
          <w:szCs w:val="15"/>
          <w:color w:val="auto"/>
        </w:rPr>
      </w:pPr>
    </w:p>
    <w:p>
      <w:pPr>
        <w:ind w:left="1280" w:right="3139" w:firstLine="816"/>
        <w:spacing w:after="0" w:line="246" w:lineRule="auto"/>
        <w:tabs>
          <w:tab w:leader="none" w:pos="2825"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the foregoing adjustments in subparagraphs (1), (2), (3), (4) and (5) above, the Company will be permitted to make such reductions in the Conversion Price as it considers to be advisable in order that any event treated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RESOLUTIONS</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- 10 -</w:t>
      </w:r>
    </w:p>
    <w:p>
      <w:pPr>
        <w:sectPr>
          <w:pgSz w:w="11900" w:h="16838" w:orient="portrait"/>
          <w:cols w:equalWidth="0" w:num="1">
            <w:col w:w="9959"/>
          </w:cols>
          <w:pgMar w:left="500" w:top="293" w:right="1440" w:bottom="1440" w:gutter="0" w:footer="0" w:header="0"/>
        </w:sectPr>
      </w:pPr>
    </w:p>
    <w:bookmarkStart w:id="163" w:name="page164"/>
    <w:bookmarkEnd w:id="163"/>
    <w:p>
      <w:pPr>
        <w:spacing w:after="0"/>
        <w:rPr>
          <w:sz w:val="20"/>
          <w:szCs w:val="20"/>
          <w:color w:val="auto"/>
        </w:rPr>
      </w:pPr>
      <w:r>
        <w:rPr>
          <w:rFonts w:ascii="Courier New" w:cs="Courier New" w:eastAsia="Courier New" w:hAnsi="Courier New"/>
          <w:sz w:val="15"/>
          <w:szCs w:val="15"/>
          <w:color w:val="auto"/>
        </w:rPr>
        <w:t>12</w:t>
      </w:r>
    </w:p>
    <w:p>
      <w:pPr>
        <w:spacing w:after="0" w:line="5" w:lineRule="exact"/>
        <w:rPr>
          <w:sz w:val="20"/>
          <w:szCs w:val="20"/>
          <w:color w:val="auto"/>
        </w:rPr>
      </w:pPr>
    </w:p>
    <w:p>
      <w:pPr>
        <w:ind w:left="1280" w:right="3319"/>
        <w:spacing w:after="0" w:line="247" w:lineRule="auto"/>
        <w:rPr>
          <w:sz w:val="20"/>
          <w:szCs w:val="20"/>
          <w:color w:val="auto"/>
        </w:rPr>
      </w:pPr>
      <w:r>
        <w:rPr>
          <w:rFonts w:ascii="Courier New" w:cs="Courier New" w:eastAsia="Courier New" w:hAnsi="Courier New"/>
          <w:sz w:val="15"/>
          <w:szCs w:val="15"/>
          <w:color w:val="auto"/>
        </w:rPr>
        <w:t>Federal income tax purposes as a dividend of stock or stock rights will not be taxable to the holders of the shares of Common Stock.</w:t>
      </w:r>
    </w:p>
    <w:p>
      <w:pPr>
        <w:spacing w:after="0" w:line="174" w:lineRule="exact"/>
        <w:rPr>
          <w:sz w:val="20"/>
          <w:szCs w:val="20"/>
          <w:color w:val="auto"/>
        </w:rPr>
      </w:pPr>
    </w:p>
    <w:p>
      <w:pPr>
        <w:ind w:left="1280" w:right="3039" w:firstLine="818"/>
        <w:spacing w:after="0" w:line="246" w:lineRule="auto"/>
        <w:rPr>
          <w:sz w:val="20"/>
          <w:szCs w:val="20"/>
          <w:color w:val="auto"/>
        </w:rPr>
      </w:pPr>
      <w:r>
        <w:rPr>
          <w:rFonts w:ascii="Courier New" w:cs="Courier New" w:eastAsia="Courier New" w:hAnsi="Courier New"/>
          <w:sz w:val="15"/>
          <w:szCs w:val="15"/>
          <w:color w:val="auto"/>
        </w:rPr>
        <w:t>In the event the Company elects to make such a reduction in the Conversion Price, the Company will comply with the requirements of Rule 14e-1 of the Exchange Act and any other Federal and state laws and regulations thereunder if and to the extent that such laws and regulations are applicable in connection with the reduction of the Conversion Price of the Notes; provided that any provisions of the Indenture which conflict with such laws shall be deemed to be superseded by the provisions of such laws.</w:t>
      </w:r>
    </w:p>
    <w:p>
      <w:pPr>
        <w:spacing w:after="0" w:line="180" w:lineRule="exact"/>
        <w:rPr>
          <w:sz w:val="20"/>
          <w:szCs w:val="20"/>
          <w:color w:val="auto"/>
        </w:rPr>
      </w:pPr>
    </w:p>
    <w:p>
      <w:pPr>
        <w:ind w:left="1280" w:right="3039" w:firstLine="816"/>
        <w:spacing w:after="0" w:line="246" w:lineRule="auto"/>
        <w:tabs>
          <w:tab w:leader="none" w:pos="2825"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any case in which this paragraph (o) shall require that an adjustment (including by reason of the last sentence of subparagraph (1) or (3) above) be made immediately following a record date, the Company may elect to defer the effectiveness of such adjustment (but in no event until a date later than the effective time of the event giving rise to such adjustment), in which case the Company shall, with respect to any Note converted after such record date and on and before such adjustment shall have become effective (A) defer paying any cash payment pursuant to Section 1503 of the Indenture or issuing to the Holder of such Note the number of shares of Common Stock and other capital stock of the Company (or other assets or securities) issuable upon such conversion in excess of the number of shares of Common Stock and other capital stock of the Company issuable thereupon only on the basis of the Conversion Price prior to adjustment, and (B) not later than five Business Days after such adjustment shall have become effective, pay to such Holder the appropriate cash payment pursuant to Section 1503 of the Indenture and issue to such Holder the additional shares of Common Stock and other capital stock of the Company issuable on such conversion.</w:t>
      </w:r>
    </w:p>
    <w:p>
      <w:pPr>
        <w:spacing w:after="0" w:line="187" w:lineRule="exact"/>
        <w:rPr>
          <w:rFonts w:ascii="Courier New" w:cs="Courier New" w:eastAsia="Courier New" w:hAnsi="Courier New"/>
          <w:sz w:val="15"/>
          <w:szCs w:val="15"/>
          <w:color w:val="auto"/>
        </w:rPr>
      </w:pPr>
    </w:p>
    <w:p>
      <w:pPr>
        <w:ind w:left="1280" w:right="3139" w:firstLine="816"/>
        <w:spacing w:after="0" w:line="246" w:lineRule="auto"/>
        <w:tabs>
          <w:tab w:leader="none" w:pos="2825"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adjustment in the Conversion Price shall be required unless such adjustment would require an increase or decrease of at least 1.0% of the Conversion Price; provided, that any adjustments which by reason of this subparagraph (9) are not required to be made shall be carried forward and taken into account in any subsequent adjustment. All calculations under this subparagraph (o) shall be made to the nearest cent or to the nearest one-hundredth of a share, as the case may be.</w:t>
      </w:r>
    </w:p>
    <w:p>
      <w:pPr>
        <w:spacing w:after="0" w:line="180" w:lineRule="exact"/>
        <w:rPr>
          <w:rFonts w:ascii="Courier New" w:cs="Courier New" w:eastAsia="Courier New" w:hAnsi="Courier New"/>
          <w:sz w:val="15"/>
          <w:szCs w:val="15"/>
          <w:color w:val="auto"/>
        </w:rPr>
      </w:pPr>
    </w:p>
    <w:p>
      <w:pPr>
        <w:ind w:left="1280" w:right="3139" w:firstLine="816"/>
        <w:spacing w:after="0" w:line="246" w:lineRule="auto"/>
        <w:tabs>
          <w:tab w:leader="none" w:pos="2825"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Whenever the Conversion Price is adjusted as herein provided, the Company shall promptly (A) file with the Trustee and each Conversion Agent an Officers' Certificate setting forth the Conversion Price after such adjustment and setting forth a brief statement of the facts requiring such adjustment, which certificate shall be conclusive evidence of the correctness of such adjustment, and (B) mail or cause to be mailed a notice of such adjustment to each holder of Notes at his address as the same appears on the registry books of the Company.</w:t>
      </w:r>
    </w:p>
    <w:p>
      <w:pPr>
        <w:spacing w:after="0" w:line="180" w:lineRule="exact"/>
        <w:rPr>
          <w:rFonts w:ascii="Courier New" w:cs="Courier New" w:eastAsia="Courier New" w:hAnsi="Courier New"/>
          <w:sz w:val="15"/>
          <w:szCs w:val="15"/>
          <w:color w:val="auto"/>
        </w:rPr>
      </w:pPr>
    </w:p>
    <w:p>
      <w:pPr>
        <w:ind w:left="1280" w:right="3219" w:firstLine="816"/>
        <w:spacing w:after="0" w:line="246" w:lineRule="auto"/>
        <w:tabs>
          <w:tab w:leader="none" w:pos="2825"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the Company distributes rights or warrants (other than those referred to in subparagraph (2) above) pro rata to holders of Common Stock, so long as any such rights or warrants have not expired or been redeemed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RESOLUTIONS</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- 11 -</w:t>
      </w:r>
    </w:p>
    <w:p>
      <w:pPr>
        <w:sectPr>
          <w:pgSz w:w="11900" w:h="16838" w:orient="portrait"/>
          <w:cols w:equalWidth="0" w:num="1">
            <w:col w:w="9959"/>
          </w:cols>
          <w:pgMar w:left="500" w:top="293" w:right="1440" w:bottom="1440" w:gutter="0" w:footer="0" w:header="0"/>
        </w:sectPr>
      </w:pPr>
    </w:p>
    <w:bookmarkStart w:id="164" w:name="page165"/>
    <w:bookmarkEnd w:id="164"/>
    <w:p>
      <w:pPr>
        <w:ind w:left="260"/>
        <w:spacing w:after="0"/>
        <w:rPr>
          <w:sz w:val="20"/>
          <w:szCs w:val="20"/>
          <w:color w:val="auto"/>
        </w:rPr>
      </w:pPr>
      <w:r>
        <w:rPr>
          <w:rFonts w:ascii="Courier New" w:cs="Courier New" w:eastAsia="Courier New" w:hAnsi="Courier New"/>
          <w:sz w:val="15"/>
          <w:szCs w:val="15"/>
          <w:color w:val="auto"/>
        </w:rPr>
        <w:t>13</w:t>
      </w:r>
    </w:p>
    <w:p>
      <w:pPr>
        <w:spacing w:after="0" w:line="5" w:lineRule="exact"/>
        <w:rPr>
          <w:sz w:val="20"/>
          <w:szCs w:val="20"/>
          <w:color w:val="auto"/>
        </w:rPr>
      </w:pPr>
    </w:p>
    <w:p>
      <w:pPr>
        <w:ind w:left="1540" w:right="2959"/>
        <w:spacing w:after="0" w:line="246" w:lineRule="auto"/>
        <w:rPr>
          <w:sz w:val="20"/>
          <w:szCs w:val="20"/>
          <w:color w:val="auto"/>
        </w:rPr>
      </w:pPr>
      <w:r>
        <w:rPr>
          <w:rFonts w:ascii="Courier New" w:cs="Courier New" w:eastAsia="Courier New" w:hAnsi="Courier New"/>
          <w:sz w:val="15"/>
          <w:szCs w:val="15"/>
          <w:color w:val="auto"/>
        </w:rPr>
        <w:t>the Company shall make proper provision so that the Holder of any Note surrendered for conversion will be entitled to receive upon such conversion, in addition to the shares of Common Stock issuable upon such conversion (the "Conversion Shares"), a number of rights or warrants to be determined as follows: (A) if such conversion occurs on or prior to the date for the distribution to the holders of rights or warrants of separate certificates evidencing such rights or warrants (the "Distribution Date"), the same number of rights or warrants to which a holder of a number of shares of Common Stock equal to the number of Conversion Shares is entitled at the time of such conversion in accordance with the terms and provisions of and applicable to the rights or warrants, and (B) if such conversion occurs after such Distribution Date, the same number of rights or warrants to which a holder of the number of shares of Common Stock into which the principal amount of such Note so converted was Convertible immediately prior to such Distribution Date would have been entitled on such Distribution Date in accordance with the terms and provisions of and applicable to the rights and warrants.</w:t>
      </w:r>
    </w:p>
    <w:p>
      <w:pPr>
        <w:spacing w:after="0" w:line="187"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With respect to the Notes, the notice provisions of Section 1506 of the Indenture shall apply when the Company or any of its Subsidiaries completes an Offer, and the notice required by Section 1506 shall state the date on which a record is expected to be taken for the purpose of such Offer or if a record is not to be taken, the date as of which the holders of Common Stock of record entitled to participate in such Offer are to be determined.</w:t>
      </w:r>
    </w:p>
    <w:p>
      <w:pPr>
        <w:spacing w:after="0" w:line="178" w:lineRule="exact"/>
        <w:rPr>
          <w:sz w:val="20"/>
          <w:szCs w:val="20"/>
          <w:color w:val="auto"/>
        </w:rPr>
      </w:pPr>
    </w:p>
    <w:p>
      <w:pPr>
        <w:ind w:left="820" w:right="3039" w:firstLine="718"/>
        <w:spacing w:after="0" w:line="246" w:lineRule="auto"/>
        <w:tabs>
          <w:tab w:leader="none" w:pos="2365"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each Holder by its acceptance of Notes, agree that anything in the Indenture to the contrary notwithstanding, the (a) payment of the principal of and interest on the Notes and (b) any other payment in respect of the Notes (including without limitation, on account of the repurchase or redemption of the Notes by the Company) is subordinated, to the extent and in the manner provided in this paragraph (p), to the prior payment in full of all Senior Indebtedness, whether outstanding at the date of the Indenture or thereafter created, incurred, assumed or guaranteed, and that these subordination provisions are for the benefit of the holders of Senior Indebtedness.</w:t>
      </w:r>
    </w:p>
    <w:p>
      <w:pPr>
        <w:spacing w:after="0" w:line="181" w:lineRule="exact"/>
        <w:rPr>
          <w:sz w:val="20"/>
          <w:szCs w:val="20"/>
          <w:color w:val="auto"/>
        </w:rPr>
      </w:pPr>
    </w:p>
    <w:p>
      <w:pPr>
        <w:ind w:left="820" w:right="3039" w:firstLine="727"/>
        <w:spacing w:after="0" w:line="246" w:lineRule="auto"/>
        <w:rPr>
          <w:sz w:val="20"/>
          <w:szCs w:val="20"/>
          <w:color w:val="auto"/>
        </w:rPr>
      </w:pPr>
      <w:r>
        <w:rPr>
          <w:rFonts w:ascii="Courier New" w:cs="Courier New" w:eastAsia="Courier New" w:hAnsi="Courier New"/>
          <w:sz w:val="15"/>
          <w:szCs w:val="15"/>
          <w:color w:val="auto"/>
        </w:rPr>
        <w:t>Subject to Section 1604 of the Indenture, if the Company shall default in the payment of any principal of or premium or interest on any Senior Indebtedness when the same becomes due and payable, whether at Stated Maturity or at a date fixed for redemption or by declaration of acceleration or otherwise (a "Payment Default"), then, upon written notice of such default to the Company by the holders of such Senior Indebtedness or any trustee therefor, unless or until such default shall have been cured or waived or shall have ceased to exist, no direct or indirect payment (in cash, property, securities, by set-off or otherwise) shall be made or agreed to be made on account of the principal of or any premium or interest on any of the Notes, or in respect of any redemption, retirement, repurchase or other acquisition of any of the Notes (including repurchases of Notes at the option of the Holder) other than those made in capital stock of the Company (or in cash in lieu of fractional shares thereof) pursuant to any conversion right of the Notes or otherwise made in capital stock of the Company (or in cash in lieu of fractional shares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RESOLUTIONS</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- 12 -</w:t>
      </w:r>
    </w:p>
    <w:p>
      <w:pPr>
        <w:sectPr>
          <w:pgSz w:w="11900" w:h="16838" w:orient="portrait"/>
          <w:cols w:equalWidth="0" w:num="1">
            <w:col w:w="10219"/>
          </w:cols>
          <w:pgMar w:left="240" w:top="293" w:right="1440" w:bottom="1440" w:gutter="0" w:footer="0" w:header="0"/>
        </w:sectPr>
      </w:pPr>
    </w:p>
    <w:bookmarkStart w:id="165" w:name="page166"/>
    <w:bookmarkEnd w:id="165"/>
    <w:p>
      <w:pPr>
        <w:spacing w:after="0"/>
        <w:rPr>
          <w:sz w:val="20"/>
          <w:szCs w:val="20"/>
          <w:color w:val="auto"/>
        </w:rPr>
      </w:pPr>
      <w:r>
        <w:rPr>
          <w:rFonts w:ascii="Courier New" w:cs="Courier New" w:eastAsia="Courier New" w:hAnsi="Courier New"/>
          <w:sz w:val="15"/>
          <w:szCs w:val="15"/>
          <w:color w:val="auto"/>
        </w:rPr>
        <w:t>14</w:t>
      </w:r>
    </w:p>
    <w:p>
      <w:pPr>
        <w:spacing w:after="0" w:line="180" w:lineRule="exact"/>
        <w:rPr>
          <w:sz w:val="20"/>
          <w:szCs w:val="20"/>
          <w:color w:val="auto"/>
        </w:rPr>
      </w:pPr>
    </w:p>
    <w:p>
      <w:pPr>
        <w:ind w:left="560" w:right="2959" w:firstLine="727"/>
        <w:spacing w:after="0" w:line="246" w:lineRule="auto"/>
        <w:rPr>
          <w:sz w:val="20"/>
          <w:szCs w:val="20"/>
          <w:color w:val="auto"/>
        </w:rPr>
      </w:pPr>
      <w:r>
        <w:rPr>
          <w:rFonts w:ascii="Courier New" w:cs="Courier New" w:eastAsia="Courier New" w:hAnsi="Courier New"/>
          <w:sz w:val="15"/>
          <w:szCs w:val="15"/>
          <w:color w:val="auto"/>
        </w:rPr>
        <w:t>Upon (i) the happening of an event of default (other than a Payment Default) that permits the holders of Senior Indebtedness or their representative immediately to accelerate its maturity (a "Nonpayment Default") and (ii) written notice of such event of default given to the Company and the Trustee by the holders of at least 25% in aggregate principal amount outstanding of such Senior Indebtedness or their representative (a "Payment Notice"), then, unless and until such event of default has been cured or waived or otherwise has ceased to exist, no payment (in cash, property, securities, by set-off or otherwise) may be made by or on behalf of the Company on account of the principal of, premium, if any, or interest on, the Notes, or in respect of any redemption, repurchase or other acquisition of the Notes (including repurchases of Notes at the option of the Holder), in any such case other than payments made in capital stock of the Company (or in cash in lieu of fractional shares thereof) pursuant to any conversion right of the Notes or otherwise made in capital stock of the Company. Notwithstanding the foregoing, unless (i) the Senior Indebtedness in respect of which such event of default exists has been declared due and payable in its entirety with 179 days after the Payment Notice is delivered as set forth above (the "Payment Blockage Period"), and (ii) such declaration has not been rescinded or waived, at the end of the Payment Blockage Period, the Company shall be required to pay all sums not paid to the Holders of the Notes during the Payment Blockage Period due to the foregoing prohibitions and to resume all other payments as and when due on the Notes. Any number of Payment Notices may be given; provided, however, that (i) not more than one Payment Notice shall be given within a period of any 360 consecutive days, and (ii) no default that existed upon the date of such Payment Notice or the commencement of such Payment Blockage Period (whether or not such event of default is on the same issue of Senior Indebtedness) shall be made the basis for the commencement of any other Payment Blockage Period.</w:t>
      </w:r>
    </w:p>
    <w:p>
      <w:pPr>
        <w:spacing w:after="0" w:line="194" w:lineRule="exact"/>
        <w:rPr>
          <w:sz w:val="20"/>
          <w:szCs w:val="20"/>
          <w:color w:val="auto"/>
        </w:rPr>
      </w:pPr>
    </w:p>
    <w:p>
      <w:pPr>
        <w:ind w:left="560" w:right="3039" w:firstLine="727"/>
        <w:spacing w:after="0" w:line="246" w:lineRule="auto"/>
        <w:rPr>
          <w:sz w:val="20"/>
          <w:szCs w:val="20"/>
          <w:color w:val="auto"/>
        </w:rPr>
      </w:pPr>
      <w:r>
        <w:rPr>
          <w:rFonts w:ascii="Courier New" w:cs="Courier New" w:eastAsia="Courier New" w:hAnsi="Courier New"/>
          <w:sz w:val="15"/>
          <w:szCs w:val="15"/>
          <w:color w:val="auto"/>
        </w:rPr>
        <w:t>If (a) without the consent of the Company, a court having jurisdiction shall enter an order for relief with respect to the Company under the Bankruptcy Code or, without the consent of the Company, a court having jurisdiction shall enter a judgment, order or decree adjudging the Company a bankrupt or insolvent, or enter an order for relief for reorganization, arrangement, adjustment or composition of or in respect of the Company under the Bankruptcy Code or applicable state insolvency law, or (b) the Company shall institute proceedings for entry of an order for relief with respect to the Company under the Bankruptcy Code or for an adjudication of insolvency, or shall consent to the institution of bankruptcy or insolvency proceedings against it, or shall file a petition seeking, or seek or consent to reorganization, arrangement, composition or relief under the Bankruptcy Code or any applicable State law, or shall consent to the filing of such petition or to the appointment of a receiver, custodian, liquidator, assignee, trustee, sequestrator or similar official of the Company or of substantially all of its property, or the Company shall make a general assignment for the benefit of creditors as recognized under the Bankruptcy Code, then all Senior Indebtedness (including any interest thereon accruing after the commencement of any such proceedings) shall first be paid in full before any payment or distribution, whether in cash, securities or other property, shall be made to any Holder of any Notes on account thereof. Any payment or distribution, whether in cash, securities or other property (other than securities of the Company or any other corporation provided for by a plan of reorganization or readjustment the payment of which is subordinate,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RESOLUTIONS</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- 13 -</w:t>
      </w:r>
    </w:p>
    <w:p>
      <w:pPr>
        <w:sectPr>
          <w:pgSz w:w="11900" w:h="16838" w:orient="portrait"/>
          <w:cols w:equalWidth="0" w:num="1">
            <w:col w:w="9959"/>
          </w:cols>
          <w:pgMar w:left="500" w:top="293" w:right="1440" w:bottom="1440" w:gutter="0" w:footer="0" w:header="0"/>
        </w:sectPr>
      </w:pPr>
    </w:p>
    <w:bookmarkStart w:id="166" w:name="page167"/>
    <w:bookmarkEnd w:id="166"/>
    <w:p>
      <w:pPr>
        <w:spacing w:after="0"/>
        <w:rPr>
          <w:sz w:val="20"/>
          <w:szCs w:val="20"/>
          <w:color w:val="auto"/>
        </w:rPr>
      </w:pPr>
      <w:r>
        <w:rPr>
          <w:rFonts w:ascii="Courier New" w:cs="Courier New" w:eastAsia="Courier New" w:hAnsi="Courier New"/>
          <w:sz w:val="15"/>
          <w:szCs w:val="15"/>
          <w:color w:val="auto"/>
        </w:rPr>
        <w:t>15</w:t>
      </w:r>
    </w:p>
    <w:p>
      <w:pPr>
        <w:spacing w:after="0" w:line="5" w:lineRule="exact"/>
        <w:rPr>
          <w:sz w:val="20"/>
          <w:szCs w:val="20"/>
          <w:color w:val="auto"/>
        </w:rPr>
      </w:pPr>
    </w:p>
    <w:p>
      <w:pPr>
        <w:ind w:left="560" w:right="3039"/>
        <w:spacing w:after="0" w:line="246" w:lineRule="auto"/>
        <w:rPr>
          <w:sz w:val="20"/>
          <w:szCs w:val="20"/>
          <w:color w:val="auto"/>
        </w:rPr>
      </w:pPr>
      <w:r>
        <w:rPr>
          <w:rFonts w:ascii="Courier New" w:cs="Courier New" w:eastAsia="Courier New" w:hAnsi="Courier New"/>
          <w:sz w:val="15"/>
          <w:szCs w:val="15"/>
          <w:color w:val="auto"/>
        </w:rPr>
        <w:t>at least to the extent provided in these subordination provisions with respect to the indebtedness evidenced by the Notes, to the payment of all Senior Indebtedness then outstanding and to any securities issued in respect thereof under any such plan of reorganization or readjustment), which would otherwise (but for these subordination provisions) be payable or deliverable in respect of the Notes shall be paid or delivered directly to the holders of Senior Indebtedness in accordance with the priorities then existing among such holders until all Senior Indebtedness (including any interest thereon accruing after the commencement of any such proceedings) shall have been paid in full. In the event of such proceeding, after payment in full of all sums owing with respect to Senior Indebtedness, the Holders of the Notes, together with the Holders of any other obligations of the Company ranking on a parity with the Notes, shall be entitled to be paid from the remaining assets of the Company the amounts at the time due and owing on account of unpaid principal of and any premium and interest on the Notes and such other obligations before any payment or other distribution, whether in cash, property or otherwise, shall be made on account of any capital stock or any obligations of the Company ranking junior to the Notes and such other obligations.</w:t>
      </w:r>
    </w:p>
    <w:p>
      <w:pPr>
        <w:spacing w:after="0" w:line="187" w:lineRule="exact"/>
        <w:rPr>
          <w:sz w:val="20"/>
          <w:szCs w:val="20"/>
          <w:color w:val="auto"/>
        </w:rPr>
      </w:pPr>
    </w:p>
    <w:p>
      <w:pPr>
        <w:ind w:left="560" w:right="3039" w:firstLine="727"/>
        <w:spacing w:after="0" w:line="246" w:lineRule="auto"/>
        <w:rPr>
          <w:sz w:val="20"/>
          <w:szCs w:val="20"/>
          <w:color w:val="auto"/>
        </w:rPr>
      </w:pPr>
      <w:r>
        <w:rPr>
          <w:rFonts w:ascii="Courier New" w:cs="Courier New" w:eastAsia="Courier New" w:hAnsi="Courier New"/>
          <w:sz w:val="15"/>
          <w:szCs w:val="15"/>
          <w:color w:val="auto"/>
        </w:rPr>
        <w:t>If, notwithstanding the foregoing, any payment or distribution of any character, whether in cash, securities or other property (other than securities of the Company or any other corporation provided for by a plan of reorganization or readjustment the payment of which is subordinate, at least to the extent provided in these subordination provisions with respect to the indebtedness evidenced by the Notes, to the payment of all Senior Indebtedness then outstanding and to any securities issued in respect thereof under any such plan of reorganization or readjustment), shall be received by the Trustee or any Holder in contravention of any of the terms hereof, such payment or distribution shall be received in trust for the benefit of, and shall be paid over or delivered and transferred to, the holders of the Senior Indebtedness then outstanding in accordance with the priorities then existing among such holders for application to the payment of all Senior Indebtedness remaining unpaid, to the extent necessary to pay all such Senior Indebtedness in full. In the event of the failure of the Trustee or any Holder to endorse or assign any such payment, distribution or security, each holder of Senior Indebtedness is hereby irrevocably authorized to endorse or assign the same.</w:t>
      </w:r>
    </w:p>
    <w:p>
      <w:pPr>
        <w:spacing w:after="0" w:line="186" w:lineRule="exact"/>
        <w:rPr>
          <w:sz w:val="20"/>
          <w:szCs w:val="20"/>
          <w:color w:val="auto"/>
        </w:rPr>
      </w:pPr>
    </w:p>
    <w:p>
      <w:pPr>
        <w:ind w:left="560" w:right="3039" w:firstLine="727"/>
        <w:spacing w:after="0" w:line="246" w:lineRule="auto"/>
        <w:rPr>
          <w:sz w:val="20"/>
          <w:szCs w:val="20"/>
          <w:color w:val="auto"/>
        </w:rPr>
      </w:pPr>
      <w:r>
        <w:rPr>
          <w:rFonts w:ascii="Courier New" w:cs="Courier New" w:eastAsia="Courier New" w:hAnsi="Courier New"/>
          <w:sz w:val="15"/>
          <w:szCs w:val="15"/>
          <w:color w:val="auto"/>
        </w:rPr>
        <w:t>Nothing contained in this paragraph (p) or in the Indenture is intended to or shall impair, as between the Company and the Holders, the obligation of the Company, which is absolute and unconditional, to pay to the Holders the principal of, premium, if any, and interest on, the Notes as and when the same shall become due and payable in accordance with their terms, or is intended to or shall affect the relative rights of the Holders and creditors of the Company other than the holders of the Senior Indebtedness, nor shall anything herein or therein prevent the Trustee or any Holder from exercising all remedies otherwise permitted by applicable law upon default under the Indenture, subject to the rights, if any, under this paragraph (p), of the holders of Senior Indebtedness in respect of cash, property or securities of the Company received upon the exercise of any such remedy.</w:t>
      </w:r>
    </w:p>
    <w:p>
      <w:pPr>
        <w:spacing w:after="0" w:line="183" w:lineRule="exact"/>
        <w:rPr>
          <w:sz w:val="20"/>
          <w:szCs w:val="20"/>
          <w:color w:val="auto"/>
        </w:rPr>
      </w:pPr>
    </w:p>
    <w:p>
      <w:pPr>
        <w:jc w:val="both"/>
        <w:ind w:left="560" w:right="3219" w:firstLine="727"/>
        <w:spacing w:after="0" w:line="247" w:lineRule="auto"/>
        <w:rPr>
          <w:sz w:val="20"/>
          <w:szCs w:val="20"/>
          <w:color w:val="auto"/>
        </w:rPr>
      </w:pPr>
      <w:r>
        <w:rPr>
          <w:rFonts w:ascii="Courier New" w:cs="Courier New" w:eastAsia="Courier New" w:hAnsi="Courier New"/>
          <w:sz w:val="15"/>
          <w:szCs w:val="15"/>
          <w:color w:val="auto"/>
        </w:rPr>
        <w:t>Senior Indebtedness shall not be deemed to have been paid in full unless the holders thereof shall have received cash, securities or other property equal to the amount of such Senior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RESOLUTIONS</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- 14 -</w:t>
      </w:r>
    </w:p>
    <w:p>
      <w:pPr>
        <w:sectPr>
          <w:pgSz w:w="11900" w:h="16838" w:orient="portrait"/>
          <w:cols w:equalWidth="0" w:num="1">
            <w:col w:w="9959"/>
          </w:cols>
          <w:pgMar w:left="500" w:top="293" w:right="1440" w:bottom="1440" w:gutter="0" w:footer="0" w:header="0"/>
        </w:sectPr>
      </w:pPr>
    </w:p>
    <w:bookmarkStart w:id="167" w:name="page168"/>
    <w:bookmarkEnd w:id="167"/>
    <w:p>
      <w:pPr>
        <w:ind w:left="260"/>
        <w:spacing w:after="0"/>
        <w:rPr>
          <w:sz w:val="20"/>
          <w:szCs w:val="20"/>
          <w:color w:val="auto"/>
        </w:rPr>
      </w:pPr>
      <w:r>
        <w:rPr>
          <w:rFonts w:ascii="Courier New" w:cs="Courier New" w:eastAsia="Courier New" w:hAnsi="Courier New"/>
          <w:sz w:val="15"/>
          <w:szCs w:val="15"/>
          <w:color w:val="auto"/>
        </w:rPr>
        <w:t>16</w:t>
      </w:r>
    </w:p>
    <w:p>
      <w:pPr>
        <w:spacing w:after="0" w:line="5" w:lineRule="exact"/>
        <w:rPr>
          <w:sz w:val="20"/>
          <w:szCs w:val="20"/>
          <w:color w:val="auto"/>
        </w:rPr>
      </w:pPr>
    </w:p>
    <w:p>
      <w:pPr>
        <w:ind w:left="820" w:right="3039"/>
        <w:spacing w:after="0" w:line="246" w:lineRule="auto"/>
        <w:rPr>
          <w:sz w:val="20"/>
          <w:szCs w:val="20"/>
          <w:color w:val="auto"/>
        </w:rPr>
      </w:pPr>
      <w:r>
        <w:rPr>
          <w:rFonts w:ascii="Courier New" w:cs="Courier New" w:eastAsia="Courier New" w:hAnsi="Courier New"/>
          <w:sz w:val="15"/>
          <w:szCs w:val="15"/>
          <w:color w:val="auto"/>
        </w:rPr>
        <w:t>Indebtedness then outstanding. Subject to the payment in full of all Senior Indebtedness as provided herein, the Holders of Notes shall be subrogated to the rights of the holders of such Senior Indebtedness to receive payments or distributions of assets of the Company applicable to the Senior Indebtedness until all amounts owing on the Notes shall be paid in full, and for the purposes of such subrogation no such payments or distributions to the holders of such Senior Indebtedness by the Company, or by or on behalf of the Holders by virtue of this paragraph (p), which otherwise would have been made to the Holders shall, as between the Company and the Holders, be deemed to be payment by the Company or on account of such Senior Indebtedness, it being understood that the provisions of this paragraph (p) are and are intended solely for the purpose of defining the relative rights of the Holders, on the one hand, and the holders of such Senior Indebtedness, on the other hand. If any payment or distribution to which the Holders would otherwise have been entitled but for the provisions of this paragraph (p) shall have been applied, pursuant to the provisions of this paragraph (p), to the payment of amounts payable under Senior Indebtedness, then the Holders shall be entitled to receive from the holders of such Senior Indebtedness any payments or distributions received by such holders of Senior Indebtedness in excess of the amount sufficient to pay all amounts payable under or in respect of such Senior Indebtedness in full.</w:t>
      </w:r>
    </w:p>
    <w:p>
      <w:pPr>
        <w:spacing w:after="0" w:line="189" w:lineRule="exact"/>
        <w:rPr>
          <w:sz w:val="20"/>
          <w:szCs w:val="20"/>
          <w:color w:val="auto"/>
        </w:rPr>
      </w:pPr>
    </w:p>
    <w:p>
      <w:pPr>
        <w:ind w:left="820" w:right="3419" w:firstLine="727"/>
        <w:spacing w:after="0" w:line="246" w:lineRule="auto"/>
        <w:rPr>
          <w:sz w:val="20"/>
          <w:szCs w:val="20"/>
          <w:color w:val="auto"/>
        </w:rPr>
      </w:pPr>
      <w:r>
        <w:rPr>
          <w:rFonts w:ascii="Courier New" w:cs="Courier New" w:eastAsia="Courier New" w:hAnsi="Courier New"/>
          <w:sz w:val="15"/>
          <w:szCs w:val="15"/>
          <w:color w:val="auto"/>
        </w:rPr>
        <w:t>The securing of any obligations of the Company, otherwise ranking on a parity with the Notes or ranking junior to the Notes, shall not be deemed to prevent such obligations from constituting, respectively, obligations ranking on a parity with the Notes or ranking junior to the Notes.</w:t>
      </w:r>
    </w:p>
    <w:p>
      <w:pPr>
        <w:spacing w:after="0" w:line="178" w:lineRule="exact"/>
        <w:rPr>
          <w:sz w:val="20"/>
          <w:szCs w:val="20"/>
          <w:color w:val="auto"/>
        </w:rPr>
      </w:pPr>
    </w:p>
    <w:p>
      <w:pPr>
        <w:ind w:right="3319" w:firstLine="818"/>
        <w:spacing w:after="0" w:line="247" w:lineRule="auto"/>
        <w:rPr>
          <w:sz w:val="20"/>
          <w:szCs w:val="20"/>
          <w:color w:val="auto"/>
        </w:rPr>
      </w:pPr>
      <w:r>
        <w:rPr>
          <w:rFonts w:ascii="Courier New" w:cs="Courier New" w:eastAsia="Courier New" w:hAnsi="Courier New"/>
          <w:sz w:val="15"/>
          <w:szCs w:val="15"/>
          <w:color w:val="auto"/>
        </w:rPr>
        <w:t>The Certificates evidencing the Notes shall be substantially in the form of Exhibit A attached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RESOLUTIONS</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- 15 -</w:t>
      </w:r>
    </w:p>
    <w:p>
      <w:pPr>
        <w:sectPr>
          <w:pgSz w:w="11900" w:h="16838" w:orient="portrait"/>
          <w:cols w:equalWidth="0" w:num="1">
            <w:col w:w="10219"/>
          </w:cols>
          <w:pgMar w:left="240" w:top="293" w:right="1440" w:bottom="1440" w:gutter="0" w:footer="0" w:header="0"/>
        </w:sectPr>
      </w:pPr>
    </w:p>
    <w:bookmarkStart w:id="168" w:name="page169"/>
    <w:bookmarkEnd w:id="168"/>
    <w:p>
      <w:pPr>
        <w:ind w:left="260"/>
        <w:spacing w:after="0"/>
        <w:rPr>
          <w:sz w:val="20"/>
          <w:szCs w:val="20"/>
          <w:color w:val="auto"/>
        </w:rPr>
      </w:pPr>
      <w:r>
        <w:rPr>
          <w:rFonts w:ascii="Courier New" w:cs="Courier New" w:eastAsia="Courier New" w:hAnsi="Courier New"/>
          <w:sz w:val="15"/>
          <w:szCs w:val="15"/>
          <w:color w:val="auto"/>
        </w:rPr>
        <w:t>1</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EXHIBIT A</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[FORM OF SECURITY]</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USA WASTE SERVICES, INC.</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4% CONVERTIBLE SUBORDINATED NOTE</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DUE 2002</w:t>
      </w:r>
    </w:p>
    <w:p>
      <w:pPr>
        <w:sectPr>
          <w:pgSz w:w="11900" w:h="16838" w:orient="portrait"/>
          <w:cols w:equalWidth="0" w:num="1">
            <w:col w:w="10219"/>
          </w:cols>
          <w:pgMar w:left="240" w:top="142" w:right="1440" w:bottom="1440" w:gutter="0" w:footer="0" w:header="0"/>
        </w:sectPr>
      </w:pP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CUSIP NO. 902917 AB 9</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 _________</w:t>
      </w:r>
    </w:p>
    <w:p>
      <w:pPr>
        <w:spacing w:after="0" w:line="180" w:lineRule="exact"/>
        <w:rPr>
          <w:sz w:val="20"/>
          <w:szCs w:val="20"/>
          <w:color w:val="auto"/>
        </w:rPr>
      </w:pPr>
    </w:p>
    <w:p>
      <w:pPr>
        <w:sectPr>
          <w:pgSz w:w="11900" w:h="16838" w:orient="portrait"/>
          <w:cols w:equalWidth="0" w:num="2">
            <w:col w:w="4640" w:space="720"/>
            <w:col w:w="4859"/>
          </w:cols>
          <w:pgMar w:left="240" w:top="142" w:right="1440" w:bottom="1440" w:gutter="0" w:footer="0" w:header="0"/>
          <w:type w:val="continuous"/>
        </w:sectPr>
      </w:pPr>
    </w:p>
    <w:p>
      <w:pPr>
        <w:ind w:right="3039" w:firstLine="818"/>
        <w:spacing w:after="0" w:line="246" w:lineRule="auto"/>
        <w:rPr>
          <w:sz w:val="20"/>
          <w:szCs w:val="20"/>
          <w:color w:val="auto"/>
        </w:rPr>
      </w:pPr>
      <w:r>
        <w:rPr>
          <w:rFonts w:ascii="Courier New" w:cs="Courier New" w:eastAsia="Courier New" w:hAnsi="Courier New"/>
          <w:sz w:val="15"/>
          <w:szCs w:val="15"/>
          <w:color w:val="auto"/>
        </w:rPr>
        <w:t>USA Waste Services, Inc., a Delaware corporation (hereinafter called the "Company," which term includes any successors under the Indenture hereinafter referred to), for value received, hereby promises to pay to Cede &amp; Co., or registered assigns, the principal sum of _________ Dollars, on February 1, 2002.</w:t>
      </w:r>
    </w:p>
    <w:p>
      <w:pPr>
        <w:spacing w:after="0" w:line="178" w:lineRule="exact"/>
        <w:rPr>
          <w:sz w:val="20"/>
          <w:szCs w:val="20"/>
          <w:color w:val="auto"/>
        </w:rPr>
      </w:pPr>
    </w:p>
    <w:p>
      <w:pPr>
        <w:ind w:left="820"/>
        <w:spacing w:after="0"/>
        <w:tabs>
          <w:tab w:leader="none" w:pos="3060" w:val="left"/>
        </w:tabs>
        <w:rPr>
          <w:sz w:val="20"/>
          <w:szCs w:val="20"/>
          <w:color w:val="auto"/>
        </w:rPr>
      </w:pPr>
      <w:r>
        <w:rPr>
          <w:rFonts w:ascii="Courier New" w:cs="Courier New" w:eastAsia="Courier New" w:hAnsi="Courier New"/>
          <w:sz w:val="15"/>
          <w:szCs w:val="15"/>
          <w:color w:val="auto"/>
        </w:rPr>
        <w:t>Interest Payment Dates:</w:t>
        <w:tab/>
        <w:t>February 1 and August 1; commencing August 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1997.</w:t>
      </w:r>
    </w:p>
    <w:p>
      <w:pPr>
        <w:spacing w:after="0" w:line="180" w:lineRule="exact"/>
        <w:rPr>
          <w:sz w:val="20"/>
          <w:szCs w:val="20"/>
          <w:color w:val="auto"/>
        </w:rPr>
      </w:pPr>
    </w:p>
    <w:p>
      <w:pPr>
        <w:ind w:left="820"/>
        <w:spacing w:after="0"/>
        <w:tabs>
          <w:tab w:leader="none" w:pos="2160" w:val="left"/>
        </w:tabs>
        <w:rPr>
          <w:sz w:val="20"/>
          <w:szCs w:val="20"/>
          <w:color w:val="auto"/>
        </w:rPr>
      </w:pPr>
      <w:r>
        <w:rPr>
          <w:rFonts w:ascii="Courier New" w:cs="Courier New" w:eastAsia="Courier New" w:hAnsi="Courier New"/>
          <w:sz w:val="15"/>
          <w:szCs w:val="15"/>
          <w:color w:val="auto"/>
        </w:rPr>
        <w:t>Record Dates:</w:t>
        <w:tab/>
        <w:t>January 15 and July 15.</w:t>
      </w:r>
    </w:p>
    <w:p>
      <w:pPr>
        <w:spacing w:after="0" w:line="180" w:lineRule="exact"/>
        <w:rPr>
          <w:sz w:val="20"/>
          <w:szCs w:val="20"/>
          <w:color w:val="auto"/>
        </w:rPr>
      </w:pPr>
    </w:p>
    <w:p>
      <w:pPr>
        <w:ind w:right="3039" w:firstLine="818"/>
        <w:spacing w:after="0" w:line="247" w:lineRule="auto"/>
        <w:rPr>
          <w:sz w:val="20"/>
          <w:szCs w:val="20"/>
          <w:color w:val="auto"/>
        </w:rPr>
      </w:pPr>
      <w:r>
        <w:rPr>
          <w:rFonts w:ascii="Courier New" w:cs="Courier New" w:eastAsia="Courier New" w:hAnsi="Courier New"/>
          <w:sz w:val="15"/>
          <w:szCs w:val="15"/>
          <w:color w:val="auto"/>
        </w:rPr>
        <w:t>Reference is made to the further provisions of this Security set forth below, which will, for all purposes, have the same effect as if set forth at this place.</w:t>
      </w:r>
    </w:p>
    <w:p>
      <w:pPr>
        <w:spacing w:after="0" w:line="174" w:lineRule="exact"/>
        <w:rPr>
          <w:sz w:val="20"/>
          <w:szCs w:val="20"/>
          <w:color w:val="auto"/>
        </w:rPr>
      </w:pPr>
    </w:p>
    <w:p>
      <w:pPr>
        <w:ind w:right="3139" w:firstLine="818"/>
        <w:spacing w:after="0" w:line="247" w:lineRule="auto"/>
        <w:rPr>
          <w:sz w:val="20"/>
          <w:szCs w:val="20"/>
          <w:color w:val="auto"/>
        </w:rPr>
      </w:pPr>
      <w:r>
        <w:rPr>
          <w:rFonts w:ascii="Courier New" w:cs="Courier New" w:eastAsia="Courier New" w:hAnsi="Courier New"/>
          <w:sz w:val="15"/>
          <w:szCs w:val="15"/>
          <w:color w:val="auto"/>
        </w:rPr>
        <w:t>IN WITNESS WHEREOF, the Company has caused this Instrument to be duly executed under its corporate seal.</w:t>
      </w:r>
    </w:p>
    <w:p>
      <w:pPr>
        <w:sectPr>
          <w:pgSz w:w="11900" w:h="16838" w:orient="portrait"/>
          <w:cols w:equalWidth="0" w:num="1">
            <w:col w:w="10219"/>
          </w:cols>
          <w:pgMar w:left="240" w:top="142" w:right="1440" w:bottom="1440" w:gutter="0" w:footer="0" w:header="0"/>
          <w:type w:val="continuous"/>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7, 1997</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Delaware corporation</w:t>
      </w:r>
    </w:p>
    <w:p>
      <w:pPr>
        <w:spacing w:after="0" w:line="180" w:lineRule="exact"/>
        <w:rPr>
          <w:sz w:val="20"/>
          <w:szCs w:val="20"/>
          <w:color w:val="auto"/>
        </w:rPr>
      </w:pPr>
    </w:p>
    <w:p>
      <w:pPr>
        <w:sectPr>
          <w:pgSz w:w="11900" w:h="16838" w:orient="portrait"/>
          <w:cols w:equalWidth="0" w:num="3">
            <w:col w:w="540" w:space="640"/>
            <w:col w:w="1540" w:space="720"/>
            <w:col w:w="6779"/>
          </w:cols>
          <w:pgMar w:left="240" w:top="142"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[Seal]</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Title: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Attest:</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Assistant Secretary</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A-1</w:t>
      </w:r>
    </w:p>
    <w:p>
      <w:pPr>
        <w:sectPr>
          <w:pgSz w:w="11900" w:h="16838" w:orient="portrait"/>
          <w:cols w:equalWidth="0" w:num="1">
            <w:col w:w="10219"/>
          </w:cols>
          <w:pgMar w:left="240" w:top="142" w:right="1440" w:bottom="1440" w:gutter="0" w:footer="0" w:header="0"/>
          <w:type w:val="continuous"/>
        </w:sectPr>
      </w:pPr>
    </w:p>
    <w:bookmarkStart w:id="169" w:name="page170"/>
    <w:bookmarkEnd w:id="169"/>
    <w:p>
      <w:pPr>
        <w:ind w:left="260"/>
        <w:spacing w:after="0"/>
        <w:rPr>
          <w:sz w:val="20"/>
          <w:szCs w:val="20"/>
          <w:color w:val="auto"/>
        </w:rPr>
      </w:pPr>
      <w:r>
        <w:rPr>
          <w:rFonts w:ascii="Courier New" w:cs="Courier New" w:eastAsia="Courier New" w:hAnsi="Courier New"/>
          <w:sz w:val="15"/>
          <w:szCs w:val="15"/>
          <w:color w:val="auto"/>
        </w:rPr>
        <w:t>2</w:t>
      </w:r>
    </w:p>
    <w:p>
      <w:pPr>
        <w:spacing w:after="0" w:line="5"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[FORM OF TRUSTEE'S CERTIFICATE OF AUTHENTICATION]</w:t>
      </w:r>
    </w:p>
    <w:p>
      <w:pPr>
        <w:spacing w:after="0" w:line="354" w:lineRule="exact"/>
        <w:rPr>
          <w:sz w:val="20"/>
          <w:szCs w:val="20"/>
          <w:color w:val="auto"/>
        </w:rPr>
      </w:pPr>
    </w:p>
    <w:p>
      <w:pPr>
        <w:ind w:right="3859" w:firstLine="818"/>
        <w:spacing w:after="0" w:line="247" w:lineRule="auto"/>
        <w:rPr>
          <w:sz w:val="20"/>
          <w:szCs w:val="20"/>
          <w:color w:val="auto"/>
        </w:rPr>
      </w:pPr>
      <w:r>
        <w:rPr>
          <w:rFonts w:ascii="Courier New" w:cs="Courier New" w:eastAsia="Courier New" w:hAnsi="Courier New"/>
          <w:sz w:val="15"/>
          <w:szCs w:val="15"/>
          <w:color w:val="auto"/>
        </w:rPr>
        <w:t>This is one of the Securities of the series designated in the within-mentioned Indenture.</w:t>
      </w:r>
    </w:p>
    <w:p>
      <w:pPr>
        <w:spacing w:after="0" w:line="349"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TEXAS COMMERCE BANK NATIONAL</w:t>
      </w:r>
    </w:p>
    <w:p>
      <w:pPr>
        <w:spacing w:after="0" w:line="5"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ASSOCIATION</w:t>
      </w:r>
    </w:p>
    <w:p>
      <w:pPr>
        <w:spacing w:after="0" w:line="5"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as Trustee</w:t>
      </w:r>
    </w:p>
    <w:p>
      <w:pPr>
        <w:spacing w:after="0" w:line="35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Authorized Signatory</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A-2</w:t>
      </w:r>
    </w:p>
    <w:p>
      <w:pPr>
        <w:sectPr>
          <w:pgSz w:w="11900" w:h="16838" w:orient="portrait"/>
          <w:cols w:equalWidth="0" w:num="1">
            <w:col w:w="10219"/>
          </w:cols>
          <w:pgMar w:left="240" w:top="293" w:right="1440" w:bottom="1440" w:gutter="0" w:footer="0" w:header="0"/>
        </w:sectPr>
      </w:pPr>
    </w:p>
    <w:bookmarkStart w:id="170" w:name="page171"/>
    <w:bookmarkEnd w:id="170"/>
    <w:p>
      <w:pPr>
        <w:ind w:left="267"/>
        <w:spacing w:after="0"/>
        <w:rPr>
          <w:sz w:val="20"/>
          <w:szCs w:val="20"/>
          <w:color w:val="auto"/>
        </w:rPr>
      </w:pPr>
      <w:r>
        <w:rPr>
          <w:rFonts w:ascii="Courier New" w:cs="Courier New" w:eastAsia="Courier New" w:hAnsi="Courier New"/>
          <w:sz w:val="15"/>
          <w:szCs w:val="15"/>
          <w:color w:val="auto"/>
        </w:rPr>
        <w:t>3</w:t>
      </w:r>
    </w:p>
    <w:p>
      <w:pPr>
        <w:spacing w:after="0" w:line="5"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USA WASTE SERVICES, INC.</w:t>
      </w:r>
    </w:p>
    <w:p>
      <w:pPr>
        <w:spacing w:after="0" w:line="180"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4% CONVERTIBLE SUBORDINATED NOTE</w:t>
      </w:r>
    </w:p>
    <w:p>
      <w:pPr>
        <w:spacing w:after="0" w:line="5"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DUE 2002</w:t>
      </w:r>
    </w:p>
    <w:p>
      <w:pPr>
        <w:spacing w:after="0" w:line="354" w:lineRule="exact"/>
        <w:rPr>
          <w:sz w:val="20"/>
          <w:szCs w:val="20"/>
          <w:color w:val="auto"/>
        </w:rPr>
      </w:pPr>
    </w:p>
    <w:p>
      <w:pPr>
        <w:ind w:left="7" w:right="2959" w:firstLine="818"/>
        <w:spacing w:after="0" w:line="246" w:lineRule="auto"/>
        <w:rPr>
          <w:sz w:val="20"/>
          <w:szCs w:val="20"/>
          <w:color w:val="auto"/>
        </w:rPr>
      </w:pPr>
      <w:r>
        <w:rPr>
          <w:rFonts w:ascii="Courier New" w:cs="Courier New" w:eastAsia="Courier New" w:hAnsi="Courier New"/>
          <w:sz w:val="15"/>
          <w:szCs w:val="15"/>
          <w:color w:val="auto"/>
        </w:rPr>
        <w:t>THIS SECURITY IS A BOOK-ENTRY GLOBAL SECURITY WITHIN THE MEANING OF THE INDENTURE HEREINAFTER REFERRED TO AND IS REGISTERED IN THE NAME OF A DEPOSITORY OR A NOMINEE OF A DEPOSITORY. THIS SECURITY IS EXCHANGEABLE FOR SECURITIES REGISTERED IN THE NAME OF A PERSON OTHER THAN THE DEPOSITORY OR ITS NOMINEE ONLY IN THE LIMITED CIRCUMSTANCES DESCRIBED IN THE INDENTURE REFERRED TO BELOW, AND NO TRANSFER OF THIS SECURITY (OTHER THAN A TRANSFER OF THIS SECURITY AS A WHOLE BY THE DEPOSITORY TO A NOMINEE OF THE DEPOSITORY OR BY A NOMINEE OF THE DEPOSITORY TO THE DEPOSITORY OR ANOTHER NOMINEE OF THE DEPOSITORY OR BY THE DEPOSITORY OR ANY SUCH NOMINEE OF THE DEPOSITORY TO A SUCCESSOR DEPOSITORY OR A NOMINEE OF SUCH SUCCESSOR DEPOSITORY) MAY BE REGISTERED EXCEPT IN SUCH LIMITED CIRCUMSTANCES.</w:t>
      </w:r>
    </w:p>
    <w:p>
      <w:pPr>
        <w:spacing w:after="0" w:line="181" w:lineRule="exact"/>
        <w:rPr>
          <w:sz w:val="20"/>
          <w:szCs w:val="20"/>
          <w:color w:val="auto"/>
        </w:rPr>
      </w:pPr>
    </w:p>
    <w:p>
      <w:pPr>
        <w:ind w:left="7" w:right="2959" w:firstLine="818"/>
        <w:spacing w:after="0" w:line="246" w:lineRule="auto"/>
        <w:rPr>
          <w:sz w:val="20"/>
          <w:szCs w:val="20"/>
          <w:color w:val="auto"/>
        </w:rPr>
      </w:pPr>
      <w:r>
        <w:rPr>
          <w:rFonts w:ascii="Courier New" w:cs="Courier New" w:eastAsia="Courier New" w:hAnsi="Courier New"/>
          <w:sz w:val="15"/>
          <w:szCs w:val="15"/>
          <w:color w:val="auto"/>
        </w:rPr>
        <w:t>Unless this certificate is presented by an authorized representative of The Depository Trust Company, a New York corporation ("DTC"), to the Company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0" w:lineRule="exact"/>
        <w:rPr>
          <w:sz w:val="20"/>
          <w:szCs w:val="20"/>
          <w:color w:val="auto"/>
        </w:rPr>
      </w:pPr>
    </w:p>
    <w:p>
      <w:pPr>
        <w:ind w:left="827" w:hanging="827"/>
        <w:spacing w:after="0"/>
        <w:tabs>
          <w:tab w:leader="none" w:pos="827"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w:t>
      </w:r>
    </w:p>
    <w:p>
      <w:pPr>
        <w:spacing w:after="0" w:line="180" w:lineRule="exact"/>
        <w:rPr>
          <w:sz w:val="20"/>
          <w:szCs w:val="20"/>
          <w:color w:val="auto"/>
        </w:rPr>
      </w:pPr>
    </w:p>
    <w:p>
      <w:pPr>
        <w:ind w:left="7" w:right="3039" w:firstLine="818"/>
        <w:spacing w:after="0" w:line="246" w:lineRule="auto"/>
        <w:rPr>
          <w:sz w:val="20"/>
          <w:szCs w:val="20"/>
          <w:color w:val="auto"/>
        </w:rPr>
      </w:pPr>
      <w:r>
        <w:rPr>
          <w:rFonts w:ascii="Courier New" w:cs="Courier New" w:eastAsia="Courier New" w:hAnsi="Courier New"/>
          <w:sz w:val="15"/>
          <w:szCs w:val="15"/>
          <w:color w:val="auto"/>
        </w:rPr>
        <w:t>USA Waste Services, Inc., a Delaware corporation (hereinafter called the "Company," which term includes any successors under the Indenture hereinafter referred to), promises to pay interest on the principal amount of this Security at the rate of 4% per annum. To the extent it is lawful, the Company promises to pay interest on any interest payment due but unpaid on such principal amount at a rate of 4% per annum compounded semi-annually.</w:t>
      </w:r>
    </w:p>
    <w:p>
      <w:pPr>
        <w:spacing w:after="0" w:line="178" w:lineRule="exact"/>
        <w:rPr>
          <w:sz w:val="20"/>
          <w:szCs w:val="20"/>
          <w:color w:val="auto"/>
        </w:rPr>
      </w:pPr>
    </w:p>
    <w:p>
      <w:pPr>
        <w:ind w:left="7" w:right="3039" w:firstLine="818"/>
        <w:spacing w:after="0" w:line="246" w:lineRule="auto"/>
        <w:rPr>
          <w:sz w:val="20"/>
          <w:szCs w:val="20"/>
          <w:color w:val="auto"/>
        </w:rPr>
      </w:pPr>
      <w:r>
        <w:rPr>
          <w:rFonts w:ascii="Courier New" w:cs="Courier New" w:eastAsia="Courier New" w:hAnsi="Courier New"/>
          <w:sz w:val="15"/>
          <w:szCs w:val="15"/>
          <w:color w:val="auto"/>
        </w:rPr>
        <w:t>The Company will pay interest semi-annually on February 1 and August 1 of each year (each, an "Interest Payment Date"), commencing August 1, 1997. Interest on the Securities will accrue from the most recent date to which interest has been paid or, if no interest has been paid on the Securities, from February 7, 1997. Interest will be computed on the basis of a 360-day year consisting of twelve 30-day months.</w:t>
      </w:r>
    </w:p>
    <w:p>
      <w:pPr>
        <w:spacing w:after="0" w:line="178" w:lineRule="exact"/>
        <w:rPr>
          <w:sz w:val="20"/>
          <w:szCs w:val="20"/>
          <w:color w:val="auto"/>
        </w:rPr>
      </w:pPr>
    </w:p>
    <w:p>
      <w:pPr>
        <w:ind w:left="827" w:hanging="827"/>
        <w:spacing w:after="0"/>
        <w:tabs>
          <w:tab w:leader="none" w:pos="827"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Method of Payment.</w:t>
      </w:r>
    </w:p>
    <w:p>
      <w:pPr>
        <w:spacing w:after="0" w:line="180" w:lineRule="exact"/>
        <w:rPr>
          <w:sz w:val="20"/>
          <w:szCs w:val="20"/>
          <w:color w:val="auto"/>
        </w:rPr>
      </w:pPr>
    </w:p>
    <w:p>
      <w:pPr>
        <w:ind w:left="7" w:right="2959" w:firstLine="818"/>
        <w:spacing w:after="0" w:line="246" w:lineRule="auto"/>
        <w:rPr>
          <w:sz w:val="20"/>
          <w:szCs w:val="20"/>
          <w:color w:val="auto"/>
        </w:rPr>
      </w:pPr>
      <w:r>
        <w:rPr>
          <w:rFonts w:ascii="Courier New" w:cs="Courier New" w:eastAsia="Courier New" w:hAnsi="Courier New"/>
          <w:sz w:val="15"/>
          <w:szCs w:val="15"/>
          <w:color w:val="auto"/>
        </w:rPr>
        <w:t>The Company shall pay interest on the Securities (except Defaulted Interest) to the persons who are the registered Holders at the close of business on the Regular Record Date immediately preceding the Interest Payment Date. Any such interest not so punctually paid ("Defaulted Interest"), may be paid to the persons who are registered Holders at the close of business on a Special Record Date for the payment of such Defaulted Interest, or in any other lawful manner not inconsistent with the requirements of any securities exchange on which such Securities may then be listed if such manner of payment shall be deemed practicable by the Trustee, as more fully provided in the Indenture referred to below. Except as provided below, the Company shall pay principal and interest in such coin or currency of the United States of America as at the time of payment shall be legal tender for payment of public and private debts ("U.S. Legal Tender"). Payments in respect of Global Securities (including principal, premium, if any, and interest) will be made by wire transfer of immediately available funds to the accounts specified by the Depository. Payments in respect of Securities in definitive form (including principal, premium, if any, and interest) will be made at the office or agency of the Company maintained for such purpose within the Borough of Manhattan, The City of New York, or at the option of the Company, payment of interest may be made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A-3</w:t>
      </w:r>
    </w:p>
    <w:p>
      <w:pPr>
        <w:sectPr>
          <w:pgSz w:w="11900" w:h="16838" w:orient="portrait"/>
          <w:cols w:equalWidth="0" w:num="1">
            <w:col w:w="10226"/>
          </w:cols>
          <w:pgMar w:left="233" w:top="293" w:right="1440" w:bottom="1440" w:gutter="0" w:footer="0" w:header="0"/>
        </w:sectPr>
      </w:pPr>
    </w:p>
    <w:bookmarkStart w:id="171" w:name="page172"/>
    <w:bookmarkEnd w:id="171"/>
    <w:p>
      <w:pPr>
        <w:ind w:left="267"/>
        <w:spacing w:after="0"/>
        <w:rPr>
          <w:sz w:val="20"/>
          <w:szCs w:val="20"/>
          <w:color w:val="auto"/>
        </w:rPr>
      </w:pPr>
      <w:r>
        <w:rPr>
          <w:rFonts w:ascii="Courier New" w:cs="Courier New" w:eastAsia="Courier New" w:hAnsi="Courier New"/>
          <w:sz w:val="15"/>
          <w:szCs w:val="15"/>
          <w:color w:val="auto"/>
        </w:rPr>
        <w:t>4</w:t>
      </w:r>
    </w:p>
    <w:p>
      <w:pPr>
        <w:spacing w:after="0" w:line="5" w:lineRule="exact"/>
        <w:rPr>
          <w:sz w:val="20"/>
          <w:szCs w:val="20"/>
          <w:color w:val="auto"/>
        </w:rPr>
      </w:pPr>
    </w:p>
    <w:p>
      <w:pPr>
        <w:ind w:left="7" w:right="3419"/>
        <w:spacing w:after="0" w:line="247" w:lineRule="auto"/>
        <w:rPr>
          <w:sz w:val="20"/>
          <w:szCs w:val="20"/>
          <w:color w:val="auto"/>
        </w:rPr>
      </w:pPr>
      <w:r>
        <w:rPr>
          <w:rFonts w:ascii="Courier New" w:cs="Courier New" w:eastAsia="Courier New" w:hAnsi="Courier New"/>
          <w:sz w:val="15"/>
          <w:szCs w:val="15"/>
          <w:color w:val="auto"/>
        </w:rPr>
        <w:t>check mailed to the Holders at their addresses set forth in the registry of Holders.</w:t>
      </w:r>
    </w:p>
    <w:p>
      <w:pPr>
        <w:spacing w:after="0" w:line="175" w:lineRule="exact"/>
        <w:rPr>
          <w:sz w:val="20"/>
          <w:szCs w:val="20"/>
          <w:color w:val="auto"/>
        </w:rPr>
      </w:pPr>
    </w:p>
    <w:p>
      <w:pPr>
        <w:ind w:left="827" w:hanging="827"/>
        <w:spacing w:after="0"/>
        <w:tabs>
          <w:tab w:leader="none" w:pos="827"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Paying Agent and Registrar.</w:t>
      </w:r>
    </w:p>
    <w:p>
      <w:pPr>
        <w:spacing w:after="0" w:line="180" w:lineRule="exact"/>
        <w:rPr>
          <w:sz w:val="20"/>
          <w:szCs w:val="20"/>
          <w:color w:val="auto"/>
        </w:rPr>
      </w:pPr>
    </w:p>
    <w:p>
      <w:pPr>
        <w:ind w:left="7" w:right="3039" w:firstLine="818"/>
        <w:spacing w:after="0" w:line="246" w:lineRule="auto"/>
        <w:rPr>
          <w:sz w:val="20"/>
          <w:szCs w:val="20"/>
          <w:color w:val="auto"/>
        </w:rPr>
      </w:pPr>
      <w:r>
        <w:rPr>
          <w:rFonts w:ascii="Courier New" w:cs="Courier New" w:eastAsia="Courier New" w:hAnsi="Courier New"/>
          <w:sz w:val="15"/>
          <w:szCs w:val="15"/>
          <w:color w:val="auto"/>
        </w:rPr>
        <w:t>Initially, Texas Commerce Bank National Association (the "Trustee") will act as Paying Agent and Registrar. The Company may change any Paying Agent, Registrar or co-Registrar at any time upon notice to the Trustee and the Holders. The Company or any of its Subsidiaries may, subject to certain exceptions, act as Paying Agent, Registrar or co-Registrar.</w:t>
      </w:r>
    </w:p>
    <w:p>
      <w:pPr>
        <w:spacing w:after="0" w:line="178" w:lineRule="exact"/>
        <w:rPr>
          <w:sz w:val="20"/>
          <w:szCs w:val="20"/>
          <w:color w:val="auto"/>
        </w:rPr>
      </w:pPr>
    </w:p>
    <w:p>
      <w:pPr>
        <w:ind w:left="827" w:hanging="827"/>
        <w:spacing w:after="0"/>
        <w:tabs>
          <w:tab w:leader="none" w:pos="827"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Indenture.</w:t>
      </w:r>
    </w:p>
    <w:p>
      <w:pPr>
        <w:spacing w:after="0" w:line="180" w:lineRule="exact"/>
        <w:rPr>
          <w:sz w:val="20"/>
          <w:szCs w:val="20"/>
          <w:color w:val="auto"/>
        </w:rPr>
      </w:pPr>
    </w:p>
    <w:p>
      <w:pPr>
        <w:ind w:left="7" w:right="3039" w:firstLine="818"/>
        <w:spacing w:after="0" w:line="246" w:lineRule="auto"/>
        <w:rPr>
          <w:sz w:val="20"/>
          <w:szCs w:val="20"/>
          <w:color w:val="auto"/>
        </w:rPr>
      </w:pPr>
      <w:r>
        <w:rPr>
          <w:rFonts w:ascii="Courier New" w:cs="Courier New" w:eastAsia="Courier New" w:hAnsi="Courier New"/>
          <w:sz w:val="15"/>
          <w:szCs w:val="15"/>
          <w:color w:val="auto"/>
        </w:rPr>
        <w:t>This Security is one of a duly authorized issue of securities of the Company issued and to be issued in one or more series under a Subordinated Indenture, dated as of February 1, 1997 (the "Indenture"), between the Company and the Trustee. Capitalized terms herein are used as defined in the Indenture unless otherwise defined herein. The terms of the Securities include those stated in the Indenture, all indentures supplemental thereto, those made part of the Indenture by reference to the Trust Indenture Act as in effect on the date of the Indenture, and those terms stated in the Resolutions of the Pricing Committee of the Board of Directors of the Company dated February 3, 1997 (the "Resolutions"). The Securities are subject to all such terms, and Holders of Securities are referred to the Indenture, all indentures supplemental thereto, said Act and said Resolutions for a statement of them. The Securities are general unsecured obligations of the Company limited in aggregate principal amount to $535,275,000.</w:t>
      </w:r>
    </w:p>
    <w:p>
      <w:pPr>
        <w:spacing w:after="0" w:line="183" w:lineRule="exact"/>
        <w:rPr>
          <w:sz w:val="20"/>
          <w:szCs w:val="20"/>
          <w:color w:val="auto"/>
        </w:rPr>
      </w:pPr>
    </w:p>
    <w:p>
      <w:pPr>
        <w:ind w:left="827" w:hanging="827"/>
        <w:spacing w:after="0"/>
        <w:tabs>
          <w:tab w:leader="none" w:pos="827"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Redemption.</w:t>
      </w:r>
    </w:p>
    <w:p>
      <w:pPr>
        <w:spacing w:after="0" w:line="180" w:lineRule="exact"/>
        <w:rPr>
          <w:sz w:val="20"/>
          <w:szCs w:val="20"/>
          <w:color w:val="auto"/>
        </w:rPr>
      </w:pPr>
    </w:p>
    <w:p>
      <w:pPr>
        <w:ind w:left="7" w:right="3039" w:firstLine="818"/>
        <w:spacing w:after="0" w:line="246" w:lineRule="auto"/>
        <w:rPr>
          <w:sz w:val="20"/>
          <w:szCs w:val="20"/>
          <w:color w:val="auto"/>
        </w:rPr>
      </w:pPr>
      <w:r>
        <w:rPr>
          <w:rFonts w:ascii="Courier New" w:cs="Courier New" w:eastAsia="Courier New" w:hAnsi="Courier New"/>
          <w:sz w:val="15"/>
          <w:szCs w:val="15"/>
          <w:color w:val="auto"/>
        </w:rPr>
        <w:t>The Company will not have the right to redeem any Securities prior to February 1, 2000. On and after such date, the Securities will be redeemable at the option of the Company, in whole or in part, upon not less than 30 nor more than 45 days notice to each Holder of Securities, at the following redemption prices (expressed as percentages of the principal amount) if redeemed during the 12-month period commencing February 1 of the years indicated below:</w:t>
      </w:r>
    </w:p>
    <w:p>
      <w:pPr>
        <w:spacing w:after="0" w:line="178"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1120" w:type="dxa"/>
            <w:vAlign w:val="bottom"/>
          </w:tcPr>
          <w:p>
            <w:pPr>
              <w:ind w:left="720"/>
              <w:spacing w:after="0"/>
              <w:rPr>
                <w:sz w:val="20"/>
                <w:szCs w:val="20"/>
                <w:color w:val="auto"/>
              </w:rPr>
            </w:pPr>
            <w:r>
              <w:rPr>
                <w:rFonts w:ascii="Courier New" w:cs="Courier New" w:eastAsia="Courier New" w:hAnsi="Courier New"/>
                <w:sz w:val="15"/>
                <w:szCs w:val="15"/>
                <w:color w:val="auto"/>
              </w:rPr>
              <w:t>Year</w:t>
            </w:r>
          </w:p>
        </w:tc>
        <w:tc>
          <w:tcPr>
            <w:tcW w:w="4000" w:type="dxa"/>
            <w:vAlign w:val="bottom"/>
          </w:tcPr>
          <w:p>
            <w:pPr>
              <w:spacing w:after="0"/>
              <w:rPr>
                <w:sz w:val="14"/>
                <w:szCs w:val="14"/>
                <w:color w:val="auto"/>
              </w:rPr>
            </w:pPr>
          </w:p>
        </w:tc>
        <w:tc>
          <w:tcPr>
            <w:tcW w:w="20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Percentage</w:t>
            </w:r>
          </w:p>
        </w:tc>
      </w:tr>
      <w:tr>
        <w:trPr>
          <w:trHeight w:val="175"/>
        </w:trPr>
        <w:tc>
          <w:tcPr>
            <w:tcW w:w="1120" w:type="dxa"/>
            <w:vAlign w:val="bottom"/>
          </w:tcPr>
          <w:p>
            <w:pPr>
              <w:ind w:left="720"/>
              <w:spacing w:after="0"/>
              <w:rPr>
                <w:sz w:val="20"/>
                <w:szCs w:val="20"/>
                <w:color w:val="auto"/>
              </w:rPr>
            </w:pPr>
            <w:r>
              <w:rPr>
                <w:rFonts w:ascii="Courier New" w:cs="Courier New" w:eastAsia="Courier New" w:hAnsi="Courier New"/>
                <w:sz w:val="15"/>
                <w:szCs w:val="15"/>
                <w:color w:val="auto"/>
              </w:rPr>
              <w:t>----</w:t>
            </w:r>
          </w:p>
        </w:tc>
        <w:tc>
          <w:tcPr>
            <w:tcW w:w="4000" w:type="dxa"/>
            <w:vAlign w:val="bottom"/>
          </w:tcPr>
          <w:p>
            <w:pPr>
              <w:spacing w:after="0"/>
              <w:rPr>
                <w:sz w:val="15"/>
                <w:szCs w:val="15"/>
                <w:color w:val="auto"/>
              </w:rPr>
            </w:pPr>
          </w:p>
        </w:tc>
        <w:tc>
          <w:tcPr>
            <w:tcW w:w="20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r>
      <w:tr>
        <w:trPr>
          <w:trHeight w:val="175"/>
        </w:trPr>
        <w:tc>
          <w:tcPr>
            <w:tcW w:w="5120" w:type="dxa"/>
            <w:vAlign w:val="bottom"/>
            <w:gridSpan w:val="2"/>
          </w:tcPr>
          <w:p>
            <w:pPr>
              <w:ind w:left="720"/>
              <w:spacing w:after="0"/>
              <w:rPr>
                <w:sz w:val="20"/>
                <w:szCs w:val="20"/>
                <w:color w:val="auto"/>
              </w:rPr>
            </w:pPr>
            <w:r>
              <w:rPr>
                <w:rFonts w:ascii="Courier New" w:cs="Courier New" w:eastAsia="Courier New" w:hAnsi="Courier New"/>
                <w:sz w:val="15"/>
                <w:szCs w:val="15"/>
                <w:color w:val="auto"/>
              </w:rPr>
              <w:t>2000   . . . . . . . . . . . . . . . . . . . . .</w:t>
            </w:r>
          </w:p>
        </w:tc>
        <w:tc>
          <w:tcPr>
            <w:tcW w:w="206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101.60%</w:t>
            </w:r>
          </w:p>
        </w:tc>
      </w:tr>
      <w:tr>
        <w:trPr>
          <w:trHeight w:val="175"/>
        </w:trPr>
        <w:tc>
          <w:tcPr>
            <w:tcW w:w="1120" w:type="dxa"/>
            <w:vAlign w:val="bottom"/>
          </w:tcPr>
          <w:p>
            <w:pPr>
              <w:ind w:left="720"/>
              <w:spacing w:after="0"/>
              <w:rPr>
                <w:sz w:val="20"/>
                <w:szCs w:val="20"/>
                <w:color w:val="auto"/>
              </w:rPr>
            </w:pPr>
            <w:r>
              <w:rPr>
                <w:rFonts w:ascii="Courier New" w:cs="Courier New" w:eastAsia="Courier New" w:hAnsi="Courier New"/>
                <w:sz w:val="15"/>
                <w:szCs w:val="15"/>
                <w:color w:val="auto"/>
              </w:rPr>
              <w:t>2001</w:t>
            </w:r>
          </w:p>
        </w:tc>
        <w:tc>
          <w:tcPr>
            <w:tcW w:w="4000" w:type="dxa"/>
            <w:vAlign w:val="bottom"/>
          </w:tcPr>
          <w:p>
            <w:pPr>
              <w:ind w:left="60"/>
              <w:spacing w:after="0"/>
              <w:rPr>
                <w:sz w:val="20"/>
                <w:szCs w:val="20"/>
                <w:color w:val="auto"/>
              </w:rPr>
            </w:pPr>
            <w:r>
              <w:rPr>
                <w:rFonts w:ascii="Courier New" w:cs="Courier New" w:eastAsia="Courier New" w:hAnsi="Courier New"/>
                <w:sz w:val="15"/>
                <w:szCs w:val="15"/>
                <w:color w:val="auto"/>
              </w:rPr>
              <w:t>and thereafter  . . . . . . . . . . . . . .</w:t>
            </w:r>
          </w:p>
        </w:tc>
        <w:tc>
          <w:tcPr>
            <w:tcW w:w="206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100.80%</w:t>
            </w:r>
          </w:p>
        </w:tc>
      </w:tr>
      <w:tr>
        <w:trPr>
          <w:trHeight w:val="350"/>
        </w:trPr>
        <w:tc>
          <w:tcPr>
            <w:tcW w:w="1120" w:type="dxa"/>
            <w:vAlign w:val="bottom"/>
          </w:tcPr>
          <w:p>
            <w:pPr>
              <w:spacing w:after="0"/>
              <w:rPr>
                <w:sz w:val="20"/>
                <w:szCs w:val="20"/>
                <w:color w:val="auto"/>
              </w:rPr>
            </w:pPr>
            <w:r>
              <w:rPr>
                <w:rFonts w:ascii="Courier New" w:cs="Courier New" w:eastAsia="Courier New" w:hAnsi="Courier New"/>
                <w:sz w:val="15"/>
                <w:szCs w:val="15"/>
                <w:color w:val="auto"/>
              </w:rPr>
              <w:t>in each case</w:t>
            </w:r>
          </w:p>
        </w:tc>
        <w:tc>
          <w:tcPr>
            <w:tcW w:w="60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(subject to the right of Holders of record on a Regular Record</w:t>
            </w:r>
          </w:p>
        </w:tc>
      </w:tr>
      <w:tr>
        <w:trPr>
          <w:trHeight w:val="175"/>
        </w:trPr>
        <w:tc>
          <w:tcPr>
            <w:tcW w:w="1120" w:type="dxa"/>
            <w:vAlign w:val="bottom"/>
          </w:tcPr>
          <w:p>
            <w:pPr>
              <w:spacing w:after="0"/>
              <w:rPr>
                <w:sz w:val="20"/>
                <w:szCs w:val="20"/>
                <w:color w:val="auto"/>
              </w:rPr>
            </w:pPr>
            <w:r>
              <w:rPr>
                <w:rFonts w:ascii="Courier New" w:cs="Courier New" w:eastAsia="Courier New" w:hAnsi="Courier New"/>
                <w:sz w:val="15"/>
                <w:szCs w:val="15"/>
                <w:color w:val="auto"/>
              </w:rPr>
              <w:t>Date for the</w:t>
            </w:r>
          </w:p>
        </w:tc>
        <w:tc>
          <w:tcPr>
            <w:tcW w:w="4000" w:type="dxa"/>
            <w:vAlign w:val="bottom"/>
          </w:tcPr>
          <w:p>
            <w:pPr>
              <w:ind w:left="60"/>
              <w:spacing w:after="0"/>
              <w:rPr>
                <w:sz w:val="20"/>
                <w:szCs w:val="20"/>
                <w:color w:val="auto"/>
              </w:rPr>
            </w:pPr>
            <w:r>
              <w:rPr>
                <w:rFonts w:ascii="Courier New" w:cs="Courier New" w:eastAsia="Courier New" w:hAnsi="Courier New"/>
                <w:sz w:val="15"/>
                <w:szCs w:val="15"/>
                <w:color w:val="auto"/>
              </w:rPr>
              <w:t>payment of interest to receive interest due</w:t>
            </w:r>
          </w:p>
        </w:tc>
        <w:tc>
          <w:tcPr>
            <w:tcW w:w="2060" w:type="dxa"/>
            <w:vAlign w:val="bottom"/>
          </w:tcPr>
          <w:p>
            <w:pPr>
              <w:ind w:left="60"/>
              <w:spacing w:after="0"/>
              <w:rPr>
                <w:sz w:val="20"/>
                <w:szCs w:val="20"/>
                <w:color w:val="auto"/>
              </w:rPr>
            </w:pPr>
            <w:r>
              <w:rPr>
                <w:rFonts w:ascii="Courier New" w:cs="Courier New" w:eastAsia="Courier New" w:hAnsi="Courier New"/>
                <w:sz w:val="15"/>
                <w:szCs w:val="15"/>
                <w:color w:val="auto"/>
                <w:w w:val="99"/>
              </w:rPr>
              <w:t>on an Interest Payment</w:t>
            </w:r>
          </w:p>
        </w:tc>
      </w:tr>
      <w:tr>
        <w:trPr>
          <w:trHeight w:val="175"/>
        </w:trPr>
        <w:tc>
          <w:tcPr>
            <w:tcW w:w="7180" w:type="dxa"/>
            <w:vAlign w:val="bottom"/>
            <w:gridSpan w:val="3"/>
          </w:tcPr>
          <w:p>
            <w:pPr>
              <w:spacing w:after="0"/>
              <w:rPr>
                <w:sz w:val="20"/>
                <w:szCs w:val="20"/>
                <w:color w:val="auto"/>
              </w:rPr>
            </w:pPr>
            <w:r>
              <w:rPr>
                <w:rFonts w:ascii="Courier New" w:cs="Courier New" w:eastAsia="Courier New" w:hAnsi="Courier New"/>
                <w:sz w:val="15"/>
                <w:szCs w:val="15"/>
                <w:color w:val="auto"/>
              </w:rPr>
              <w:t>Date that is on or prior to such Redemption Date) together with accrued and</w:t>
            </w:r>
          </w:p>
        </w:tc>
      </w:tr>
      <w:tr>
        <w:trPr>
          <w:trHeight w:val="175"/>
        </w:trPr>
        <w:tc>
          <w:tcPr>
            <w:tcW w:w="5120" w:type="dxa"/>
            <w:vAlign w:val="bottom"/>
            <w:gridSpan w:val="2"/>
          </w:tcPr>
          <w:p>
            <w:pPr>
              <w:spacing w:after="0"/>
              <w:rPr>
                <w:sz w:val="20"/>
                <w:szCs w:val="20"/>
                <w:color w:val="auto"/>
              </w:rPr>
            </w:pPr>
            <w:r>
              <w:rPr>
                <w:rFonts w:ascii="Courier New" w:cs="Courier New" w:eastAsia="Courier New" w:hAnsi="Courier New"/>
                <w:sz w:val="15"/>
                <w:szCs w:val="15"/>
                <w:color w:val="auto"/>
              </w:rPr>
              <w:t>unpaid interest, if any, to the Redemption Date.  In the</w:t>
            </w:r>
          </w:p>
        </w:tc>
        <w:tc>
          <w:tcPr>
            <w:tcW w:w="2060" w:type="dxa"/>
            <w:vAlign w:val="bottom"/>
          </w:tcPr>
          <w:p>
            <w:pPr>
              <w:ind w:left="60"/>
              <w:spacing w:after="0"/>
              <w:rPr>
                <w:sz w:val="20"/>
                <w:szCs w:val="20"/>
                <w:color w:val="auto"/>
              </w:rPr>
            </w:pPr>
            <w:r>
              <w:rPr>
                <w:rFonts w:ascii="Courier New" w:cs="Courier New" w:eastAsia="Courier New" w:hAnsi="Courier New"/>
                <w:sz w:val="15"/>
                <w:szCs w:val="15"/>
                <w:color w:val="auto"/>
              </w:rPr>
              <w:t>case of a partial</w:t>
            </w:r>
          </w:p>
        </w:tc>
      </w:tr>
    </w:tbl>
    <w:p>
      <w:pPr>
        <w:spacing w:after="0" w:line="5"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redemption, the Trustee shall select the Securities or portions thereof for redemption on a pro rata basis, by lot or in such other manner it deems fair and appropriate. The Securities may be redeemed in part in multiples of $1,000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A-4</w:t>
      </w:r>
    </w:p>
    <w:p>
      <w:pPr>
        <w:sectPr>
          <w:pgSz w:w="11900" w:h="16838" w:orient="portrait"/>
          <w:cols w:equalWidth="0" w:num="1">
            <w:col w:w="10226"/>
          </w:cols>
          <w:pgMar w:left="233" w:top="293" w:right="1440" w:bottom="1440" w:gutter="0" w:footer="0" w:header="0"/>
        </w:sectPr>
      </w:pPr>
    </w:p>
    <w:bookmarkStart w:id="172" w:name="page173"/>
    <w:bookmarkEnd w:id="172"/>
    <w:p>
      <w:pPr>
        <w:ind w:left="267"/>
        <w:spacing w:after="0"/>
        <w:rPr>
          <w:sz w:val="20"/>
          <w:szCs w:val="20"/>
          <w:color w:val="auto"/>
        </w:rPr>
      </w:pPr>
      <w:r>
        <w:rPr>
          <w:rFonts w:ascii="Courier New" w:cs="Courier New" w:eastAsia="Courier New" w:hAnsi="Courier New"/>
          <w:sz w:val="15"/>
          <w:szCs w:val="15"/>
          <w:color w:val="auto"/>
        </w:rPr>
        <w:t>5</w:t>
      </w:r>
    </w:p>
    <w:p>
      <w:pPr>
        <w:spacing w:after="0" w:line="5" w:lineRule="exact"/>
        <w:rPr>
          <w:sz w:val="20"/>
          <w:szCs w:val="20"/>
          <w:color w:val="auto"/>
        </w:rPr>
      </w:pPr>
    </w:p>
    <w:p>
      <w:pPr>
        <w:ind w:left="7" w:right="3679" w:firstLine="818"/>
        <w:spacing w:after="0" w:line="247" w:lineRule="auto"/>
        <w:rPr>
          <w:sz w:val="20"/>
          <w:szCs w:val="20"/>
          <w:color w:val="auto"/>
        </w:rPr>
      </w:pPr>
      <w:r>
        <w:rPr>
          <w:rFonts w:ascii="Courier New" w:cs="Courier New" w:eastAsia="Courier New" w:hAnsi="Courier New"/>
          <w:sz w:val="15"/>
          <w:szCs w:val="15"/>
          <w:color w:val="auto"/>
        </w:rPr>
        <w:t>Any such redemption will also comply with Article Eleven of the Indenture.</w:t>
      </w:r>
    </w:p>
    <w:p>
      <w:pPr>
        <w:spacing w:after="0" w:line="175" w:lineRule="exact"/>
        <w:rPr>
          <w:sz w:val="20"/>
          <w:szCs w:val="20"/>
          <w:color w:val="auto"/>
        </w:rPr>
      </w:pPr>
    </w:p>
    <w:p>
      <w:pPr>
        <w:ind w:left="827" w:hanging="827"/>
        <w:spacing w:after="0"/>
        <w:tabs>
          <w:tab w:leader="none" w:pos="827"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Redemption.</w:t>
      </w:r>
    </w:p>
    <w:p>
      <w:pPr>
        <w:spacing w:after="0" w:line="180" w:lineRule="exact"/>
        <w:rPr>
          <w:sz w:val="20"/>
          <w:szCs w:val="20"/>
          <w:color w:val="auto"/>
        </w:rPr>
      </w:pPr>
    </w:p>
    <w:p>
      <w:pPr>
        <w:ind w:left="7" w:right="3039" w:firstLine="818"/>
        <w:spacing w:after="0" w:line="247" w:lineRule="auto"/>
        <w:rPr>
          <w:sz w:val="20"/>
          <w:szCs w:val="20"/>
          <w:color w:val="auto"/>
        </w:rPr>
      </w:pPr>
      <w:r>
        <w:rPr>
          <w:rFonts w:ascii="Courier New" w:cs="Courier New" w:eastAsia="Courier New" w:hAnsi="Courier New"/>
          <w:sz w:val="15"/>
          <w:szCs w:val="15"/>
          <w:color w:val="auto"/>
        </w:rPr>
        <w:t>Notice of redemption will be given in the manner provided in the Indenture to the Holders of Securities to be redeemed not less than 30 days and not more than 45 days prior to the Redemption Date.</w:t>
      </w:r>
    </w:p>
    <w:p>
      <w:pPr>
        <w:spacing w:after="0" w:line="174" w:lineRule="exact"/>
        <w:rPr>
          <w:sz w:val="20"/>
          <w:szCs w:val="20"/>
          <w:color w:val="auto"/>
        </w:rPr>
      </w:pPr>
    </w:p>
    <w:p>
      <w:pPr>
        <w:ind w:left="7" w:right="3039" w:firstLine="818"/>
        <w:spacing w:after="0" w:line="246" w:lineRule="auto"/>
        <w:rPr>
          <w:sz w:val="20"/>
          <w:szCs w:val="20"/>
          <w:color w:val="auto"/>
        </w:rPr>
      </w:pPr>
      <w:r>
        <w:rPr>
          <w:rFonts w:ascii="Courier New" w:cs="Courier New" w:eastAsia="Courier New" w:hAnsi="Courier New"/>
          <w:sz w:val="15"/>
          <w:szCs w:val="15"/>
          <w:color w:val="auto"/>
        </w:rPr>
        <w:t>Notice of redemption having been given as aforesaid, the Securities so to be redeemed shall, on the Redemption Date, become due and payable at the Redemption Price and, except as set forth in the Indenture, from and after such Redemption Date, (unless the Company shall default in the payment of the Redemption Price and accrued interest), the Securities called for redemption will cease to bear interest and the only right of the Holders of such Securities will be to receive payment of the Redemption Price, plus any accrued and unpaid interest to the Redemption Date.</w:t>
      </w:r>
    </w:p>
    <w:p>
      <w:pPr>
        <w:spacing w:after="0" w:line="180" w:lineRule="exact"/>
        <w:rPr>
          <w:sz w:val="20"/>
          <w:szCs w:val="20"/>
          <w:color w:val="auto"/>
        </w:rPr>
      </w:pPr>
    </w:p>
    <w:p>
      <w:pPr>
        <w:ind w:left="827" w:hanging="827"/>
        <w:spacing w:after="0"/>
        <w:tabs>
          <w:tab w:leader="none" w:pos="827"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Denominations; Transfer; Exchange.</w:t>
      </w:r>
    </w:p>
    <w:p>
      <w:pPr>
        <w:spacing w:after="0" w:line="180" w:lineRule="exact"/>
        <w:rPr>
          <w:sz w:val="20"/>
          <w:szCs w:val="20"/>
          <w:color w:val="auto"/>
        </w:rPr>
      </w:pPr>
    </w:p>
    <w:p>
      <w:pPr>
        <w:ind w:left="7" w:right="3139" w:firstLine="818"/>
        <w:spacing w:after="0" w:line="246" w:lineRule="auto"/>
        <w:rPr>
          <w:sz w:val="20"/>
          <w:szCs w:val="20"/>
          <w:color w:val="auto"/>
        </w:rPr>
      </w:pPr>
      <w:r>
        <w:rPr>
          <w:rFonts w:ascii="Courier New" w:cs="Courier New" w:eastAsia="Courier New" w:hAnsi="Courier New"/>
          <w:sz w:val="15"/>
          <w:szCs w:val="15"/>
          <w:color w:val="auto"/>
        </w:rPr>
        <w:t>The Securities are in registered form, without coupons, in denominations of $1,000 and integral multiples of $1,000. A Holder may register the transfer of, or exchange Securities in accordance with, the Indenture. The Registrar may require a Holder, among other things, to furnish appropriate endorsements and transfer documents and to pay any taxes and fees required by law or permitted by the Indenture.</w:t>
      </w:r>
    </w:p>
    <w:p>
      <w:pPr>
        <w:spacing w:after="0" w:line="178" w:lineRule="exact"/>
        <w:rPr>
          <w:sz w:val="20"/>
          <w:szCs w:val="20"/>
          <w:color w:val="auto"/>
        </w:rPr>
      </w:pPr>
    </w:p>
    <w:p>
      <w:pPr>
        <w:ind w:left="827" w:hanging="827"/>
        <w:spacing w:after="0"/>
        <w:tabs>
          <w:tab w:leader="none" w:pos="827"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Persons Deemed Owners.</w:t>
      </w:r>
    </w:p>
    <w:p>
      <w:pPr>
        <w:spacing w:after="0" w:line="180" w:lineRule="exact"/>
        <w:rPr>
          <w:sz w:val="20"/>
          <w:szCs w:val="20"/>
          <w:color w:val="auto"/>
        </w:rPr>
      </w:pPr>
    </w:p>
    <w:p>
      <w:pPr>
        <w:ind w:left="7" w:right="3139" w:firstLine="818"/>
        <w:spacing w:after="0" w:line="247" w:lineRule="auto"/>
        <w:rPr>
          <w:sz w:val="20"/>
          <w:szCs w:val="20"/>
          <w:color w:val="auto"/>
        </w:rPr>
      </w:pPr>
      <w:r>
        <w:rPr>
          <w:rFonts w:ascii="Courier New" w:cs="Courier New" w:eastAsia="Courier New" w:hAnsi="Courier New"/>
          <w:sz w:val="15"/>
          <w:szCs w:val="15"/>
          <w:color w:val="auto"/>
        </w:rPr>
        <w:t>The registered Holder of a Security may be treated as the owner of it for all purposes.</w:t>
      </w:r>
    </w:p>
    <w:p>
      <w:pPr>
        <w:spacing w:after="0" w:line="175" w:lineRule="exact"/>
        <w:rPr>
          <w:sz w:val="20"/>
          <w:szCs w:val="20"/>
          <w:color w:val="auto"/>
        </w:rPr>
      </w:pPr>
    </w:p>
    <w:p>
      <w:pPr>
        <w:ind w:left="827" w:hanging="827"/>
        <w:spacing w:after="0"/>
        <w:tabs>
          <w:tab w:leader="none" w:pos="827"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Supplement; Waiver.</w:t>
      </w:r>
    </w:p>
    <w:p>
      <w:pPr>
        <w:spacing w:after="0" w:line="180" w:lineRule="exact"/>
        <w:rPr>
          <w:sz w:val="20"/>
          <w:szCs w:val="20"/>
          <w:color w:val="auto"/>
        </w:rPr>
      </w:pPr>
    </w:p>
    <w:p>
      <w:pPr>
        <w:ind w:left="7" w:right="3139" w:firstLine="818"/>
        <w:spacing w:after="0" w:line="246" w:lineRule="auto"/>
        <w:rPr>
          <w:sz w:val="20"/>
          <w:szCs w:val="20"/>
          <w:color w:val="auto"/>
        </w:rPr>
      </w:pPr>
      <w:r>
        <w:rPr>
          <w:rFonts w:ascii="Courier New" w:cs="Courier New" w:eastAsia="Courier New" w:hAnsi="Courier New"/>
          <w:sz w:val="15"/>
          <w:szCs w:val="15"/>
          <w:color w:val="auto"/>
        </w:rPr>
        <w:t>Subject to certain exceptions, the Indenture or the Securities may be amended or supplemented, and any existing Event of Default or compliance with any provision may be waived, with the written consent of the Holders of a majority in aggregate principal amount of the Securities then outstanding. Without notice to or consent of any Holder, the parties thereto may amend or supplement the Indenture or the Securities to, among other things, cure any ambiguity, defect or inconsistency, or make any other change that does not adversely affect the rights of any Holder of a 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A-5</w:t>
      </w:r>
    </w:p>
    <w:p>
      <w:pPr>
        <w:sectPr>
          <w:pgSz w:w="11900" w:h="16838" w:orient="portrait"/>
          <w:cols w:equalWidth="0" w:num="1">
            <w:col w:w="10226"/>
          </w:cols>
          <w:pgMar w:left="233" w:top="293" w:right="1440" w:bottom="1440" w:gutter="0" w:footer="0" w:header="0"/>
        </w:sectPr>
      </w:pPr>
    </w:p>
    <w:bookmarkStart w:id="173" w:name="page174"/>
    <w:bookmarkEnd w:id="173"/>
    <w:p>
      <w:pPr>
        <w:ind w:left="267"/>
        <w:spacing w:after="0"/>
        <w:rPr>
          <w:sz w:val="20"/>
          <w:szCs w:val="20"/>
          <w:color w:val="auto"/>
        </w:rPr>
      </w:pPr>
      <w:r>
        <w:rPr>
          <w:rFonts w:ascii="Courier New" w:cs="Courier New" w:eastAsia="Courier New" w:hAnsi="Courier New"/>
          <w:sz w:val="15"/>
          <w:szCs w:val="15"/>
          <w:color w:val="auto"/>
        </w:rPr>
        <w:t>6</w:t>
      </w:r>
    </w:p>
    <w:p>
      <w:pPr>
        <w:spacing w:after="0" w:line="5" w:lineRule="exact"/>
        <w:rPr>
          <w:sz w:val="20"/>
          <w:szCs w:val="20"/>
          <w:color w:val="auto"/>
        </w:rPr>
      </w:pPr>
    </w:p>
    <w:p>
      <w:pPr>
        <w:ind w:left="827" w:hanging="827"/>
        <w:spacing w:after="0"/>
        <w:tabs>
          <w:tab w:leader="none" w:pos="827"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Conversion Rights.</w:t>
      </w:r>
    </w:p>
    <w:p>
      <w:pPr>
        <w:spacing w:after="0" w:line="180" w:lineRule="exact"/>
        <w:rPr>
          <w:sz w:val="20"/>
          <w:szCs w:val="20"/>
          <w:color w:val="auto"/>
        </w:rPr>
      </w:pPr>
    </w:p>
    <w:p>
      <w:pPr>
        <w:ind w:left="7" w:right="2959" w:firstLine="818"/>
        <w:spacing w:after="0" w:line="246" w:lineRule="auto"/>
        <w:rPr>
          <w:sz w:val="20"/>
          <w:szCs w:val="20"/>
          <w:color w:val="auto"/>
        </w:rPr>
      </w:pPr>
      <w:r>
        <w:rPr>
          <w:rFonts w:ascii="Courier New" w:cs="Courier New" w:eastAsia="Courier New" w:hAnsi="Courier New"/>
          <w:sz w:val="15"/>
          <w:szCs w:val="15"/>
          <w:color w:val="auto"/>
        </w:rPr>
        <w:t>Subject to the provisions of the Indenture and the Resolutions, the Holders have the right to convert the principal amount of the Securities into fully paid and nonassessable shares of Common Stock of the Company at the initial conversion price per share of Common Stock of $43.555 (or $22.959 shares per $1,000 in principal amount of Securities), or at the adjusted conversion price then in effect, if adjustment has been made as provided in the Resolutions, upon surrender of the Security to the Company, together with a fully executed notice in substantially the form attached hereto and, if required by the Indenture or the Resolutions, an amount equal to accrued interest payable on such Security.</w:t>
      </w:r>
    </w:p>
    <w:p>
      <w:pPr>
        <w:spacing w:after="0" w:line="181" w:lineRule="exact"/>
        <w:rPr>
          <w:sz w:val="20"/>
          <w:szCs w:val="20"/>
          <w:color w:val="auto"/>
        </w:rPr>
      </w:pPr>
    </w:p>
    <w:p>
      <w:pPr>
        <w:ind w:left="827" w:hanging="827"/>
        <w:spacing w:after="0"/>
        <w:tabs>
          <w:tab w:leader="none" w:pos="827"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Subordination.</w:t>
      </w:r>
    </w:p>
    <w:p>
      <w:pPr>
        <w:spacing w:after="0" w:line="180" w:lineRule="exact"/>
        <w:rPr>
          <w:sz w:val="20"/>
          <w:szCs w:val="20"/>
          <w:color w:val="auto"/>
        </w:rPr>
      </w:pPr>
    </w:p>
    <w:p>
      <w:pPr>
        <w:jc w:val="both"/>
        <w:ind w:left="7" w:right="3139" w:firstLine="818"/>
        <w:spacing w:after="0" w:line="247" w:lineRule="auto"/>
        <w:rPr>
          <w:sz w:val="20"/>
          <w:szCs w:val="20"/>
          <w:color w:val="auto"/>
        </w:rPr>
      </w:pPr>
      <w:r>
        <w:rPr>
          <w:rFonts w:ascii="Courier New" w:cs="Courier New" w:eastAsia="Courier New" w:hAnsi="Courier New"/>
          <w:sz w:val="15"/>
          <w:szCs w:val="15"/>
          <w:color w:val="auto"/>
        </w:rPr>
        <w:t>Payment of principal, premium, if any, and interest on the Securities is subordinated, in the manner and to the extent set forth in the Resolutions, to the prior payment in full of all Senior Indebtedness.</w:t>
      </w:r>
    </w:p>
    <w:p>
      <w:pPr>
        <w:spacing w:after="0" w:line="174" w:lineRule="exact"/>
        <w:rPr>
          <w:sz w:val="20"/>
          <w:szCs w:val="20"/>
          <w:color w:val="auto"/>
        </w:rPr>
      </w:pPr>
    </w:p>
    <w:p>
      <w:pPr>
        <w:ind w:left="827" w:hanging="827"/>
        <w:spacing w:after="0"/>
        <w:tabs>
          <w:tab w:leader="none" w:pos="827"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Repurchase at Option of Holder Upon a Change of Control.</w:t>
      </w:r>
    </w:p>
    <w:p>
      <w:pPr>
        <w:spacing w:after="0" w:line="180" w:lineRule="exact"/>
        <w:rPr>
          <w:sz w:val="20"/>
          <w:szCs w:val="20"/>
          <w:color w:val="auto"/>
        </w:rPr>
      </w:pPr>
    </w:p>
    <w:p>
      <w:pPr>
        <w:ind w:left="7" w:right="3139" w:firstLine="818"/>
        <w:spacing w:after="0" w:line="246" w:lineRule="auto"/>
        <w:rPr>
          <w:sz w:val="20"/>
          <w:szCs w:val="20"/>
          <w:color w:val="auto"/>
        </w:rPr>
      </w:pPr>
      <w:r>
        <w:rPr>
          <w:rFonts w:ascii="Courier New" w:cs="Courier New" w:eastAsia="Courier New" w:hAnsi="Courier New"/>
          <w:sz w:val="15"/>
          <w:szCs w:val="15"/>
          <w:color w:val="auto"/>
        </w:rPr>
        <w:t>If there is a Change of Control, the Company shall be required to offer to purchase on the Repurchase Date all outstanding Securities at a purchase price equal to 100% of the principal amount thereof, plus accrued and unpaid interest, if any, to the Repurchase Date. Holders of Securities will receive a Repurchase Offer from the Company prior to any related Repurchase Date and may elect to have such Securities purchased by completing the form entitled "Option of Holder to Elect Purchase" appearing below.</w:t>
      </w:r>
    </w:p>
    <w:p>
      <w:pPr>
        <w:spacing w:after="0" w:line="179" w:lineRule="exact"/>
        <w:rPr>
          <w:sz w:val="20"/>
          <w:szCs w:val="20"/>
          <w:color w:val="auto"/>
        </w:rPr>
      </w:pPr>
    </w:p>
    <w:p>
      <w:pPr>
        <w:ind w:left="827" w:hanging="827"/>
        <w:spacing w:after="0"/>
        <w:tabs>
          <w:tab w:leader="none" w:pos="827"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Successors.</w:t>
      </w:r>
    </w:p>
    <w:p>
      <w:pPr>
        <w:spacing w:after="0" w:line="180" w:lineRule="exact"/>
        <w:rPr>
          <w:sz w:val="20"/>
          <w:szCs w:val="20"/>
          <w:color w:val="auto"/>
        </w:rPr>
      </w:pPr>
    </w:p>
    <w:p>
      <w:pPr>
        <w:jc w:val="both"/>
        <w:ind w:left="7" w:right="3139" w:firstLine="818"/>
        <w:spacing w:after="0" w:line="247" w:lineRule="auto"/>
        <w:rPr>
          <w:sz w:val="20"/>
          <w:szCs w:val="20"/>
          <w:color w:val="auto"/>
        </w:rPr>
      </w:pPr>
      <w:r>
        <w:rPr>
          <w:rFonts w:ascii="Courier New" w:cs="Courier New" w:eastAsia="Courier New" w:hAnsi="Courier New"/>
          <w:sz w:val="15"/>
          <w:szCs w:val="15"/>
          <w:color w:val="auto"/>
        </w:rPr>
        <w:t>When a successor assumes all the obligations of its predecessor under the Securities and the Indenture, the predecessor will be released from those obligations as provided in the Indenture.</w:t>
      </w:r>
    </w:p>
    <w:p>
      <w:pPr>
        <w:spacing w:after="0" w:line="174" w:lineRule="exact"/>
        <w:rPr>
          <w:sz w:val="20"/>
          <w:szCs w:val="20"/>
          <w:color w:val="auto"/>
        </w:rPr>
      </w:pPr>
    </w:p>
    <w:p>
      <w:pPr>
        <w:ind w:left="827" w:hanging="827"/>
        <w:spacing w:after="0"/>
        <w:tabs>
          <w:tab w:leader="none" w:pos="827"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Defaults and Remedies.</w:t>
      </w:r>
    </w:p>
    <w:p>
      <w:pPr>
        <w:spacing w:after="0" w:line="180" w:lineRule="exact"/>
        <w:rPr>
          <w:sz w:val="20"/>
          <w:szCs w:val="20"/>
          <w:color w:val="auto"/>
        </w:rPr>
      </w:pPr>
    </w:p>
    <w:p>
      <w:pPr>
        <w:ind w:left="7" w:right="2959" w:firstLine="818"/>
        <w:spacing w:after="0" w:line="246" w:lineRule="auto"/>
        <w:rPr>
          <w:sz w:val="20"/>
          <w:szCs w:val="20"/>
          <w:color w:val="auto"/>
        </w:rPr>
      </w:pPr>
      <w:r>
        <w:rPr>
          <w:rFonts w:ascii="Courier New" w:cs="Courier New" w:eastAsia="Courier New" w:hAnsi="Courier New"/>
          <w:sz w:val="15"/>
          <w:szCs w:val="15"/>
          <w:color w:val="auto"/>
        </w:rPr>
        <w:t>If an Event of Default occurs and is continuing, then in every such case, the Trustee or the Holders of 25% in aggregate principal amount of Securities then outstanding may declare the principal amount of all the Securities to be due and payable immediately in the manner and with the effect provided in the Indenture. Holders of Securities may not enforce the Indenture or the Securities except as provided in the Indenture. The Trustee may require indemnity satisfactory to it before it enforces the Indenture or the Securities. Subject to certain limitations, Holders of a majority in aggregate principal amount of the Securities then outstanding may direct the Trustee in its exercise of any trust or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A-6</w:t>
      </w:r>
    </w:p>
    <w:p>
      <w:pPr>
        <w:sectPr>
          <w:pgSz w:w="11900" w:h="16838" w:orient="portrait"/>
          <w:cols w:equalWidth="0" w:num="1">
            <w:col w:w="10226"/>
          </w:cols>
          <w:pgMar w:left="233" w:top="293" w:right="1440" w:bottom="1440" w:gutter="0" w:footer="0" w:header="0"/>
        </w:sectPr>
      </w:pPr>
    </w:p>
    <w:bookmarkStart w:id="174" w:name="page175"/>
    <w:bookmarkEnd w:id="174"/>
    <w:p>
      <w:pPr>
        <w:ind w:left="267"/>
        <w:spacing w:after="0"/>
        <w:rPr>
          <w:sz w:val="20"/>
          <w:szCs w:val="20"/>
          <w:color w:val="auto"/>
        </w:rPr>
      </w:pPr>
      <w:r>
        <w:rPr>
          <w:rFonts w:ascii="Courier New" w:cs="Courier New" w:eastAsia="Courier New" w:hAnsi="Courier New"/>
          <w:sz w:val="15"/>
          <w:szCs w:val="15"/>
          <w:color w:val="auto"/>
        </w:rPr>
        <w:t>7</w:t>
      </w:r>
    </w:p>
    <w:p>
      <w:pPr>
        <w:spacing w:after="0" w:line="5" w:lineRule="exact"/>
        <w:rPr>
          <w:sz w:val="20"/>
          <w:szCs w:val="20"/>
          <w:color w:val="auto"/>
        </w:rPr>
      </w:pPr>
    </w:p>
    <w:p>
      <w:pPr>
        <w:ind w:left="827" w:hanging="827"/>
        <w:spacing w:after="0"/>
        <w:tabs>
          <w:tab w:leader="none" w:pos="827"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Trustee Dealings with Company.</w:t>
      </w:r>
    </w:p>
    <w:p>
      <w:pPr>
        <w:spacing w:after="0" w:line="180" w:lineRule="exact"/>
        <w:rPr>
          <w:sz w:val="20"/>
          <w:szCs w:val="20"/>
          <w:color w:val="auto"/>
        </w:rPr>
      </w:pPr>
    </w:p>
    <w:p>
      <w:pPr>
        <w:ind w:left="7" w:right="3039" w:firstLine="818"/>
        <w:spacing w:after="0" w:line="246" w:lineRule="auto"/>
        <w:rPr>
          <w:sz w:val="20"/>
          <w:szCs w:val="20"/>
          <w:color w:val="auto"/>
        </w:rPr>
      </w:pPr>
      <w:r>
        <w:rPr>
          <w:rFonts w:ascii="Courier New" w:cs="Courier New" w:eastAsia="Courier New" w:hAnsi="Courier New"/>
          <w:sz w:val="15"/>
          <w:szCs w:val="15"/>
          <w:color w:val="auto"/>
        </w:rPr>
        <w:t>The Trustee under the Indenture, in its individual or any other capacity, may make loans to, accept deposits from, and perform services for the Company or its Affiliates or any subsidiary of the Company's Affiliates, and may otherwise deal with the Company or its Affiliates as if it were not the Trustee.</w:t>
      </w:r>
    </w:p>
    <w:p>
      <w:pPr>
        <w:spacing w:after="0" w:line="178" w:lineRule="exact"/>
        <w:rPr>
          <w:sz w:val="20"/>
          <w:szCs w:val="20"/>
          <w:color w:val="auto"/>
        </w:rPr>
      </w:pPr>
    </w:p>
    <w:p>
      <w:pPr>
        <w:ind w:left="827" w:hanging="827"/>
        <w:spacing w:after="0"/>
        <w:tabs>
          <w:tab w:leader="none" w:pos="827"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Authentication.</w:t>
      </w:r>
    </w:p>
    <w:p>
      <w:pPr>
        <w:spacing w:after="0" w:line="180" w:lineRule="exact"/>
        <w:rPr>
          <w:sz w:val="20"/>
          <w:szCs w:val="20"/>
          <w:color w:val="auto"/>
        </w:rPr>
      </w:pPr>
    </w:p>
    <w:p>
      <w:pPr>
        <w:ind w:left="7" w:right="3219" w:firstLine="818"/>
        <w:spacing w:after="0" w:line="247" w:lineRule="auto"/>
        <w:rPr>
          <w:sz w:val="20"/>
          <w:szCs w:val="20"/>
          <w:color w:val="auto"/>
        </w:rPr>
      </w:pPr>
      <w:r>
        <w:rPr>
          <w:rFonts w:ascii="Courier New" w:cs="Courier New" w:eastAsia="Courier New" w:hAnsi="Courier New"/>
          <w:sz w:val="15"/>
          <w:szCs w:val="15"/>
          <w:color w:val="auto"/>
        </w:rPr>
        <w:t>This Security shall not be valid until the Trustee or authenticating agent signs the certificate of authentication on the other side of this Security.</w:t>
      </w:r>
    </w:p>
    <w:p>
      <w:pPr>
        <w:spacing w:after="0" w:line="174" w:lineRule="exact"/>
        <w:rPr>
          <w:sz w:val="20"/>
          <w:szCs w:val="20"/>
          <w:color w:val="auto"/>
        </w:rPr>
      </w:pPr>
    </w:p>
    <w:p>
      <w:pPr>
        <w:ind w:left="827" w:hanging="827"/>
        <w:spacing w:after="0"/>
        <w:tabs>
          <w:tab w:leader="none" w:pos="827"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Abbreviations and Defined Terms.</w:t>
      </w:r>
    </w:p>
    <w:p>
      <w:pPr>
        <w:spacing w:after="0" w:line="180" w:lineRule="exact"/>
        <w:rPr>
          <w:sz w:val="20"/>
          <w:szCs w:val="20"/>
          <w:color w:val="auto"/>
        </w:rPr>
      </w:pPr>
    </w:p>
    <w:p>
      <w:pPr>
        <w:ind w:left="7" w:right="3039" w:firstLine="818"/>
        <w:spacing w:after="0" w:line="246" w:lineRule="auto"/>
        <w:rPr>
          <w:sz w:val="20"/>
          <w:szCs w:val="20"/>
          <w:color w:val="auto"/>
        </w:rPr>
      </w:pPr>
      <w:r>
        <w:rPr>
          <w:rFonts w:ascii="Courier New" w:cs="Courier New" w:eastAsia="Courier New" w:hAnsi="Courier New"/>
          <w:sz w:val="15"/>
          <w:szCs w:val="15"/>
          <w:color w:val="auto"/>
        </w:rPr>
        <w:t>Customary abbreviations may be used in the name of a Holder of a Security or an assignee, such as: TEN COM (= tenants in common), TEN ENT (= tenants by the entireties), JT TEN (= joint tenants with right of survivorship and not as tenants in common), CUST (= Custodian), and U/G/M/A (= Uniform Gifts to Minors Act).</w:t>
      </w:r>
    </w:p>
    <w:p>
      <w:pPr>
        <w:spacing w:after="0" w:line="178" w:lineRule="exact"/>
        <w:rPr>
          <w:sz w:val="20"/>
          <w:szCs w:val="20"/>
          <w:color w:val="auto"/>
        </w:rPr>
      </w:pPr>
    </w:p>
    <w:p>
      <w:pPr>
        <w:ind w:left="827" w:hanging="827"/>
        <w:spacing w:after="0"/>
        <w:tabs>
          <w:tab w:leader="none" w:pos="827"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CUSIP Numbers.</w:t>
      </w:r>
    </w:p>
    <w:p>
      <w:pPr>
        <w:spacing w:after="0" w:line="180" w:lineRule="exact"/>
        <w:rPr>
          <w:sz w:val="20"/>
          <w:szCs w:val="20"/>
          <w:color w:val="auto"/>
        </w:rPr>
      </w:pPr>
    </w:p>
    <w:p>
      <w:pPr>
        <w:jc w:val="both"/>
        <w:ind w:left="7" w:right="3139" w:firstLine="818"/>
        <w:spacing w:after="0" w:line="246" w:lineRule="auto"/>
        <w:rPr>
          <w:sz w:val="20"/>
          <w:szCs w:val="20"/>
          <w:color w:val="auto"/>
        </w:rPr>
      </w:pPr>
      <w:r>
        <w:rPr>
          <w:rFonts w:ascii="Courier New" w:cs="Courier New" w:eastAsia="Courier New" w:hAnsi="Courier New"/>
          <w:sz w:val="15"/>
          <w:szCs w:val="15"/>
          <w:color w:val="auto"/>
        </w:rPr>
        <w:t>Pursuant to a recommendation promulgated by the Committee on Uniform Security Identification Procedures, the Company will cause CUSIP numbers to be printed on the Securities as a convenience to the Holders of the Securities.</w:t>
      </w:r>
    </w:p>
    <w:p>
      <w:pPr>
        <w:spacing w:after="0" w:line="2" w:lineRule="exact"/>
        <w:rPr>
          <w:sz w:val="20"/>
          <w:szCs w:val="20"/>
          <w:color w:val="auto"/>
        </w:rPr>
      </w:pPr>
    </w:p>
    <w:p>
      <w:pPr>
        <w:jc w:val="both"/>
        <w:ind w:left="7" w:right="3139"/>
        <w:spacing w:after="0" w:line="247" w:lineRule="auto"/>
        <w:rPr>
          <w:sz w:val="20"/>
          <w:szCs w:val="20"/>
          <w:color w:val="auto"/>
        </w:rPr>
      </w:pPr>
      <w:r>
        <w:rPr>
          <w:rFonts w:ascii="Courier New" w:cs="Courier New" w:eastAsia="Courier New" w:hAnsi="Courier New"/>
          <w:sz w:val="15"/>
          <w:szCs w:val="15"/>
          <w:color w:val="auto"/>
        </w:rPr>
        <w:t>No representation is made as to the accuracy of such numbers as printed on the Securities and reliance may be placed only on the other identification numbers printed hereon.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A-7</w:t>
      </w:r>
    </w:p>
    <w:p>
      <w:pPr>
        <w:sectPr>
          <w:pgSz w:w="11900" w:h="16838" w:orient="portrait"/>
          <w:cols w:equalWidth="0" w:num="1">
            <w:col w:w="10226"/>
          </w:cols>
          <w:pgMar w:left="233" w:top="293" w:right="1440" w:bottom="1440" w:gutter="0" w:footer="0" w:header="0"/>
        </w:sectPr>
      </w:pPr>
    </w:p>
    <w:bookmarkStart w:id="175" w:name="page176"/>
    <w:bookmarkEnd w:id="175"/>
    <w:p>
      <w:pPr>
        <w:ind w:left="260"/>
        <w:spacing w:after="0"/>
        <w:rPr>
          <w:sz w:val="20"/>
          <w:szCs w:val="20"/>
          <w:color w:val="auto"/>
        </w:rPr>
      </w:pPr>
      <w:r>
        <w:rPr>
          <w:rFonts w:ascii="Courier New" w:cs="Courier New" w:eastAsia="Courier New" w:hAnsi="Courier New"/>
          <w:sz w:val="15"/>
          <w:szCs w:val="15"/>
          <w:color w:val="auto"/>
        </w:rPr>
        <w:t>8</w:t>
      </w:r>
    </w:p>
    <w:p>
      <w:pPr>
        <w:spacing w:after="0" w:line="5"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OPTION OF HOLDER TO ELECT PURCHASE</w:t>
      </w:r>
    </w:p>
    <w:p>
      <w:pPr>
        <w:spacing w:after="0" w:line="354" w:lineRule="exact"/>
        <w:rPr>
          <w:sz w:val="20"/>
          <w:szCs w:val="20"/>
          <w:color w:val="auto"/>
        </w:rPr>
      </w:pPr>
    </w:p>
    <w:p>
      <w:pPr>
        <w:ind w:right="4620" w:firstLine="818"/>
        <w:spacing w:after="0" w:line="247" w:lineRule="auto"/>
        <w:rPr>
          <w:sz w:val="20"/>
          <w:szCs w:val="20"/>
          <w:color w:val="auto"/>
        </w:rPr>
      </w:pPr>
      <w:r>
        <w:rPr>
          <w:rFonts w:ascii="Courier New" w:cs="Courier New" w:eastAsia="Courier New" w:hAnsi="Courier New"/>
          <w:sz w:val="15"/>
          <w:szCs w:val="15"/>
          <w:color w:val="auto"/>
        </w:rPr>
        <w:t>If you want to elect to have this Security purchased by the Company upon a Change of Control pursuant to the Indenture, check the box: /___/</w:t>
      </w:r>
    </w:p>
    <w:p>
      <w:pPr>
        <w:spacing w:after="0" w:line="175" w:lineRule="exact"/>
        <w:rPr>
          <w:sz w:val="20"/>
          <w:szCs w:val="20"/>
          <w:color w:val="auto"/>
        </w:rPr>
      </w:pPr>
    </w:p>
    <w:p>
      <w:pPr>
        <w:ind w:right="4520" w:firstLine="818"/>
        <w:spacing w:after="0" w:line="247" w:lineRule="auto"/>
        <w:rPr>
          <w:sz w:val="20"/>
          <w:szCs w:val="20"/>
          <w:color w:val="auto"/>
        </w:rPr>
      </w:pPr>
      <w:r>
        <w:rPr>
          <w:rFonts w:ascii="Courier New" w:cs="Courier New" w:eastAsia="Courier New" w:hAnsi="Courier New"/>
          <w:sz w:val="15"/>
          <w:szCs w:val="15"/>
          <w:color w:val="auto"/>
        </w:rPr>
        <w:t>If you want to elect to have only part of this Security purchased by the Company upon a Change of Control pursuant to the Indenture, state the amount you want to be purchased: $__________________</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9</w:t>
      </w:r>
    </w:p>
    <w:p>
      <w:pPr>
        <w:spacing w:after="0" w:line="5"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SCHEDULE OF EXCHANGES OF DEFINITIVE SECURITIES1</w:t>
      </w:r>
    </w:p>
    <w:p>
      <w:pPr>
        <w:spacing w:after="0" w:line="354"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The following exchanges of a part of this Global Security for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Definitive Securities have been made:</w:t>
      </w:r>
    </w:p>
    <w:p>
      <w:pPr>
        <w:spacing w:after="0" w:line="200" w:lineRule="exact"/>
        <w:rPr>
          <w:sz w:val="20"/>
          <w:szCs w:val="20"/>
          <w:color w:val="auto"/>
        </w:rPr>
      </w:pPr>
    </w:p>
    <w:p>
      <w:pPr>
        <w:spacing w:after="0" w:line="329" w:lineRule="exact"/>
        <w:rPr>
          <w:sz w:val="20"/>
          <w:szCs w:val="20"/>
          <w:color w:val="auto"/>
        </w:rPr>
      </w:pPr>
    </w:p>
    <w:tbl>
      <w:tblPr>
        <w:tblLayout w:type="fixed"/>
        <w:tblInd w:w="1720" w:type="dxa"/>
        <w:tblCellMar>
          <w:top w:w="0" w:type="dxa"/>
          <w:left w:w="0" w:type="dxa"/>
          <w:bottom w:w="0" w:type="dxa"/>
          <w:right w:w="0" w:type="dxa"/>
        </w:tblCellMar>
      </w:tblPr>
      <w:tr>
        <w:trPr>
          <w:trHeight w:val="170"/>
        </w:trPr>
        <w:tc>
          <w:tcPr>
            <w:tcW w:w="10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Courier New" w:cs="Courier New" w:eastAsia="Courier New" w:hAnsi="Courier New"/>
                <w:sz w:val="15"/>
                <w:szCs w:val="15"/>
                <w:color w:val="auto"/>
              </w:rPr>
              <w:t>Principal Amount of</w:t>
            </w:r>
          </w:p>
        </w:tc>
        <w:tc>
          <w:tcPr>
            <w:tcW w:w="2080" w:type="dxa"/>
            <w:vAlign w:val="bottom"/>
          </w:tcPr>
          <w:p>
            <w:pPr>
              <w:spacing w:after="0"/>
              <w:rPr>
                <w:sz w:val="14"/>
                <w:szCs w:val="14"/>
                <w:color w:val="auto"/>
              </w:rPr>
            </w:pPr>
          </w:p>
        </w:tc>
      </w:tr>
      <w:tr>
        <w:trPr>
          <w:trHeight w:val="175"/>
        </w:trPr>
        <w:tc>
          <w:tcPr>
            <w:tcW w:w="100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080" w:type="dxa"/>
            <w:vAlign w:val="bottom"/>
          </w:tcPr>
          <w:p>
            <w:pPr>
              <w:jc w:val="center"/>
              <w:spacing w:after="0"/>
              <w:rPr>
                <w:sz w:val="20"/>
                <w:szCs w:val="20"/>
                <w:color w:val="auto"/>
              </w:rPr>
            </w:pPr>
            <w:r>
              <w:rPr>
                <w:rFonts w:ascii="Courier New" w:cs="Courier New" w:eastAsia="Courier New" w:hAnsi="Courier New"/>
                <w:sz w:val="15"/>
                <w:szCs w:val="15"/>
                <w:color w:val="auto"/>
              </w:rPr>
              <w:t>this Global</w:t>
            </w:r>
          </w:p>
        </w:tc>
        <w:tc>
          <w:tcPr>
            <w:tcW w:w="208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Signature of</w:t>
            </w:r>
          </w:p>
        </w:tc>
      </w:tr>
      <w:tr>
        <w:trPr>
          <w:trHeight w:val="175"/>
        </w:trPr>
        <w:tc>
          <w:tcPr>
            <w:tcW w:w="1000" w:type="dxa"/>
            <w:vAlign w:val="bottom"/>
          </w:tcPr>
          <w:p>
            <w:pPr>
              <w:spacing w:after="0"/>
              <w:rPr>
                <w:sz w:val="15"/>
                <w:szCs w:val="15"/>
                <w:color w:val="auto"/>
              </w:rPr>
            </w:pPr>
          </w:p>
        </w:tc>
        <w:tc>
          <w:tcPr>
            <w:tcW w:w="2360" w:type="dxa"/>
            <w:vAlign w:val="bottom"/>
          </w:tcPr>
          <w:p>
            <w:pPr>
              <w:ind w:left="280"/>
              <w:spacing w:after="0"/>
              <w:rPr>
                <w:sz w:val="20"/>
                <w:szCs w:val="20"/>
                <w:color w:val="auto"/>
              </w:rPr>
            </w:pPr>
            <w:r>
              <w:rPr>
                <w:rFonts w:ascii="Courier New" w:cs="Courier New" w:eastAsia="Courier New" w:hAnsi="Courier New"/>
                <w:sz w:val="15"/>
                <w:szCs w:val="15"/>
                <w:color w:val="auto"/>
              </w:rPr>
              <w:t>Amount of decrease in</w:t>
            </w:r>
          </w:p>
        </w:tc>
        <w:tc>
          <w:tcPr>
            <w:tcW w:w="2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Amount of increase in</w:t>
            </w:r>
          </w:p>
        </w:tc>
        <w:tc>
          <w:tcPr>
            <w:tcW w:w="2080" w:type="dxa"/>
            <w:vAlign w:val="bottom"/>
          </w:tcPr>
          <w:p>
            <w:pPr>
              <w:ind w:left="260"/>
              <w:spacing w:after="0"/>
              <w:rPr>
                <w:sz w:val="20"/>
                <w:szCs w:val="20"/>
                <w:color w:val="auto"/>
              </w:rPr>
            </w:pPr>
            <w:r>
              <w:rPr>
                <w:rFonts w:ascii="Courier New" w:cs="Courier New" w:eastAsia="Courier New" w:hAnsi="Courier New"/>
                <w:sz w:val="15"/>
                <w:szCs w:val="15"/>
                <w:color w:val="auto"/>
              </w:rPr>
              <w:t>Security following</w:t>
            </w:r>
          </w:p>
        </w:tc>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rPr>
              <w:t>authorized officer of</w:t>
            </w:r>
          </w:p>
        </w:tc>
      </w:tr>
      <w:tr>
        <w:trPr>
          <w:trHeight w:val="175"/>
        </w:trPr>
        <w:tc>
          <w:tcPr>
            <w:tcW w:w="1000" w:type="dxa"/>
            <w:vAlign w:val="bottom"/>
          </w:tcPr>
          <w:p>
            <w:pPr>
              <w:spacing w:after="0"/>
              <w:rPr>
                <w:sz w:val="20"/>
                <w:szCs w:val="20"/>
                <w:color w:val="auto"/>
              </w:rPr>
            </w:pPr>
            <w:r>
              <w:rPr>
                <w:rFonts w:ascii="Courier New" w:cs="Courier New" w:eastAsia="Courier New" w:hAnsi="Courier New"/>
                <w:sz w:val="15"/>
                <w:szCs w:val="15"/>
                <w:color w:val="auto"/>
              </w:rPr>
              <w:t>Date of</w:t>
            </w:r>
          </w:p>
        </w:tc>
        <w:tc>
          <w:tcPr>
            <w:tcW w:w="2360" w:type="dxa"/>
            <w:vAlign w:val="bottom"/>
          </w:tcPr>
          <w:p>
            <w:pPr>
              <w:ind w:left="360"/>
              <w:spacing w:after="0"/>
              <w:rPr>
                <w:sz w:val="20"/>
                <w:szCs w:val="20"/>
                <w:color w:val="auto"/>
              </w:rPr>
            </w:pPr>
            <w:r>
              <w:rPr>
                <w:rFonts w:ascii="Courier New" w:cs="Courier New" w:eastAsia="Courier New" w:hAnsi="Courier New"/>
                <w:sz w:val="15"/>
                <w:szCs w:val="15"/>
                <w:color w:val="auto"/>
              </w:rPr>
              <w:t>Principal Amount of</w:t>
            </w:r>
          </w:p>
        </w:tc>
        <w:tc>
          <w:tcPr>
            <w:tcW w:w="2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Principal Amount of</w:t>
            </w:r>
          </w:p>
        </w:tc>
        <w:tc>
          <w:tcPr>
            <w:tcW w:w="2080" w:type="dxa"/>
            <w:vAlign w:val="bottom"/>
          </w:tcPr>
          <w:p>
            <w:pPr>
              <w:jc w:val="center"/>
              <w:spacing w:after="0"/>
              <w:rPr>
                <w:sz w:val="20"/>
                <w:szCs w:val="20"/>
                <w:color w:val="auto"/>
              </w:rPr>
            </w:pPr>
            <w:r>
              <w:rPr>
                <w:rFonts w:ascii="Courier New" w:cs="Courier New" w:eastAsia="Courier New" w:hAnsi="Courier New"/>
                <w:sz w:val="15"/>
                <w:szCs w:val="15"/>
                <w:color w:val="auto"/>
              </w:rPr>
              <w:t>such decrease (or</w:t>
            </w:r>
          </w:p>
        </w:tc>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rPr>
              <w:t>Trustee or Securities</w:t>
            </w:r>
          </w:p>
        </w:tc>
      </w:tr>
      <w:tr>
        <w:trPr>
          <w:trHeight w:val="175"/>
        </w:trPr>
        <w:tc>
          <w:tcPr>
            <w:tcW w:w="1000" w:type="dxa"/>
            <w:vAlign w:val="bottom"/>
          </w:tcPr>
          <w:p>
            <w:pPr>
              <w:spacing w:after="0"/>
              <w:rPr>
                <w:sz w:val="20"/>
                <w:szCs w:val="20"/>
                <w:color w:val="auto"/>
              </w:rPr>
            </w:pPr>
            <w:r>
              <w:rPr>
                <w:rFonts w:ascii="Courier New" w:cs="Courier New" w:eastAsia="Courier New" w:hAnsi="Courier New"/>
                <w:sz w:val="15"/>
                <w:szCs w:val="15"/>
                <w:color w:val="auto"/>
              </w:rPr>
              <w:t>Exchange</w:t>
            </w:r>
          </w:p>
        </w:tc>
        <w:tc>
          <w:tcPr>
            <w:tcW w:w="2360" w:type="dxa"/>
            <w:vAlign w:val="bottom"/>
          </w:tcPr>
          <w:p>
            <w:pPr>
              <w:ind w:left="280"/>
              <w:spacing w:after="0"/>
              <w:rPr>
                <w:sz w:val="20"/>
                <w:szCs w:val="20"/>
                <w:color w:val="auto"/>
              </w:rPr>
            </w:pPr>
            <w:r>
              <w:rPr>
                <w:rFonts w:ascii="Courier New" w:cs="Courier New" w:eastAsia="Courier New" w:hAnsi="Courier New"/>
                <w:sz w:val="15"/>
                <w:szCs w:val="15"/>
                <w:color w:val="auto"/>
              </w:rPr>
              <w:t>this Global Security</w:t>
            </w:r>
          </w:p>
        </w:tc>
        <w:tc>
          <w:tcPr>
            <w:tcW w:w="2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this Global Security</w:t>
            </w:r>
          </w:p>
        </w:tc>
        <w:tc>
          <w:tcPr>
            <w:tcW w:w="2080" w:type="dxa"/>
            <w:vAlign w:val="bottom"/>
          </w:tcPr>
          <w:p>
            <w:pPr>
              <w:jc w:val="center"/>
              <w:spacing w:after="0"/>
              <w:rPr>
                <w:sz w:val="20"/>
                <w:szCs w:val="20"/>
                <w:color w:val="auto"/>
              </w:rPr>
            </w:pPr>
            <w:r>
              <w:rPr>
                <w:rFonts w:ascii="Courier New" w:cs="Courier New" w:eastAsia="Courier New" w:hAnsi="Courier New"/>
                <w:sz w:val="15"/>
                <w:szCs w:val="15"/>
                <w:color w:val="auto"/>
                <w:w w:val="98"/>
              </w:rPr>
              <w:t>increase)</w:t>
            </w:r>
          </w:p>
        </w:tc>
        <w:tc>
          <w:tcPr>
            <w:tcW w:w="20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Custodian</w:t>
            </w:r>
          </w:p>
        </w:tc>
      </w:tr>
      <w:tr>
        <w:trPr>
          <w:trHeight w:val="175"/>
        </w:trPr>
        <w:tc>
          <w:tcPr>
            <w:tcW w:w="10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36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2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08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w:t>
      </w:r>
    </w:p>
    <w:p>
      <w:pPr>
        <w:spacing w:after="0" w:line="180" w:lineRule="exact"/>
        <w:rPr>
          <w:sz w:val="20"/>
          <w:szCs w:val="20"/>
          <w:color w:val="auto"/>
        </w:rPr>
      </w:pPr>
    </w:p>
    <w:p>
      <w:pPr>
        <w:jc w:val="both"/>
        <w:ind w:left="2000"/>
        <w:spacing w:after="0"/>
        <w:tabs>
          <w:tab w:leader="none" w:pos="2340" w:val="left"/>
        </w:tabs>
        <w:rPr>
          <w:sz w:val="20"/>
          <w:szCs w:val="20"/>
          <w:color w:val="auto"/>
        </w:rPr>
      </w:pPr>
      <w:r>
        <w:rPr>
          <w:rFonts w:ascii="Courier New" w:cs="Courier New" w:eastAsia="Courier New" w:hAnsi="Courier New"/>
          <w:sz w:val="15"/>
          <w:szCs w:val="15"/>
          <w:color w:val="auto"/>
        </w:rPr>
        <w:t>1</w:t>
      </w:r>
      <w:r>
        <w:rPr>
          <w:sz w:val="20"/>
          <w:szCs w:val="20"/>
          <w:color w:val="auto"/>
        </w:rPr>
        <w:tab/>
      </w:r>
      <w:r>
        <w:rPr>
          <w:rFonts w:ascii="Courier New" w:cs="Courier New" w:eastAsia="Courier New" w:hAnsi="Courier New"/>
          <w:sz w:val="15"/>
          <w:szCs w:val="15"/>
          <w:color w:val="auto"/>
        </w:rPr>
        <w:t>This schedule should only be added if the Security is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issued in global form.</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A-9</w:t>
      </w:r>
    </w:p>
    <w:p>
      <w:pPr>
        <w:sectPr>
          <w:pgSz w:w="11900" w:h="16838" w:orient="portrait"/>
          <w:cols w:equalWidth="0" w:num="1">
            <w:col w:w="11520"/>
          </w:cols>
          <w:pgMar w:left="240" w:top="293" w:right="139" w:bottom="1440" w:gutter="0" w:footer="0" w:header="0"/>
        </w:sectPr>
      </w:pPr>
    </w:p>
    <w:bookmarkStart w:id="176" w:name="page177"/>
    <w:bookmarkEnd w:id="176"/>
    <w:p>
      <w:pPr>
        <w:ind w:left="260"/>
        <w:spacing w:after="0"/>
        <w:rPr>
          <w:sz w:val="20"/>
          <w:szCs w:val="20"/>
          <w:color w:val="auto"/>
        </w:rPr>
      </w:pPr>
      <w:r>
        <w:rPr>
          <w:rFonts w:ascii="Courier New" w:cs="Courier New" w:eastAsia="Courier New" w:hAnsi="Courier New"/>
          <w:sz w:val="15"/>
          <w:szCs w:val="15"/>
          <w:color w:val="auto"/>
        </w:rPr>
        <w:t>10</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[FORM OF] ASSIGNMENT</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 or we, assign this Security to ______________________________________________</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________________________________________________________________________________</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________________________________________________________________________________</w:t>
      </w:r>
    </w:p>
    <w:p>
      <w:pPr>
        <w:spacing w:after="0" w:line="5"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(Print or type name, address and zip code of assignee)</w:t>
      </w:r>
    </w:p>
    <w:p>
      <w:pPr>
        <w:spacing w:after="0" w:line="180"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Please insert Social Security or other identifying number of assignee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 and irrevocably appoint _______________________________</w:t>
      </w:r>
    </w:p>
    <w:p>
      <w:pPr>
        <w:spacing w:after="0" w:line="5" w:lineRule="exact"/>
        <w:rPr>
          <w:sz w:val="20"/>
          <w:szCs w:val="20"/>
          <w:color w:val="auto"/>
        </w:rPr>
      </w:pPr>
    </w:p>
    <w:p>
      <w:pPr>
        <w:ind w:right="3419"/>
        <w:spacing w:after="0" w:line="247" w:lineRule="auto"/>
        <w:rPr>
          <w:sz w:val="20"/>
          <w:szCs w:val="20"/>
          <w:color w:val="auto"/>
        </w:rPr>
      </w:pPr>
      <w:r>
        <w:rPr>
          <w:rFonts w:ascii="Courier New" w:cs="Courier New" w:eastAsia="Courier New" w:hAnsi="Courier New"/>
          <w:sz w:val="15"/>
          <w:szCs w:val="15"/>
          <w:color w:val="auto"/>
        </w:rPr>
        <w:t>agent to transfer this Security on the books of the Company. The agent may substitute another to act for him</w:t>
      </w:r>
    </w:p>
    <w:p>
      <w:pPr>
        <w:spacing w:after="0" w:line="175" w:lineRule="exact"/>
        <w:rPr>
          <w:sz w:val="20"/>
          <w:szCs w:val="20"/>
          <w:color w:val="auto"/>
        </w:rPr>
      </w:pPr>
    </w:p>
    <w:p>
      <w:pPr>
        <w:spacing w:after="0"/>
        <w:tabs>
          <w:tab w:leader="none" w:pos="3240" w:val="left"/>
        </w:tabs>
        <w:rPr>
          <w:sz w:val="20"/>
          <w:szCs w:val="20"/>
          <w:color w:val="auto"/>
        </w:rPr>
      </w:pPr>
      <w:r>
        <w:rPr>
          <w:rFonts w:ascii="Courier New" w:cs="Courier New" w:eastAsia="Courier New" w:hAnsi="Courier New"/>
          <w:sz w:val="15"/>
          <w:szCs w:val="15"/>
          <w:color w:val="auto"/>
        </w:rPr>
        <w:t>Date: ____________________________</w:t>
        <w:tab/>
        <w:t>Signed: ____________________________________</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________________________________________________________________________________</w:t>
      </w:r>
    </w:p>
    <w:p>
      <w:pPr>
        <w:spacing w:after="0" w:line="5"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(Sign exactly as name appears on the other side of this Security)</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Signature Guarantee.*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w:t>
      </w:r>
    </w:p>
    <w:p>
      <w:pPr>
        <w:spacing w:after="0" w:line="180" w:lineRule="exact"/>
        <w:rPr>
          <w:sz w:val="20"/>
          <w:szCs w:val="20"/>
          <w:color w:val="auto"/>
        </w:rPr>
      </w:pPr>
    </w:p>
    <w:p>
      <w:pPr>
        <w:ind w:left="820" w:right="3139" w:hanging="372"/>
        <w:spacing w:after="0" w:line="247" w:lineRule="auto"/>
        <w:tabs>
          <w:tab w:leader="none" w:pos="820"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 in a recognized Signature Guarantee Medallion Program (or other signature acceptable to the Trustee).</w:t>
      </w:r>
    </w:p>
    <w:p>
      <w:pPr>
        <w:spacing w:after="0" w:line="175"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A-10</w:t>
      </w:r>
    </w:p>
    <w:p>
      <w:pPr>
        <w:sectPr>
          <w:pgSz w:w="11900" w:h="16838" w:orient="portrait"/>
          <w:cols w:equalWidth="0" w:num="1">
            <w:col w:w="10219"/>
          </w:cols>
          <w:pgMar w:left="240" w:top="293" w:right="1440" w:bottom="1440" w:gutter="0" w:footer="0" w:header="0"/>
        </w:sectPr>
      </w:pPr>
    </w:p>
    <w:bookmarkStart w:id="177" w:name="page178"/>
    <w:bookmarkEnd w:id="177"/>
    <w:p>
      <w:pPr>
        <w:ind w:left="267"/>
        <w:spacing w:after="0"/>
        <w:rPr>
          <w:sz w:val="20"/>
          <w:szCs w:val="20"/>
          <w:color w:val="auto"/>
        </w:rPr>
      </w:pPr>
      <w:r>
        <w:rPr>
          <w:rFonts w:ascii="Courier New" w:cs="Courier New" w:eastAsia="Courier New" w:hAnsi="Courier New"/>
          <w:sz w:val="15"/>
          <w:szCs w:val="15"/>
          <w:color w:val="auto"/>
        </w:rPr>
        <w:t>11</w:t>
      </w:r>
    </w:p>
    <w:p>
      <w:pPr>
        <w:spacing w:after="0" w:line="5" w:lineRule="exact"/>
        <w:rPr>
          <w:sz w:val="20"/>
          <w:szCs w:val="20"/>
          <w:color w:val="auto"/>
        </w:rPr>
      </w:pPr>
    </w:p>
    <w:p>
      <w:pPr>
        <w:ind w:left="6447"/>
        <w:spacing w:after="0"/>
        <w:rPr>
          <w:sz w:val="20"/>
          <w:szCs w:val="20"/>
          <w:color w:val="auto"/>
        </w:rPr>
      </w:pPr>
      <w:r>
        <w:rPr>
          <w:rFonts w:ascii="Courier New" w:cs="Courier New" w:eastAsia="Courier New" w:hAnsi="Courier New"/>
          <w:sz w:val="15"/>
          <w:szCs w:val="15"/>
          <w:color w:val="auto"/>
        </w:rPr>
        <w:t>EXHIBIT B</w:t>
      </w:r>
    </w:p>
    <w:p>
      <w:pPr>
        <w:spacing w:after="0" w:line="180" w:lineRule="exact"/>
        <w:rPr>
          <w:sz w:val="20"/>
          <w:szCs w:val="20"/>
          <w:color w:val="auto"/>
        </w:rPr>
      </w:pPr>
    </w:p>
    <w:p>
      <w:pPr>
        <w:jc w:val="center"/>
        <w:ind w:right="3073"/>
        <w:spacing w:after="0"/>
        <w:rPr>
          <w:sz w:val="20"/>
          <w:szCs w:val="20"/>
          <w:color w:val="auto"/>
        </w:rPr>
      </w:pPr>
      <w:r>
        <w:rPr>
          <w:rFonts w:ascii="Courier New" w:cs="Courier New" w:eastAsia="Courier New" w:hAnsi="Courier New"/>
          <w:sz w:val="15"/>
          <w:szCs w:val="15"/>
          <w:color w:val="auto"/>
        </w:rPr>
        <w:t>FORM OF CONVERSION NOTICE</w:t>
      </w:r>
    </w:p>
    <w:p>
      <w:pPr>
        <w:spacing w:after="0" w:line="180" w:lineRule="exact"/>
        <w:rPr>
          <w:sz w:val="20"/>
          <w:szCs w:val="20"/>
          <w:color w:val="auto"/>
        </w:rPr>
      </w:pPr>
    </w:p>
    <w:p>
      <w:pPr>
        <w:ind w:left="2267"/>
        <w:spacing w:after="0"/>
        <w:tabs>
          <w:tab w:leader="none" w:pos="2706" w:val="left"/>
        </w:tabs>
        <w:rPr>
          <w:sz w:val="20"/>
          <w:szCs w:val="20"/>
          <w:color w:val="auto"/>
        </w:rPr>
      </w:pPr>
      <w:r>
        <w:rPr>
          <w:rFonts w:ascii="Courier New" w:cs="Courier New" w:eastAsia="Courier New" w:hAnsi="Courier New"/>
          <w:sz w:val="15"/>
          <w:szCs w:val="15"/>
          <w:color w:val="auto"/>
        </w:rPr>
        <w:t>To:</w:t>
        <w:tab/>
        <w:t>USA Waste Services, Inc.</w:t>
      </w:r>
    </w:p>
    <w:p>
      <w:pPr>
        <w:spacing w:after="0" w:line="5" w:lineRule="exact"/>
        <w:rPr>
          <w:sz w:val="20"/>
          <w:szCs w:val="20"/>
          <w:color w:val="auto"/>
        </w:rPr>
      </w:pPr>
    </w:p>
    <w:p>
      <w:pPr>
        <w:ind w:left="3007"/>
        <w:spacing w:after="0"/>
        <w:rPr>
          <w:sz w:val="20"/>
          <w:szCs w:val="20"/>
          <w:color w:val="auto"/>
        </w:rPr>
      </w:pPr>
      <w:r>
        <w:rPr>
          <w:rFonts w:ascii="Courier New" w:cs="Courier New" w:eastAsia="Courier New" w:hAnsi="Courier New"/>
          <w:sz w:val="15"/>
          <w:szCs w:val="15"/>
          <w:color w:val="auto"/>
        </w:rPr>
        <w:t>$_____,000,000</w:t>
      </w:r>
    </w:p>
    <w:p>
      <w:pPr>
        <w:spacing w:after="0" w:line="5" w:lineRule="exact"/>
        <w:rPr>
          <w:sz w:val="20"/>
          <w:szCs w:val="20"/>
          <w:color w:val="auto"/>
        </w:rPr>
      </w:pPr>
    </w:p>
    <w:p>
      <w:pPr>
        <w:ind w:left="2087" w:hanging="724"/>
        <w:spacing w:after="0"/>
        <w:tabs>
          <w:tab w:leader="none" w:pos="2087"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Convertible Subordinated Notes due 2002</w:t>
      </w:r>
    </w:p>
    <w:p>
      <w:pPr>
        <w:spacing w:after="0" w:line="354" w:lineRule="exact"/>
        <w:rPr>
          <w:sz w:val="20"/>
          <w:szCs w:val="20"/>
          <w:color w:val="auto"/>
        </w:rPr>
      </w:pPr>
    </w:p>
    <w:p>
      <w:pPr>
        <w:ind w:left="7" w:right="3460" w:firstLine="818"/>
        <w:spacing w:after="0" w:line="246" w:lineRule="auto"/>
        <w:rPr>
          <w:sz w:val="20"/>
          <w:szCs w:val="20"/>
          <w:color w:val="auto"/>
        </w:rPr>
      </w:pPr>
      <w:r>
        <w:rPr>
          <w:rFonts w:ascii="Courier New" w:cs="Courier New" w:eastAsia="Courier New" w:hAnsi="Courier New"/>
          <w:sz w:val="15"/>
          <w:szCs w:val="15"/>
          <w:color w:val="auto"/>
        </w:rPr>
        <w:t>The undersigned owner of this Security hereby: (i) irrevocably exercises the option to convert this Security, or the portion hereof below designated, for shares of Common Stock of USA Waste Services, Inc. in accordance with the terms of the Indenture referred to in this Security and</w:t>
      </w:r>
    </w:p>
    <w:p>
      <w:pPr>
        <w:spacing w:after="0" w:line="2" w:lineRule="exact"/>
        <w:rPr>
          <w:sz w:val="20"/>
          <w:szCs w:val="20"/>
          <w:color w:val="auto"/>
        </w:rPr>
      </w:pPr>
    </w:p>
    <w:p>
      <w:pPr>
        <w:ind w:left="7" w:right="3180" w:hanging="7"/>
        <w:spacing w:after="0" w:line="246" w:lineRule="auto"/>
        <w:tabs>
          <w:tab w:leader="none" w:pos="461"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directs that such shares of Common Stock deliverable upon the conversion, together with any check in payment for fractional shares and any Security(ies) representing any unconverted principal amount hereof, be issued and delivered to the registered holder hereof unless a different name has been indicated below. If shares are to be delivered registered in the name of a person other than the undersigned, the undersigned will pay all transfer taxes payable with respect thereto. Any amount required to be paid by the undersigned on account of interest accompanies this Security.</w:t>
      </w:r>
    </w:p>
    <w:p>
      <w:pPr>
        <w:sectPr>
          <w:pgSz w:w="11900" w:h="16838" w:orient="portrait"/>
          <w:cols w:equalWidth="0" w:num="1">
            <w:col w:w="10267"/>
          </w:cols>
          <w:pgMar w:left="233" w:top="293" w:right="1399" w:bottom="1440" w:gutter="0" w:footer="0" w:header="0"/>
        </w:sectPr>
      </w:pPr>
    </w:p>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Date: ____________________________</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w:t>
      </w:r>
    </w:p>
    <w:p>
      <w:pPr>
        <w:spacing w:after="0" w:line="5"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Signature</w:t>
      </w:r>
    </w:p>
    <w:p>
      <w:pPr>
        <w:spacing w:after="0" w:line="180" w:lineRule="exact"/>
        <w:rPr>
          <w:sz w:val="20"/>
          <w:szCs w:val="20"/>
          <w:color w:val="auto"/>
        </w:rPr>
      </w:pPr>
    </w:p>
    <w:p>
      <w:pPr>
        <w:sectPr>
          <w:pgSz w:w="11900" w:h="16838" w:orient="portrait"/>
          <w:cols w:equalWidth="0" w:num="2">
            <w:col w:w="3087" w:space="540"/>
            <w:col w:w="6640"/>
          </w:cols>
          <w:pgMar w:left="233" w:top="293" w:right="1399" w:bottom="1440" w:gutter="0" w:footer="0" w:header="0"/>
          <w:type w:val="continuous"/>
        </w:sectPr>
      </w:pPr>
    </w:p>
    <w:p>
      <w:pPr>
        <w:ind w:left="7" w:right="3080" w:firstLine="818"/>
        <w:spacing w:after="0" w:line="247" w:lineRule="auto"/>
        <w:rPr>
          <w:sz w:val="20"/>
          <w:szCs w:val="20"/>
          <w:color w:val="auto"/>
        </w:rPr>
      </w:pPr>
      <w:r>
        <w:rPr>
          <w:rFonts w:ascii="Courier New" w:cs="Courier New" w:eastAsia="Courier New" w:hAnsi="Courier New"/>
          <w:sz w:val="15"/>
          <w:szCs w:val="15"/>
          <w:color w:val="auto"/>
        </w:rPr>
        <w:t>Fill in for registration of shares if to be delivered, and of Securities if to be issued, otherwise than to and in the name of the registered holder.</w:t>
      </w:r>
    </w:p>
    <w:p>
      <w:pPr>
        <w:spacing w:after="0" w:line="200" w:lineRule="exact"/>
        <w:rPr>
          <w:sz w:val="20"/>
          <w:szCs w:val="20"/>
          <w:color w:val="auto"/>
        </w:rPr>
      </w:pPr>
    </w:p>
    <w:p>
      <w:pPr>
        <w:spacing w:after="0" w:line="324" w:lineRule="exact"/>
        <w:rPr>
          <w:sz w:val="20"/>
          <w:szCs w:val="20"/>
          <w:color w:val="auto"/>
        </w:rPr>
      </w:pPr>
    </w:p>
    <w:p>
      <w:pPr>
        <w:ind w:left="5547"/>
        <w:spacing w:after="0"/>
        <w:rPr>
          <w:sz w:val="20"/>
          <w:szCs w:val="20"/>
          <w:color w:val="auto"/>
        </w:rPr>
      </w:pPr>
      <w:r>
        <w:rPr>
          <w:rFonts w:ascii="Courier New" w:cs="Courier New" w:eastAsia="Courier New" w:hAnsi="Courier New"/>
          <w:sz w:val="15"/>
          <w:szCs w:val="15"/>
          <w:color w:val="auto"/>
        </w:rPr>
        <w:t>____________________________________________________</w:t>
      </w:r>
    </w:p>
    <w:p>
      <w:pPr>
        <w:spacing w:after="0" w:line="5"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Social Security or other Taxpayer Identifying Number</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_________________________________________________________</w:t>
      </w:r>
    </w:p>
    <w:p>
      <w:pPr>
        <w:spacing w:after="0" w:line="5" w:lineRule="exact"/>
        <w:rPr>
          <w:sz w:val="20"/>
          <w:szCs w:val="20"/>
          <w:color w:val="auto"/>
        </w:rPr>
      </w:pPr>
    </w:p>
    <w:p>
      <w:pPr>
        <w:ind w:left="2367"/>
        <w:spacing w:after="0"/>
        <w:rPr>
          <w:sz w:val="20"/>
          <w:szCs w:val="20"/>
          <w:color w:val="auto"/>
        </w:rPr>
      </w:pPr>
      <w:r>
        <w:rPr>
          <w:rFonts w:ascii="Courier New" w:cs="Courier New" w:eastAsia="Courier New" w:hAnsi="Courier New"/>
          <w:sz w:val="15"/>
          <w:szCs w:val="15"/>
          <w:color w:val="auto"/>
        </w:rPr>
        <w:t>(Name)</w:t>
      </w:r>
    </w:p>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_________________________________________________________</w:t>
      </w:r>
    </w:p>
    <w:p>
      <w:pPr>
        <w:spacing w:after="0" w:line="5" w:lineRule="exact"/>
        <w:rPr>
          <w:sz w:val="20"/>
          <w:szCs w:val="20"/>
          <w:color w:val="auto"/>
        </w:rPr>
      </w:pPr>
    </w:p>
    <w:p>
      <w:pPr>
        <w:ind w:left="1827"/>
        <w:spacing w:after="0"/>
        <w:rPr>
          <w:sz w:val="20"/>
          <w:szCs w:val="20"/>
          <w:color w:val="auto"/>
        </w:rPr>
      </w:pPr>
      <w:r>
        <w:rPr>
          <w:rFonts w:ascii="Courier New" w:cs="Courier New" w:eastAsia="Courier New" w:hAnsi="Courier New"/>
          <w:sz w:val="15"/>
          <w:szCs w:val="15"/>
          <w:color w:val="auto"/>
        </w:rPr>
        <w:t>(Street Address)</w:t>
      </w:r>
    </w:p>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_________________________________________________________</w:t>
      </w:r>
    </w:p>
    <w:p>
      <w:pPr>
        <w:spacing w:after="0" w:line="5" w:lineRule="exact"/>
        <w:rPr>
          <w:sz w:val="20"/>
          <w:szCs w:val="20"/>
          <w:color w:val="auto"/>
        </w:rPr>
      </w:pPr>
    </w:p>
    <w:p>
      <w:pPr>
        <w:ind w:left="1447"/>
        <w:spacing w:after="0"/>
        <w:rPr>
          <w:sz w:val="20"/>
          <w:szCs w:val="20"/>
          <w:color w:val="auto"/>
        </w:rPr>
      </w:pPr>
      <w:r>
        <w:rPr>
          <w:rFonts w:ascii="Courier New" w:cs="Courier New" w:eastAsia="Courier New" w:hAnsi="Courier New"/>
          <w:sz w:val="15"/>
          <w:szCs w:val="15"/>
          <w:color w:val="auto"/>
        </w:rPr>
        <w:t>City, State and Zip Code)</w:t>
      </w:r>
    </w:p>
    <w:p>
      <w:pPr>
        <w:spacing w:after="0" w:line="180" w:lineRule="exact"/>
        <w:rPr>
          <w:sz w:val="20"/>
          <w:szCs w:val="20"/>
          <w:color w:val="auto"/>
        </w:rPr>
      </w:pPr>
    </w:p>
    <w:p>
      <w:pPr>
        <w:ind w:left="5547"/>
        <w:spacing w:after="0"/>
        <w:tabs>
          <w:tab w:leader="none" w:pos="8526" w:val="left"/>
        </w:tabs>
        <w:rPr>
          <w:sz w:val="20"/>
          <w:szCs w:val="20"/>
          <w:color w:val="auto"/>
        </w:rPr>
      </w:pPr>
      <w:r>
        <w:rPr>
          <w:rFonts w:ascii="Courier New" w:cs="Courier New" w:eastAsia="Courier New" w:hAnsi="Courier New"/>
          <w:sz w:val="15"/>
          <w:szCs w:val="15"/>
          <w:color w:val="auto"/>
        </w:rPr>
        <w:t>Principal amount to be covered:</w:t>
        <w:tab/>
        <w:t>(if less than all)</w:t>
      </w:r>
    </w:p>
    <w:p>
      <w:pPr>
        <w:spacing w:after="0" w:line="180" w:lineRule="exact"/>
        <w:rPr>
          <w:sz w:val="20"/>
          <w:szCs w:val="20"/>
          <w:color w:val="auto"/>
        </w:rPr>
      </w:pPr>
    </w:p>
    <w:p>
      <w:pPr>
        <w:ind w:left="5547"/>
        <w:spacing w:after="0"/>
        <w:rPr>
          <w:sz w:val="20"/>
          <w:szCs w:val="20"/>
          <w:color w:val="auto"/>
        </w:rPr>
      </w:pPr>
      <w:r>
        <w:rPr>
          <w:rFonts w:ascii="Courier New" w:cs="Courier New" w:eastAsia="Courier New" w:hAnsi="Courier New"/>
          <w:sz w:val="15"/>
          <w:szCs w:val="15"/>
          <w:color w:val="auto"/>
        </w:rPr>
        <w:t>$___________________________________________________</w:t>
      </w:r>
    </w:p>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Signature Guarantee.*</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__________________________________</w:t>
      </w:r>
    </w:p>
    <w:p>
      <w:pPr>
        <w:spacing w:after="0" w:line="180" w:lineRule="exact"/>
        <w:rPr>
          <w:sz w:val="20"/>
          <w:szCs w:val="20"/>
          <w:color w:val="auto"/>
        </w:rPr>
      </w:pPr>
    </w:p>
    <w:p>
      <w:pPr>
        <w:ind w:left="827" w:right="3180" w:hanging="372"/>
        <w:spacing w:after="0" w:line="247" w:lineRule="auto"/>
        <w:tabs>
          <w:tab w:leader="none" w:pos="827"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 in a recognized Signature Guarantee Medallion Program (or other signature acceptable to the Trustee).</w:t>
      </w:r>
    </w:p>
    <w:sectPr>
      <w:pgSz w:w="11900" w:h="16838" w:orient="portrait"/>
      <w:cols w:equalWidth="0" w:num="1">
        <w:col w:w="10267"/>
      </w:cols>
      <w:pgMar w:left="233" w:top="293" w:right="1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EB5BD4"/>
    <w:multiLevelType w:val="hybridMultilevel"/>
    <w:lvl w:ilvl="0">
      <w:lvlJc w:val="left"/>
      <w:lvlText w:val="%1."/>
      <w:numFmt w:val="decimal"/>
      <w:start w:val="1"/>
    </w:lvl>
  </w:abstractNum>
  <w:abstractNum w:abstractNumId="1">
    <w:nsid w:val="6F6DD9AC"/>
    <w:multiLevelType w:val="hybridMultilevel"/>
    <w:lvl w:ilvl="0">
      <w:lvlJc w:val="left"/>
      <w:lvlText w:val="(%1)"/>
      <w:numFmt w:val="lowerLetter"/>
      <w:start w:val="2"/>
    </w:lvl>
    <w:lvl w:ilvl="1">
      <w:lvlJc w:val="left"/>
      <w:lvlText w:val="%2."/>
      <w:numFmt w:val="decimal"/>
      <w:start w:val="2"/>
    </w:lvl>
  </w:abstractNum>
  <w:abstractNum w:abstractNumId="2">
    <w:nsid w:val="94211F2"/>
    <w:multiLevelType w:val="hybridMultilevel"/>
    <w:lvl w:ilvl="0">
      <w:lvlJc w:val="left"/>
      <w:lvlText w:val="(%1)"/>
      <w:numFmt w:val="lowerRoman"/>
      <w:start w:val="2"/>
    </w:lvl>
  </w:abstractNum>
  <w:abstractNum w:abstractNumId="3">
    <w:nsid w:val="885E1B"/>
    <w:multiLevelType w:val="hybridMultilevel"/>
    <w:lvl w:ilvl="0">
      <w:lvlJc w:val="left"/>
      <w:lvlText w:val="(%1)"/>
      <w:numFmt w:val="lowerRoman"/>
      <w:start w:val="3"/>
    </w:lvl>
    <w:lvl w:ilvl="1">
      <w:lvlJc w:val="left"/>
      <w:lvlText w:val="%2."/>
      <w:numFmt w:val="decimal"/>
      <w:start w:val="3"/>
    </w:lvl>
  </w:abstractNum>
  <w:abstractNum w:abstractNumId="4">
    <w:nsid w:val="76272110"/>
    <w:multiLevelType w:val="hybridMultilevel"/>
    <w:lvl w:ilvl="0">
      <w:lvlJc w:val="left"/>
      <w:lvlText w:val="%1."/>
      <w:numFmt w:val="decimal"/>
      <w:start w:val="5"/>
    </w:lvl>
    <w:lvl w:ilvl="1">
      <w:lvlJc w:val="left"/>
      <w:lvlText w:val="(%2)"/>
      <w:numFmt w:val="lowerLetter"/>
      <w:start w:val="1"/>
    </w:lvl>
  </w:abstractNum>
  <w:abstractNum w:abstractNumId="5">
    <w:nsid w:val="4C04A8AF"/>
    <w:multiLevelType w:val="hybridMultilevel"/>
    <w:lvl w:ilvl="0">
      <w:lvlJc w:val="left"/>
      <w:lvlText w:val="(%1)"/>
      <w:numFmt w:val="lowerLetter"/>
      <w:start w:val="5"/>
    </w:lvl>
  </w:abstractNum>
  <w:abstractNum w:abstractNumId="6">
    <w:nsid w:val="1716703B"/>
    <w:multiLevelType w:val="hybridMultilevel"/>
    <w:lvl w:ilvl="0">
      <w:lvlJc w:val="left"/>
      <w:lvlText w:val="%1"/>
      <w:numFmt w:val="lowerRoman"/>
      <w:start w:val="1"/>
    </w:lvl>
    <w:lvl w:ilvl="1">
      <w:lvlJc w:val="left"/>
      <w:lvlText w:val="(%2)"/>
      <w:numFmt w:val="lowerLetter"/>
      <w:start w:val="10"/>
    </w:lvl>
  </w:abstractNum>
  <w:abstractNum w:abstractNumId="7">
    <w:nsid w:val="14E17E33"/>
    <w:multiLevelType w:val="hybridMultilevel"/>
    <w:lvl w:ilvl="0">
      <w:lvlJc w:val="left"/>
      <w:lvlText w:val="(%1)"/>
      <w:numFmt w:val="lowerRoman"/>
      <w:start w:val="4"/>
    </w:lvl>
    <w:lvl w:ilvl="1">
      <w:lvlJc w:val="left"/>
      <w:lvlText w:val="(%2)"/>
      <w:numFmt w:val="lowerLetter"/>
      <w:start w:val="12"/>
    </w:lvl>
  </w:abstractNum>
  <w:abstractNum w:abstractNumId="8">
    <w:nsid w:val="3222E7CD"/>
    <w:multiLevelType w:val="hybridMultilevel"/>
    <w:lvl w:ilvl="0">
      <w:lvlJc w:val="left"/>
      <w:lvlText w:val="%1."/>
      <w:numFmt w:val="decimal"/>
      <w:start w:val="6"/>
    </w:lvl>
    <w:lvl w:ilvl="1">
      <w:lvlJc w:val="left"/>
      <w:lvlText w:val="(%2)"/>
      <w:numFmt w:val="lowerLetter"/>
      <w:start w:val="1"/>
    </w:lvl>
  </w:abstractNum>
  <w:abstractNum w:abstractNumId="9">
    <w:nsid w:val="74DE0EE3"/>
    <w:multiLevelType w:val="hybridMultilevel"/>
    <w:lvl w:ilvl="0">
      <w:lvlJc w:val="left"/>
      <w:lvlText w:val="(%1)"/>
      <w:numFmt w:val="lowerLetter"/>
      <w:start w:val="3"/>
    </w:lvl>
  </w:abstractNum>
  <w:abstractNum w:abstractNumId="10">
    <w:nsid w:val="68EBC550"/>
    <w:multiLevelType w:val="hybridMultilevel"/>
    <w:lvl w:ilvl="0">
      <w:lvlJc w:val="left"/>
      <w:lvlText w:val="(%1)"/>
      <w:numFmt w:val="lowerLetter"/>
      <w:start w:val="6"/>
    </w:lvl>
  </w:abstractNum>
  <w:abstractNum w:abstractNumId="11">
    <w:nsid w:val="2DF6D648"/>
    <w:multiLevelType w:val="hybridMultilevel"/>
    <w:lvl w:ilvl="0">
      <w:lvlJc w:val="left"/>
      <w:lvlText w:val="(%1)"/>
      <w:numFmt w:val="lowerLetter"/>
      <w:start w:val="12"/>
    </w:lvl>
  </w:abstractNum>
  <w:abstractNum w:abstractNumId="12">
    <w:nsid w:val="46B7D447"/>
    <w:multiLevelType w:val="hybridMultilevel"/>
    <w:lvl w:ilvl="0">
      <w:lvlJc w:val="left"/>
      <w:lvlText w:val="(%1)"/>
      <w:numFmt w:val="lowerLetter"/>
      <w:start w:val="16"/>
    </w:lvl>
  </w:abstractNum>
  <w:abstractNum w:abstractNumId="13">
    <w:nsid w:val="4A2AC315"/>
    <w:multiLevelType w:val="hybridMultilevel"/>
    <w:lvl w:ilvl="0">
      <w:lvlJc w:val="left"/>
      <w:lvlText w:val="(%1)"/>
      <w:numFmt w:val="lowerLetter"/>
      <w:start w:val="23"/>
    </w:lvl>
  </w:abstractNum>
  <w:abstractNum w:abstractNumId="14">
    <w:nsid w:val="39EE015C"/>
    <w:multiLevelType w:val="hybridMultilevel"/>
    <w:lvl w:ilvl="0">
      <w:lvlJc w:val="left"/>
      <w:lvlText w:val="%1"/>
      <w:numFmt w:val="lowerRoman"/>
      <w:start w:val="1"/>
    </w:lvl>
    <w:lvl w:ilvl="1">
      <w:lvlJc w:val="left"/>
      <w:lvlText w:val="(%2)"/>
      <w:numFmt w:val="lowerLetter"/>
      <w:start w:val="27"/>
    </w:lvl>
  </w:abstractNum>
  <w:abstractNum w:abstractNumId="15">
    <w:nsid w:val="57FC4FBB"/>
    <w:multiLevelType w:val="hybridMultilevel"/>
    <w:lvl w:ilvl="0">
      <w:lvlJc w:val="left"/>
      <w:lvlText w:val="(%1)"/>
      <w:numFmt w:val="lowerRoman"/>
      <w:start w:val="1"/>
    </w:lvl>
    <w:lvl w:ilvl="1">
      <w:lvlJc w:val="left"/>
      <w:lvlText w:val="%2"/>
      <w:numFmt w:val="lowerLetter"/>
      <w:start w:val="1"/>
    </w:lvl>
  </w:abstractNum>
  <w:abstractNum w:abstractNumId="16">
    <w:nsid w:val="CC1016F"/>
    <w:multiLevelType w:val="hybridMultilevel"/>
    <w:lvl w:ilvl="0">
      <w:lvlJc w:val="left"/>
      <w:lvlText w:val="(%1)"/>
      <w:numFmt w:val="lowerLetter"/>
      <w:start w:val="28"/>
    </w:lvl>
  </w:abstractNum>
  <w:abstractNum w:abstractNumId="17">
    <w:nsid w:val="43F18422"/>
    <w:multiLevelType w:val="hybridMultilevel"/>
    <w:lvl w:ilvl="0">
      <w:lvlJc w:val="left"/>
      <w:lvlText w:val="%1."/>
      <w:numFmt w:val="decimal"/>
      <w:start w:val="7"/>
    </w:lvl>
    <w:lvl w:ilvl="1">
      <w:lvlJc w:val="left"/>
      <w:lvlText w:val="(%2)"/>
      <w:numFmt w:val="lowerLetter"/>
      <w:start w:val="1"/>
    </w:lvl>
  </w:abstractNum>
  <w:abstractNum w:abstractNumId="18">
    <w:nsid w:val="60EF0119"/>
    <w:multiLevelType w:val="hybridMultilevel"/>
    <w:lvl w:ilvl="0">
      <w:lvlJc w:val="left"/>
      <w:lvlText w:val="(%1)"/>
      <w:numFmt w:val="lowerLetter"/>
      <w:start w:val="4"/>
    </w:lvl>
  </w:abstractNum>
  <w:abstractNum w:abstractNumId="19">
    <w:nsid w:val="26F324BA"/>
    <w:multiLevelType w:val="hybridMultilevel"/>
    <w:lvl w:ilvl="0">
      <w:lvlJc w:val="left"/>
      <w:lvlText w:val="(%1)"/>
      <w:numFmt w:val="lowerLetter"/>
      <w:start w:val="5"/>
    </w:lvl>
  </w:abstractNum>
  <w:abstractNum w:abstractNumId="20">
    <w:nsid w:val="7F01579B"/>
    <w:multiLevelType w:val="hybridMultilevel"/>
    <w:lvl w:ilvl="0">
      <w:lvlJc w:val="left"/>
      <w:lvlText w:val="%1"/>
      <w:numFmt w:val="decimal"/>
      <w:start w:val="1"/>
    </w:lvl>
    <w:lvl w:ilvl="1">
      <w:lvlJc w:val="left"/>
      <w:lvlText w:val="(%2)"/>
      <w:numFmt w:val="lowerLetter"/>
      <w:start w:val="6"/>
    </w:lvl>
  </w:abstractNum>
  <w:abstractNum w:abstractNumId="21">
    <w:nsid w:val="49DA307D"/>
    <w:multiLevelType w:val="hybridMultilevel"/>
    <w:lvl w:ilvl="0">
      <w:lvlJc w:val="left"/>
      <w:lvlText w:val="%1."/>
      <w:numFmt w:val="decimal"/>
      <w:start w:val="8"/>
    </w:lvl>
    <w:lvl w:ilvl="1">
      <w:lvlJc w:val="left"/>
      <w:lvlText w:val="(%2)"/>
      <w:numFmt w:val="lowerLetter"/>
      <w:start w:val="1"/>
    </w:lvl>
  </w:abstractNum>
  <w:abstractNum w:abstractNumId="22">
    <w:nsid w:val="7055A5F5"/>
    <w:multiLevelType w:val="hybridMultilevel"/>
    <w:lvl w:ilvl="0">
      <w:lvlJc w:val="left"/>
      <w:lvlText w:val="(%1)"/>
      <w:numFmt w:val="lowerRoman"/>
      <w:start w:val="1"/>
    </w:lvl>
  </w:abstractNum>
  <w:abstractNum w:abstractNumId="23">
    <w:nsid w:val="5FB8370B"/>
    <w:multiLevelType w:val="hybridMultilevel"/>
    <w:lvl w:ilvl="0">
      <w:lvlJc w:val="left"/>
      <w:lvlText w:val="%1"/>
      <w:numFmt w:val="lowerLetter"/>
      <w:start w:val="1"/>
    </w:lvl>
    <w:lvl w:ilvl="1">
      <w:lvlJc w:val="left"/>
      <w:lvlText w:val="(%2)"/>
      <w:numFmt w:val="lowerRoman"/>
      <w:start w:val="8"/>
    </w:lvl>
  </w:abstractNum>
  <w:abstractNum w:abstractNumId="24">
    <w:nsid w:val="50801EE1"/>
    <w:multiLevelType w:val="hybridMultilevel"/>
    <w:lvl w:ilvl="0">
      <w:lvlJc w:val="left"/>
      <w:lvlText w:val="(%1)"/>
      <w:numFmt w:val="lowerLetter"/>
      <w:start w:val="5"/>
    </w:lvl>
    <w:lvl w:ilvl="1">
      <w:lvlJc w:val="left"/>
      <w:lvlText w:val="(%2)"/>
      <w:numFmt w:val="lowerRoman"/>
      <w:start w:val="1"/>
    </w:lvl>
  </w:abstractNum>
  <w:abstractNum w:abstractNumId="25">
    <w:nsid w:val="488AC1A"/>
    <w:multiLevelType w:val="hybridMultilevel"/>
    <w:lvl w:ilvl="0">
      <w:lvlJc w:val="left"/>
      <w:lvlText w:val="(%1)"/>
      <w:numFmt w:val="lowerRoman"/>
      <w:start w:val="6"/>
    </w:lvl>
  </w:abstractNum>
  <w:abstractNum w:abstractNumId="26">
    <w:nsid w:val="5FB8011C"/>
    <w:multiLevelType w:val="hybridMultilevel"/>
    <w:lvl w:ilvl="0">
      <w:lvlJc w:val="left"/>
      <w:lvlText w:val="(%1)"/>
      <w:numFmt w:val="lowerRoman"/>
      <w:start w:val="10"/>
    </w:lvl>
  </w:abstractNum>
  <w:abstractNum w:abstractNumId="27">
    <w:nsid w:val="6AA78F7F"/>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6"/>
    </w:lvl>
  </w:abstractNum>
  <w:abstractNum w:abstractNumId="28">
    <w:nsid w:val="7672BD23"/>
    <w:multiLevelType w:val="hybridMultilevel"/>
    <w:lvl w:ilvl="0">
      <w:lvlJc w:val="left"/>
      <w:lvlText w:val="%1"/>
      <w:numFmt w:val="lowerLetter"/>
      <w:start w:val="1"/>
    </w:lvl>
    <w:lvl w:ilvl="1">
      <w:lvlJc w:val="left"/>
      <w:lvlText w:val="%2."/>
      <w:numFmt w:val="decimal"/>
      <w:start w:val="9"/>
    </w:lvl>
    <w:lvl w:ilvl="2">
      <w:lvlJc w:val="left"/>
      <w:lvlText w:val="%3"/>
      <w:numFmt w:val="lowerLetter"/>
      <w:start w:val="1"/>
    </w:lvl>
  </w:abstractNum>
  <w:abstractNum w:abstractNumId="29">
    <w:nsid w:val="6FC75AF8"/>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30">
    <w:nsid w:val="6A5F7029"/>
    <w:multiLevelType w:val="hybridMultilevel"/>
    <w:lvl w:ilvl="0">
      <w:lvlJc w:val="left"/>
      <w:lvlText w:val="(%1)"/>
      <w:numFmt w:val="lowerRoman"/>
      <w:start w:val="1"/>
    </w:lvl>
  </w:abstractNum>
  <w:abstractNum w:abstractNumId="31">
    <w:nsid w:val="7D5E18F8"/>
    <w:multiLevelType w:val="hybridMultilevel"/>
    <w:lvl w:ilvl="0">
      <w:lvlJc w:val="left"/>
      <w:lvlText w:val="%1"/>
      <w:numFmt w:val="lowerLetter"/>
      <w:start w:val="1"/>
    </w:lvl>
    <w:lvl w:ilvl="1">
      <w:lvlJc w:val="left"/>
      <w:lvlText w:val="%2."/>
      <w:numFmt w:val="decimal"/>
      <w:start w:val="10"/>
    </w:lvl>
  </w:abstractNum>
  <w:abstractNum w:abstractNumId="32">
    <w:nsid w:val="5F3534A4"/>
    <w:multiLevelType w:val="hybridMultilevel"/>
    <w:lvl w:ilvl="0">
      <w:lvlJc w:val="left"/>
      <w:lvlText w:val="(%1)"/>
      <w:numFmt w:val="lowerLetter"/>
      <w:start w:val="2"/>
    </w:lvl>
    <w:lvl w:ilvl="1">
      <w:lvlJc w:val="left"/>
      <w:lvlText w:val="%2"/>
      <w:numFmt w:val="decimal"/>
      <w:start w:val="1"/>
    </w:lvl>
  </w:abstractNum>
  <w:abstractNum w:abstractNumId="33">
    <w:nsid w:val="73A1821B"/>
    <w:multiLevelType w:val="hybridMultilevel"/>
    <w:lvl w:ilvl="0">
      <w:lvlJc w:val="left"/>
      <w:lvlText w:val="%1."/>
      <w:numFmt w:val="decimal"/>
      <w:start w:val="1"/>
    </w:lvl>
  </w:abstractNum>
  <w:abstractNum w:abstractNumId="34">
    <w:nsid w:val="7DE67713"/>
    <w:multiLevelType w:val="hybridMultilevel"/>
    <w:lvl w:ilvl="0">
      <w:lvlJc w:val="left"/>
      <w:lvlText w:val="%1."/>
      <w:numFmt w:val="decimal"/>
      <w:start w:val="2"/>
    </w:lvl>
  </w:abstractNum>
  <w:abstractNum w:abstractNumId="35">
    <w:nsid w:val="555C55B5"/>
    <w:multiLevelType w:val="hybridMultilevel"/>
    <w:lvl w:ilvl="0">
      <w:lvlJc w:val="left"/>
      <w:lvlText w:val="%1."/>
      <w:numFmt w:val="decimal"/>
      <w:start w:val="3"/>
    </w:lvl>
  </w:abstractNum>
  <w:abstractNum w:abstractNumId="36">
    <w:nsid w:val="3FA62ACA"/>
    <w:multiLevelType w:val="hybridMultilevel"/>
    <w:lvl w:ilvl="0">
      <w:lvlJc w:val="left"/>
      <w:lvlText w:val="%1."/>
      <w:numFmt w:val="decimal"/>
      <w:start w:val="5"/>
    </w:lvl>
    <w:lvl w:ilvl="1">
      <w:lvlJc w:val="left"/>
      <w:lvlText w:val="(%2)"/>
      <w:numFmt w:val="lowerLetter"/>
      <w:start w:val="1"/>
    </w:lvl>
  </w:abstractNum>
  <w:abstractNum w:abstractNumId="37">
    <w:nsid w:val="14FCE74E"/>
    <w:multiLevelType w:val="hybridMultilevel"/>
    <w:lvl w:ilvl="0">
      <w:lvlJc w:val="left"/>
      <w:lvlText w:val="(%1)"/>
      <w:numFmt w:val="lowerLetter"/>
      <w:start w:val="5"/>
    </w:lvl>
  </w:abstractNum>
  <w:abstractNum w:abstractNumId="38">
    <w:nsid w:val="6A3DD3E8"/>
    <w:multiLevelType w:val="hybridMultilevel"/>
    <w:lvl w:ilvl="0">
      <w:lvlJc w:val="left"/>
      <w:lvlText w:val="(%1)"/>
      <w:numFmt w:val="lowerLetter"/>
      <w:start w:val="10"/>
    </w:lvl>
  </w:abstractNum>
  <w:abstractNum w:abstractNumId="39">
    <w:nsid w:val="71C91298"/>
    <w:multiLevelType w:val="hybridMultilevel"/>
    <w:lvl w:ilvl="0">
      <w:lvlJc w:val="left"/>
      <w:lvlText w:val="%1."/>
      <w:numFmt w:val="decimal"/>
      <w:start w:val="6"/>
    </w:lvl>
    <w:lvl w:ilvl="1">
      <w:lvlJc w:val="left"/>
      <w:lvlText w:val="(%2)"/>
      <w:numFmt w:val="lowerLetter"/>
      <w:start w:val="1"/>
    </w:lvl>
  </w:abstractNum>
  <w:abstractNum w:abstractNumId="40">
    <w:nsid w:val="9DAF632"/>
    <w:multiLevelType w:val="hybridMultilevel"/>
    <w:lvl w:ilvl="0">
      <w:lvlJc w:val="left"/>
      <w:lvlText w:val="(%1)"/>
      <w:numFmt w:val="lowerLetter"/>
      <w:start w:val="5"/>
    </w:lvl>
  </w:abstractNum>
  <w:abstractNum w:abstractNumId="41">
    <w:nsid w:val="53299938"/>
    <w:multiLevelType w:val="hybridMultilevel"/>
    <w:lvl w:ilvl="0">
      <w:lvlJc w:val="left"/>
      <w:lvlText w:val="(%1)"/>
      <w:numFmt w:val="lowerLetter"/>
      <w:start w:val="10"/>
    </w:lvl>
  </w:abstractNum>
  <w:abstractNum w:abstractNumId="42">
    <w:nsid w:val="1FBFE8E0"/>
    <w:multiLevelType w:val="hybridMultilevel"/>
    <w:lvl w:ilvl="0">
      <w:lvlJc w:val="left"/>
      <w:lvlText w:val="(%1)"/>
      <w:numFmt w:val="lowerLetter"/>
      <w:start w:val="16"/>
    </w:lvl>
  </w:abstractNum>
  <w:abstractNum w:abstractNumId="43">
    <w:nsid w:val="5092CA79"/>
    <w:multiLevelType w:val="hybridMultilevel"/>
    <w:lvl w:ilvl="0">
      <w:lvlJc w:val="left"/>
      <w:lvlText w:val="(%1)"/>
      <w:numFmt w:val="lowerLetter"/>
      <w:start w:val="20"/>
    </w:lvl>
  </w:abstractNum>
  <w:abstractNum w:abstractNumId="44">
    <w:nsid w:val="1D545C4D"/>
    <w:multiLevelType w:val="hybridMultilevel"/>
    <w:lvl w:ilvl="0">
      <w:lvlJc w:val="left"/>
      <w:lvlText w:val="%1"/>
      <w:numFmt w:val="lowerRoman"/>
      <w:start w:val="1"/>
    </w:lvl>
    <w:lvl w:ilvl="1">
      <w:lvlJc w:val="left"/>
      <w:lvlText w:val="(%2)"/>
      <w:numFmt w:val="lowerLetter"/>
      <w:start w:val="27"/>
    </w:lvl>
  </w:abstractNum>
  <w:abstractNum w:abstractNumId="45">
    <w:nsid w:val="59ADEA3D"/>
    <w:multiLevelType w:val="hybridMultilevel"/>
    <w:lvl w:ilvl="0">
      <w:lvlJc w:val="left"/>
      <w:lvlText w:val="(%1)"/>
      <w:numFmt w:val="lowerRoman"/>
      <w:start w:val="1"/>
    </w:lvl>
    <w:lvl w:ilvl="1">
      <w:lvlJc w:val="left"/>
      <w:lvlText w:val="%2"/>
      <w:numFmt w:val="lowerLetter"/>
      <w:start w:val="1"/>
    </w:lvl>
  </w:abstractNum>
  <w:abstractNum w:abstractNumId="46">
    <w:nsid w:val="288F1A34"/>
    <w:multiLevelType w:val="hybridMultilevel"/>
    <w:lvl w:ilvl="0">
      <w:lvlJc w:val="left"/>
      <w:lvlText w:val="(%1)"/>
      <w:numFmt w:val="lowerLetter"/>
      <w:start w:val="33"/>
    </w:lvl>
  </w:abstractNum>
  <w:abstractNum w:abstractNumId="47">
    <w:nsid w:val="2A155DBC"/>
    <w:multiLevelType w:val="hybridMultilevel"/>
    <w:lvl w:ilvl="0">
      <w:lvlJc w:val="left"/>
      <w:lvlText w:val="%1."/>
      <w:numFmt w:val="decimal"/>
      <w:start w:val="7"/>
    </w:lvl>
    <w:lvl w:ilvl="1">
      <w:lvlJc w:val="left"/>
      <w:lvlText w:val="(%2)"/>
      <w:numFmt w:val="lowerLetter"/>
      <w:start w:val="1"/>
    </w:lvl>
  </w:abstractNum>
  <w:abstractNum w:abstractNumId="48">
    <w:nsid w:val="1D9F6E5F"/>
    <w:multiLevelType w:val="hybridMultilevel"/>
    <w:lvl w:ilvl="0">
      <w:lvlJc w:val="left"/>
      <w:lvlText w:val="(%1)"/>
      <w:numFmt w:val="lowerLetter"/>
      <w:start w:val="61"/>
    </w:lvl>
    <w:lvl w:ilvl="1">
      <w:lvlJc w:val="left"/>
      <w:lvlText w:val="(%2)"/>
      <w:numFmt w:val="lowerLetter"/>
      <w:start w:val="4"/>
    </w:lvl>
  </w:abstractNum>
  <w:abstractNum w:abstractNumId="49">
    <w:nsid w:val="97E1B4E"/>
    <w:multiLevelType w:val="hybridMultilevel"/>
    <w:lvl w:ilvl="0">
      <w:lvlJc w:val="left"/>
      <w:lvlText w:val="(%1)"/>
      <w:numFmt w:val="lowerLetter"/>
      <w:start w:val="5"/>
    </w:lvl>
  </w:abstractNum>
  <w:abstractNum w:abstractNumId="50">
    <w:nsid w:val="51088277"/>
    <w:multiLevelType w:val="hybridMultilevel"/>
    <w:lvl w:ilvl="0">
      <w:lvlJc w:val="left"/>
      <w:lvlText w:val="%1"/>
      <w:numFmt w:val="decimal"/>
      <w:start w:val="1"/>
    </w:lvl>
    <w:lvl w:ilvl="1">
      <w:lvlJc w:val="left"/>
      <w:lvlText w:val="(%2)"/>
      <w:numFmt w:val="lowerLetter"/>
      <w:start w:val="6"/>
    </w:lvl>
  </w:abstractNum>
  <w:abstractNum w:abstractNumId="51">
    <w:nsid w:val="1CA0C5FA"/>
    <w:multiLevelType w:val="hybridMultilevel"/>
    <w:lvl w:ilvl="0">
      <w:lvlJc w:val="left"/>
      <w:lvlText w:val="%1."/>
      <w:numFmt w:val="decimal"/>
      <w:start w:val="8"/>
    </w:lvl>
    <w:lvl w:ilvl="1">
      <w:lvlJc w:val="left"/>
      <w:lvlText w:val="(%2)"/>
      <w:numFmt w:val="lowerLetter"/>
      <w:start w:val="1"/>
    </w:lvl>
  </w:abstractNum>
  <w:abstractNum w:abstractNumId="52">
    <w:nsid w:val="53584BCB"/>
    <w:multiLevelType w:val="hybridMultilevel"/>
    <w:lvl w:ilvl="0">
      <w:lvlJc w:val="left"/>
      <w:lvlText w:val="(%1)"/>
      <w:numFmt w:val="lowerLetter"/>
      <w:start w:val="4"/>
    </w:lvl>
    <w:lvl w:ilvl="1">
      <w:lvlJc w:val="left"/>
      <w:lvlText w:val="(%2)"/>
      <w:numFmt w:val="lowerRoman"/>
      <w:start w:val="1"/>
    </w:lvl>
  </w:abstractNum>
  <w:abstractNum w:abstractNumId="53">
    <w:nsid w:val="415E286C"/>
    <w:multiLevelType w:val="hybridMultilevel"/>
    <w:lvl w:ilvl="0">
      <w:lvlJc w:val="left"/>
      <w:lvlText w:val="%1"/>
      <w:numFmt w:val="lowerLetter"/>
      <w:start w:val="1"/>
    </w:lvl>
    <w:lvl w:ilvl="1">
      <w:lvlJc w:val="left"/>
      <w:lvlText w:val="(%2)"/>
      <w:numFmt w:val="lowerRoman"/>
      <w:start w:val="5"/>
    </w:lvl>
  </w:abstractNum>
  <w:abstractNum w:abstractNumId="54">
    <w:nsid w:val="7C58FD05"/>
    <w:multiLevelType w:val="hybridMultilevel"/>
    <w:lvl w:ilvl="0">
      <w:lvlJc w:val="left"/>
      <w:lvlText w:val="(%1)"/>
      <w:numFmt w:val="lowerLetter"/>
      <w:start w:val="5"/>
    </w:lvl>
    <w:lvl w:ilvl="1">
      <w:lvlJc w:val="left"/>
      <w:lvlText w:val="(%2)"/>
      <w:numFmt w:val="lowerRoman"/>
      <w:start w:val="1"/>
    </w:lvl>
  </w:abstractNum>
  <w:abstractNum w:abstractNumId="55">
    <w:nsid w:val="23D86AAC"/>
    <w:multiLevelType w:val="hybridMultilevel"/>
    <w:lvl w:ilvl="0">
      <w:lvlJc w:val="left"/>
      <w:lvlText w:val="(%1)"/>
      <w:numFmt w:val="lowerRoman"/>
      <w:start w:val="2"/>
    </w:lvl>
  </w:abstractNum>
  <w:abstractNum w:abstractNumId="56">
    <w:nsid w:val="45E6D486"/>
    <w:multiLevelType w:val="hybridMultilevel"/>
    <w:lvl w:ilvl="0">
      <w:lvlJc w:val="left"/>
      <w:lvlText w:val="(%1)"/>
      <w:numFmt w:val="lowerRoman"/>
      <w:start w:val="8"/>
    </w:lvl>
  </w:abstractNum>
  <w:abstractNum w:abstractNumId="57">
    <w:nsid w:val="5C10FE21"/>
    <w:multiLevelType w:val="hybridMultilevel"/>
    <w:lvl w:ilvl="0">
      <w:lvlJc w:val="left"/>
      <w:lvlText w:val="(%1)"/>
      <w:numFmt w:val="lowerRoman"/>
      <w:start w:val="12"/>
    </w:lvl>
  </w:abstractNum>
  <w:abstractNum w:abstractNumId="58">
    <w:nsid w:val="E7FFA2B"/>
    <w:multiLevelType w:val="hybridMultilevel"/>
    <w:lvl w:ilvl="0">
      <w:lvlJc w:val="left"/>
      <w:lvlText w:val="(%1)"/>
      <w:numFmt w:val="lowerLetter"/>
      <w:start w:val="6"/>
    </w:lvl>
  </w:abstractNum>
  <w:abstractNum w:abstractNumId="59">
    <w:nsid w:val="3C5991A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8"/>
    </w:lvl>
  </w:abstractNum>
  <w:abstractNum w:abstractNumId="60">
    <w:nsid w:val="4BD8591A"/>
    <w:multiLevelType w:val="hybridMultilevel"/>
    <w:lvl w:ilvl="0">
      <w:lvlJc w:val="left"/>
      <w:lvlText w:val="%1"/>
      <w:numFmt w:val="lowerLetter"/>
      <w:start w:val="1"/>
    </w:lvl>
    <w:lvl w:ilvl="1">
      <w:lvlJc w:val="left"/>
      <w:lvlText w:val="%2."/>
      <w:numFmt w:val="decimal"/>
      <w:start w:val="9"/>
    </w:lvl>
    <w:lvl w:ilvl="2">
      <w:lvlJc w:val="left"/>
      <w:lvlText w:val="%3"/>
      <w:numFmt w:val="lowerLetter"/>
      <w:start w:val="1"/>
    </w:lvl>
  </w:abstractNum>
  <w:abstractNum w:abstractNumId="61">
    <w:nsid w:val="78DF6A55"/>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62">
    <w:nsid w:val="39B7AAA2"/>
    <w:multiLevelType w:val="hybridMultilevel"/>
    <w:lvl w:ilvl="0">
      <w:lvlJc w:val="left"/>
      <w:lvlText w:val="(%1)"/>
      <w:numFmt w:val="lowerRoman"/>
      <w:start w:val="1"/>
    </w:lvl>
  </w:abstractNum>
  <w:abstractNum w:abstractNumId="63">
    <w:nsid w:val="2B0D8DBE"/>
    <w:multiLevelType w:val="hybridMultilevel"/>
    <w:lvl w:ilvl="0">
      <w:lvlJc w:val="left"/>
      <w:lvlText w:val="%1"/>
      <w:numFmt w:val="lowerLetter"/>
      <w:start w:val="1"/>
    </w:lvl>
    <w:lvl w:ilvl="1">
      <w:lvlJc w:val="left"/>
      <w:lvlText w:val="%2."/>
      <w:numFmt w:val="decimal"/>
      <w:start w:val="10"/>
    </w:lvl>
  </w:abstractNum>
  <w:abstractNum w:abstractNumId="64">
    <w:nsid w:val="6C80EC70"/>
    <w:multiLevelType w:val="hybridMultilevel"/>
    <w:lvl w:ilvl="0">
      <w:lvlJc w:val="left"/>
      <w:lvlText w:val="(%1)"/>
      <w:numFmt w:val="lowerLetter"/>
      <w:start w:val="2"/>
    </w:lvl>
    <w:lvl w:ilvl="1">
      <w:lvlJc w:val="left"/>
      <w:lvlText w:val="%2"/>
      <w:numFmt w:val="decimal"/>
      <w:start w:val="1"/>
    </w:lvl>
  </w:abstractNum>
  <w:abstractNum w:abstractNumId="65">
    <w:nsid w:val="379E21B5"/>
    <w:multiLevelType w:val="hybridMultilevel"/>
    <w:lvl w:ilvl="0">
      <w:lvlJc w:val="left"/>
      <w:lvlText w:val="(%1)"/>
      <w:numFmt w:val="decimal"/>
      <w:start w:val="1"/>
    </w:lvl>
  </w:abstractNum>
  <w:abstractNum w:abstractNumId="66">
    <w:nsid w:val="69E373"/>
    <w:multiLevelType w:val="hybridMultilevel"/>
    <w:lvl w:ilvl="0">
      <w:lvlJc w:val="left"/>
      <w:lvlText w:val="(%1)"/>
      <w:numFmt w:val="decimal"/>
      <w:start w:val="4"/>
    </w:lvl>
  </w:abstractNum>
  <w:abstractNum w:abstractNumId="67">
    <w:nsid w:val="2C27173B"/>
    <w:multiLevelType w:val="hybridMultilevel"/>
    <w:lvl w:ilvl="0">
      <w:lvlJc w:val="left"/>
      <w:lvlText w:val="%1"/>
      <w:numFmt w:val="lowerLetter"/>
      <w:start w:val="1"/>
    </w:lvl>
    <w:lvl w:ilvl="1">
      <w:lvlJc w:val="left"/>
      <w:lvlText w:val="(%2)"/>
      <w:numFmt w:val="lowerLetter"/>
      <w:start w:val="1"/>
    </w:lvl>
  </w:abstractNum>
  <w:abstractNum w:abstractNumId="68">
    <w:nsid w:val="4C9B0904"/>
    <w:multiLevelType w:val="hybridMultilevel"/>
    <w:lvl w:ilvl="0">
      <w:lvlJc w:val="left"/>
      <w:lvlText w:val="(%1)"/>
      <w:numFmt w:val="lowerLetter"/>
      <w:start w:val="61"/>
    </w:lvl>
    <w:lvl w:ilvl="1">
      <w:lvlJc w:val="left"/>
      <w:lvlText w:val="(%2)"/>
      <w:numFmt w:val="lowerLetter"/>
      <w:start w:val="2"/>
    </w:lvl>
  </w:abstractNum>
  <w:abstractNum w:abstractNumId="69">
    <w:nsid w:val="6AA7B75C"/>
    <w:multiLevelType w:val="hybridMultilevel"/>
    <w:lvl w:ilvl="0">
      <w:lvlJc w:val="left"/>
      <w:lvlText w:val="(%1)"/>
      <w:numFmt w:val="lowerRoman"/>
      <w:start w:val="1"/>
    </w:lvl>
  </w:abstractNum>
  <w:abstractNum w:abstractNumId="70">
    <w:nsid w:val="1DF029D3"/>
    <w:multiLevelType w:val="hybridMultilevel"/>
    <w:lvl w:ilvl="0">
      <w:lvlJc w:val="left"/>
      <w:lvlText w:val="(%1)"/>
      <w:numFmt w:val="lowerRoman"/>
      <w:start w:val="4"/>
    </w:lvl>
  </w:abstractNum>
  <w:abstractNum w:abstractNumId="71">
    <w:nsid w:val="5675FF36"/>
    <w:multiLevelType w:val="hybridMultilevel"/>
    <w:lvl w:ilvl="0">
      <w:lvlJc w:val="left"/>
      <w:lvlText w:val="(%1)"/>
      <w:numFmt w:val="lowerLetter"/>
      <w:start w:val="1"/>
    </w:lvl>
  </w:abstractNum>
  <w:abstractNum w:abstractNumId="72">
    <w:nsid w:val="3DD15094"/>
    <w:multiLevelType w:val="hybridMultilevel"/>
    <w:lvl w:ilvl="0">
      <w:lvlJc w:val="left"/>
      <w:lvlText w:val="(%1)"/>
      <w:numFmt w:val="lowerLetter"/>
      <w:start w:val="2"/>
    </w:lvl>
  </w:abstractNum>
  <w:abstractNum w:abstractNumId="73">
    <w:nsid w:val="3DB012B3"/>
    <w:multiLevelType w:val="hybridMultilevel"/>
    <w:lvl w:ilvl="0">
      <w:lvlJc w:val="left"/>
      <w:lvlText w:val="(%1)"/>
      <w:numFmt w:val="lowerLetter"/>
      <w:start w:val="7"/>
    </w:lvl>
  </w:abstractNum>
  <w:abstractNum w:abstractNumId="74">
    <w:nsid w:val="2708C9AF"/>
    <w:multiLevelType w:val="hybridMultilevel"/>
    <w:lvl w:ilvl="0">
      <w:lvlJc w:val="left"/>
      <w:lvlText w:val="(%1)"/>
      <w:numFmt w:val="decimal"/>
      <w:start w:val="1"/>
    </w:lvl>
  </w:abstractNum>
  <w:abstractNum w:abstractNumId="75">
    <w:nsid w:val="5B25ACE2"/>
    <w:multiLevelType w:val="hybridMultilevel"/>
    <w:lvl w:ilvl="0">
      <w:lvlJc w:val="left"/>
      <w:lvlText w:val="(%1)"/>
      <w:numFmt w:val="decimal"/>
      <w:start w:val="1"/>
    </w:lvl>
  </w:abstractNum>
  <w:abstractNum w:abstractNumId="76">
    <w:nsid w:val="175DFCF0"/>
    <w:multiLevelType w:val="hybridMultilevel"/>
    <w:lvl w:ilvl="0">
      <w:lvlJc w:val="left"/>
      <w:lvlText w:val="(%1)"/>
      <w:numFmt w:val="decimal"/>
      <w:start w:val="1"/>
    </w:lvl>
  </w:abstractNum>
  <w:abstractNum w:abstractNumId="77">
    <w:nsid w:val="4F97E3E4"/>
    <w:multiLevelType w:val="hybridMultilevel"/>
    <w:lvl w:ilvl="0">
      <w:lvlJc w:val="left"/>
      <w:lvlText w:val="(%1)"/>
      <w:numFmt w:val="decimal"/>
      <w:start w:val="7"/>
    </w:lvl>
  </w:abstractNum>
  <w:abstractNum w:abstractNumId="78">
    <w:nsid w:val="53B0A9E"/>
    <w:multiLevelType w:val="hybridMultilevel"/>
    <w:lvl w:ilvl="0">
      <w:lvlJc w:val="left"/>
      <w:lvlText w:val="(%1)"/>
      <w:numFmt w:val="lowerLetter"/>
      <w:start w:val="2"/>
    </w:lvl>
    <w:lvl w:ilvl="1">
      <w:lvlJc w:val="left"/>
      <w:lvlText w:val="(%2)"/>
      <w:numFmt w:val="decimal"/>
      <w:start w:val="16"/>
    </w:lvl>
  </w:abstractNum>
  <w:abstractNum w:abstractNumId="79">
    <w:nsid w:val="34FD6B4F"/>
    <w:multiLevelType w:val="hybridMultilevel"/>
    <w:lvl w:ilvl="0">
      <w:lvlJc w:val="left"/>
      <w:lvlText w:val="(%1)"/>
      <w:numFmt w:val="lowerLetter"/>
      <w:start w:val="1"/>
    </w:lvl>
  </w:abstractNum>
  <w:abstractNum w:abstractNumId="80">
    <w:nsid w:val="5915FF32"/>
    <w:multiLevelType w:val="hybridMultilevel"/>
    <w:lvl w:ilvl="0">
      <w:lvlJc w:val="left"/>
      <w:lvlText w:val="(%1)"/>
      <w:numFmt w:val="lowerRoman"/>
      <w:start w:val="2"/>
    </w:lvl>
  </w:abstractNum>
  <w:abstractNum w:abstractNumId="81">
    <w:nsid w:val="56438D15"/>
    <w:multiLevelType w:val="hybridMultilevel"/>
    <w:lvl w:ilvl="0">
      <w:lvlJc w:val="left"/>
      <w:lvlText w:val="(%1)"/>
      <w:numFmt w:val="decimal"/>
      <w:start w:val="1"/>
    </w:lvl>
  </w:abstractNum>
  <w:abstractNum w:abstractNumId="82">
    <w:nsid w:val="519E3149"/>
    <w:multiLevelType w:val="hybridMultilevel"/>
    <w:lvl w:ilvl="0">
      <w:lvlJc w:val="left"/>
      <w:lvlText w:val="%1."/>
      <w:numFmt w:val="decimal"/>
      <w:start w:val="306"/>
    </w:lvl>
  </w:abstractNum>
  <w:abstractNum w:abstractNumId="83">
    <w:nsid w:val="2C6E4AFD"/>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84">
    <w:nsid w:val="17A1B582"/>
    <w:multiLevelType w:val="hybridMultilevel"/>
    <w:lvl w:ilvl="0">
      <w:lvlJc w:val="left"/>
      <w:lvlText w:val="(%1)"/>
      <w:numFmt w:val="decimal"/>
      <w:start w:val="2"/>
    </w:lvl>
  </w:abstractNum>
  <w:abstractNum w:abstractNumId="85">
    <w:nsid w:val="4DF72E4E"/>
    <w:multiLevelType w:val="hybridMultilevel"/>
    <w:lvl w:ilvl="0">
      <w:lvlJc w:val="left"/>
      <w:lvlText w:val="%1"/>
      <w:numFmt w:val="upperLetter"/>
      <w:start w:val="1"/>
    </w:lvl>
    <w:lvl w:ilvl="1">
      <w:lvlJc w:val="left"/>
      <w:lvlText w:val="(%2)"/>
      <w:numFmt w:val="decimal"/>
      <w:start w:val="1"/>
    </w:lvl>
  </w:abstractNum>
  <w:abstractNum w:abstractNumId="86">
    <w:nsid w:val="5046B5A9"/>
    <w:multiLevelType w:val="hybridMultilevel"/>
    <w:lvl w:ilvl="0">
      <w:lvlJc w:val="left"/>
      <w:lvlText w:val="(%1)"/>
      <w:numFmt w:val="upperLetter"/>
      <w:start w:val="2"/>
    </w:lvl>
    <w:lvl w:ilvl="1">
      <w:lvlJc w:val="left"/>
      <w:lvlText w:val="(%2)"/>
      <w:numFmt w:val="decimal"/>
      <w:start w:val="6"/>
    </w:lvl>
  </w:abstractNum>
  <w:abstractNum w:abstractNumId="87">
    <w:nsid w:val="5D888A08"/>
    <w:multiLevelType w:val="hybridMultilevel"/>
    <w:lvl w:ilvl="0">
      <w:lvlJc w:val="left"/>
      <w:lvlText w:val="(%1)"/>
      <w:numFmt w:val="decimal"/>
      <w:start w:val="7"/>
    </w:lvl>
  </w:abstractNum>
  <w:abstractNum w:abstractNumId="88">
    <w:nsid w:val="2A082C70"/>
    <w:multiLevelType w:val="hybridMultilevel"/>
    <w:lvl w:ilvl="0">
      <w:lvlJc w:val="left"/>
      <w:lvlText w:val="(%1)"/>
      <w:numFmt w:val="decimal"/>
      <w:start w:val="1"/>
    </w:lvl>
    <w:lvl w:ilvl="1">
      <w:lvlJc w:val="left"/>
      <w:lvlText w:val="(%2)"/>
      <w:numFmt w:val="upperLetter"/>
      <w:start w:val="1"/>
    </w:lvl>
  </w:abstractNum>
  <w:abstractNum w:abstractNumId="89">
    <w:nsid w:val="5EC6AFD4"/>
    <w:multiLevelType w:val="hybridMultilevel"/>
    <w:lvl w:ilvl="0">
      <w:lvlJc w:val="left"/>
      <w:lvlText w:val="(%1)"/>
      <w:numFmt w:val="decimal"/>
      <w:start w:val="2"/>
    </w:lvl>
  </w:abstractNum>
  <w:abstractNum w:abstractNumId="90">
    <w:nsid w:val="19E21BB2"/>
    <w:multiLevelType w:val="hybridMultilevel"/>
    <w:lvl w:ilvl="0">
      <w:lvlJc w:val="left"/>
      <w:lvlText w:val="(%1)"/>
      <w:numFmt w:val="decimal"/>
      <w:start w:val="1"/>
    </w:lvl>
  </w:abstractNum>
  <w:abstractNum w:abstractNumId="91">
    <w:nsid w:val="75E0858A"/>
    <w:multiLevelType w:val="hybridMultilevel"/>
    <w:lvl w:ilvl="0">
      <w:lvlJc w:val="left"/>
      <w:lvlText w:val="(%1)"/>
      <w:numFmt w:val="decimal"/>
      <w:start w:val="1"/>
    </w:lvl>
  </w:abstractNum>
  <w:abstractNum w:abstractNumId="92">
    <w:nsid w:val="57A61A29"/>
    <w:multiLevelType w:val="hybridMultilevel"/>
    <w:lvl w:ilvl="0">
      <w:lvlJc w:val="left"/>
      <w:lvlText w:val="(%1)"/>
      <w:numFmt w:val="decimal"/>
      <w:start w:val="1"/>
    </w:lvl>
  </w:abstractNum>
  <w:abstractNum w:abstractNumId="93">
    <w:nsid w:val="5399C654"/>
    <w:multiLevelType w:val="hybridMultilevel"/>
    <w:lvl w:ilvl="0">
      <w:lvlJc w:val="left"/>
      <w:lvlText w:val="(%1)"/>
      <w:numFmt w:val="decimal"/>
      <w:start w:val="3"/>
    </w:lvl>
  </w:abstractNum>
  <w:abstractNum w:abstractNumId="94">
    <w:nsid w:val="20EE1348"/>
    <w:multiLevelType w:val="hybridMultilevel"/>
    <w:lvl w:ilvl="0">
      <w:lvlJc w:val="left"/>
      <w:lvlText w:val="(%1)"/>
      <w:numFmt w:val="decimal"/>
      <w:start w:val="1"/>
    </w:lvl>
  </w:abstractNum>
  <w:abstractNum w:abstractNumId="95">
    <w:nsid w:val="4427069A"/>
    <w:multiLevelType w:val="hybridMultilevel"/>
    <w:lvl w:ilvl="0">
      <w:lvlJc w:val="left"/>
      <w:lvlText w:val="(%1)"/>
      <w:numFmt w:val="decimal"/>
      <w:start w:val="1"/>
    </w:lvl>
  </w:abstractNum>
  <w:abstractNum w:abstractNumId="96">
    <w:nsid w:val="B37E80A"/>
    <w:multiLevelType w:val="hybridMultilevel"/>
    <w:lvl w:ilvl="0">
      <w:lvlJc w:val="left"/>
      <w:lvlText w:val="(%1)"/>
      <w:numFmt w:val="decimal"/>
      <w:start w:val="4"/>
    </w:lvl>
  </w:abstractNum>
  <w:abstractNum w:abstractNumId="97">
    <w:nsid w:val="2157F6BC"/>
    <w:multiLevelType w:val="hybridMultilevel"/>
    <w:lvl w:ilvl="0">
      <w:lvlJc w:val="left"/>
      <w:lvlText w:val="(%1)"/>
      <w:numFmt w:val="decimal"/>
      <w:start w:val="1"/>
    </w:lvl>
  </w:abstractNum>
  <w:abstractNum w:abstractNumId="98">
    <w:nsid w:val="704E1DD5"/>
    <w:multiLevelType w:val="hybridMultilevel"/>
    <w:lvl w:ilvl="0">
      <w:lvlJc w:val="left"/>
      <w:lvlText w:val="(%1)"/>
      <w:numFmt w:val="lowerLetter"/>
      <w:start w:val="1"/>
    </w:lvl>
    <w:lvl w:ilvl="1">
      <w:lvlJc w:val="left"/>
      <w:lvlText w:val="(%2)"/>
      <w:numFmt w:val="decimal"/>
      <w:start w:val="1"/>
    </w:lvl>
  </w:abstractNum>
  <w:abstractNum w:abstractNumId="99">
    <w:nsid w:val="57D2F10E"/>
    <w:multiLevelType w:val="hybridMultilevel"/>
    <w:lvl w:ilvl="0">
      <w:lvlJc w:val="left"/>
      <w:lvlText w:val="%1"/>
      <w:numFmt w:val="lowerLetter"/>
      <w:start w:val="1"/>
    </w:lvl>
    <w:lvl w:ilvl="1">
      <w:lvlJc w:val="left"/>
      <w:lvlText w:val="(%2)"/>
      <w:numFmt w:val="decimal"/>
      <w:start w:val="3"/>
    </w:lvl>
  </w:abstractNum>
  <w:abstractNum w:abstractNumId="100">
    <w:nsid w:val="BFFAE18"/>
    <w:multiLevelType w:val="hybridMultilevel"/>
    <w:lvl w:ilvl="0">
      <w:lvlJc w:val="left"/>
      <w:lvlText w:val="(%1)"/>
      <w:numFmt w:val="lowerLetter"/>
      <w:start w:val="5"/>
    </w:lvl>
    <w:lvl w:ilvl="1">
      <w:lvlJc w:val="left"/>
      <w:lvlText w:val="%2"/>
      <w:numFmt w:val="decimal"/>
      <w:start w:val="1"/>
    </w:lvl>
  </w:abstractNum>
  <w:abstractNum w:abstractNumId="101">
    <w:nsid w:val="E3E47A8"/>
    <w:multiLevelType w:val="hybridMultilevel"/>
    <w:lvl w:ilvl="0">
      <w:lvlJc w:val="left"/>
      <w:lvlText w:val="(%1)"/>
      <w:numFmt w:val="lowerLetter"/>
      <w:start w:val="1"/>
    </w:lvl>
  </w:abstractNum>
  <w:abstractNum w:abstractNumId="102">
    <w:nsid w:val="2E48F044"/>
    <w:multiLevelType w:val="hybridMultilevel"/>
    <w:lvl w:ilvl="0">
      <w:lvlJc w:val="left"/>
      <w:lvlText w:val="(%1)"/>
      <w:numFmt w:val="lowerLetter"/>
      <w:start w:val="2"/>
    </w:lvl>
  </w:abstractNum>
  <w:abstractNum w:abstractNumId="103">
    <w:nsid w:val="49D0FEAC"/>
    <w:multiLevelType w:val="hybridMultilevel"/>
    <w:lvl w:ilvl="0">
      <w:lvlJc w:val="left"/>
      <w:lvlText w:val="(%1)"/>
      <w:numFmt w:val="lowerLetter"/>
      <w:start w:val="1"/>
    </w:lvl>
  </w:abstractNum>
  <w:abstractNum w:abstractNumId="104">
    <w:nsid w:val="4BEE5A5B"/>
    <w:multiLevelType w:val="hybridMultilevel"/>
    <w:lvl w:ilvl="0">
      <w:lvlJc w:val="left"/>
      <w:lvlText w:val="(%1)"/>
      <w:numFmt w:val="lowerLetter"/>
      <w:start w:val="1"/>
    </w:lvl>
  </w:abstractNum>
  <w:abstractNum w:abstractNumId="105">
    <w:nsid w:val="5551B9F3"/>
    <w:multiLevelType w:val="hybridMultilevel"/>
    <w:lvl w:ilvl="0">
      <w:lvlJc w:val="left"/>
      <w:lvlText w:val="(%1)"/>
      <w:numFmt w:val="lowerLetter"/>
      <w:start w:val="2"/>
    </w:lvl>
  </w:abstractNum>
  <w:abstractNum w:abstractNumId="106">
    <w:nsid w:val="24F6AB8E"/>
    <w:multiLevelType w:val="hybridMultilevel"/>
    <w:lvl w:ilvl="0">
      <w:lvlJc w:val="left"/>
      <w:lvlText w:val="(%1)"/>
      <w:numFmt w:val="lowerLetter"/>
      <w:start w:val="1"/>
    </w:lvl>
  </w:abstractNum>
  <w:abstractNum w:abstractNumId="107">
    <w:nsid w:val="634C574C"/>
    <w:multiLevelType w:val="hybridMultilevel"/>
    <w:lvl w:ilvl="0">
      <w:lvlJc w:val="left"/>
      <w:lvlText w:val="(%1)"/>
      <w:numFmt w:val="decimal"/>
      <w:start w:val="1"/>
    </w:lvl>
  </w:abstractNum>
  <w:abstractNum w:abstractNumId="108">
    <w:nsid w:val="24E99DD7"/>
    <w:multiLevelType w:val="hybridMultilevel"/>
    <w:lvl w:ilvl="0">
      <w:lvlJc w:val="left"/>
      <w:lvlText w:val="(%1)"/>
      <w:numFmt w:val="decimal"/>
      <w:start w:val="2"/>
    </w:lvl>
  </w:abstractNum>
  <w:abstractNum w:abstractNumId="109">
    <w:nsid w:val="2A31B62D"/>
    <w:multiLevelType w:val="hybridMultilevel"/>
    <w:lvl w:ilvl="0">
      <w:lvlJc w:val="left"/>
      <w:lvlText w:val="(%1)"/>
      <w:numFmt w:val="decimal"/>
      <w:start w:val="1"/>
    </w:lvl>
  </w:abstractNum>
  <w:abstractNum w:abstractNumId="110">
    <w:nsid w:val="1849C29B"/>
    <w:multiLevelType w:val="hybridMultilevel"/>
    <w:lvl w:ilvl="0">
      <w:lvlJc w:val="left"/>
      <w:lvlText w:val="(%1)"/>
      <w:numFmt w:val="decimal"/>
      <w:start w:val="1"/>
    </w:lvl>
  </w:abstractNum>
  <w:abstractNum w:abstractNumId="111">
    <w:nsid w:val="7DFF9D09"/>
    <w:multiLevelType w:val="hybridMultilevel"/>
    <w:lvl w:ilvl="0">
      <w:lvlJc w:val="left"/>
      <w:lvlText w:val="(%1)"/>
      <w:numFmt w:val="decimal"/>
      <w:start w:val="1"/>
    </w:lvl>
  </w:abstractNum>
  <w:abstractNum w:abstractNumId="112">
    <w:nsid w:val="754342"/>
    <w:multiLevelType w:val="hybridMultilevel"/>
    <w:lvl w:ilvl="0">
      <w:lvlJc w:val="left"/>
      <w:lvlText w:val="(%1)"/>
      <w:numFmt w:val="decimal"/>
      <w:start w:val="7"/>
    </w:lvl>
  </w:abstractNum>
  <w:abstractNum w:abstractNumId="113">
    <w:nsid w:val="69E7F3E5"/>
    <w:multiLevelType w:val="hybridMultilevel"/>
    <w:lvl w:ilvl="0">
      <w:lvlJc w:val="left"/>
      <w:lvlText w:val="(%1)"/>
      <w:numFmt w:val="decimal"/>
      <w:start w:val="2"/>
    </w:lvl>
  </w:abstractNum>
  <w:abstractNum w:abstractNumId="114">
    <w:nsid w:val="2A6DE806"/>
    <w:multiLevelType w:val="hybridMultilevel"/>
    <w:lvl w:ilvl="0">
      <w:lvlJc w:val="left"/>
      <w:lvlText w:val="%1"/>
      <w:numFmt w:val="upperLetter"/>
      <w:start w:val="1"/>
    </w:lvl>
    <w:lvl w:ilvl="1">
      <w:lvlJc w:val="left"/>
      <w:lvlText w:val="(%2)"/>
      <w:numFmt w:val="decimal"/>
      <w:start w:val="1"/>
    </w:lvl>
  </w:abstractNum>
  <w:abstractNum w:abstractNumId="115">
    <w:nsid w:val="1816F8C4"/>
    <w:multiLevelType w:val="hybridMultilevel"/>
    <w:lvl w:ilvl="0">
      <w:lvlJc w:val="left"/>
      <w:lvlText w:val="(%1)"/>
      <w:numFmt w:val="upperLetter"/>
      <w:start w:val="2"/>
    </w:lvl>
    <w:lvl w:ilvl="1">
      <w:lvlJc w:val="left"/>
      <w:lvlText w:val="(%2)"/>
      <w:numFmt w:val="decimal"/>
      <w:start w:val="2"/>
    </w:lvl>
  </w:abstractNum>
  <w:abstractNum w:abstractNumId="116">
    <w:nsid w:val="37DF2233"/>
    <w:multiLevelType w:val="hybridMultilevel"/>
    <w:lvl w:ilvl="0">
      <w:lvlJc w:val="left"/>
      <w:lvlText w:val="(%1)"/>
      <w:numFmt w:val="decimal"/>
      <w:start w:val="3"/>
    </w:lvl>
  </w:abstractNum>
  <w:abstractNum w:abstractNumId="117">
    <w:nsid w:val="7AB49DAF"/>
    <w:multiLevelType w:val="hybridMultilevel"/>
    <w:lvl w:ilvl="0">
      <w:lvlJc w:val="left"/>
      <w:lvlText w:val="(%1)"/>
      <w:numFmt w:val="lowerLetter"/>
      <w:start w:val="1"/>
    </w:lvl>
  </w:abstractNum>
  <w:abstractNum w:abstractNumId="118">
    <w:nsid w:val="759F82CD"/>
    <w:multiLevelType w:val="hybridMultilevel"/>
    <w:lvl w:ilvl="0">
      <w:lvlJc w:val="left"/>
      <w:lvlText w:val="(%1)"/>
      <w:numFmt w:val="lowerLetter"/>
      <w:start w:val="1"/>
    </w:lvl>
  </w:abstractNum>
  <w:abstractNum w:abstractNumId="119">
    <w:nsid w:val="61E74EA3"/>
    <w:multiLevelType w:val="hybridMultilevel"/>
    <w:lvl w:ilvl="0">
      <w:lvlJc w:val="left"/>
      <w:lvlText w:val="(%1)"/>
      <w:numFmt w:val="lowerLetter"/>
      <w:start w:val="3"/>
    </w:lvl>
  </w:abstractNum>
  <w:abstractNum w:abstractNumId="120">
    <w:nsid w:val="597B4D84"/>
    <w:multiLevelType w:val="hybridMultilevel"/>
    <w:lvl w:ilvl="0">
      <w:lvlJc w:val="left"/>
      <w:lvlText w:val="(%1)"/>
      <w:numFmt w:val="lowerLetter"/>
      <w:start w:val="1"/>
    </w:lvl>
    <w:lvl w:ilvl="1">
      <w:lvlJc w:val="left"/>
      <w:lvlText w:val="(%2)"/>
      <w:numFmt w:val="decimal"/>
      <w:start w:val="1"/>
    </w:lvl>
  </w:abstractNum>
  <w:abstractNum w:abstractNumId="121">
    <w:nsid w:val="F819E7F"/>
    <w:multiLevelType w:val="hybridMultilevel"/>
    <w:lvl w:ilvl="0">
      <w:lvlJc w:val="left"/>
      <w:lvlText w:val="%1"/>
      <w:numFmt w:val="lowerLetter"/>
      <w:start w:val="1"/>
    </w:lvl>
    <w:lvl w:ilvl="1">
      <w:lvlJc w:val="left"/>
      <w:lvlText w:val="(%2)"/>
      <w:numFmt w:val="lowerLetter"/>
      <w:start w:val="3"/>
    </w:lvl>
  </w:abstractNum>
  <w:abstractNum w:abstractNumId="122">
    <w:nsid w:val="57C7D42D"/>
    <w:multiLevelType w:val="hybridMultilevel"/>
    <w:lvl w:ilvl="0">
      <w:lvlJc w:val="left"/>
      <w:lvlText w:val="(%1)"/>
      <w:numFmt w:val="lowerLetter"/>
      <w:start w:val="3"/>
    </w:lvl>
    <w:lvl w:ilvl="1">
      <w:lvlJc w:val="left"/>
      <w:lvlText w:val="(%2)"/>
      <w:numFmt w:val="lowerLetter"/>
      <w:start w:val="5"/>
    </w:lvl>
  </w:abstractNum>
  <w:abstractNum w:abstractNumId="123">
    <w:nsid w:val="312167AD"/>
    <w:multiLevelType w:val="hybridMultilevel"/>
    <w:lvl w:ilvl="0">
      <w:lvlJc w:val="left"/>
      <w:lvlText w:val="(%1)"/>
      <w:numFmt w:val="lowerLetter"/>
      <w:start w:val="7"/>
    </w:lvl>
  </w:abstractNum>
  <w:abstractNum w:abstractNumId="124">
    <w:nsid w:val="631B64D4"/>
    <w:multiLevelType w:val="hybridMultilevel"/>
    <w:lvl w:ilvl="0">
      <w:lvlJc w:val="left"/>
      <w:lvlText w:val="(%1)"/>
      <w:numFmt w:val="lowerLetter"/>
      <w:start w:val="1"/>
    </w:lvl>
  </w:abstractNum>
  <w:abstractNum w:abstractNumId="125">
    <w:nsid w:val="78B5E776"/>
    <w:multiLevelType w:val="hybridMultilevel"/>
    <w:lvl w:ilvl="0">
      <w:lvlJc w:val="left"/>
      <w:lvlText w:val="(%1)"/>
      <w:numFmt w:val="lowerLetter"/>
      <w:start w:val="2"/>
    </w:lvl>
  </w:abstractNum>
  <w:abstractNum w:abstractNumId="126">
    <w:nsid w:val="75486E47"/>
    <w:multiLevelType w:val="hybridMultilevel"/>
    <w:lvl w:ilvl="0">
      <w:lvlJc w:val="left"/>
      <w:lvlText w:val="(%1)"/>
      <w:numFmt w:val="upperLetter"/>
      <w:start w:val="1"/>
    </w:lvl>
  </w:abstractNum>
  <w:abstractNum w:abstractNumId="127">
    <w:nsid w:val="6E534CDE"/>
    <w:multiLevelType w:val="hybridMultilevel"/>
    <w:lvl w:ilvl="0">
      <w:lvlJc w:val="left"/>
      <w:lvlText w:val="(%1)"/>
      <w:numFmt w:val="upperLetter"/>
      <w:start w:val="2"/>
    </w:lvl>
  </w:abstractNum>
  <w:abstractNum w:abstractNumId="128">
    <w:nsid w:val="1A0DDE32"/>
    <w:multiLevelType w:val="hybridMultilevel"/>
    <w:lvl w:ilvl="0">
      <w:lvlJc w:val="left"/>
      <w:lvlText w:val="(%1)"/>
      <w:numFmt w:val="lowerLetter"/>
      <w:start w:val="1"/>
    </w:lvl>
  </w:abstractNum>
  <w:abstractNum w:abstractNumId="129">
    <w:nsid w:val="65968C1C"/>
    <w:multiLevelType w:val="hybridMultilevel"/>
    <w:lvl w:ilvl="0">
      <w:lvlJc w:val="left"/>
      <w:lvlText w:val="(%1)"/>
      <w:numFmt w:val="lowerLetter"/>
      <w:start w:val="5"/>
    </w:lvl>
  </w:abstractNum>
  <w:abstractNum w:abstractNumId="130">
    <w:nsid w:val="46263DEC"/>
    <w:multiLevelType w:val="hybridMultilevel"/>
    <w:lvl w:ilvl="0">
      <w:lvlJc w:val="left"/>
      <w:lvlText w:val="(%1)"/>
      <w:numFmt w:val="lowerLetter"/>
      <w:start w:val="6"/>
    </w:lvl>
  </w:abstractNum>
  <w:abstractNum w:abstractNumId="131">
    <w:nsid w:val="260D8C4A"/>
    <w:multiLevelType w:val="hybridMultilevel"/>
    <w:lvl w:ilvl="0">
      <w:lvlJc w:val="left"/>
      <w:lvlText w:val="(%1)"/>
      <w:numFmt w:val="lowerLetter"/>
      <w:start w:val="7"/>
    </w:lvl>
  </w:abstractNum>
  <w:abstractNum w:abstractNumId="132">
    <w:nsid w:val="73D4D3C4"/>
    <w:multiLevelType w:val="hybridMultilevel"/>
    <w:lvl w:ilvl="0">
      <w:lvlJc w:val="left"/>
      <w:lvlText w:val="(%1)"/>
      <w:numFmt w:val="decimal"/>
      <w:start w:val="1"/>
    </w:lvl>
  </w:abstractNum>
  <w:abstractNum w:abstractNumId="133">
    <w:nsid w:val="746F2E30"/>
    <w:multiLevelType w:val="hybridMultilevel"/>
    <w:lvl w:ilvl="0">
      <w:lvlJc w:val="left"/>
      <w:lvlText w:val="(%1)"/>
      <w:numFmt w:val="decimal"/>
      <w:start w:val="2"/>
    </w:lvl>
    <w:lvl w:ilvl="1">
      <w:lvlJc w:val="left"/>
      <w:lvlText w:val="(%2)"/>
      <w:numFmt w:val="upperLetter"/>
      <w:start w:val="1"/>
    </w:lvl>
  </w:abstractNum>
  <w:abstractNum w:abstractNumId="134">
    <w:nsid w:val="6FDE8AF6"/>
    <w:multiLevelType w:val="hybridMultilevel"/>
    <w:lvl w:ilvl="0">
      <w:lvlJc w:val="left"/>
      <w:lvlText w:val="(%1)"/>
      <w:numFmt w:val="upperLetter"/>
      <w:start w:val="6"/>
    </w:lvl>
  </w:abstractNum>
  <w:abstractNum w:abstractNumId="135">
    <w:nsid w:val="3FC32E20"/>
    <w:multiLevelType w:val="hybridMultilevel"/>
    <w:lvl w:ilvl="0">
      <w:lvlJc w:val="left"/>
      <w:lvlText w:val="(%1)"/>
      <w:numFmt w:val="lowerLetter"/>
      <w:start w:val="9"/>
    </w:lvl>
    <w:lvl w:ilvl="1">
      <w:lvlJc w:val="left"/>
      <w:lvlText w:val="(%2)"/>
      <w:numFmt w:val="decimal"/>
      <w:start w:val="1"/>
    </w:lvl>
  </w:abstractNum>
  <w:abstractNum w:abstractNumId="136">
    <w:nsid w:val="49C0E823"/>
    <w:multiLevelType w:val="hybridMultilevel"/>
    <w:lvl w:ilvl="0">
      <w:lvlJc w:val="left"/>
      <w:lvlText w:val="%1"/>
      <w:numFmt w:val="lowerLetter"/>
      <w:start w:val="1"/>
    </w:lvl>
    <w:lvl w:ilvl="1">
      <w:lvlJc w:val="left"/>
      <w:lvlText w:val="(%2)"/>
      <w:numFmt w:val="decimal"/>
      <w:start w:val="2"/>
    </w:lvl>
  </w:abstractNum>
  <w:abstractNum w:abstractNumId="137">
    <w:nsid w:val="14D53685"/>
    <w:multiLevelType w:val="hybridMultilevel"/>
    <w:lvl w:ilvl="0">
      <w:lvlJc w:val="left"/>
      <w:lvlText w:val="(%1)"/>
      <w:numFmt w:val="lowerLetter"/>
      <w:start w:val="15"/>
    </w:lvl>
    <w:lvl w:ilvl="1">
      <w:lvlJc w:val="left"/>
      <w:lvlText w:val="%2"/>
      <w:numFmt w:val="decimal"/>
      <w:start w:val="1"/>
    </w:lvl>
  </w:abstractNum>
  <w:abstractNum w:abstractNumId="138">
    <w:nsid w:val="230F856C"/>
    <w:multiLevelType w:val="hybridMultilevel"/>
    <w:lvl w:ilvl="0">
      <w:lvlJc w:val="left"/>
      <w:lvlText w:val="(%1)"/>
      <w:numFmt w:val="decimal"/>
      <w:start w:val="1"/>
    </w:lvl>
  </w:abstractNum>
  <w:abstractNum w:abstractNumId="139">
    <w:nsid w:val="6EAA85FB"/>
    <w:multiLevelType w:val="hybridMultilevel"/>
    <w:lvl w:ilvl="0">
      <w:lvlJc w:val="left"/>
      <w:lvlText w:val="(%1)"/>
      <w:numFmt w:val="upperLetter"/>
      <w:start w:val="1"/>
    </w:lvl>
  </w:abstractNum>
  <w:abstractNum w:abstractNumId="140">
    <w:nsid w:val="3F06ECB2"/>
    <w:multiLevelType w:val="hybridMultilevel"/>
    <w:lvl w:ilvl="0">
      <w:lvlJc w:val="left"/>
      <w:lvlText w:val="(%1)"/>
      <w:numFmt w:val="decimal"/>
      <w:start w:val="3"/>
    </w:lvl>
  </w:abstractNum>
  <w:abstractNum w:abstractNumId="141">
    <w:nsid w:val="3B594807"/>
    <w:multiLevelType w:val="hybridMultilevel"/>
    <w:lvl w:ilvl="0">
      <w:lvlJc w:val="left"/>
      <w:lvlText w:val="%1"/>
      <w:numFmt w:val="decimal"/>
      <w:start w:val="1"/>
    </w:lvl>
    <w:lvl w:ilvl="1">
      <w:lvlJc w:val="left"/>
      <w:lvlText w:val="(%2)"/>
      <w:numFmt w:val="decimal"/>
      <w:start w:val="4"/>
    </w:lvl>
  </w:abstractNum>
  <w:abstractNum w:abstractNumId="142">
    <w:nsid w:val="6CAA2304"/>
    <w:multiLevelType w:val="hybridMultilevel"/>
    <w:lvl w:ilvl="0">
      <w:lvlJc w:val="left"/>
      <w:lvlText w:val="(%1)"/>
      <w:numFmt w:val="decimal"/>
      <w:start w:val="6"/>
    </w:lvl>
    <w:lvl w:ilvl="1">
      <w:lvlJc w:val="left"/>
      <w:lvlText w:val="(%2)"/>
      <w:numFmt w:val="decimal"/>
      <w:start w:val="5"/>
    </w:lvl>
  </w:abstractNum>
  <w:abstractNum w:abstractNumId="143">
    <w:nsid w:val="3F7C2FF4"/>
    <w:multiLevelType w:val="hybridMultilevel"/>
    <w:lvl w:ilvl="0">
      <w:lvlJc w:val="left"/>
      <w:lvlText w:val="(%1)"/>
      <w:numFmt w:val="decimal"/>
      <w:start w:val="6"/>
    </w:lvl>
  </w:abstractNum>
  <w:abstractNum w:abstractNumId="144">
    <w:nsid w:val="25413BEC"/>
    <w:multiLevelType w:val="hybridMultilevel"/>
    <w:lvl w:ilvl="0">
      <w:lvlJc w:val="left"/>
      <w:lvlText w:val="(%1)"/>
      <w:numFmt w:val="decimal"/>
      <w:start w:val="6"/>
    </w:lvl>
  </w:abstractNum>
  <w:abstractNum w:abstractNumId="145">
    <w:nsid w:val="17180B0B"/>
    <w:multiLevelType w:val="hybridMultilevel"/>
    <w:lvl w:ilvl="0">
      <w:lvlJc w:val="left"/>
      <w:lvlText w:val="(%1)"/>
      <w:numFmt w:val="decimal"/>
      <w:start w:val="8"/>
    </w:lvl>
  </w:abstractNum>
  <w:abstractNum w:abstractNumId="146">
    <w:nsid w:val="579328B9"/>
    <w:multiLevelType w:val="hybridMultilevel"/>
    <w:lvl w:ilvl="0">
      <w:lvlJc w:val="left"/>
      <w:lvlText w:val="(%1)"/>
      <w:numFmt w:val="lowerLetter"/>
      <w:start w:val="16"/>
    </w:lvl>
  </w:abstractNum>
  <w:abstractNum w:abstractNumId="147">
    <w:nsid w:val="5D205E20"/>
    <w:multiLevelType w:val="hybridMultilevel"/>
    <w:lvl w:ilvl="0">
      <w:lvlJc w:val="left"/>
      <w:lvlText w:val="%1."/>
      <w:numFmt w:val="decimal"/>
      <w:start w:val="1"/>
    </w:lvl>
  </w:abstractNum>
  <w:abstractNum w:abstractNumId="148">
    <w:nsid w:val="11CCA8BA"/>
    <w:multiLevelType w:val="hybridMultilevel"/>
    <w:lvl w:ilvl="0">
      <w:lvlJc w:val="left"/>
      <w:lvlText w:val="%1."/>
      <w:numFmt w:val="decimal"/>
      <w:start w:val="2"/>
    </w:lvl>
  </w:abstractNum>
  <w:abstractNum w:abstractNumId="149">
    <w:nsid w:val="4D32AB86"/>
    <w:multiLevelType w:val="hybridMultilevel"/>
    <w:lvl w:ilvl="0">
      <w:lvlJc w:val="left"/>
      <w:lvlText w:val="%1."/>
      <w:numFmt w:val="decimal"/>
      <w:start w:val="3"/>
    </w:lvl>
  </w:abstractNum>
  <w:abstractNum w:abstractNumId="150">
    <w:nsid w:val="3F07ACC3"/>
    <w:multiLevelType w:val="hybridMultilevel"/>
    <w:lvl w:ilvl="0">
      <w:lvlJc w:val="left"/>
      <w:lvlText w:val="%1."/>
      <w:numFmt w:val="decimal"/>
      <w:start w:val="4"/>
    </w:lvl>
  </w:abstractNum>
  <w:abstractNum w:abstractNumId="151">
    <w:nsid w:val="6B47F63E"/>
    <w:multiLevelType w:val="hybridMultilevel"/>
    <w:lvl w:ilvl="0">
      <w:lvlJc w:val="left"/>
      <w:lvlText w:val="%1."/>
      <w:numFmt w:val="decimal"/>
      <w:start w:val="5"/>
    </w:lvl>
  </w:abstractNum>
  <w:abstractNum w:abstractNumId="152">
    <w:nsid w:val="5CB44A05"/>
    <w:multiLevelType w:val="hybridMultilevel"/>
    <w:lvl w:ilvl="0">
      <w:lvlJc w:val="left"/>
      <w:lvlText w:val="%1."/>
      <w:numFmt w:val="decimal"/>
      <w:start w:val="6"/>
    </w:lvl>
  </w:abstractNum>
  <w:abstractNum w:abstractNumId="153">
    <w:nsid w:val="16CF80F1"/>
    <w:multiLevelType w:val="hybridMultilevel"/>
    <w:lvl w:ilvl="0">
      <w:lvlJc w:val="left"/>
      <w:lvlText w:val="%1."/>
      <w:numFmt w:val="decimal"/>
      <w:start w:val="7"/>
    </w:lvl>
  </w:abstractNum>
  <w:abstractNum w:abstractNumId="154">
    <w:nsid w:val="1C695DEC"/>
    <w:multiLevelType w:val="hybridMultilevel"/>
    <w:lvl w:ilvl="0">
      <w:lvlJc w:val="left"/>
      <w:lvlText w:val="%1."/>
      <w:numFmt w:val="decimal"/>
      <w:start w:val="8"/>
    </w:lvl>
  </w:abstractNum>
  <w:abstractNum w:abstractNumId="155">
    <w:nsid w:val="3FCFAED9"/>
    <w:multiLevelType w:val="hybridMultilevel"/>
    <w:lvl w:ilvl="0">
      <w:lvlJc w:val="left"/>
      <w:lvlText w:val="%1."/>
      <w:numFmt w:val="decimal"/>
      <w:start w:val="9"/>
    </w:lvl>
  </w:abstractNum>
  <w:abstractNum w:abstractNumId="156">
    <w:nsid w:val="F856867"/>
    <w:multiLevelType w:val="hybridMultilevel"/>
    <w:lvl w:ilvl="0">
      <w:lvlJc w:val="left"/>
      <w:lvlText w:val="%1."/>
      <w:numFmt w:val="decimal"/>
      <w:start w:val="10"/>
    </w:lvl>
  </w:abstractNum>
  <w:abstractNum w:abstractNumId="157">
    <w:nsid w:val="11B1CC33"/>
    <w:multiLevelType w:val="hybridMultilevel"/>
    <w:lvl w:ilvl="0">
      <w:lvlJc w:val="left"/>
      <w:lvlText w:val="%1."/>
      <w:numFmt w:val="decimal"/>
      <w:start w:val="11"/>
    </w:lvl>
  </w:abstractNum>
  <w:abstractNum w:abstractNumId="158">
    <w:nsid w:val="2E22FBB7"/>
    <w:multiLevelType w:val="hybridMultilevel"/>
    <w:lvl w:ilvl="0">
      <w:lvlJc w:val="left"/>
      <w:lvlText w:val="%1."/>
      <w:numFmt w:val="decimal"/>
      <w:start w:val="12"/>
    </w:lvl>
  </w:abstractNum>
  <w:abstractNum w:abstractNumId="159">
    <w:nsid w:val="29934699"/>
    <w:multiLevelType w:val="hybridMultilevel"/>
    <w:lvl w:ilvl="0">
      <w:lvlJc w:val="left"/>
      <w:lvlText w:val="%1."/>
      <w:numFmt w:val="decimal"/>
      <w:start w:val="13"/>
    </w:lvl>
  </w:abstractNum>
  <w:abstractNum w:abstractNumId="160">
    <w:nsid w:val="77485850"/>
    <w:multiLevelType w:val="hybridMultilevel"/>
    <w:lvl w:ilvl="0">
      <w:lvlJc w:val="left"/>
      <w:lvlText w:val="%1."/>
      <w:numFmt w:val="decimal"/>
      <w:start w:val="14"/>
    </w:lvl>
  </w:abstractNum>
  <w:abstractNum w:abstractNumId="161">
    <w:nsid w:val="744939A3"/>
    <w:multiLevelType w:val="hybridMultilevel"/>
    <w:lvl w:ilvl="0">
      <w:lvlJc w:val="left"/>
      <w:lvlText w:val="%1."/>
      <w:numFmt w:val="decimal"/>
      <w:start w:val="15"/>
    </w:lvl>
  </w:abstractNum>
  <w:abstractNum w:abstractNumId="162">
    <w:nsid w:val="4FA0D2E3"/>
    <w:multiLevelType w:val="hybridMultilevel"/>
    <w:lvl w:ilvl="0">
      <w:lvlJc w:val="left"/>
      <w:lvlText w:val="%1."/>
      <w:numFmt w:val="decimal"/>
      <w:start w:val="16"/>
    </w:lvl>
  </w:abstractNum>
  <w:abstractNum w:abstractNumId="163">
    <w:nsid w:val="6B1D2C14"/>
    <w:multiLevelType w:val="hybridMultilevel"/>
    <w:lvl w:ilvl="0">
      <w:lvlJc w:val="left"/>
      <w:lvlText w:val="%1."/>
      <w:numFmt w:val="decimal"/>
      <w:start w:val="17"/>
    </w:lvl>
  </w:abstractNum>
  <w:abstractNum w:abstractNumId="164">
    <w:nsid w:val="68B867D3"/>
    <w:multiLevelType w:val="hybridMultilevel"/>
    <w:lvl w:ilvl="0">
      <w:lvlJc w:val="left"/>
      <w:lvlText w:val="%1."/>
      <w:numFmt w:val="decimal"/>
      <w:start w:val="18"/>
    </w:lvl>
  </w:abstractNum>
  <w:abstractNum w:abstractNumId="165">
    <w:nsid w:val="3F7F5DD9"/>
    <w:multiLevelType w:val="hybridMultilevel"/>
    <w:lvl w:ilvl="0">
      <w:lvlJc w:val="left"/>
      <w:lvlText w:val="*"/>
      <w:numFmt w:val="bullet"/>
      <w:start w:val="1"/>
    </w:lvl>
  </w:abstractNum>
  <w:abstractNum w:abstractNumId="166">
    <w:nsid w:val="2AE05A34"/>
    <w:multiLevelType w:val="hybridMultilevel"/>
    <w:lvl w:ilvl="0">
      <w:lvlJc w:val="left"/>
      <w:lvlText w:val="["/>
      <w:numFmt w:val="bullet"/>
      <w:start w:val="1"/>
    </w:lvl>
  </w:abstractNum>
  <w:abstractNum w:abstractNumId="167">
    <w:nsid w:val="32794FF7"/>
    <w:multiLevelType w:val="hybridMultilevel"/>
    <w:lvl w:ilvl="0">
      <w:lvlJc w:val="left"/>
      <w:lvlText w:val="(%1)"/>
      <w:numFmt w:val="lowerRoman"/>
      <w:start w:val="2"/>
    </w:lvl>
  </w:abstractNum>
  <w:abstractNum w:abstractNumId="168">
    <w:nsid w:val="5454945E"/>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2019-12-20T03:57:41Z</dcterms:created>
  <dcterms:modified xsi:type="dcterms:W3CDTF">2019-12-20T03:57:41Z</dcterms:modified>
</cp:coreProperties>
</file>