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(Initial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(Title of Class and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317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20,913,318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7"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1"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36,397,689 shares (shared)</w:t>
      </w:r>
    </w:p>
    <w:p>
      <w:pPr>
        <w:ind w:left="4640"/>
        <w:spacing w:after="0" w:line="238" w:lineRule="auto"/>
        <w:rPr>
          <w:sz w:val="20"/>
          <w:szCs w:val="20"/>
          <w:color w:val="auto"/>
        </w:rPr>
      </w:pPr>
      <w:r>
        <w:rPr>
          <w:rFonts w:ascii="Courier New" w:cs="Courier New" w:eastAsia="Courier New" w:hAnsi="Courier New"/>
          <w:sz w:val="18"/>
          <w:szCs w:val="18"/>
          <w:color w:val="auto"/>
        </w:rPr>
        <w:t>4,083,000 shares (No Vote)</w:t>
      </w:r>
    </w:p>
    <w:p>
      <w:pPr>
        <w:sectPr>
          <w:pgSz w:w="11900" w:h="16848" w:orient="portrait"/>
          <w:cols w:equalWidth="0" w:num="1">
            <w:col w:w="10139"/>
          </w:cols>
          <w:pgMar w:left="320" w:top="244" w:right="1440" w:bottom="0" w:gutter="0" w:footer="0" w:header="0"/>
        </w:sectPr>
      </w:pPr>
    </w:p>
    <w:bookmarkStart w:id="1" w:name="page2"/>
    <w:bookmarkEnd w:id="1"/>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540" w:hanging="847"/>
        <w:spacing w:after="0" w:line="238" w:lineRule="auto"/>
        <w:tabs>
          <w:tab w:leader="none" w:pos="4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24,935,518 shares</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320" w:hanging="627"/>
        <w:spacing w:after="0"/>
        <w:tabs>
          <w:tab w:leader="none" w:pos="4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36,397,689 shares (Shared)</w:t>
      </w:r>
    </w:p>
    <w:p>
      <w:pPr>
        <w:ind w:left="4640"/>
        <w:spacing w:after="0" w:line="238" w:lineRule="auto"/>
        <w:rPr>
          <w:sz w:val="20"/>
          <w:szCs w:val="20"/>
          <w:color w:val="auto"/>
        </w:rPr>
      </w:pPr>
      <w:r>
        <w:rPr>
          <w:rFonts w:ascii="Courier New" w:cs="Courier New" w:eastAsia="Courier New" w:hAnsi="Courier New"/>
          <w:sz w:val="18"/>
          <w:szCs w:val="18"/>
          <w:color w:val="auto"/>
        </w:rPr>
        <w:t>60,800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27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61,394,007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55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44107P104</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Fund</w:t>
      </w:r>
      <w:r>
        <w:rPr>
          <w:sz w:val="20"/>
          <w:szCs w:val="20"/>
          <w:color w:val="auto"/>
        </w:rPr>
        <w:tab/>
      </w:r>
      <w:r>
        <w:rPr>
          <w:rFonts w:ascii="Courier New" w:cs="Courier New" w:eastAsia="Courier New" w:hAnsi="Courier New"/>
          <w:sz w:val="16"/>
          <w:szCs w:val="16"/>
          <w:color w:val="auto"/>
        </w:rPr>
        <w:t>I.D. No. 63-6147721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860"/>
        <w:spacing w:after="0" w:line="238" w:lineRule="auto"/>
        <w:rPr>
          <w:sz w:val="20"/>
          <w:szCs w:val="20"/>
          <w:color w:val="auto"/>
        </w:rPr>
      </w:pPr>
      <w:r>
        <w:rPr>
          <w:rFonts w:ascii="Courier New" w:cs="Courier New" w:eastAsia="Courier New" w:hAnsi="Courier New"/>
          <w:sz w:val="18"/>
          <w:szCs w:val="18"/>
          <w:color w:val="auto"/>
        </w:rPr>
        <w:t>Massachusetts Business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7"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34,557,689 shares (shared)</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None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tab/>
        <w:t>SHARED DISPOSITIVE POWER</w:t>
      </w:r>
    </w:p>
    <w:p>
      <w:pPr>
        <w:sectPr>
          <w:pgSz w:w="11900" w:h="16838" w:orient="portrait"/>
          <w:cols w:equalWidth="0" w:num="1">
            <w:col w:w="10139"/>
          </w:cols>
          <w:pgMar w:left="320" w:top="142" w:right="1440" w:bottom="0" w:gutter="0" w:footer="0" w:header="0"/>
        </w:sect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34,557,689 shares (Shared)</w:t>
      </w:r>
    </w:p>
    <w:p>
      <w:pPr>
        <w:spacing w:after="0" w:line="200" w:lineRule="exact"/>
        <w:rPr>
          <w:sz w:val="20"/>
          <w:szCs w:val="20"/>
          <w:color w:val="auto"/>
        </w:rPr>
      </w:pPr>
    </w:p>
    <w:p>
      <w:pPr>
        <w:sectPr>
          <w:pgSz w:w="11900" w:h="16838" w:orient="portrait"/>
          <w:cols w:equalWidth="0" w:num="2">
            <w:col w:w="3800" w:space="420"/>
            <w:col w:w="5919"/>
          </w:cols>
          <w:pgMar w:left="32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34,557,689 shares</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spacing w:after="0" w:line="5" w:lineRule="exact"/>
        <w:rPr>
          <w:sz w:val="20"/>
          <w:szCs w:val="20"/>
          <w:color w:val="auto"/>
        </w:rPr>
      </w:pPr>
    </w:p>
    <w:p>
      <w:pPr>
        <w:ind w:left="640" w:right="411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ind w:left="640" w:hanging="632"/>
        <w:spacing w:after="0" w:line="238"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5.6 %</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spacing w:after="0" w:line="3" w:lineRule="exact"/>
        <w:rPr>
          <w:sz w:val="20"/>
          <w:szCs w:val="20"/>
          <w:color w:val="auto"/>
        </w:rPr>
      </w:pPr>
    </w:p>
    <w:p>
      <w:pPr>
        <w:ind w:left="640" w:right="697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44107P104</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ind w:left="540" w:hanging="532"/>
        <w:spacing w:after="0" w:line="238"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6720" w:val="left"/>
        </w:tabs>
        <w:rPr>
          <w:sz w:val="20"/>
          <w:szCs w:val="20"/>
          <w:color w:val="auto"/>
        </w:rPr>
      </w:pPr>
      <w:r>
        <w:rPr>
          <w:rFonts w:ascii="Courier New" w:cs="Courier New" w:eastAsia="Courier New" w:hAnsi="Courier New"/>
          <w:sz w:val="18"/>
          <w:szCs w:val="18"/>
          <w:color w:val="auto"/>
        </w:rPr>
        <w:t>Longleaf Partners Realty Fund</w:t>
      </w:r>
      <w:r>
        <w:rPr>
          <w:sz w:val="20"/>
          <w:szCs w:val="20"/>
          <w:color w:val="auto"/>
        </w:rPr>
        <w:tab/>
      </w:r>
      <w:r>
        <w:rPr>
          <w:rFonts w:ascii="Courier New" w:cs="Courier New" w:eastAsia="Courier New" w:hAnsi="Courier New"/>
          <w:sz w:val="16"/>
          <w:szCs w:val="16"/>
          <w:color w:val="auto"/>
        </w:rPr>
        <w:t>I.D. No. 62-1616883</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6"/>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sectPr>
          <w:pgSz w:w="11900" w:h="16838" w:orient="portrait"/>
          <w:cols w:equalWidth="0" w:num="1">
            <w:col w:w="10139"/>
          </w:cols>
          <w:pgMar w:left="320" w:top="142" w:right="1440" w:bottom="0" w:gutter="0" w:footer="0" w:header="0"/>
          <w:type w:val="continuous"/>
        </w:sectPr>
      </w:pPr>
    </w:p>
    <w:bookmarkStart w:id="2" w:name="page3"/>
    <w:bookmarkEnd w:id="2"/>
    <w:p>
      <w:pPr>
        <w:ind w:left="860" w:right="5819" w:hanging="852"/>
        <w:spacing w:after="0" w:line="268" w:lineRule="auto"/>
        <w:tabs>
          <w:tab w:leader="none" w:pos="54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Massachusetts Business Trust</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4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7"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1,840,000 shares (shared)</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None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tab/>
        <w:t>SHARED DISPOSITIVE POWER</w:t>
      </w:r>
    </w:p>
    <w:p>
      <w:pPr>
        <w:sectPr>
          <w:pgSz w:w="11900" w:h="16838" w:orient="portrait"/>
          <w:cols w:equalWidth="0" w:num="1">
            <w:col w:w="10139"/>
          </w:cols>
          <w:pgMar w:left="320" w:top="142" w:right="1440" w:bottom="0" w:gutter="0" w:footer="0" w:header="0"/>
        </w:sect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1,840,000 shares (Shared)</w:t>
      </w:r>
    </w:p>
    <w:p>
      <w:pPr>
        <w:spacing w:after="0" w:line="200" w:lineRule="exact"/>
        <w:rPr>
          <w:sz w:val="20"/>
          <w:szCs w:val="20"/>
          <w:color w:val="auto"/>
        </w:rPr>
      </w:pPr>
    </w:p>
    <w:p>
      <w:pPr>
        <w:sectPr>
          <w:pgSz w:w="11900" w:h="16838" w:orient="portrait"/>
          <w:cols w:equalWidth="0" w:num="2">
            <w:col w:w="3800" w:space="420"/>
            <w:col w:w="5919"/>
          </w:cols>
          <w:pgMar w:left="32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1,840,000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559" w:hanging="732"/>
        <w:spacing w:after="0" w:line="235" w:lineRule="auto"/>
        <w:tabs>
          <w:tab w:leader="none" w:pos="63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0.3 %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23"/>
        </w:numPr>
        <w:rPr>
          <w:rFonts w:ascii="Courier New" w:cs="Courier New" w:eastAsia="Courier New" w:hAnsi="Courier New"/>
          <w:sz w:val="18"/>
          <w:szCs w:val="18"/>
          <w:color w:val="auto"/>
        </w:rPr>
      </w:pPr>
    </w:p>
    <w:p>
      <w:pPr>
        <w:ind w:left="5280" w:hanging="428"/>
        <w:spacing w:after="0" w:line="238" w:lineRule="auto"/>
        <w:tabs>
          <w:tab w:leader="none" w:pos="52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19" w:hanging="532"/>
        <w:spacing w:after="0" w:line="268"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(Discretionary</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None</w:t>
            </w:r>
          </w:p>
        </w:tc>
        <w:tc>
          <w:tcPr>
            <w:tcW w:w="248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:(6)</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 VOTING</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bl>
    <w:p>
      <w:pPr>
        <w:spacing w:after="0" w:line="201" w:lineRule="exact"/>
        <w:rPr>
          <w:sz w:val="20"/>
          <w:szCs w:val="20"/>
          <w:color w:val="auto"/>
        </w:rPr>
      </w:pPr>
    </w:p>
    <w:p>
      <w:pPr>
        <w:ind w:left="4220" w:hanging="527"/>
        <w:spacing w:after="0"/>
        <w:tabs>
          <w:tab w:leader="none" w:pos="4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7"/>
        <w:spacing w:after="0"/>
        <w:tabs>
          <w:tab w:leader="none" w:pos="42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tab/>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559" w:hanging="632"/>
        <w:spacing w:after="0" w:line="235"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697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139"/>
          </w:cols>
          <w:pgMar w:left="32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Waste Management, Inc.</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1001 Fannin, Suite 4000</w:t>
      </w:r>
    </w:p>
    <w:p>
      <w:pPr>
        <w:ind w:left="1280"/>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079" w:hanging="426"/>
        <w:spacing w:after="0" w:line="235" w:lineRule="auto"/>
        <w:tabs>
          <w:tab w:leader="none" w:pos="9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759" w:hanging="1692"/>
        <w:spacing w:after="0" w:line="236" w:lineRule="auto"/>
        <w:tabs>
          <w:tab w:leader="none" w:pos="17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Fund</w:t>
      </w:r>
    </w:p>
    <w:p>
      <w:pPr>
        <w:spacing w:after="0" w:line="238" w:lineRule="auto"/>
        <w:rPr>
          <w:sz w:val="20"/>
          <w:szCs w:val="20"/>
          <w:color w:val="auto"/>
        </w:rPr>
      </w:pPr>
      <w:r>
        <w:rPr>
          <w:rFonts w:ascii="Courier New" w:cs="Courier New" w:eastAsia="Courier New" w:hAnsi="Courier New"/>
          <w:sz w:val="18"/>
          <w:szCs w:val="18"/>
          <w:color w:val="auto"/>
        </w:rPr>
        <w:t>Longleaf Partners Realty Fund</w:t>
      </w:r>
    </w:p>
    <w:p>
      <w:pPr>
        <w:spacing w:after="0" w:line="238" w:lineRule="auto"/>
        <w:rPr>
          <w:sz w:val="20"/>
          <w:szCs w:val="20"/>
          <w:color w:val="auto"/>
        </w:rPr>
      </w:pPr>
      <w:r>
        <w:rPr>
          <w:rFonts w:ascii="Courier New" w:cs="Courier New" w:eastAsia="Courier New" w:hAnsi="Courier New"/>
          <w:sz w:val="18"/>
          <w:szCs w:val="18"/>
          <w:color w:val="auto"/>
        </w:rPr>
        <w:t>6410 Poplar Avenue, Suite 900</w:t>
      </w:r>
    </w:p>
    <w:p>
      <w:pPr>
        <w:spacing w:after="0"/>
        <w:rPr>
          <w:sz w:val="20"/>
          <w:szCs w:val="20"/>
          <w:color w:val="auto"/>
        </w:rPr>
      </w:pPr>
      <w:r>
        <w:rPr>
          <w:rFonts w:ascii="Courier New" w:cs="Courier New" w:eastAsia="Courier New" w:hAnsi="Courier New"/>
          <w:sz w:val="18"/>
          <w:szCs w:val="18"/>
          <w:color w:val="auto"/>
        </w:rPr>
        <w:t>Memphis, TN, 38119</w:t>
      </w:r>
    </w:p>
    <w:p>
      <w:pPr>
        <w:spacing w:after="0" w:line="200" w:lineRule="exact"/>
        <w:rPr>
          <w:sz w:val="20"/>
          <w:szCs w:val="20"/>
          <w:color w:val="auto"/>
        </w:rPr>
      </w:pPr>
    </w:p>
    <w:p>
      <w:pPr>
        <w:ind w:left="1700" w:hanging="1692"/>
        <w:spacing w:after="0"/>
        <w:tabs>
          <w:tab w:leader="none" w:pos="17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7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right="3819"/>
        <w:spacing w:after="0" w:line="236" w:lineRule="auto"/>
        <w:rPr>
          <w:sz w:val="20"/>
          <w:szCs w:val="20"/>
          <w:color w:val="auto"/>
        </w:rPr>
      </w:pPr>
      <w:r>
        <w:rPr>
          <w:rFonts w:ascii="Courier New" w:cs="Courier New" w:eastAsia="Courier New" w:hAnsi="Courier New"/>
          <w:sz w:val="18"/>
          <w:szCs w:val="18"/>
          <w:color w:val="auto"/>
        </w:rPr>
        <w:t>Longleaf Partners Fund and Longleaf Partners Realty Fund are series of Longleaf Partners Funds Trust, a Massachusetts business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401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94106L109</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Fund and Longleaf Partners Realty Fund, series of Longleaf Partners Funds Trust.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spacing w:after="0"/>
        <w:tabs>
          <w:tab w:leader="none" w:pos="356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spacing w:after="0" w:line="238" w:lineRule="auto"/>
        <w:rPr>
          <w:sz w:val="20"/>
          <w:szCs w:val="20"/>
          <w:color w:val="auto"/>
        </w:rPr>
      </w:pPr>
      <w:r>
        <w:rPr>
          <w:rFonts w:ascii="Courier New" w:cs="Courier New" w:eastAsia="Courier New" w:hAnsi="Courier New"/>
          <w:sz w:val="18"/>
          <w:szCs w:val="18"/>
          <w:color w:val="auto"/>
        </w:rPr>
        <w:t>by Southeastern Asset Management, Inc. as a registered investment</w:t>
      </w:r>
    </w:p>
    <w:p>
      <w:pPr>
        <w:spacing w:after="0"/>
        <w:rPr>
          <w:sz w:val="20"/>
          <w:szCs w:val="20"/>
          <w:color w:val="auto"/>
        </w:rPr>
      </w:pPr>
      <w:r>
        <w:rPr>
          <w:rFonts w:ascii="Courier New" w:cs="Courier New" w:eastAsia="Courier New" w:hAnsi="Courier New"/>
          <w:sz w:val="18"/>
          <w:szCs w:val="18"/>
          <w:color w:val="auto"/>
        </w:rPr>
        <w:t>adviser. All of the securities covered by this report are owned</w:t>
      </w:r>
    </w:p>
    <w:p>
      <w:pPr>
        <w:spacing w:after="0" w:line="237"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spacing w:after="0"/>
        <w:tabs>
          <w:tab w:leader="none" w:pos="536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spacing w:after="0"/>
        <w:rPr>
          <w:sz w:val="20"/>
          <w:szCs w:val="20"/>
          <w:color w:val="auto"/>
        </w:rPr>
      </w:pPr>
      <w:r>
        <w:rPr>
          <w:rFonts w:ascii="Courier New" w:cs="Courier New" w:eastAsia="Courier New" w:hAnsi="Courier New"/>
          <w:sz w:val="18"/>
          <w:szCs w:val="18"/>
          <w:color w:val="auto"/>
        </w:rPr>
        <w:t>by Rule 13d-4, the filing of this statement shall not be construed</w:t>
      </w:r>
    </w:p>
    <w:p>
      <w:pPr>
        <w:spacing w:after="0" w:line="237" w:lineRule="auto"/>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(g.) 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139"/>
          </w:cols>
          <w:pgMar w:left="320" w:top="744" w:right="1440" w:bottom="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(a). Amount Beneficially Owned: (At 12/31/99)</w:t>
      </w:r>
    </w:p>
    <w:p>
      <w:pPr>
        <w:ind w:left="1280"/>
        <w:spacing w:after="0" w:line="238" w:lineRule="auto"/>
        <w:rPr>
          <w:sz w:val="20"/>
          <w:szCs w:val="20"/>
          <w:color w:val="auto"/>
        </w:rPr>
      </w:pPr>
      <w:r>
        <w:rPr>
          <w:rFonts w:ascii="Courier New" w:cs="Courier New" w:eastAsia="Courier New" w:hAnsi="Courier New"/>
          <w:sz w:val="18"/>
          <w:szCs w:val="18"/>
          <w:color w:val="auto"/>
        </w:rPr>
        <w:t>61,394,007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9.9 %</w:t>
      </w:r>
    </w:p>
    <w:p>
      <w:pPr>
        <w:spacing w:after="0" w:line="207" w:lineRule="exact"/>
        <w:rPr>
          <w:sz w:val="20"/>
          <w:szCs w:val="20"/>
          <w:color w:val="auto"/>
        </w:rPr>
      </w:pPr>
    </w:p>
    <w:p>
      <w:pPr>
        <w:ind w:left="1060" w:right="3079"/>
        <w:spacing w:after="0" w:line="235" w:lineRule="auto"/>
        <w:rPr>
          <w:sz w:val="20"/>
          <w:szCs w:val="20"/>
          <w:color w:val="auto"/>
        </w:rPr>
      </w:pPr>
      <w:r>
        <w:rPr>
          <w:rFonts w:ascii="Courier New" w:cs="Courier New" w:eastAsia="Courier New" w:hAnsi="Courier New"/>
          <w:sz w:val="18"/>
          <w:szCs w:val="18"/>
          <w:color w:val="auto"/>
        </w:rPr>
        <w:t>Above percentage is based on 619,629,770 shares of Common Stock outstanding.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20,913,318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- 36,397,689 shares.</w:t>
      </w:r>
    </w:p>
    <w:p>
      <w:pPr>
        <w:spacing w:after="0" w:line="4" w:lineRule="exact"/>
        <w:rPr>
          <w:sz w:val="20"/>
          <w:szCs w:val="20"/>
          <w:color w:val="auto"/>
        </w:rPr>
      </w:pPr>
    </w:p>
    <w:p>
      <w:pPr>
        <w:ind w:left="1800" w:right="285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- 34,557,689</w:t>
      </w:r>
    </w:p>
    <w:p>
      <w:pPr>
        <w:ind w:left="2120"/>
        <w:spacing w:after="0" w:line="238" w:lineRule="auto"/>
        <w:rPr>
          <w:sz w:val="20"/>
          <w:szCs w:val="20"/>
          <w:color w:val="auto"/>
        </w:rPr>
      </w:pPr>
      <w:r>
        <w:rPr>
          <w:rFonts w:ascii="Courier New" w:cs="Courier New" w:eastAsia="Courier New" w:hAnsi="Courier New"/>
          <w:sz w:val="18"/>
          <w:szCs w:val="18"/>
          <w:color w:val="auto"/>
        </w:rPr>
        <w:t>Longleaf Partners Realty Fund - 1,840,000</w:t>
      </w:r>
    </w:p>
    <w:p>
      <w:pPr>
        <w:spacing w:after="0" w:line="207" w:lineRule="exact"/>
        <w:rPr>
          <w:sz w:val="20"/>
          <w:szCs w:val="20"/>
          <w:color w:val="auto"/>
        </w:rPr>
      </w:pPr>
    </w:p>
    <w:p>
      <w:pPr>
        <w:ind w:right="3819"/>
        <w:spacing w:after="0" w:line="237" w:lineRule="auto"/>
        <w:rPr>
          <w:sz w:val="20"/>
          <w:szCs w:val="20"/>
          <w:color w:val="auto"/>
        </w:rPr>
      </w:pPr>
      <w:r>
        <w:rPr>
          <w:rFonts w:ascii="Courier New" w:cs="Courier New" w:eastAsia="Courier New" w:hAnsi="Courier New"/>
          <w:sz w:val="18"/>
          <w:szCs w:val="18"/>
          <w:color w:val="auto"/>
        </w:rPr>
        <w:t>No Power to Vote - 4,083,000. This figure does not include 755,000 shares held by completely non-discretionary accounts over which the filing parties have neither voting nor dispositive power and for which the filing parties disclaim beneficial ownership.</w:t>
      </w:r>
    </w:p>
    <w:p>
      <w:pPr>
        <w:spacing w:after="0" w:line="200" w:lineRule="exact"/>
        <w:rPr>
          <w:sz w:val="20"/>
          <w:szCs w:val="20"/>
          <w:color w:val="auto"/>
        </w:rPr>
      </w:pPr>
    </w:p>
    <w:p>
      <w:pPr>
        <w:spacing w:after="0" w:line="211" w:lineRule="exact"/>
        <w:rPr>
          <w:sz w:val="20"/>
          <w:szCs w:val="20"/>
          <w:color w:val="auto"/>
        </w:rPr>
      </w:pPr>
    </w:p>
    <w:p>
      <w:pPr>
        <w:ind w:left="1800" w:right="307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24,935,518 shares</w:t>
      </w:r>
    </w:p>
    <w:p>
      <w:pPr>
        <w:spacing w:after="0" w:line="207" w:lineRule="exact"/>
        <w:rPr>
          <w:sz w:val="20"/>
          <w:szCs w:val="20"/>
          <w:color w:val="auto"/>
        </w:rPr>
      </w:pPr>
    </w:p>
    <w:p>
      <w:pPr>
        <w:ind w:left="1800" w:right="349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- 36,397,689 shares</w:t>
      </w:r>
    </w:p>
    <w:p>
      <w:pPr>
        <w:spacing w:after="0" w:line="4" w:lineRule="exact"/>
        <w:rPr>
          <w:sz w:val="20"/>
          <w:szCs w:val="20"/>
          <w:color w:val="auto"/>
        </w:rPr>
      </w:pPr>
    </w:p>
    <w:p>
      <w:pPr>
        <w:ind w:left="1800" w:right="285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- 34,557,689</w:t>
      </w:r>
    </w:p>
    <w:p>
      <w:pPr>
        <w:ind w:left="2120"/>
        <w:spacing w:after="0" w:line="238" w:lineRule="auto"/>
        <w:rPr>
          <w:sz w:val="20"/>
          <w:szCs w:val="20"/>
          <w:color w:val="auto"/>
        </w:rPr>
      </w:pPr>
      <w:r>
        <w:rPr>
          <w:rFonts w:ascii="Courier New" w:cs="Courier New" w:eastAsia="Courier New" w:hAnsi="Courier New"/>
          <w:sz w:val="18"/>
          <w:szCs w:val="18"/>
          <w:color w:val="auto"/>
        </w:rPr>
        <w:t>Longleaf Partners Realty Fund - 1,840,000</w:t>
      </w:r>
    </w:p>
    <w:p>
      <w:pPr>
        <w:spacing w:after="0" w:line="207" w:lineRule="exact"/>
        <w:rPr>
          <w:sz w:val="20"/>
          <w:szCs w:val="20"/>
          <w:color w:val="auto"/>
        </w:rPr>
      </w:pPr>
    </w:p>
    <w:p>
      <w:pPr>
        <w:ind w:right="3499"/>
        <w:spacing w:after="0" w:line="275" w:lineRule="auto"/>
        <w:rPr>
          <w:sz w:val="20"/>
          <w:szCs w:val="20"/>
          <w:color w:val="auto"/>
        </w:rPr>
      </w:pPr>
      <w:r>
        <w:rPr>
          <w:rFonts w:ascii="Courier New" w:cs="Courier New" w:eastAsia="Courier New" w:hAnsi="Courier New"/>
          <w:sz w:val="16"/>
          <w:szCs w:val="16"/>
          <w:color w:val="auto"/>
        </w:rPr>
        <w:t>No Power - 60,800 shares. This figure does not include 755,000 shares held by completely non-discretionary accounts over which the filing parties have neither voting nor dispositive power and for which the filing parties disclaim beneficial ownership.</w:t>
      </w:r>
    </w:p>
    <w:p>
      <w:pPr>
        <w:spacing w:after="0" w:line="379"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399" w:hanging="841"/>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279" w:hanging="841"/>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w:t>
      </w:r>
    </w:p>
    <w:p>
      <w:pPr>
        <w:sectPr>
          <w:pgSz w:w="11900" w:h="16838" w:orient="portrait"/>
          <w:cols w:equalWidth="0" w:num="1">
            <w:col w:w="10139"/>
          </w:cols>
          <w:pgMar w:left="320" w:top="136" w:right="1440" w:bottom="0" w:gutter="0" w:footer="0" w:header="0"/>
        </w:sectPr>
      </w:pPr>
    </w:p>
    <w:bookmarkStart w:id="5" w:name="page6"/>
    <w:bookmarkEnd w:id="5"/>
    <w:p>
      <w:pPr>
        <w:ind w:right="3179"/>
        <w:spacing w:after="0" w:line="237" w:lineRule="auto"/>
        <w:rPr>
          <w:sz w:val="20"/>
          <w:szCs w:val="20"/>
          <w:color w:val="auto"/>
        </w:rPr>
      </w:pPr>
      <w:r>
        <w:rPr>
          <w:rFonts w:ascii="Courier New" w:cs="Courier New" w:eastAsia="Courier New" w:hAnsi="Courier New"/>
          <w:sz w:val="18"/>
          <w:szCs w:val="18"/>
          <w:color w:val="auto"/>
        </w:rPr>
        <w:t>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59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9, 2000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Charles D. Reaves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jc w:val="center"/>
        <w:ind w:right="239"/>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Longleaf Partners Fund</w:t>
      </w:r>
    </w:p>
    <w:p>
      <w:pPr>
        <w:ind w:left="4220"/>
        <w:spacing w:after="0" w:line="238" w:lineRule="auto"/>
        <w:rPr>
          <w:sz w:val="20"/>
          <w:szCs w:val="20"/>
          <w:color w:val="auto"/>
        </w:rPr>
      </w:pPr>
      <w:r>
        <w:rPr>
          <w:rFonts w:ascii="Courier New" w:cs="Courier New" w:eastAsia="Courier New" w:hAnsi="Courier New"/>
          <w:sz w:val="18"/>
          <w:szCs w:val="18"/>
          <w:color w:val="auto"/>
        </w:rPr>
        <w:t>Longleaf Partners Realty Fund</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Charles D. Reaves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the 9th day of February, 2000.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Charles D. Reaves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jc w:val="center"/>
        <w:ind w:right="239"/>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Longleaf Partners Fund</w:t>
      </w:r>
    </w:p>
    <w:p>
      <w:pPr>
        <w:ind w:left="4220"/>
        <w:spacing w:after="0" w:line="238" w:lineRule="auto"/>
        <w:rPr>
          <w:sz w:val="20"/>
          <w:szCs w:val="20"/>
          <w:color w:val="auto"/>
        </w:rPr>
      </w:pPr>
      <w:r>
        <w:rPr>
          <w:rFonts w:ascii="Courier New" w:cs="Courier New" w:eastAsia="Courier New" w:hAnsi="Courier New"/>
          <w:sz w:val="18"/>
          <w:szCs w:val="18"/>
          <w:color w:val="auto"/>
        </w:rPr>
        <w:t>Longleaf Partners Realty Fund</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Charles D. Reaves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D. Reaves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WMI13G.doc</w:t>
      </w:r>
    </w:p>
    <w:p>
      <w:pPr>
        <w:spacing w:after="0" w:line="238" w:lineRule="auto"/>
        <w:rPr>
          <w:sz w:val="20"/>
          <w:szCs w:val="20"/>
          <w:color w:val="auto"/>
        </w:rPr>
      </w:pPr>
      <w:r>
        <w:rPr>
          <w:rFonts w:ascii="Courier New" w:cs="Courier New" w:eastAsia="Courier New" w:hAnsi="Courier New"/>
          <w:sz w:val="18"/>
          <w:szCs w:val="18"/>
          <w:color w:val="auto"/>
        </w:rPr>
        <w:t>SCHEDULE 13G - Waste Management, Inc. ("Issuer")</w:t>
      </w:r>
    </w:p>
    <w:p>
      <w:pPr>
        <w:spacing w:after="0"/>
        <w:rPr>
          <w:sz w:val="20"/>
          <w:szCs w:val="20"/>
          <w:color w:val="auto"/>
        </w:rPr>
      </w:pPr>
      <w:r>
        <w:rPr>
          <w:rFonts w:ascii="Courier New" w:cs="Courier New" w:eastAsia="Courier New" w:hAnsi="Courier New"/>
          <w:sz w:val="18"/>
          <w:szCs w:val="18"/>
          <w:color w:val="auto"/>
        </w:rPr>
        <w:t>Initial Filing</w:t>
      </w:r>
    </w:p>
    <w:p>
      <w:pPr>
        <w:spacing w:after="0" w:line="237" w:lineRule="auto"/>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WMI13G.doc</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2"/>
    </w:lvl>
    <w:lvl w:ilvl="1">
      <w:lvlJc w:val="left"/>
      <w:lvlText w:val="(%2)"/>
      <w:numFmt w:val="lowerLetter"/>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9"/>
    </w:lvl>
  </w:abstractNum>
  <w:abstractNum w:abstractNumId="5">
    <w:nsid w:val="431BD7B7"/>
    <w:multiLevelType w:val="hybridMultilevel"/>
    <w:lvl w:ilvl="0">
      <w:lvlJc w:val="left"/>
      <w:lvlText w:val="(%1)"/>
      <w:numFmt w:val="decimal"/>
      <w:start w:val="10"/>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1)"/>
      <w:numFmt w:val="decimal"/>
      <w:start w:val="12"/>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2"/>
    </w:lvl>
    <w:lvl w:ilvl="1">
      <w:lvlJc w:val="left"/>
      <w:lvlText w:val="(%2)"/>
      <w:numFmt w:val="lowerLetter"/>
      <w:start w:val="1"/>
    </w:lvl>
  </w:abstractNum>
  <w:abstractNum w:abstractNumId="10">
    <w:nsid w:val="436C6125"/>
    <w:multiLevelType w:val="hybridMultilevel"/>
    <w:lvl w:ilvl="0">
      <w:lvlJc w:val="left"/>
      <w:lvlText w:val="(%1)"/>
      <w:numFmt w:val="decimal"/>
      <w:start w:val="9"/>
    </w:lvl>
  </w:abstractNum>
  <w:abstractNum w:abstractNumId="11">
    <w:nsid w:val="628C895D"/>
    <w:multiLevelType w:val="hybridMultilevel"/>
    <w:lvl w:ilvl="0">
      <w:lvlJc w:val="left"/>
      <w:lvlText w:val="(%1)"/>
      <w:numFmt w:val="decimal"/>
      <w:start w:val="10"/>
    </w:lvl>
  </w:abstractNum>
  <w:abstractNum w:abstractNumId="12">
    <w:nsid w:val="333AB105"/>
    <w:multiLevelType w:val="hybridMultilevel"/>
    <w:lvl w:ilvl="0">
      <w:lvlJc w:val="left"/>
      <w:lvlText w:val="(%1)"/>
      <w:numFmt w:val="decimal"/>
      <w:start w:val="11"/>
    </w:lvl>
  </w:abstractNum>
  <w:abstractNum w:abstractNumId="13">
    <w:nsid w:val="721DA317"/>
    <w:multiLevelType w:val="hybridMultilevel"/>
    <w:lvl w:ilvl="0">
      <w:lvlJc w:val="left"/>
      <w:lvlText w:val="(%1)"/>
      <w:numFmt w:val="decimal"/>
      <w:start w:val="12"/>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lvl w:ilvl="1">
      <w:lvlJc w:val="left"/>
      <w:lvlText w:val="(%2)"/>
      <w:numFmt w:val="lowerLetter"/>
      <w:start w:val="1"/>
    </w:lvl>
  </w:abstractNum>
  <w:abstractNum w:abstractNumId="16">
    <w:nsid w:val="6763845E"/>
    <w:multiLevelType w:val="hybridMultilevel"/>
    <w:lvl w:ilvl="0">
      <w:lvlJc w:val="left"/>
      <w:lvlText w:val="(%1)"/>
      <w:numFmt w:val="decimal"/>
      <w:start w:val="4"/>
    </w:lvl>
  </w:abstractNum>
  <w:abstractNum w:abstractNumId="17">
    <w:nsid w:val="75A2A8D4"/>
    <w:multiLevelType w:val="hybridMultilevel"/>
    <w:lvl w:ilvl="0">
      <w:lvlJc w:val="left"/>
      <w:lvlText w:val="(%1)"/>
      <w:numFmt w:val="decimal"/>
      <w:start w:val="9"/>
    </w:lvl>
  </w:abstractNum>
  <w:abstractNum w:abstractNumId="18">
    <w:nsid w:val="8EDBDAB"/>
    <w:multiLevelType w:val="hybridMultilevel"/>
    <w:lvl w:ilvl="0">
      <w:lvlJc w:val="left"/>
      <w:lvlText w:val="(%1)"/>
      <w:numFmt w:val="decimal"/>
      <w:start w:val="10"/>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2"/>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2"/>
    </w:lvl>
    <w:lvl w:ilvl="1">
      <w:lvlJc w:val="left"/>
      <w:lvlText w:val="(%2)"/>
      <w:numFmt w:val="lowerLetter"/>
      <w:start w:val="1"/>
    </w:lvl>
  </w:abstractNum>
  <w:abstractNum w:abstractNumId="23">
    <w:nsid w:val="54E49EB4"/>
    <w:multiLevelType w:val="hybridMultilevel"/>
    <w:lvl w:ilvl="0">
      <w:lvlJc w:val="left"/>
      <w:lvlText w:val="(%1)"/>
      <w:numFmt w:val="decimal"/>
      <w:start w:val="8"/>
    </w:lvl>
    <w:lvl w:ilvl="1">
      <w:lvlJc w:val="left"/>
      <w:lvlText w:val=":"/>
      <w:numFmt w:val="bullet"/>
      <w:start w:val="1"/>
    </w:lvl>
  </w:abstractNum>
  <w:abstractNum w:abstractNumId="24">
    <w:nsid w:val="71F32454"/>
    <w:multiLevelType w:val="hybridMultilevel"/>
    <w:lvl w:ilvl="0">
      <w:lvlJc w:val="left"/>
      <w:lvlText w:val="(%1)"/>
      <w:numFmt w:val="decimal"/>
      <w:start w:val="10"/>
    </w:lvl>
  </w:abstractNum>
  <w:abstractNum w:abstractNumId="25">
    <w:nsid w:val="2CA88611"/>
    <w:multiLevelType w:val="hybridMultilevel"/>
    <w:lvl w:ilvl="0">
      <w:lvlJc w:val="left"/>
      <w:lvlText w:val="(%1)"/>
      <w:numFmt w:val="decimal"/>
      <w:start w:val="11"/>
    </w:lvl>
  </w:abstractNum>
  <w:abstractNum w:abstractNumId="26">
    <w:nsid w:val="836C40E"/>
    <w:multiLevelType w:val="hybridMultilevel"/>
    <w:lvl w:ilvl="0">
      <w:lvlJc w:val="left"/>
      <w:lvlText w:val="(%1)"/>
      <w:numFmt w:val="decimal"/>
      <w:start w:val="12"/>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2020-10-06T23:32:05Z</dcterms:created>
  <dcterms:modified xsi:type="dcterms:W3CDTF">2020-10-06T23:32:05Z</dcterms:modified>
</cp:coreProperties>
</file>