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8718d1_8k.htm"/>
      <w:bookmarkStart w:id="1" w:name="kstm268718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A_edei--DocumentType_c2026031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March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E_edei--EntityRegistrantName_dxL_c"/>
      <w:bookmarkEnd w:id="4"/>
      <w:r>
        <w:rPr>
          <w:rFonts w:ascii="Times New Roman;Times;Serif" w:hAnsi="Times New Roman;Times;Serif"/>
          <w:b/>
          <w:i w:val="false"/>
          <w:caps w:val="false"/>
          <w:smallCaps w:val="false"/>
          <w:sz w:val="48"/>
        </w:rPr>
        <w:t>Waste Management,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0" w:type="dxa"/>
          <w:right w:w="0" w:type="dxa"/>
        </w:tblCellMar>
      </w:tblPr>
      <w:tblGrid>
        <w:gridCol w:w="2225"/>
        <w:gridCol w:w="60"/>
        <w:gridCol w:w="2210"/>
        <w:gridCol w:w="60"/>
        <w:gridCol w:w="1520"/>
      </w:tblGrid>
      <w:tr>
        <w:trPr/>
        <w:tc>
          <w:tcPr>
            <w:tcW w:w="2225" w:type="dxa"/>
            <w:tcBorders/>
            <w:vAlign w:val="center"/>
          </w:tcPr>
          <w:p>
            <w:pPr>
              <w:pStyle w:val="TableContents"/>
              <w:bidi w:val="0"/>
              <w:spacing w:before="0" w:after="283"/>
              <w:jc w:val="center"/>
              <w:rPr>
                <w:b/>
              </w:rPr>
            </w:pPr>
            <w:bookmarkStart w:id="5" w:name="xdx_908_edei--EntityIncorporationStateCo"/>
            <w:bookmarkEnd w:id="5"/>
            <w:r>
              <w:rPr>
                <w:b/>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B_edei--EntityFileNumber_c20260313"/>
            <w:bookmarkEnd w:id="6"/>
            <w:r>
              <w:rPr>
                <w:rFonts w:ascii="Times New Roman;Times;Serif" w:hAnsi="Times New Roman;Times;Serif"/>
                <w:b/>
                <w:sz w:val="20"/>
              </w:rPr>
              <w:t>1-12154</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b/>
                <w:sz w:val="20"/>
              </w:rPr>
            </w:pPr>
            <w:bookmarkStart w:id="7" w:name="xdx_902_edei--EntityTaxIdentificationNum"/>
            <w:bookmarkEnd w:id="7"/>
            <w:r>
              <w:rPr>
                <w:rFonts w:ascii="Times New Roman;Times;Serif" w:hAnsi="Times New Roman;Times;Serif"/>
                <w:b/>
                <w:sz w:val="20"/>
              </w:rPr>
              <w:t>73-1309529</w:t>
            </w:r>
          </w:p>
        </w:tc>
      </w:tr>
      <w:tr>
        <w:trPr/>
        <w:tc>
          <w:tcPr>
            <w:tcW w:w="22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w:t>
              <w:b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3920"/>
        <w:gridCol w:w="60"/>
        <w:gridCol w:w="905"/>
      </w:tblGrid>
      <w:tr>
        <w:trPr/>
        <w:tc>
          <w:tcPr>
            <w:tcW w:w="3920" w:type="dxa"/>
            <w:tcBorders/>
            <w:vAlign w:val="center"/>
          </w:tcPr>
          <w:p>
            <w:pPr>
              <w:pStyle w:val="TableContents"/>
              <w:bidi w:val="0"/>
              <w:spacing w:before="0" w:after="283"/>
              <w:jc w:val="center"/>
              <w:rPr/>
            </w:pPr>
            <w:bookmarkStart w:id="8" w:name="xdx_902_edei--EntityAddressAddressLine1_"/>
            <w:bookmarkEnd w:id="8"/>
            <w:r>
              <w:rPr>
                <w:rFonts w:ascii="Times New Roman;Times;Serif" w:hAnsi="Times New Roman;Times;Serif"/>
                <w:b/>
                <w:sz w:val="20"/>
              </w:rPr>
              <w:t xml:space="preserve">800 Capitol Street, </w:t>
            </w:r>
            <w:bookmarkStart w:id="9" w:name="xdx_901_edei--EntityAddressAddressLine2_"/>
            <w:bookmarkEnd w:id="9"/>
            <w:r>
              <w:rPr>
                <w:rFonts w:ascii="Times New Roman;Times;Serif" w:hAnsi="Times New Roman;Times;Serif"/>
                <w:b/>
                <w:sz w:val="20"/>
              </w:rPr>
              <w:t xml:space="preserve">Suite 3000, </w:t>
            </w:r>
            <w:bookmarkStart w:id="10" w:name="xdx_908_edei--EntityAddressCityOrTown_c2"/>
            <w:bookmarkEnd w:id="10"/>
            <w:r>
              <w:rPr>
                <w:rFonts w:ascii="Times New Roman;Times;Serif" w:hAnsi="Times New Roman;Times;Serif"/>
                <w:b/>
                <w:sz w:val="20"/>
              </w:rPr>
              <w:t xml:space="preserve">Houston, </w:t>
            </w:r>
            <w:bookmarkStart w:id="11" w:name="xdx_906_edei--EntityAddressStateOrProvin"/>
            <w:bookmarkEnd w:id="11"/>
            <w:r>
              <w:rPr>
                <w:rFonts w:ascii="Times New Roman;Times;Serif" w:hAnsi="Times New Roman;Times;Serif"/>
                <w:b/>
                <w:sz w:val="20"/>
              </w:rPr>
              <w:t>Texas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b/>
                <w:sz w:val="20"/>
              </w:rPr>
            </w:pPr>
            <w:bookmarkStart w:id="12" w:name="xdx_904_edei--EntityAddressPostalZipCode"/>
            <w:bookmarkEnd w:id="12"/>
            <w:r>
              <w:rPr>
                <w:rFonts w:ascii="Times New Roman;Times;Serif" w:hAnsi="Times New Roman;Times;Serif"/>
                <w:b/>
                <w:sz w:val="20"/>
              </w:rPr>
              <w:t>77002</w:t>
            </w:r>
          </w:p>
        </w:tc>
      </w:tr>
      <w:tr>
        <w:trPr/>
        <w:tc>
          <w:tcPr>
            <w:tcW w:w="3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F_edei--CityAreaCode_c20260313__20"/>
      <w:bookmarkEnd w:id="13"/>
      <w:r>
        <w:rPr>
          <w:rFonts w:ascii="Times New Roman;Times;Serif" w:hAnsi="Times New Roman;Times;Serif"/>
          <w:b/>
          <w:i w:val="false"/>
          <w:caps w:val="false"/>
          <w:smallCaps w:val="false"/>
          <w:sz w:val="20"/>
        </w:rPr>
        <w:t xml:space="preserve">713) </w:t>
      </w:r>
      <w:bookmarkStart w:id="14" w:name="xdx_906_edei--LocalPhoneNumber_c20260313"/>
      <w:bookmarkEnd w:id="14"/>
      <w:r>
        <w:rPr>
          <w:rFonts w:ascii="Times New Roman;Times;Serif" w:hAnsi="Times New Roman;Times;Serif"/>
          <w:b/>
          <w:i w:val="false"/>
          <w:caps w:val="false"/>
          <w:smallCaps w:val="false"/>
          <w:sz w:val="20"/>
        </w:rPr>
        <w:t>512-6200</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D_edei--WrittenCommunications_c202"/>
            <w:bookmarkEnd w:id="15"/>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A_edei--SolicitingMaterial_c202603"/>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8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C_edei--PreCommencementIssuerTende"/>
            <w:bookmarkEnd w:id="18"/>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40" w:type="dxa"/>
        <w:jc w:val="left"/>
        <w:tblInd w:w="0" w:type="dxa"/>
        <w:tblLayout w:type="fixed"/>
        <w:tblCellMar>
          <w:top w:w="28" w:type="dxa"/>
          <w:left w:w="0" w:type="dxa"/>
          <w:bottom w:w="0" w:type="dxa"/>
          <w:right w:w="0" w:type="dxa"/>
        </w:tblCellMar>
      </w:tblPr>
      <w:tblGrid>
        <w:gridCol w:w="2630"/>
        <w:gridCol w:w="1535"/>
        <w:gridCol w:w="3575"/>
      </w:tblGrid>
      <w:tr>
        <w:trPr/>
        <w:tc>
          <w:tcPr>
            <w:tcW w:w="2630" w:type="dxa"/>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of each class</w:t>
            </w:r>
          </w:p>
        </w:tc>
        <w:tc>
          <w:tcPr>
            <w:tcW w:w="1535" w:type="dxa"/>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Trading Symbol(s)</w:t>
            </w:r>
          </w:p>
        </w:tc>
        <w:tc>
          <w:tcPr>
            <w:tcW w:w="3575" w:type="dxa"/>
            <w:tcBorders>
              <w:top w:val="single" w:sz="8" w:space="0" w:color="000000"/>
              <w:right w:val="single" w:sz="8" w:space="0" w:color="000000"/>
            </w:tcBorders>
            <w:tcMar>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630" w:type="dxa"/>
            <w:tcBorders>
              <w:left w:val="single" w:sz="8" w:space="0" w:color="000000"/>
              <w:bottom w:val="single" w:sz="8" w:space="0" w:color="000000"/>
            </w:tcBorders>
            <w:tcMar>
              <w:top w:w="0" w:type="dxa"/>
              <w:left w:w="120" w:type="dxa"/>
              <w:bottom w:w="28" w:type="dxa"/>
            </w:tcMar>
            <w:vAlign w:val="center"/>
          </w:tcPr>
          <w:p>
            <w:pPr>
              <w:pStyle w:val="TableContents"/>
              <w:bidi w:val="0"/>
              <w:spacing w:before="0" w:after="283"/>
              <w:jc w:val="left"/>
              <w:rPr>
                <w:rFonts w:ascii="Times New Roman;Times;Serif" w:hAnsi="Times New Roman;Times;Serif"/>
                <w:sz w:val="20"/>
              </w:rPr>
            </w:pPr>
            <w:bookmarkStart w:id="19" w:name="xdx_90E_edei--Security12bTitle_c20260313"/>
            <w:bookmarkEnd w:id="19"/>
            <w:r>
              <w:rPr>
                <w:rFonts w:ascii="Times New Roman;Times;Serif" w:hAnsi="Times New Roman;Times;Serif"/>
                <w:sz w:val="20"/>
              </w:rPr>
              <w:t>Common Stock, $0.01 par value</w:t>
            </w:r>
          </w:p>
        </w:tc>
        <w:tc>
          <w:tcPr>
            <w:tcW w:w="1535" w:type="dxa"/>
            <w:tcBorders>
              <w:left w:val="single" w:sz="8" w:space="0" w:color="000000"/>
              <w:bottom w:val="single" w:sz="8" w:space="0" w:color="000000"/>
            </w:tcBorders>
            <w:tcMar>
              <w:top w:w="0" w:type="dxa"/>
              <w:left w:w="120" w:type="dxa"/>
              <w:bottom w:w="28" w:type="dxa"/>
            </w:tcMar>
            <w:vAlign w:val="center"/>
          </w:tcPr>
          <w:p>
            <w:pPr>
              <w:pStyle w:val="TableContents"/>
              <w:bidi w:val="0"/>
              <w:spacing w:before="0" w:after="283"/>
              <w:jc w:val="left"/>
              <w:rPr>
                <w:rFonts w:ascii="Times New Roman;Times;Serif" w:hAnsi="Times New Roman;Times;Serif"/>
                <w:sz w:val="20"/>
              </w:rPr>
            </w:pPr>
            <w:bookmarkStart w:id="20" w:name="xdx_90F_edei--TradingSymbol_c20260313__2"/>
            <w:bookmarkEnd w:id="20"/>
            <w:r>
              <w:rPr>
                <w:rFonts w:ascii="Times New Roman;Times;Serif" w:hAnsi="Times New Roman;Times;Serif"/>
                <w:sz w:val="20"/>
              </w:rPr>
              <w:t>WM</w:t>
            </w:r>
          </w:p>
        </w:tc>
        <w:tc>
          <w:tcPr>
            <w:tcW w:w="3575" w:type="dxa"/>
            <w:tcBorders>
              <w:left w:val="single" w:sz="8" w:space="0" w:color="000000"/>
              <w:bottom w:val="single" w:sz="8" w:space="0" w:color="000000"/>
              <w:right w:val="single" w:sz="8" w:space="0" w:color="000000"/>
            </w:tcBorders>
            <w:tcMar>
              <w:top w:w="0" w:type="dxa"/>
              <w:left w:w="120" w:type="dxa"/>
              <w:bottom w:w="28" w:type="dxa"/>
              <w:right w:w="28" w:type="dxa"/>
            </w:tcMar>
            <w:vAlign w:val="center"/>
          </w:tcPr>
          <w:p>
            <w:pPr>
              <w:pStyle w:val="TableContents"/>
              <w:bidi w:val="0"/>
              <w:spacing w:before="0" w:after="283"/>
              <w:jc w:val="left"/>
              <w:rPr>
                <w:rFonts w:ascii="Times New Roman;Times;Serif" w:hAnsi="Times New Roman;Times;Serif"/>
                <w:sz w:val="20"/>
              </w:rPr>
            </w:pPr>
            <w:bookmarkStart w:id="21" w:name="xdx_908_edei--SecurityExchangeName_c2026"/>
            <w:bookmarkEnd w:id="21"/>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sz w:val="20"/>
        </w:rPr>
        <w:t xml:space="preserve">Emerging growth company </w:t>
      </w:r>
      <w:bookmarkStart w:id="22" w:name="xdx_902_edei--EntityEmergingGrowthCompan"/>
      <w:bookmarkEnd w:id="22"/>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Ms. Devina Rankin voluntarily resigned from her position of Executive Vice President and Chief Financial Officer of Waste Management, Inc. as of November 1, 2025, following her admirable career spanning 23 years of dedicated service, including nearly nine years as Chief Financial Officer.  She continued to serve as an executive advisor at her prior base salary through March 13, 2026 to ensure an effective transition of her responsibilities. On March 13, 2026, Ms. Rankin received a cash bonus of $1 million in recognition of the value delivered to stockholders as a result of her leadership in completing the orderly transition of the Chief Financial Officer role to her successor and her important contributions toward the integration of our Healthcare Solutions business, which amount is in addition to her annual cash incentive award payout earned for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transition success bonus was paid pursuant to a letter agreement filed as an exhibit hereto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Index</w:t>
      </w:r>
    </w:p>
    <w:p>
      <w:pPr>
        <w:pStyle w:val="TextBody"/>
        <w:bidi w:val="0"/>
        <w:spacing w:before="0" w:after="283"/>
        <w:jc w:val="left"/>
        <w:rPr/>
      </w:pPr>
      <w:r>
        <w:rPr/>
        <w:t> </w:t>
      </w:r>
    </w:p>
    <w:tbl>
      <w:tblPr>
        <w:tblW w:w="9535" w:type="dxa"/>
        <w:jc w:val="left"/>
        <w:tblInd w:w="0" w:type="dxa"/>
        <w:tblLayout w:type="fixed"/>
        <w:tblCellMar>
          <w:top w:w="0" w:type="dxa"/>
          <w:left w:w="0" w:type="dxa"/>
          <w:bottom w:w="28" w:type="dxa"/>
          <w:right w:w="0" w:type="dxa"/>
        </w:tblCellMar>
      </w:tblPr>
      <w:tblGrid>
        <w:gridCol w:w="890"/>
        <w:gridCol w:w="60"/>
        <w:gridCol w:w="8585"/>
      </w:tblGrid>
      <w:tr>
        <w:trPr/>
        <w:tc>
          <w:tcPr>
            <w:tcW w:w="890" w:type="dxa"/>
            <w:tcBorders>
              <w:bottom w:val="single" w:sz="8" w:space="0" w:color="000000"/>
            </w:tcBorders>
            <w:vAlign w:val="center"/>
          </w:tcPr>
          <w:p>
            <w:pPr>
              <w:pStyle w:val="TableContents"/>
              <w:bidi w:val="0"/>
              <w:spacing w:before="0" w:after="283"/>
              <w:jc w:val="left"/>
              <w:rPr>
                <w:b/>
              </w:rPr>
            </w:pPr>
            <w:r>
              <w:rPr>
                <w:b/>
              </w:rPr>
              <w:t xml:space="preserve">Exhibit </w:t>
              <w:br/>
              <w:t>Number</w:t>
            </w:r>
          </w:p>
        </w:tc>
        <w:tc>
          <w:tcPr>
            <w:tcW w:w="60" w:type="dxa"/>
            <w:tcBorders/>
            <w:tcMar>
              <w:bottom w:w="0" w:type="dxa"/>
            </w:tcMar>
            <w:vAlign w:val="center"/>
          </w:tcPr>
          <w:p>
            <w:pPr>
              <w:pStyle w:val="TableContents"/>
              <w:bidi w:val="0"/>
              <w:spacing w:before="0" w:after="283"/>
              <w:jc w:val="both"/>
              <w:rPr/>
            </w:pPr>
            <w:r>
              <w:rPr/>
              <w:t> </w:t>
            </w:r>
          </w:p>
        </w:tc>
        <w:tc>
          <w:tcPr>
            <w:tcW w:w="858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89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8585" w:type="dxa"/>
            <w:tcBorders/>
            <w:tcMar>
              <w:bottom w:w="0" w:type="dxa"/>
            </w:tcMar>
            <w:vAlign w:val="center"/>
          </w:tcPr>
          <w:p>
            <w:pPr>
              <w:pStyle w:val="TableContents"/>
              <w:bidi w:val="0"/>
              <w:spacing w:before="0" w:after="283"/>
              <w:jc w:val="both"/>
              <w:rPr/>
            </w:pPr>
            <w:r>
              <w:rPr/>
              <w:t> </w:t>
            </w:r>
          </w:p>
        </w:tc>
      </w:tr>
      <w:tr>
        <w:trPr/>
        <w:tc>
          <w:tcPr>
            <w:tcW w:w="890" w:type="dxa"/>
            <w:tcBorders/>
            <w:tcMar>
              <w:bottom w:w="0" w:type="dxa"/>
            </w:tcMar>
            <w:vAlign w:val="center"/>
          </w:tcPr>
          <w:p>
            <w:pPr>
              <w:pStyle w:val="TableContents"/>
              <w:bidi w:val="0"/>
              <w:spacing w:before="0" w:after="283"/>
              <w:jc w:val="left"/>
              <w:rPr/>
            </w:pPr>
            <w:hyperlink w:anchor="tm268718d1_ex10-1.htm">
              <w:r>
                <w:rPr>
                  <w:rStyle w:val="InternetLink"/>
                </w:rPr>
                <w:t>10.1</w:t>
              </w:r>
            </w:hyperlink>
          </w:p>
        </w:tc>
        <w:tc>
          <w:tcPr>
            <w:tcW w:w="60" w:type="dxa"/>
            <w:tcBorders/>
            <w:tcMar>
              <w:bottom w:w="0" w:type="dxa"/>
            </w:tcMar>
            <w:vAlign w:val="center"/>
          </w:tcPr>
          <w:p>
            <w:pPr>
              <w:pStyle w:val="TableContents"/>
              <w:bidi w:val="0"/>
              <w:spacing w:before="0" w:after="283"/>
              <w:jc w:val="both"/>
              <w:rPr/>
            </w:pPr>
            <w:r>
              <w:rPr/>
              <w:t> </w:t>
            </w:r>
          </w:p>
        </w:tc>
        <w:tc>
          <w:tcPr>
            <w:tcW w:w="8585" w:type="dxa"/>
            <w:tcBorders/>
            <w:tcMar>
              <w:bottom w:w="0" w:type="dxa"/>
            </w:tcMar>
            <w:vAlign w:val="center"/>
          </w:tcPr>
          <w:p>
            <w:pPr>
              <w:pStyle w:val="TableContents"/>
              <w:bidi w:val="0"/>
              <w:spacing w:before="0" w:after="283"/>
              <w:jc w:val="left"/>
              <w:rPr/>
            </w:pPr>
            <w:hyperlink w:anchor="tm268718d1_ex10-1.htm">
              <w:r>
                <w:rPr>
                  <w:rStyle w:val="InternetLink"/>
                </w:rPr>
                <w:t>Transition success bonus letter agreement dated March 13, 2026.</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both"/>
              <w:rPr/>
            </w:pPr>
            <w:r>
              <w:rPr/>
              <w:t> </w:t>
            </w:r>
          </w:p>
        </w:tc>
        <w:tc>
          <w:tcPr>
            <w:tcW w:w="858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both"/>
              <w:rPr/>
            </w:pPr>
            <w:r>
              <w:rPr/>
              <w:t> </w:t>
            </w:r>
          </w:p>
        </w:tc>
        <w:tc>
          <w:tcPr>
            <w:tcW w:w="8585" w:type="dxa"/>
            <w:tcBorders/>
            <w:tcMar>
              <w:bottom w:w="0" w:type="dxa"/>
            </w:tcMar>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aps w:val="false"/>
          <w:smallCaps w:val="false"/>
        </w:rPr>
      </w:pPr>
      <w:r>
        <w:rPr>
          <w:caps w:val="false"/>
          <w:smallCaps w:val="false"/>
        </w:rPr>
        <w:t> </w:t>
      </w:r>
    </w:p>
    <w:tbl>
      <w:tblPr>
        <w:tblW w:w="6150" w:type="dxa"/>
        <w:jc w:val="left"/>
        <w:tblInd w:w="0" w:type="dxa"/>
        <w:tblLayout w:type="fixed"/>
        <w:tblCellMar>
          <w:top w:w="0" w:type="dxa"/>
          <w:left w:w="0" w:type="dxa"/>
          <w:bottom w:w="0" w:type="dxa"/>
          <w:right w:w="0" w:type="dxa"/>
        </w:tblCellMar>
      </w:tblPr>
      <w:tblGrid>
        <w:gridCol w:w="1805"/>
        <w:gridCol w:w="320"/>
        <w:gridCol w:w="4025"/>
      </w:tblGrid>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3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WASTE MANAGEMENT, INC.</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3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13,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Charles C. Boettcher</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Charles C. Boettcher</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Chief Legal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8718d1_ex10-1.htm"/>
      <w:bookmarkStart w:id="24" w:name="kstm268718d1_ex101"/>
      <w:bookmarkEnd w:id="23"/>
      <w:bookmarkEnd w:id="24"/>
      <w:r>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0500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5905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Devina A. Rankin</w:t>
        <w:br/>
        <w:t>Executive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Transition Success Bonus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Devina,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Waste-Management Resources, LLC (collectively with its affiliates, “WM”) congratulates and thanks you for your admirable career spanning 23 years of dedicated service to WM, including nearly nine years as Chief Financial Officer (“CFO”), and is pleased to award you a cash bonus of $1,000,000 (the “Transition Success Bonus”), less applicable withholdings, based upon your successful transition of the CFO position to David Reed and in recognition of your important contributions toward the integration of WMHS. Payment of the Transition Success Bonus will be made in a single lump sum today or as soon as practical.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conjunction with this Transition Success Bonus, you acknowledge by your signature below that your termination of employment today is voluntary and does not constitute a termination without cause or a termination for good reason under any provision of the Waste Management Holdings, Inc. Executive Severance Protection Plan or a qualifying retirement under the Waste Management, Inc. 2023 Stock Incentive Plan. In consideration of the Transition Success Bonus, you release potential claims against WM, if any, related to your employment. Other than the Transition Success Bonus and any unpaid salary or 2025 annual bonus compensation, you acknowledge that WM does not owe you any other monetary or equity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WM makes no representations or guarantees about any tax treatment and shall have no liability to you in respect of any taxes, costs, or fees due in respect of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WM wishes you the best and thanks you for your many years of exemplary leadership and contributions to our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Jim Fish</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Jim Fish</w:t>
        <w:br/>
        <w:t>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Acknowledged and agreed:</w:t>
      </w:r>
    </w:p>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28" w:type="dxa"/>
          <w:right w:w="0" w:type="dxa"/>
        </w:tblCellMar>
      </w:tblPr>
      <w:tblGrid>
        <w:gridCol w:w="1700"/>
        <w:gridCol w:w="75"/>
      </w:tblGrid>
      <w:tr>
        <w:trPr/>
        <w:tc>
          <w:tcPr>
            <w:tcW w:w="170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Devina A. Rankin</w:t>
            </w:r>
          </w:p>
        </w:tc>
        <w:tc>
          <w:tcPr>
            <w:tcW w:w="75"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Devina A. Rankin</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Waste-Management Resources, LLC</w:t>
      </w:r>
    </w:p>
    <w:p>
      <w:pPr>
        <w:pStyle w:val="TextBody"/>
        <w:bidi w:val="0"/>
        <w:spacing w:before="0" w:after="0"/>
        <w:ind w:left="0" w:right="0" w:hanging="0"/>
        <w:jc w:val="left"/>
        <w:rPr>
          <w:caps w:val="false"/>
          <w:smallCaps w:val="false"/>
        </w:rPr>
      </w:pPr>
      <w:r>
        <w:rPr>
          <w:caps w:val="false"/>
          <w:smallCaps w:val="false"/>
        </w:rPr>
        <w:t> </w:t>
      </w:r>
    </w:p>
    <w:tbl>
      <w:tblPr>
        <w:tblW w:w="2585" w:type="dxa"/>
        <w:jc w:val="left"/>
        <w:tblInd w:w="0" w:type="dxa"/>
        <w:tblLayout w:type="fixed"/>
        <w:tblCellMar>
          <w:top w:w="0" w:type="dxa"/>
          <w:left w:w="0" w:type="dxa"/>
          <w:bottom w:w="28" w:type="dxa"/>
          <w:right w:w="0" w:type="dxa"/>
        </w:tblCellMar>
      </w:tblPr>
      <w:tblGrid>
        <w:gridCol w:w="2510"/>
        <w:gridCol w:w="75"/>
      </w:tblGrid>
      <w:tr>
        <w:trPr/>
        <w:tc>
          <w:tcPr>
            <w:tcW w:w="25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Courtney A. Tippy</w:t>
            </w:r>
          </w:p>
        </w:tc>
        <w:tc>
          <w:tcPr>
            <w:tcW w:w="75" w:type="dxa"/>
            <w:tcBorders/>
            <w:tcMar>
              <w:bottom w:w="0" w:type="dxa"/>
            </w:tcMar>
            <w:vAlign w:val="center"/>
          </w:tcPr>
          <w:p>
            <w:pPr>
              <w:pStyle w:val="TableContents"/>
              <w:bidi w:val="0"/>
              <w:spacing w:before="0" w:after="283"/>
              <w:jc w:val="left"/>
              <w:rPr/>
            </w:pPr>
            <w:r>
              <w:rPr/>
              <w:t> </w:t>
            </w:r>
          </w:p>
        </w:tc>
      </w:tr>
      <w:tr>
        <w:trPr/>
        <w:tc>
          <w:tcPr>
            <w:tcW w:w="25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Authorized Representative</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w:t>
      </w:r>
      <w:r>
        <w:rPr>
          <w:rFonts w:ascii="Times New Roman;Times;Serif" w:hAnsi="Times New Roman;Times;Serif"/>
          <w:b w:val="false"/>
          <w:i w:val="false"/>
          <w:caps w:val="false"/>
          <w:smallCaps w:val="false"/>
          <w:sz w:val="20"/>
          <w:u w:val="single"/>
        </w:rPr>
        <w:t>3/13/2026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871</Words>
  <Characters>4790</Characters>
  <CharactersWithSpaces>5670</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