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Arial" w:cs="Arial" w:eastAsia="Arial" w:hAnsi="Arial"/>
          <w:sz w:val="18"/>
          <w:szCs w:val="18"/>
          <w:b w:val="1"/>
          <w:bCs w:val="1"/>
          <w:color w:val="auto"/>
        </w:rPr>
        <w:t>SCHEDULE 14A</w:t>
      </w:r>
    </w:p>
    <w:p>
      <w:pPr>
        <w:spacing w:after="0" w:line="117"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EXCHANGE ACT OF 1934</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4"/>
          <w:szCs w:val="24"/>
          <w:color w:val="auto"/>
        </w:rPr>
      </w:pPr>
    </w:p>
    <w:p>
      <w:pPr>
        <w:ind w:left="338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38" w:lineRule="exact"/>
        <w:rPr>
          <w:rFonts w:ascii="MS PGothic" w:cs="MS PGothic" w:eastAsia="MS PGothic" w:hAnsi="MS PGothic"/>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0" w:lineRule="exact"/>
        <w:rPr>
          <w:rFonts w:ascii="Arial" w:cs="Arial" w:eastAsia="Arial" w:hAnsi="Arial"/>
          <w:sz w:val="18"/>
          <w:szCs w:val="18"/>
          <w:color w:val="auto"/>
        </w:rPr>
      </w:pPr>
    </w:p>
    <w:p>
      <w:pPr>
        <w:ind w:left="1020" w:hanging="652"/>
        <w:spacing w:after="0" w:line="277"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60" w:right="320" w:hanging="452"/>
        <w:spacing w:after="0" w:line="308"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81" w:lineRule="exact"/>
        <w:rPr>
          <w:rFonts w:ascii="MS PGothic" w:cs="MS PGothic" w:eastAsia="MS PGothic" w:hAnsi="MS PGothic"/>
          <w:sz w:val="17"/>
          <w:szCs w:val="17"/>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020" w:hanging="652"/>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648335</wp:posOffset>
            </wp:positionH>
            <wp:positionV relativeFrom="paragraph">
              <wp:posOffset>-4281170</wp:posOffset>
            </wp:positionV>
            <wp:extent cx="6603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-3843655</wp:posOffset>
            </wp:positionV>
            <wp:extent cx="6603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-3346450</wp:posOffset>
            </wp:positionV>
            <wp:extent cx="6603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-2908935</wp:posOffset>
            </wp:positionV>
            <wp:extent cx="6603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-2471420</wp:posOffset>
            </wp:positionV>
            <wp:extent cx="6603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-1159510</wp:posOffset>
            </wp:positionV>
            <wp:extent cx="6603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-721995</wp:posOffset>
            </wp:positionV>
            <wp:extent cx="6603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-284480</wp:posOffset>
            </wp:positionV>
            <wp:extent cx="66033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648335</wp:posOffset>
            </wp:positionH>
            <wp:positionV relativeFrom="paragraph">
              <wp:posOffset>152400</wp:posOffset>
            </wp:positionV>
            <wp:extent cx="6603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jc w:val="center"/>
        <w:ind w:left="1320" w:right="122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 Important Notice Regarding the Availability of Proxy Materials for the Stockholder Meeting to Be Held on May 12, 2017.</w:t>
      </w:r>
    </w:p>
    <w:p>
      <w:pPr>
        <w:spacing w:after="0" w:line="134" w:lineRule="exact"/>
        <w:rPr>
          <w:sz w:val="20"/>
          <w:szCs w:val="20"/>
          <w:color w:val="auto"/>
        </w:rPr>
      </w:pPr>
    </w:p>
    <w:tbl>
      <w:tblPr>
        <w:tblLayout w:type="fixed"/>
        <w:tblInd w:w="1320" w:type="dxa"/>
        <w:tblCellMar>
          <w:top w:w="0" w:type="dxa"/>
          <w:left w:w="0" w:type="dxa"/>
          <w:bottom w:w="0" w:type="dxa"/>
          <w:right w:w="0" w:type="dxa"/>
        </w:tblCellMar>
      </w:tblPr>
      <w:tr>
        <w:trPr>
          <w:trHeight w:val="189"/>
        </w:trPr>
        <w:tc>
          <w:tcPr>
            <w:tcW w:w="4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WASTE MANAGEMENT, INC.</w:t>
            </w:r>
          </w:p>
        </w:tc>
        <w:tc>
          <w:tcPr>
            <w:tcW w:w="17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8"/>
                <w:szCs w:val="18"/>
                <w:b w:val="1"/>
                <w:bCs w:val="1"/>
                <w:color w:val="auto"/>
                <w:w w:val="92"/>
              </w:rPr>
              <w:t>Meeting Information</w:t>
            </w:r>
          </w:p>
        </w:tc>
        <w:tc>
          <w:tcPr>
            <w:tcW w:w="172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60" w:type="dxa"/>
            <w:vAlign w:val="bottom"/>
            <w:tcBorders>
              <w:right w:val="single" w:sz="8" w:color="auto"/>
            </w:tcBorders>
            <w:vMerge w:val="continue"/>
          </w:tcPr>
          <w:p>
            <w:pPr>
              <w:spacing w:after="0"/>
              <w:rPr>
                <w:sz w:val="19"/>
                <w:szCs w:val="19"/>
                <w:color w:val="auto"/>
              </w:rPr>
            </w:pPr>
          </w:p>
        </w:tc>
        <w:tc>
          <w:tcPr>
            <w:tcW w:w="170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Meeting Type:</w:t>
            </w:r>
          </w:p>
        </w:tc>
        <w:tc>
          <w:tcPr>
            <w:tcW w:w="3460" w:type="dxa"/>
            <w:vAlign w:val="bottom"/>
            <w:tcBorders>
              <w:right w:val="single" w:sz="8" w:color="auto"/>
            </w:tcBorders>
            <w:gridSpan w:val="3"/>
            <w:vMerge w:val="restart"/>
          </w:tcPr>
          <w:p>
            <w:pPr>
              <w:jc w:val="right"/>
              <w:ind w:right="2240"/>
              <w:spacing w:after="0"/>
              <w:rPr>
                <w:sz w:val="20"/>
                <w:szCs w:val="20"/>
                <w:color w:val="auto"/>
              </w:rPr>
            </w:pPr>
            <w:r>
              <w:rPr>
                <w:rFonts w:ascii="Arial" w:cs="Arial" w:eastAsia="Arial" w:hAnsi="Arial"/>
                <w:sz w:val="18"/>
                <w:szCs w:val="18"/>
                <w:color w:val="auto"/>
                <w:w w:val="95"/>
              </w:rPr>
              <w:t>Annual Meeting</w:t>
            </w:r>
          </w:p>
        </w:tc>
        <w:tc>
          <w:tcPr>
            <w:tcW w:w="0" w:type="dxa"/>
            <w:vAlign w:val="bottom"/>
          </w:tcPr>
          <w:p>
            <w:pPr>
              <w:spacing w:after="0"/>
              <w:rPr>
                <w:sz w:val="1"/>
                <w:szCs w:val="1"/>
                <w:color w:val="auto"/>
              </w:rPr>
            </w:pPr>
          </w:p>
        </w:tc>
      </w:tr>
      <w:tr>
        <w:trPr>
          <w:trHeight w:val="130"/>
        </w:trPr>
        <w:tc>
          <w:tcPr>
            <w:tcW w:w="4160" w:type="dxa"/>
            <w:vAlign w:val="bottom"/>
            <w:tcBorders>
              <w:right w:val="single" w:sz="8" w:color="auto"/>
            </w:tcBorders>
          </w:tcPr>
          <w:p>
            <w:pPr>
              <w:spacing w:after="0"/>
              <w:rPr>
                <w:sz w:val="11"/>
                <w:szCs w:val="11"/>
                <w:color w:val="auto"/>
              </w:rPr>
            </w:pPr>
          </w:p>
        </w:tc>
        <w:tc>
          <w:tcPr>
            <w:tcW w:w="1700" w:type="dxa"/>
            <w:vAlign w:val="bottom"/>
            <w:vMerge w:val="continue"/>
          </w:tcPr>
          <w:p>
            <w:pPr>
              <w:spacing w:after="0"/>
              <w:rPr>
                <w:sz w:val="11"/>
                <w:szCs w:val="11"/>
                <w:color w:val="auto"/>
              </w:rPr>
            </w:pPr>
          </w:p>
        </w:tc>
        <w:tc>
          <w:tcPr>
            <w:tcW w:w="346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60" w:type="dxa"/>
            <w:vAlign w:val="bottom"/>
            <w:tcBorders>
              <w:right w:val="single" w:sz="8" w:color="auto"/>
            </w:tcBorders>
          </w:tcPr>
          <w:p>
            <w:pPr>
              <w:spacing w:after="0"/>
              <w:rPr>
                <w:sz w:val="18"/>
                <w:szCs w:val="18"/>
                <w:color w:val="auto"/>
              </w:rPr>
            </w:pPr>
          </w:p>
        </w:tc>
        <w:tc>
          <w:tcPr>
            <w:tcW w:w="1700" w:type="dxa"/>
            <w:vAlign w:val="bottom"/>
          </w:tcPr>
          <w:p>
            <w:pPr>
              <w:ind w:left="140"/>
              <w:spacing w:after="0"/>
              <w:rPr>
                <w:sz w:val="20"/>
                <w:szCs w:val="20"/>
                <w:color w:val="auto"/>
              </w:rPr>
            </w:pPr>
            <w:r>
              <w:rPr>
                <w:rFonts w:ascii="Arial" w:cs="Arial" w:eastAsia="Arial" w:hAnsi="Arial"/>
                <w:sz w:val="18"/>
                <w:szCs w:val="18"/>
                <w:b w:val="1"/>
                <w:bCs w:val="1"/>
                <w:color w:val="auto"/>
              </w:rPr>
              <w:t>For holders as of:</w:t>
            </w:r>
          </w:p>
        </w:tc>
        <w:tc>
          <w:tcPr>
            <w:tcW w:w="3460" w:type="dxa"/>
            <w:vAlign w:val="bottom"/>
            <w:tcBorders>
              <w:right w:val="single" w:sz="8" w:color="auto"/>
            </w:tcBorders>
            <w:gridSpan w:val="3"/>
          </w:tcPr>
          <w:p>
            <w:pPr>
              <w:jc w:val="right"/>
              <w:ind w:right="2240"/>
              <w:spacing w:after="0"/>
              <w:rPr>
                <w:sz w:val="20"/>
                <w:szCs w:val="20"/>
                <w:color w:val="auto"/>
              </w:rPr>
            </w:pPr>
            <w:r>
              <w:rPr>
                <w:rFonts w:ascii="Arial" w:cs="Arial" w:eastAsia="Arial" w:hAnsi="Arial"/>
                <w:sz w:val="18"/>
                <w:szCs w:val="18"/>
                <w:color w:val="auto"/>
                <w:w w:val="95"/>
              </w:rPr>
              <w:t>March 15, 2017</w:t>
            </w:r>
          </w:p>
        </w:tc>
        <w:tc>
          <w:tcPr>
            <w:tcW w:w="0" w:type="dxa"/>
            <w:vAlign w:val="bottom"/>
          </w:tcPr>
          <w:p>
            <w:pPr>
              <w:spacing w:after="0"/>
              <w:rPr>
                <w:sz w:val="1"/>
                <w:szCs w:val="1"/>
                <w:color w:val="auto"/>
              </w:rPr>
            </w:pPr>
          </w:p>
        </w:tc>
      </w:tr>
      <w:tr>
        <w:trPr>
          <w:trHeight w:val="216"/>
        </w:trPr>
        <w:tc>
          <w:tcPr>
            <w:tcW w:w="4160" w:type="dxa"/>
            <w:vAlign w:val="bottom"/>
            <w:tcBorders>
              <w:right w:val="single" w:sz="8" w:color="auto"/>
            </w:tcBorders>
          </w:tcPr>
          <w:p>
            <w:pPr>
              <w:spacing w:after="0"/>
              <w:rPr>
                <w:sz w:val="18"/>
                <w:szCs w:val="18"/>
                <w:color w:val="auto"/>
              </w:rPr>
            </w:pPr>
          </w:p>
        </w:tc>
        <w:tc>
          <w:tcPr>
            <w:tcW w:w="1700" w:type="dxa"/>
            <w:vAlign w:val="bottom"/>
          </w:tcPr>
          <w:p>
            <w:pPr>
              <w:ind w:left="140"/>
              <w:spacing w:after="0"/>
              <w:rPr>
                <w:sz w:val="20"/>
                <w:szCs w:val="20"/>
                <w:color w:val="auto"/>
              </w:rPr>
            </w:pPr>
            <w:r>
              <w:rPr>
                <w:rFonts w:ascii="Arial" w:cs="Arial" w:eastAsia="Arial" w:hAnsi="Arial"/>
                <w:sz w:val="18"/>
                <w:szCs w:val="18"/>
                <w:b w:val="1"/>
                <w:bCs w:val="1"/>
                <w:color w:val="auto"/>
                <w:w w:val="96"/>
              </w:rPr>
              <w:t xml:space="preserve">Date: </w:t>
            </w:r>
            <w:r>
              <w:rPr>
                <w:rFonts w:ascii="Arial" w:cs="Arial" w:eastAsia="Arial" w:hAnsi="Arial"/>
                <w:sz w:val="18"/>
                <w:szCs w:val="18"/>
                <w:color w:val="auto"/>
                <w:w w:val="96"/>
              </w:rPr>
              <w:t>May 12, 2017</w:t>
            </w:r>
          </w:p>
        </w:tc>
        <w:tc>
          <w:tcPr>
            <w:tcW w:w="120" w:type="dxa"/>
            <w:vAlign w:val="bottom"/>
          </w:tcPr>
          <w:p>
            <w:pPr>
              <w:spacing w:after="0"/>
              <w:rPr>
                <w:sz w:val="18"/>
                <w:szCs w:val="18"/>
                <w:color w:val="auto"/>
              </w:rPr>
            </w:pPr>
          </w:p>
        </w:tc>
        <w:tc>
          <w:tcPr>
            <w:tcW w:w="3340" w:type="dxa"/>
            <w:vAlign w:val="bottom"/>
            <w:tcBorders>
              <w:right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11:00 a.m.</w:t>
            </w:r>
          </w:p>
        </w:tc>
        <w:tc>
          <w:tcPr>
            <w:tcW w:w="0" w:type="dxa"/>
            <w:vAlign w:val="bottom"/>
          </w:tcPr>
          <w:p>
            <w:pPr>
              <w:spacing w:after="0"/>
              <w:rPr>
                <w:sz w:val="1"/>
                <w:szCs w:val="1"/>
                <w:color w:val="auto"/>
              </w:rPr>
            </w:pPr>
          </w:p>
        </w:tc>
      </w:tr>
      <w:tr>
        <w:trPr>
          <w:trHeight w:val="220"/>
        </w:trPr>
        <w:tc>
          <w:tcPr>
            <w:tcW w:w="4160" w:type="dxa"/>
            <w:vAlign w:val="bottom"/>
            <w:tcBorders>
              <w:right w:val="single" w:sz="8" w:color="auto"/>
            </w:tcBorders>
          </w:tcPr>
          <w:p>
            <w:pPr>
              <w:spacing w:after="0"/>
              <w:rPr>
                <w:sz w:val="19"/>
                <w:szCs w:val="19"/>
                <w:color w:val="auto"/>
              </w:rPr>
            </w:pPr>
          </w:p>
        </w:tc>
        <w:tc>
          <w:tcPr>
            <w:tcW w:w="5160" w:type="dxa"/>
            <w:vAlign w:val="bottom"/>
            <w:tcBorders>
              <w:right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The Maury Myers Conference Center</w:t>
            </w:r>
          </w:p>
        </w:tc>
        <w:tc>
          <w:tcPr>
            <w:tcW w:w="0" w:type="dxa"/>
            <w:vAlign w:val="bottom"/>
          </w:tcPr>
          <w:p>
            <w:pPr>
              <w:spacing w:after="0"/>
              <w:rPr>
                <w:sz w:val="1"/>
                <w:szCs w:val="1"/>
                <w:color w:val="auto"/>
              </w:rPr>
            </w:pPr>
          </w:p>
        </w:tc>
      </w:tr>
      <w:tr>
        <w:trPr>
          <w:trHeight w:val="216"/>
        </w:trPr>
        <w:tc>
          <w:tcPr>
            <w:tcW w:w="416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gridSpan w:val="4"/>
          </w:tcPr>
          <w:p>
            <w:pPr>
              <w:ind w:left="960"/>
              <w:spacing w:after="0"/>
              <w:rPr>
                <w:sz w:val="20"/>
                <w:szCs w:val="20"/>
                <w:color w:val="auto"/>
              </w:rPr>
            </w:pPr>
            <w:r>
              <w:rPr>
                <w:rFonts w:ascii="Arial" w:cs="Arial" w:eastAsia="Arial" w:hAnsi="Arial"/>
                <w:sz w:val="18"/>
                <w:szCs w:val="18"/>
                <w:color w:val="auto"/>
              </w:rPr>
              <w:t>Waste Management, Inc.</w:t>
            </w:r>
          </w:p>
        </w:tc>
        <w:tc>
          <w:tcPr>
            <w:tcW w:w="0" w:type="dxa"/>
            <w:vAlign w:val="bottom"/>
          </w:tcPr>
          <w:p>
            <w:pPr>
              <w:spacing w:after="0"/>
              <w:rPr>
                <w:sz w:val="1"/>
                <w:szCs w:val="1"/>
                <w:color w:val="auto"/>
              </w:rPr>
            </w:pPr>
          </w:p>
        </w:tc>
      </w:tr>
      <w:tr>
        <w:trPr>
          <w:trHeight w:val="216"/>
        </w:trPr>
        <w:tc>
          <w:tcPr>
            <w:tcW w:w="416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gridSpan w:val="4"/>
          </w:tcPr>
          <w:p>
            <w:pPr>
              <w:ind w:left="960"/>
              <w:spacing w:after="0"/>
              <w:rPr>
                <w:sz w:val="20"/>
                <w:szCs w:val="20"/>
                <w:color w:val="auto"/>
              </w:rPr>
            </w:pPr>
            <w:r>
              <w:rPr>
                <w:rFonts w:ascii="Arial" w:cs="Arial" w:eastAsia="Arial" w:hAnsi="Arial"/>
                <w:sz w:val="18"/>
                <w:szCs w:val="18"/>
                <w:color w:val="auto"/>
              </w:rPr>
              <w:t>1021 Main Street</w:t>
            </w:r>
          </w:p>
        </w:tc>
        <w:tc>
          <w:tcPr>
            <w:tcW w:w="0" w:type="dxa"/>
            <w:vAlign w:val="bottom"/>
          </w:tcPr>
          <w:p>
            <w:pPr>
              <w:spacing w:after="0"/>
              <w:rPr>
                <w:sz w:val="1"/>
                <w:szCs w:val="1"/>
                <w:color w:val="auto"/>
              </w:rPr>
            </w:pPr>
          </w:p>
        </w:tc>
      </w:tr>
      <w:tr>
        <w:trPr>
          <w:trHeight w:val="230"/>
        </w:trPr>
        <w:tc>
          <w:tcPr>
            <w:tcW w:w="4160" w:type="dxa"/>
            <w:vAlign w:val="bottom"/>
            <w:tcBorders>
              <w:right w:val="single" w:sz="8" w:color="auto"/>
            </w:tcBorders>
          </w:tcPr>
          <w:p>
            <w:pPr>
              <w:spacing w:after="0"/>
              <w:rPr>
                <w:sz w:val="20"/>
                <w:szCs w:val="20"/>
                <w:color w:val="auto"/>
              </w:rPr>
            </w:pPr>
          </w:p>
        </w:tc>
        <w:tc>
          <w:tcPr>
            <w:tcW w:w="5160" w:type="dxa"/>
            <w:vAlign w:val="bottom"/>
            <w:tcBorders>
              <w:bottom w:val="single" w:sz="8" w:color="auto"/>
              <w:right w:val="single" w:sz="8" w:color="auto"/>
            </w:tcBorders>
            <w:gridSpan w:val="4"/>
          </w:tcPr>
          <w:p>
            <w:pPr>
              <w:ind w:left="960"/>
              <w:spacing w:after="0"/>
              <w:rPr>
                <w:sz w:val="20"/>
                <w:szCs w:val="20"/>
                <w:color w:val="auto"/>
              </w:rPr>
            </w:pPr>
            <w:r>
              <w:rPr>
                <w:rFonts w:ascii="Arial" w:cs="Arial" w:eastAsia="Arial" w:hAnsi="Arial"/>
                <w:sz w:val="18"/>
                <w:szCs w:val="18"/>
                <w:color w:val="auto"/>
              </w:rPr>
              <w:t>Houston, Texas 77002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1492250" cy="557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2250" cy="557530"/>
                    </a:xfrm>
                    <a:prstGeom prst="rect">
                      <a:avLst/>
                    </a:prstGeom>
                    <a:noFill/>
                  </pic:spPr>
                </pic:pic>
              </a:graphicData>
            </a:graphic>
          </wp:anchor>
        </w:drawing>
      </w:r>
    </w:p>
    <w:p>
      <w:pPr>
        <w:sectPr>
          <w:pgSz w:w="11900" w:h="16838" w:orient="portrait"/>
          <w:cols w:equalWidth="0" w:num="1">
            <w:col w:w="10620"/>
          </w:cols>
          <w:pgMar w:left="820" w:top="32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WASTE MANAGEMENT,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1001 FANNIN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HOUSTON, TX 77002</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or easily request a paper copy (see reverse side).</w:t>
      </w:r>
    </w:p>
    <w:p>
      <w:pPr>
        <w:spacing w:after="0" w:line="173" w:lineRule="exact"/>
        <w:rPr>
          <w:sz w:val="20"/>
          <w:szCs w:val="20"/>
          <w:color w:val="auto"/>
        </w:rPr>
      </w:pPr>
    </w:p>
    <w:p>
      <w:pPr>
        <w:jc w:val="both"/>
        <w:ind w:right="860"/>
        <w:spacing w:after="0" w:line="342"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3267075" cy="33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67075" cy="33464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4740" w:space="720"/>
            <w:col w:w="5160"/>
          </w:cols>
          <w:pgMar w:left="820" w:top="324" w:right="459" w:bottom="1440" w:gutter="0" w:footer="0" w:header="0"/>
          <w:type w:val="continuous"/>
        </w:sectPr>
      </w:pPr>
    </w:p>
    <w:p>
      <w:pPr>
        <w:ind w:left="5560"/>
        <w:spacing w:after="0"/>
        <w:rPr>
          <w:sz w:val="20"/>
          <w:szCs w:val="20"/>
          <w:color w:val="auto"/>
        </w:rPr>
      </w:pPr>
      <w:r>
        <w:rPr>
          <w:rFonts w:ascii="Arial" w:cs="Arial" w:eastAsia="Arial" w:hAnsi="Arial"/>
          <w:sz w:val="15"/>
          <w:szCs w:val="15"/>
          <w:b w:val="1"/>
          <w:bCs w:val="1"/>
          <w:color w:val="FFFFFF"/>
        </w:rPr>
        <w:t>See the reverse side of this notice to obtain proxy materials and</w:t>
      </w:r>
    </w:p>
    <w:p>
      <w:pPr>
        <w:spacing w:after="0" w:line="62"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FFFFFF"/>
        </w:rPr>
        <w:t>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-113665</wp:posOffset>
            </wp:positionV>
            <wp:extent cx="60325" cy="548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325" cy="548640"/>
                    </a:xfrm>
                    <a:prstGeom prst="rect">
                      <a:avLst/>
                    </a:prstGeom>
                    <a:noFill/>
                  </pic:spPr>
                </pic:pic>
              </a:graphicData>
            </a:graphic>
          </wp:anchor>
        </w:drawing>
      </w:r>
    </w:p>
    <w:p>
      <w:pPr>
        <w:sectPr>
          <w:pgSz w:w="11900" w:h="16838" w:orient="portrait"/>
          <w:cols w:equalWidth="0" w:num="1">
            <w:col w:w="10620"/>
          </w:cols>
          <w:pgMar w:left="820" w:top="324" w:right="459" w:bottom="1440" w:gutter="0" w:footer="0" w:header="0"/>
          <w:type w:val="continuous"/>
        </w:sectPr>
      </w:pPr>
    </w:p>
    <w:bookmarkStart w:id="2" w:name="page3"/>
    <w:bookmarkEnd w:id="2"/>
    <w:p>
      <w:pPr>
        <w:jc w:val="center"/>
        <w:ind w:right="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83185</wp:posOffset>
            </wp:positionV>
            <wp:extent cx="6817995" cy="254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17995" cy="254698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Combined Proxy Statement and Annual Report on Form 10-K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Have the information that is printed in the box marked by the arrow </w:t>
      </w:r>
      <w:r>
        <w:rPr>
          <w:sz w:val="1"/>
          <w:szCs w:val="1"/>
          <w:color w:val="auto"/>
        </w:rPr>
        <w:drawing>
          <wp:inline distT="0" distB="0" distL="0" distR="0">
            <wp:extent cx="1157605" cy="946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57605" cy="94615"/>
                    </a:xfrm>
                    <a:prstGeom prst="rect">
                      <a:avLst/>
                    </a:prstGeom>
                    <a:noFill/>
                    <a:ln>
                      <a:noFill/>
                    </a:ln>
                  </pic:spPr>
                </pic:pic>
              </a:graphicData>
            </a:graphic>
          </wp:inline>
        </w:drawing>
      </w:r>
      <w:r>
        <w:rPr>
          <w:rFonts w:ascii="Arial" w:cs="Arial" w:eastAsia="Arial" w:hAnsi="Arial"/>
          <w:sz w:val="17"/>
          <w:szCs w:val="17"/>
          <w:color w:val="auto"/>
        </w:rPr>
        <w:t xml:space="preserve"> (located on the following page) and visit: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www.proxyvote.com.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7"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1" w:lineRule="exact"/>
        <w:rPr>
          <w:sz w:val="20"/>
          <w:szCs w:val="20"/>
          <w:color w:val="auto"/>
        </w:rPr>
      </w:pPr>
    </w:p>
    <w:p>
      <w:pPr>
        <w:ind w:left="1640" w:hanging="202"/>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r>
        <w:rPr>
          <w:rFonts w:ascii="Arial" w:cs="Arial" w:eastAsia="Arial" w:hAnsi="Arial"/>
          <w:sz w:val="16"/>
          <w:szCs w:val="16"/>
          <w:color w:val="auto"/>
        </w:rPr>
        <w:t>www.proxyvote.com</w:t>
      </w:r>
    </w:p>
    <w:p>
      <w:pPr>
        <w:spacing w:after="0" w:line="9" w:lineRule="exact"/>
        <w:rPr>
          <w:rFonts w:ascii="Arial" w:cs="Arial" w:eastAsia="Arial" w:hAnsi="Arial"/>
          <w:sz w:val="18"/>
          <w:szCs w:val="18"/>
          <w:color w:val="auto"/>
        </w:rPr>
      </w:pPr>
    </w:p>
    <w:p>
      <w:pPr>
        <w:ind w:left="1640" w:hanging="202"/>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9" w:lineRule="exact"/>
        <w:rPr>
          <w:rFonts w:ascii="Arial" w:cs="Arial" w:eastAsia="Arial" w:hAnsi="Arial"/>
          <w:sz w:val="18"/>
          <w:szCs w:val="18"/>
          <w:color w:val="auto"/>
        </w:rPr>
      </w:pPr>
    </w:p>
    <w:p>
      <w:pPr>
        <w:ind w:left="1640" w:hanging="202"/>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11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spacing w:after="0" w:line="23"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1157605" cy="9461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57605" cy="9461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April 28, 2017 to facilitate timely delivery.</w:t>
      </w:r>
    </w:p>
    <w:p>
      <w:pPr>
        <w:spacing w:after="0" w:line="27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 How To Vote —</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83185</wp:posOffset>
            </wp:positionV>
            <wp:extent cx="6817995" cy="1080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17995" cy="1080770"/>
                    </a:xfrm>
                    <a:prstGeom prst="rect">
                      <a:avLst/>
                    </a:prstGeom>
                    <a:noFill/>
                  </pic:spPr>
                </pic:pic>
              </a:graphicData>
            </a:graphic>
          </wp:anchor>
        </w:drawing>
      </w:r>
    </w:p>
    <w:p>
      <w:pPr>
        <w:spacing w:after="0" w:line="14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stockholder meetings have attendance requirements including, but not limited to, the possession of an attendance ticket</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-116205</wp:posOffset>
            </wp:positionV>
            <wp:extent cx="60325"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548640"/>
                    </a:xfrm>
                    <a:prstGeom prst="rect">
                      <a:avLst/>
                    </a:prstGeom>
                    <a:noFill/>
                  </pic:spPr>
                </pic:pic>
              </a:graphicData>
            </a:graphic>
          </wp:anchor>
        </w:drawing>
      </w:r>
    </w:p>
    <w:p>
      <w:pPr>
        <w:spacing w:after="0" w:line="62"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color w:val="auto"/>
        </w:rPr>
        <w:t>. Have the information that is printed in the box marked by the arrow</w:t>
      </w:r>
      <w:r>
        <w:rPr>
          <w:rFonts w:ascii="Arial" w:cs="Arial" w:eastAsia="Arial" w:hAnsi="Arial"/>
          <w:sz w:val="18"/>
          <w:szCs w:val="18"/>
          <w:b w:val="1"/>
          <w:bCs w:val="1"/>
          <w:color w:val="auto"/>
        </w:rPr>
        <w:t xml:space="preserve"> </w:t>
      </w:r>
      <w:r>
        <w:rPr>
          <w:sz w:val="1"/>
          <w:szCs w:val="1"/>
          <w:color w:val="auto"/>
        </w:rPr>
        <w:drawing>
          <wp:inline distT="0" distB="0" distL="0" distR="0">
            <wp:extent cx="1157605" cy="9461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57605" cy="9461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480"/>
          </w:cols>
          <w:pgMar w:left="980" w:top="324" w:right="439" w:bottom="1440" w:gutter="0" w:footer="0" w:header="0"/>
        </w:sectPr>
      </w:pPr>
    </w:p>
    <w:bookmarkStart w:id="3" w:name="page4"/>
    <w:bookmarkEnd w:id="3"/>
    <w:p>
      <w:pPr>
        <w:ind w:left="1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517525</wp:posOffset>
            </wp:positionH>
            <wp:positionV relativeFrom="page">
              <wp:posOffset>252095</wp:posOffset>
            </wp:positionV>
            <wp:extent cx="246126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61260" cy="171450"/>
                    </a:xfrm>
                    <a:prstGeom prst="rect">
                      <a:avLst/>
                    </a:prstGeom>
                    <a:noFill/>
                  </pic:spPr>
                </pic:pic>
              </a:graphicData>
            </a:graphic>
          </wp:anchor>
        </w:drawing>
        <w:t>Voting Items</w:t>
      </w:r>
    </w:p>
    <w:p>
      <w:pPr>
        <w:spacing w:after="0" w:line="144"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The Board of Directors recommends you vote FOR each of the nominees in item 1 and FOR proposals 2 and 3:</w:t>
      </w:r>
    </w:p>
    <w:p>
      <w:pPr>
        <w:spacing w:after="0" w:line="34" w:lineRule="exact"/>
        <w:rPr>
          <w:sz w:val="20"/>
          <w:szCs w:val="20"/>
          <w:color w:val="auto"/>
        </w:rPr>
      </w:pPr>
    </w:p>
    <w:p>
      <w:pPr>
        <w:ind w:left="360" w:hanging="360"/>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113"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b w:val="1"/>
          <w:bCs w:val="1"/>
          <w:color w:val="auto"/>
        </w:rPr>
        <w:t>Nominees:</w:t>
      </w:r>
    </w:p>
    <w:p>
      <w:pPr>
        <w:spacing w:after="0" w:line="12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1a.   Bradbury H. Anderson</w:t>
      </w:r>
    </w:p>
    <w:p>
      <w:pPr>
        <w:spacing w:after="0" w:line="11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1b.   Frank M. Clark, Jr.</w:t>
      </w:r>
    </w:p>
    <w:p>
      <w:pPr>
        <w:spacing w:after="0" w:line="11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1c.   James C. Fish, Jr.</w:t>
      </w:r>
    </w:p>
    <w:p>
      <w:pPr>
        <w:spacing w:after="0" w:line="11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1d.   Andrés R. Gluski</w:t>
      </w:r>
    </w:p>
    <w:p>
      <w:pPr>
        <w:spacing w:after="0" w:line="11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1e.   Patrick W. Gross</w:t>
      </w:r>
    </w:p>
    <w:p>
      <w:pPr>
        <w:spacing w:after="0" w:line="11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1f.   Victoria M. Holt</w:t>
      </w:r>
    </w:p>
    <w:p>
      <w:pPr>
        <w:spacing w:after="0" w:line="11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1g.   Kathleen M. Mazzarella</w:t>
      </w:r>
    </w:p>
    <w:p>
      <w:pPr>
        <w:spacing w:after="0" w:line="11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1h.   John C. Pope</w:t>
      </w:r>
    </w:p>
    <w:p>
      <w:pPr>
        <w:spacing w:after="0" w:line="11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1i.   Thomas H. Weidemeyer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975360</wp:posOffset>
            </wp:positionV>
            <wp:extent cx="60325"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0" w:right="360" w:hanging="370"/>
        <w:spacing w:after="0" w:line="342"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Ratification of the appointment of Ernst &amp; Young LLP as the independent registered public accounting firm for 2017.</w:t>
      </w:r>
    </w:p>
    <w:p>
      <w:pPr>
        <w:spacing w:after="0" w:line="15" w:lineRule="exact"/>
        <w:rPr>
          <w:rFonts w:ascii="Arial" w:cs="Arial" w:eastAsia="Arial" w:hAnsi="Arial"/>
          <w:sz w:val="16"/>
          <w:szCs w:val="16"/>
          <w:color w:val="auto"/>
        </w:rPr>
      </w:pPr>
    </w:p>
    <w:p>
      <w:pPr>
        <w:ind w:left="380" w:hanging="370"/>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of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-1348105</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The Board of Directors recommends you vote for 1 year:</w:t>
      </w:r>
    </w:p>
    <w:p>
      <w:pPr>
        <w:spacing w:after="0" w:line="148" w:lineRule="exact"/>
        <w:rPr>
          <w:sz w:val="20"/>
          <w:szCs w:val="20"/>
          <w:color w:val="auto"/>
        </w:rPr>
      </w:pPr>
    </w:p>
    <w:p>
      <w:pPr>
        <w:ind w:left="380" w:hanging="370"/>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recommend the frequency of the stockholder vote on executive compensation.</w:t>
      </w:r>
    </w:p>
    <w:p>
      <w:pPr>
        <w:spacing w:after="0" w:line="193" w:lineRule="exact"/>
        <w:rPr>
          <w:sz w:val="20"/>
          <w:szCs w:val="20"/>
          <w:color w:val="auto"/>
        </w:rPr>
      </w:pPr>
    </w:p>
    <w:p>
      <w:pPr>
        <w:ind w:left="20" w:right="60"/>
        <w:spacing w:after="0" w:line="282" w:lineRule="auto"/>
        <w:rPr>
          <w:sz w:val="20"/>
          <w:szCs w:val="20"/>
          <w:color w:val="auto"/>
        </w:rPr>
      </w:pPr>
      <w:r>
        <w:rPr>
          <w:rFonts w:ascii="Arial" w:cs="Arial" w:eastAsia="Arial" w:hAnsi="Arial"/>
          <w:sz w:val="18"/>
          <w:szCs w:val="18"/>
          <w:b w:val="1"/>
          <w:bCs w:val="1"/>
          <w:color w:val="auto"/>
        </w:rPr>
        <w:t>The Board of Directors recommends you vote AGAINST proposal 5:</w:t>
      </w:r>
    </w:p>
    <w:p>
      <w:pPr>
        <w:spacing w:after="0" w:line="85" w:lineRule="exact"/>
        <w:rPr>
          <w:sz w:val="20"/>
          <w:szCs w:val="20"/>
          <w:color w:val="auto"/>
        </w:rPr>
      </w:pPr>
    </w:p>
    <w:p>
      <w:pPr>
        <w:ind w:left="380" w:right="240" w:hanging="370"/>
        <w:spacing w:after="0" w:line="264"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Stockholder proposal regarding a policy restricting accelerated vesting of equity awards upon a change in control, if properly presented at the meeting.</w:t>
      </w:r>
    </w:p>
    <w:p>
      <w:pPr>
        <w:spacing w:after="0" w:line="177" w:lineRule="exact"/>
        <w:rPr>
          <w:sz w:val="20"/>
          <w:szCs w:val="20"/>
          <w:color w:val="auto"/>
        </w:rPr>
      </w:pPr>
    </w:p>
    <w:p>
      <w:pPr>
        <w:jc w:val="both"/>
        <w:ind w:right="80"/>
        <w:spacing w:after="0" w:line="347" w:lineRule="auto"/>
        <w:rPr>
          <w:sz w:val="20"/>
          <w:szCs w:val="20"/>
          <w:color w:val="auto"/>
        </w:rPr>
      </w:pPr>
      <w:r>
        <w:rPr>
          <w:rFonts w:ascii="Arial" w:cs="Arial" w:eastAsia="Arial" w:hAnsi="Arial"/>
          <w:sz w:val="16"/>
          <w:szCs w:val="16"/>
          <w:b w:val="1"/>
          <w:bCs w:val="1"/>
          <w:color w:val="auto"/>
        </w:rPr>
        <w:t xml:space="preserve">NOTE: </w:t>
      </w:r>
      <w:r>
        <w:rPr>
          <w:rFonts w:ascii="Arial" w:cs="Arial" w:eastAsia="Arial" w:hAnsi="Arial"/>
          <w:sz w:val="16"/>
          <w:szCs w:val="16"/>
          <w:color w:val="auto"/>
        </w:rPr>
        <w:t>In their discretion, upon such other matters that may properly</w:t>
      </w:r>
      <w:r>
        <w:rPr>
          <w:rFonts w:ascii="Arial" w:cs="Arial" w:eastAsia="Arial" w:hAnsi="Arial"/>
          <w:sz w:val="16"/>
          <w:szCs w:val="16"/>
          <w:b w:val="1"/>
          <w:bCs w:val="1"/>
          <w:color w:val="auto"/>
        </w:rPr>
        <w:t xml:space="preserve"> </w:t>
      </w:r>
      <w:r>
        <w:rPr>
          <w:rFonts w:ascii="Arial" w:cs="Arial" w:eastAsia="Arial" w:hAnsi="Arial"/>
          <w:sz w:val="16"/>
          <w:szCs w:val="16"/>
          <w:color w:val="auto"/>
        </w:rPr>
        <w:t>come before the meeting or any adjournment or adjournments thereof.</w:t>
      </w:r>
    </w:p>
    <w:p>
      <w:pPr>
        <w:sectPr>
          <w:pgSz w:w="11900" w:h="16838" w:orient="portrait"/>
          <w:cols w:equalWidth="0" w:num="2">
            <w:col w:w="4800" w:space="660"/>
            <w:col w:w="5140"/>
          </w:cols>
          <w:pgMar w:left="820" w:top="405" w:right="479" w:bottom="1440" w:gutter="0" w:footer="0" w:header="0"/>
        </w:sectPr>
      </w:pPr>
    </w:p>
    <w:bookmarkStart w:id="4" w:name="page5"/>
    <w:bookmarkEnd w:id="4"/>
    <w:p>
      <w:pPr>
        <w:jc w:val="both"/>
        <w:spacing w:after="0" w:line="34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3141980</wp:posOffset>
            </wp:positionV>
            <wp:extent cx="60325" cy="548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0325" cy="548640"/>
                    </a:xfrm>
                    <a:prstGeom prst="rect">
                      <a:avLst/>
                    </a:prstGeom>
                    <a:noFill/>
                  </pic:spPr>
                </pic:pic>
              </a:graphicData>
            </a:graphic>
          </wp:anchor>
        </w:drawing>
        <w:drawing>
          <wp:anchor simplePos="0" relativeHeight="251657728" behindDoc="1" locked="0" layoutInCell="0" allowOverlap="1">
            <wp:simplePos x="0" y="0"/>
            <wp:positionH relativeFrom="page">
              <wp:posOffset>517525</wp:posOffset>
            </wp:positionH>
            <wp:positionV relativeFrom="page">
              <wp:posOffset>2232660</wp:posOffset>
            </wp:positionV>
            <wp:extent cx="68091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9105" cy="8890"/>
                    </a:xfrm>
                    <a:prstGeom prst="rect">
                      <a:avLst/>
                    </a:prstGeom>
                    <a:noFill/>
                  </pic:spPr>
                </pic:pic>
              </a:graphicData>
            </a:graphic>
          </wp:anchor>
        </w:drawing>
        <w:drawing>
          <wp:anchor simplePos="0" relativeHeight="251657728" behindDoc="1" locked="0" layoutInCell="0" allowOverlap="1">
            <wp:simplePos x="0" y="0"/>
            <wp:positionH relativeFrom="page">
              <wp:posOffset>517525</wp:posOffset>
            </wp:positionH>
            <wp:positionV relativeFrom="page">
              <wp:posOffset>2207260</wp:posOffset>
            </wp:positionV>
            <wp:extent cx="680910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09105" cy="171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2)"/>
      <w:numFmt w:val="decimal"/>
      <w:start w:val="1"/>
    </w:lvl>
  </w:abstractNum>
  <w:abstractNum w:abstractNumId="5">
    <w:nsid w:val="7545E146"/>
    <w:multiLevelType w:val="hybridMultilevel"/>
    <w:lvl w:ilvl="0">
      <w:lvlJc w:val="left"/>
      <w:lvlText w:val="*"/>
      <w:numFmt w:val="bullet"/>
      <w:start w:val="1"/>
    </w:lvl>
    <w:lvl w:ilvl="1">
      <w:lvlJc w:val="left"/>
      <w:lvlText w:val="%2)"/>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1."/>
      <w:numFmt w:val="decimal"/>
      <w:start w:val="4"/>
    </w:lvl>
  </w:abstractNum>
  <w:abstractNum w:abstractNumId="9">
    <w:nsid w:val="4DB127F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2019-12-05T15:53:53Z</dcterms:created>
  <dcterms:modified xsi:type="dcterms:W3CDTF">2019-12-05T15:53:53Z</dcterms:modified>
</cp:coreProperties>
</file>