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AUGUST 18, 1997</w:t>
      </w:r>
    </w:p>
    <w:p>
      <w:pPr>
        <w:spacing w:after="0" w:line="201"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ind w:left="78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S-3</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REGISTRATION STATEMENT UNDER</w:t>
      </w:r>
    </w:p>
    <w:p>
      <w:pPr>
        <w:jc w:val="center"/>
        <w:ind w:right="1999"/>
        <w:spacing w:after="0"/>
        <w:rPr>
          <w:sz w:val="20"/>
          <w:szCs w:val="20"/>
          <w:color w:val="auto"/>
        </w:rPr>
      </w:pPr>
      <w:r>
        <w:rPr>
          <w:rFonts w:ascii="Courier New" w:cs="Courier New" w:eastAsia="Courier New" w:hAnsi="Courier New"/>
          <w:sz w:val="18"/>
          <w:szCs w:val="18"/>
          <w:color w:val="auto"/>
        </w:rPr>
        <w:t>THE SECURITIES ACT OF 1933</w:t>
      </w:r>
    </w:p>
    <w:p>
      <w:pPr>
        <w:ind w:left="3060"/>
        <w:spacing w:after="0" w:line="237"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354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DELAWARE</w:t>
            </w:r>
          </w:p>
        </w:tc>
        <w:tc>
          <w:tcPr>
            <w:tcW w:w="4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4160" w:type="dxa"/>
            <w:vAlign w:val="bottom"/>
          </w:tcPr>
          <w:p>
            <w:pPr>
              <w:ind w:left="22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416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7700" w:type="dxa"/>
            <w:vAlign w:val="bottom"/>
            <w:gridSpan w:val="2"/>
          </w:tcPr>
          <w:p>
            <w:pPr>
              <w:jc w:val="right"/>
              <w:ind w:right="2652"/>
              <w:spacing w:after="0"/>
              <w:rPr>
                <w:sz w:val="20"/>
                <w:szCs w:val="20"/>
                <w:color w:val="auto"/>
              </w:rPr>
            </w:pPr>
            <w:r>
              <w:rPr>
                <w:rFonts w:ascii="Courier New" w:cs="Courier New" w:eastAsia="Courier New" w:hAnsi="Courier New"/>
                <w:sz w:val="18"/>
                <w:szCs w:val="18"/>
                <w:color w:val="auto"/>
              </w:rPr>
              <w:t>1001 FANNIN, SUITE 4000</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HOUSTON,</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TEXAS 77002</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512-6200</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(ADDRESS, INCLUDING ZIP</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CODE, AND TELEPHONE NUMBER,</w:t>
            </w:r>
          </w:p>
        </w:tc>
      </w:tr>
      <w:tr>
        <w:trPr>
          <w:trHeight w:val="203"/>
        </w:trPr>
        <w:tc>
          <w:tcPr>
            <w:tcW w:w="77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INCLUDING AREA CODE, OF REGISTRANT'S PRINCIPAL EXECUTIVE OFFICES)</w:t>
            </w:r>
          </w:p>
        </w:tc>
      </w:tr>
      <w:tr>
        <w:trPr>
          <w:trHeight w:val="405"/>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GREGORY</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T. SANGALIS</w:t>
            </w:r>
          </w:p>
        </w:tc>
      </w:tr>
      <w:tr>
        <w:trPr>
          <w:trHeight w:val="203"/>
        </w:trPr>
        <w:tc>
          <w:tcPr>
            <w:tcW w:w="7700" w:type="dxa"/>
            <w:vAlign w:val="bottom"/>
            <w:gridSpan w:val="2"/>
          </w:tcPr>
          <w:p>
            <w:pPr>
              <w:jc w:val="right"/>
              <w:ind w:right="2652"/>
              <w:spacing w:after="0" w:line="203" w:lineRule="exact"/>
              <w:rPr>
                <w:sz w:val="20"/>
                <w:szCs w:val="20"/>
                <w:color w:val="auto"/>
              </w:rPr>
            </w:pPr>
            <w:r>
              <w:rPr>
                <w:rFonts w:ascii="Courier New" w:cs="Courier New" w:eastAsia="Courier New" w:hAnsi="Courier New"/>
                <w:sz w:val="18"/>
                <w:szCs w:val="18"/>
                <w:color w:val="auto"/>
              </w:rPr>
              <w:t>USA WASTE SERVICES, INC.</w:t>
            </w:r>
          </w:p>
        </w:tc>
      </w:tr>
      <w:tr>
        <w:trPr>
          <w:trHeight w:val="203"/>
        </w:trPr>
        <w:tc>
          <w:tcPr>
            <w:tcW w:w="7700" w:type="dxa"/>
            <w:vAlign w:val="bottom"/>
            <w:gridSpan w:val="2"/>
          </w:tcPr>
          <w:p>
            <w:pPr>
              <w:jc w:val="right"/>
              <w:ind w:right="2652"/>
              <w:spacing w:after="0" w:line="203" w:lineRule="exact"/>
              <w:rPr>
                <w:sz w:val="20"/>
                <w:szCs w:val="20"/>
                <w:color w:val="auto"/>
              </w:rPr>
            </w:pPr>
            <w:r>
              <w:rPr>
                <w:rFonts w:ascii="Courier New" w:cs="Courier New" w:eastAsia="Courier New" w:hAnsi="Courier New"/>
                <w:sz w:val="18"/>
                <w:szCs w:val="18"/>
                <w:color w:val="auto"/>
              </w:rPr>
              <w:t>1001 FANNIN, SUITE 4000</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HOUSTON,</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TEXAS 77002</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512-6200</w:t>
            </w:r>
          </w:p>
        </w:tc>
      </w:tr>
    </w:tbl>
    <w:p>
      <w:pPr>
        <w:spacing w:after="0" w:line="4" w:lineRule="exact"/>
        <w:rPr>
          <w:sz w:val="24"/>
          <w:szCs w:val="24"/>
          <w:color w:val="auto"/>
        </w:rPr>
      </w:pPr>
    </w:p>
    <w:p>
      <w:pPr>
        <w:jc w:val="both"/>
        <w:ind w:left="1480" w:right="3479" w:firstLine="105"/>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6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THOMAS J. MURPHY</w:t>
      </w:r>
    </w:p>
    <w:p>
      <w:pPr>
        <w:jc w:val="center"/>
        <w:ind w:right="1879"/>
        <w:spacing w:after="0" w:line="238" w:lineRule="auto"/>
        <w:rPr>
          <w:sz w:val="20"/>
          <w:szCs w:val="20"/>
          <w:color w:val="auto"/>
        </w:rPr>
      </w:pPr>
      <w:r>
        <w:rPr>
          <w:rFonts w:ascii="Courier New" w:cs="Courier New" w:eastAsia="Courier New" w:hAnsi="Courier New"/>
          <w:sz w:val="18"/>
          <w:szCs w:val="18"/>
          <w:color w:val="auto"/>
        </w:rPr>
        <w:t>McDERMOTT, WILL &amp; EMERY</w:t>
      </w:r>
    </w:p>
    <w:p>
      <w:pPr>
        <w:jc w:val="center"/>
        <w:ind w:right="1999"/>
        <w:spacing w:after="0"/>
        <w:rPr>
          <w:sz w:val="20"/>
          <w:szCs w:val="20"/>
          <w:color w:val="auto"/>
        </w:rPr>
      </w:pPr>
      <w:r>
        <w:rPr>
          <w:rFonts w:ascii="Courier New" w:cs="Courier New" w:eastAsia="Courier New" w:hAnsi="Courier New"/>
          <w:sz w:val="18"/>
          <w:szCs w:val="18"/>
          <w:color w:val="auto"/>
        </w:rPr>
        <w:t>227 WEST MONROE STREET</w:t>
      </w:r>
    </w:p>
    <w:p>
      <w:pPr>
        <w:jc w:val="center"/>
        <w:ind w:right="1879"/>
        <w:spacing w:after="0"/>
        <w:tabs>
          <w:tab w:leader="none" w:pos="180" w:val="left"/>
        </w:tabs>
        <w:rPr>
          <w:sz w:val="20"/>
          <w:szCs w:val="20"/>
          <w:color w:val="auto"/>
        </w:rPr>
      </w:pPr>
      <w:r>
        <w:rPr>
          <w:rFonts w:ascii="Courier New" w:cs="Courier New" w:eastAsia="Courier New" w:hAnsi="Courier New"/>
          <w:sz w:val="18"/>
          <w:szCs w:val="18"/>
          <w:color w:val="auto"/>
        </w:rPr>
        <w:t>CHICAGO, IL</w:t>
      </w:r>
      <w:r>
        <w:rPr>
          <w:sz w:val="20"/>
          <w:szCs w:val="20"/>
          <w:color w:val="auto"/>
        </w:rPr>
        <w:tab/>
      </w:r>
      <w:r>
        <w:rPr>
          <w:rFonts w:ascii="Courier New" w:cs="Courier New" w:eastAsia="Courier New" w:hAnsi="Courier New"/>
          <w:sz w:val="16"/>
          <w:szCs w:val="16"/>
          <w:color w:val="auto"/>
        </w:rPr>
        <w:t>60606-5096</w:t>
      </w:r>
    </w:p>
    <w:p>
      <w:pPr>
        <w:jc w:val="center"/>
        <w:ind w:right="1999"/>
        <w:spacing w:after="0" w:line="238" w:lineRule="auto"/>
        <w:rPr>
          <w:sz w:val="20"/>
          <w:szCs w:val="20"/>
          <w:color w:val="auto"/>
        </w:rPr>
      </w:pPr>
      <w:r>
        <w:rPr>
          <w:rFonts w:ascii="Courier New" w:cs="Courier New" w:eastAsia="Courier New" w:hAnsi="Courier New"/>
          <w:sz w:val="18"/>
          <w:szCs w:val="18"/>
          <w:color w:val="auto"/>
        </w:rPr>
        <w:t>(312) 372-2000</w:t>
      </w:r>
    </w:p>
    <w:p>
      <w:pPr>
        <w:spacing w:after="0" w:line="208"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Registration Statement becomes effective.</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ectPr>
          <w:pgSz w:w="11900" w:h="16838" w:orient="portrait"/>
          <w:cols w:equalWidth="0" w:num="1">
            <w:col w:w="10219"/>
          </w:cols>
          <w:pgMar w:left="240" w:top="649" w:right="1440" w:bottom="1440" w:gutter="0" w:footer="0" w:header="0"/>
        </w:sectPr>
      </w:pPr>
    </w:p>
    <w:bookmarkStart w:id="1" w:name="page2"/>
    <w:bookmarkEnd w:id="1"/>
    <w:p>
      <w:pPr>
        <w:ind w:right="199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If delivery of this prospectus is expected to be made pursuant to Rule 434, please check the following box. [ ]</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300"/>
              <w:spacing w:after="0"/>
              <w:rPr>
                <w:sz w:val="20"/>
                <w:szCs w:val="20"/>
                <w:color w:val="auto"/>
              </w:rPr>
            </w:pPr>
            <w:r>
              <w:rPr>
                <w:rFonts w:ascii="Courier New" w:cs="Courier New" w:eastAsia="Courier New" w:hAnsi="Courier New"/>
                <w:sz w:val="18"/>
                <w:szCs w:val="18"/>
                <w:color w:val="auto"/>
              </w:rPr>
              <w:t>Proposed</w:t>
            </w:r>
          </w:p>
        </w:tc>
        <w:tc>
          <w:tcPr>
            <w:tcW w:w="1520" w:type="dxa"/>
            <w:vAlign w:val="bottom"/>
          </w:tcPr>
          <w:p>
            <w:pPr>
              <w:spacing w:after="0"/>
              <w:rPr>
                <w:sz w:val="17"/>
                <w:szCs w:val="17"/>
                <w:color w:val="auto"/>
              </w:rPr>
            </w:pPr>
          </w:p>
        </w:tc>
      </w:tr>
      <w:tr>
        <w:trPr>
          <w:trHeight w:val="203"/>
        </w:trPr>
        <w:tc>
          <w:tcPr>
            <w:tcW w:w="14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Title of</w:t>
            </w:r>
          </w:p>
        </w:tc>
        <w:tc>
          <w:tcPr>
            <w:tcW w:w="15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maximum</w:t>
            </w:r>
          </w:p>
        </w:tc>
        <w:tc>
          <w:tcPr>
            <w:tcW w:w="1520" w:type="dxa"/>
            <w:vAlign w:val="bottom"/>
          </w:tcPr>
          <w:p>
            <w:pPr>
              <w:spacing w:after="0"/>
              <w:rPr>
                <w:sz w:val="17"/>
                <w:szCs w:val="17"/>
                <w:color w:val="auto"/>
              </w:rPr>
            </w:pPr>
          </w:p>
        </w:tc>
      </w:tr>
      <w:tr>
        <w:trPr>
          <w:trHeight w:val="203"/>
        </w:trPr>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Amount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aggregate</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Amount of</w:t>
            </w:r>
          </w:p>
        </w:tc>
      </w:tr>
      <w:tr>
        <w:trPr>
          <w:trHeight w:val="203"/>
        </w:trPr>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price</w:t>
            </w:r>
          </w:p>
        </w:tc>
        <w:tc>
          <w:tcPr>
            <w:tcW w:w="1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offering</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registered</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registered</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 share(1)</w:t>
            </w:r>
          </w:p>
        </w:tc>
        <w:tc>
          <w:tcPr>
            <w:tcW w:w="1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price(1)</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fee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$.01 par value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4,961,539</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$ 40.34 (2)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$ 200,148,483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$ 60,652</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purposes of calculating the registration fee.</w:t>
      </w:r>
    </w:p>
    <w:p>
      <w:pPr>
        <w:spacing w:after="0" w:line="4"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in accordance with Rule 457(c) on the basis of the average of the high and low closing prices for the Common Stock on the New York Stock Exchange on August 15, 1997.</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SUCH SECTION 8(A), MAY DETERMINE.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SUBJECT TO COMPLETION, DATED AUGUST 18,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4,961,539 Shares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Prospectus relates to an offering of up to 4,961,539 shares (the</w:t>
      </w:r>
    </w:p>
    <w:p>
      <w:pPr>
        <w:spacing w:after="0" w:line="238" w:lineRule="auto"/>
        <w:rPr>
          <w:sz w:val="20"/>
          <w:szCs w:val="20"/>
          <w:color w:val="auto"/>
        </w:rPr>
      </w:pPr>
      <w:r>
        <w:rPr>
          <w:rFonts w:ascii="Courier New" w:cs="Courier New" w:eastAsia="Courier New" w:hAnsi="Courier New"/>
          <w:sz w:val="18"/>
          <w:szCs w:val="18"/>
          <w:color w:val="auto"/>
        </w:rPr>
        <w:t>"Shares") of Common Stock, $.01 par value (the "Common Stock"), of USA Waste</w:t>
      </w:r>
    </w:p>
    <w:p>
      <w:pPr>
        <w:spacing w:after="0"/>
        <w:rPr>
          <w:sz w:val="20"/>
          <w:szCs w:val="20"/>
          <w:color w:val="auto"/>
        </w:rPr>
      </w:pPr>
      <w:r>
        <w:rPr>
          <w:rFonts w:ascii="Courier New" w:cs="Courier New" w:eastAsia="Courier New" w:hAnsi="Courier New"/>
          <w:sz w:val="18"/>
          <w:szCs w:val="18"/>
          <w:color w:val="auto"/>
        </w:rPr>
        <w:t>Services, Inc., a Delaware corporation ("USA Waste" or the "Company") that may</w:t>
      </w:r>
    </w:p>
    <w:p>
      <w:pPr>
        <w:spacing w:after="0" w:line="237" w:lineRule="auto"/>
        <w:rPr>
          <w:sz w:val="20"/>
          <w:szCs w:val="20"/>
          <w:color w:val="auto"/>
        </w:rPr>
      </w:pPr>
      <w:r>
        <w:rPr>
          <w:rFonts w:ascii="Courier New" w:cs="Courier New" w:eastAsia="Courier New" w:hAnsi="Courier New"/>
          <w:sz w:val="18"/>
          <w:szCs w:val="18"/>
          <w:color w:val="auto"/>
        </w:rPr>
        <w:t>be issued to holders (the "Holders") of 4-1/2% Convertible Subordinated</w:t>
      </w:r>
    </w:p>
    <w:p>
      <w:pPr>
        <w:spacing w:after="0" w:line="238" w:lineRule="auto"/>
        <w:rPr>
          <w:sz w:val="20"/>
          <w:szCs w:val="20"/>
          <w:color w:val="auto"/>
        </w:rPr>
      </w:pPr>
      <w:r>
        <w:rPr>
          <w:rFonts w:ascii="Courier New" w:cs="Courier New" w:eastAsia="Courier New" w:hAnsi="Courier New"/>
          <w:sz w:val="18"/>
          <w:szCs w:val="18"/>
          <w:color w:val="auto"/>
        </w:rPr>
        <w:t>Notes due June 1, 2001 (the "Notes") of United Waste Systems, Inc., a Delaware</w:t>
      </w:r>
    </w:p>
    <w:p>
      <w:pPr>
        <w:spacing w:after="0"/>
        <w:rPr>
          <w:sz w:val="20"/>
          <w:szCs w:val="20"/>
          <w:color w:val="auto"/>
        </w:rPr>
      </w:pPr>
      <w:r>
        <w:rPr>
          <w:rFonts w:ascii="Courier New" w:cs="Courier New" w:eastAsia="Courier New" w:hAnsi="Courier New"/>
          <w:sz w:val="18"/>
          <w:szCs w:val="18"/>
          <w:color w:val="auto"/>
        </w:rPr>
        <w:t>Corporation ("United") upon conversion of the Notes. The Company will not</w:t>
      </w:r>
    </w:p>
    <w:p>
      <w:pPr>
        <w:spacing w:after="0" w:line="237" w:lineRule="auto"/>
        <w:rPr>
          <w:sz w:val="20"/>
          <w:szCs w:val="20"/>
          <w:color w:val="auto"/>
        </w:rPr>
      </w:pPr>
      <w:r>
        <w:rPr>
          <w:rFonts w:ascii="Courier New" w:cs="Courier New" w:eastAsia="Courier New" w:hAnsi="Courier New"/>
          <w:sz w:val="18"/>
          <w:szCs w:val="18"/>
          <w:color w:val="auto"/>
        </w:rPr>
        <w:t>receive any cash proceeds from conversion of the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__, 1997, Riviera Acquisition Corporation, a wholly-owned subsidiary of USA Waste ("Acquisition") was merged with and into United (the "Merger") pursuant to an Agreement and Plan of Merger dated as of April 13, 1997 (the "Merger Agreement"), with United becoming the surviving corporation in the Merger (the "Surviving Corporation"). Pursuant to the terms of the Merger Agreement and the Indenture relating to the Notes (the "Indenture"), United, USA Waste and Bankers Trust Company, as trustee under the Indenture (the "Trustee"), executed a Supplemental Indenture (the "Supplemental Indenture"), effective as of the date the Merger was consummated, pursuant to which the Notes became convertible from and after the Merger into shares of Common Stock of USA Waste (and cash in lieu of fractional shares).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shares of Common Stock of USA Waste at any time from and after the date of consummation of the Merger and prior to the close of business on the maturity date, unless previously redeemed or repurchased, at a conversion price of $30.2325581396 per share (equivalent to a conversion rate of 33.0769230768 shares per $1,000 principal amount of Notes), subject to adjustment in certain events.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Shares of Common Stock offered hereby have been listed on the NYSE. On August 15, 1997, the closing sale price of the Common Stock on the NYSE was $39.81 per share, as published in the Wall Street Journal.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220"/>
        <w:spacing w:after="0"/>
        <w:rPr>
          <w:sz w:val="20"/>
          <w:szCs w:val="20"/>
          <w:color w:val="auto"/>
        </w:rPr>
      </w:pPr>
      <w:r>
        <w:rPr>
          <w:rFonts w:ascii="Courier New" w:cs="Courier New" w:eastAsia="Courier New" w:hAnsi="Courier New"/>
          <w:sz w:val="18"/>
          <w:szCs w:val="18"/>
          <w:color w:val="auto"/>
        </w:rPr>
        <w:t>All expenses of this offering will be paid by the Company.</w:t>
      </w:r>
    </w:p>
    <w:p>
      <w:pPr>
        <w:spacing w:after="0" w:line="207" w:lineRule="exact"/>
        <w:rPr>
          <w:sz w:val="20"/>
          <w:szCs w:val="20"/>
          <w:color w:val="auto"/>
        </w:rPr>
      </w:pPr>
    </w:p>
    <w:p>
      <w:pPr>
        <w:jc w:val="center"/>
        <w:ind w:left="680" w:right="100"/>
        <w:spacing w:after="0" w:line="236" w:lineRule="auto"/>
        <w:rPr>
          <w:sz w:val="20"/>
          <w:szCs w:val="20"/>
          <w:color w:val="auto"/>
        </w:rPr>
      </w:pPr>
      <w:r>
        <w:rPr>
          <w:rFonts w:ascii="Courier New" w:cs="Courier New" w:eastAsia="Courier New" w:hAnsi="Courier New"/>
          <w:sz w:val="18"/>
          <w:szCs w:val="18"/>
          <w:color w:val="auto"/>
        </w:rPr>
        <w:t>SEE "RISK FACTORS" ON PAGE 8 FOR A DISCUSSION OF CERTAIN FACTORS THAT SHOULD BE CONSIDERED BY HOLDERS OF THE NOTES PRIOR TO CONVERTING SUCH NOTES INTO COMMON STOCK.</w:t>
      </w:r>
    </w:p>
    <w:p>
      <w:pPr>
        <w:spacing w:after="0" w:line="200" w:lineRule="exact"/>
        <w:rPr>
          <w:sz w:val="20"/>
          <w:szCs w:val="20"/>
          <w:color w:val="auto"/>
        </w:rPr>
      </w:pPr>
    </w:p>
    <w:p>
      <w:pPr>
        <w:spacing w:after="0" w:line="21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w:t>
      </w:r>
    </w:p>
    <w:p>
      <w:pPr>
        <w:spacing w:after="0" w:line="21" w:lineRule="exact"/>
        <w:rPr>
          <w:sz w:val="20"/>
          <w:szCs w:val="20"/>
          <w:color w:val="auto"/>
        </w:rPr>
      </w:pPr>
    </w:p>
    <w:p>
      <w:pPr>
        <w:jc w:val="center"/>
        <w:ind w:left="580" w:right="300"/>
        <w:spacing w:after="0" w:line="268" w:lineRule="auto"/>
        <w:rPr>
          <w:sz w:val="20"/>
          <w:szCs w:val="20"/>
          <w:color w:val="auto"/>
        </w:rPr>
      </w:pPr>
      <w:r>
        <w:rPr>
          <w:rFonts w:ascii="Courier New" w:cs="Courier New" w:eastAsia="Courier New" w:hAnsi="Courier New"/>
          <w:sz w:val="16"/>
          <w:szCs w:val="16"/>
          <w:color w:val="auto"/>
        </w:rPr>
        <w:t>AND EXCHANGE COMMISSION OR ANY STATE SECURITIES COMMISSION NOR HAS THE COMMISSION OR ANY STATE SECURITIES COMMISSION PASSED UPON THE ACCURACY OR ADEQUACY OF THIS PROSPECTUS.  ANY REPRESENTATION</w:t>
      </w:r>
    </w:p>
    <w:p>
      <w:pPr>
        <w:ind w:left="1800"/>
        <w:spacing w:after="0" w:line="233" w:lineRule="auto"/>
        <w:rPr>
          <w:sz w:val="20"/>
          <w:szCs w:val="20"/>
          <w:color w:val="auto"/>
        </w:rPr>
      </w:pPr>
      <w:r>
        <w:rPr>
          <w:rFonts w:ascii="Courier New" w:cs="Courier New" w:eastAsia="Courier New" w:hAnsi="Courier New"/>
          <w:sz w:val="18"/>
          <w:szCs w:val="18"/>
          <w:color w:val="auto"/>
        </w:rPr>
        <w:t>TO THE CONTRARY IS A CRIMINAL OFFENSE.</w:t>
      </w:r>
    </w:p>
    <w:p>
      <w:pPr>
        <w:spacing w:after="0" w:line="200" w:lineRule="exact"/>
        <w:rPr>
          <w:sz w:val="20"/>
          <w:szCs w:val="20"/>
          <w:color w:val="auto"/>
        </w:rPr>
      </w:pPr>
    </w:p>
    <w:p>
      <w:pPr>
        <w:spacing w:after="0" w:line="205" w:lineRule="exact"/>
        <w:rPr>
          <w:sz w:val="20"/>
          <w:szCs w:val="20"/>
          <w:color w:val="auto"/>
        </w:rPr>
      </w:pPr>
    </w:p>
    <w:p>
      <w:pPr>
        <w:jc w:val="center"/>
        <w:ind w:right="2299"/>
        <w:spacing w:after="0"/>
        <w:tabs>
          <w:tab w:leader="none" w:pos="280" w:val="left"/>
        </w:tabs>
        <w:rPr>
          <w:sz w:val="20"/>
          <w:szCs w:val="20"/>
          <w:color w:val="auto"/>
        </w:rPr>
      </w:pPr>
      <w:r>
        <w:rPr>
          <w:rFonts w:ascii="Courier New" w:cs="Courier New" w:eastAsia="Courier New" w:hAnsi="Courier New"/>
          <w:sz w:val="18"/>
          <w:szCs w:val="18"/>
          <w:color w:val="auto"/>
        </w:rPr>
        <w:t>The date of this Prospectus is August</w:t>
      </w:r>
      <w:r>
        <w:rPr>
          <w:sz w:val="20"/>
          <w:szCs w:val="20"/>
          <w:color w:val="auto"/>
        </w:rPr>
        <w:tab/>
      </w:r>
      <w:r>
        <w:rPr>
          <w:rFonts w:ascii="Courier New" w:cs="Courier New" w:eastAsia="Courier New" w:hAnsi="Courier New"/>
          <w:sz w:val="16"/>
          <w:szCs w:val="16"/>
          <w:color w:val="auto"/>
        </w:rPr>
        <w:t>, 1997</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717" w:right="1440" w:bottom="1440" w:gutter="0" w:footer="0" w:header="0"/>
        </w:sectPr>
      </w:pPr>
    </w:p>
    <w:bookmarkStart w:id="4" w:name="page5"/>
    <w:bookmarkEnd w:id="4"/>
    <w:p>
      <w:pPr>
        <w:ind w:right="1779" w:firstLine="527"/>
        <w:spacing w:after="0" w:line="237" w:lineRule="auto"/>
        <w:rPr>
          <w:sz w:val="20"/>
          <w:szCs w:val="20"/>
          <w:color w:val="auto"/>
        </w:rPr>
      </w:pPr>
      <w:r>
        <w:rPr>
          <w:rFonts w:ascii="Courier New" w:cs="Courier New" w:eastAsia="Courier New" w:hAnsi="Courier New"/>
          <w:sz w:val="18"/>
          <w:szCs w:val="18"/>
          <w:color w:val="auto"/>
        </w:rPr>
        <w:t>No dealer, salesman, or any other person has been authorized to give any information or to make any representation other than those contained in this Prospectus in connection with the offering contained herein, and, if given or made, such information or representation must not be relied upon as having been authorized by the Company.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0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740" w:type="dxa"/>
            <w:vAlign w:val="bottom"/>
          </w:tcPr>
          <w:p>
            <w:pPr>
              <w:spacing w:after="0"/>
              <w:rPr>
                <w:sz w:val="17"/>
                <w:szCs w:val="17"/>
                <w:color w:val="auto"/>
              </w:rPr>
            </w:pPr>
          </w:p>
        </w:tc>
      </w:tr>
      <w:tr>
        <w:trPr>
          <w:trHeight w:val="405"/>
        </w:trPr>
        <w:tc>
          <w:tcPr>
            <w:tcW w:w="7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7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00" w:type="dxa"/>
            <w:vAlign w:val="bottom"/>
          </w:tcPr>
          <w:p>
            <w:pPr>
              <w:spacing w:after="0"/>
              <w:rPr>
                <w:sz w:val="20"/>
                <w:szCs w:val="20"/>
                <w:color w:val="auto"/>
              </w:rPr>
            </w:pPr>
            <w:r>
              <w:rPr>
                <w:rFonts w:ascii="Courier New" w:cs="Courier New" w:eastAsia="Courier New" w:hAnsi="Courier New"/>
                <w:sz w:val="18"/>
                <w:szCs w:val="18"/>
                <w:color w:val="auto"/>
              </w:rPr>
              <w:t>Available Information.................................................</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of Certain Information by Reference.....................</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Recent Development....................................................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Risk Factors..........................................................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Use of Proceeds.......................................................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Capital Stock..........................................</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Manner of Offering....................................................</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Matters.........................................................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Experts...............................................................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7700" w:type="dxa"/>
            <w:vAlign w:val="bottom"/>
          </w:tcPr>
          <w:p>
            <w:pPr>
              <w:ind w:left="4020"/>
              <w:spacing w:after="0"/>
              <w:rPr>
                <w:sz w:val="20"/>
                <w:szCs w:val="20"/>
                <w:color w:val="auto"/>
              </w:rPr>
            </w:pPr>
            <w:r>
              <w:rPr>
                <w:rFonts w:ascii="Courier New" w:cs="Courier New" w:eastAsia="Courier New" w:hAnsi="Courier New"/>
                <w:sz w:val="18"/>
                <w:szCs w:val="18"/>
                <w:color w:val="auto"/>
              </w:rPr>
              <w:t>-5-</w:t>
            </w:r>
          </w:p>
        </w:tc>
        <w:tc>
          <w:tcPr>
            <w:tcW w:w="74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and information statements, and other information filed by the Company can be inspected and copied at the public reference facilities maintained by the Commission at Room 1024, Judiciary Plaza Building, 450 Fifth Street, N.W., Washington, D.C. 20549 and at the following Regional Offices of the Commission: Chicago Regional Office, Citicorp Center, 500 West Madison, Suite 1400, Chicago, Illinois 60661-2511; and New York Regional Office, Seven World Trade Center, Suite 1300, New York, New York 10048. Copies of such material can be obtained from the Public Reference Section of the Commission at 450 Fifth Street, N.W., Room 1024, Washington, D.C. 20549, at prescribed rates. The Commission maintains a World Wide Web site on the Internet at http:/www.sec.gov that contains reports, proxy and information statements, and other information regarding registrants that file electronically with the Commission. In addition, the Company's securities are listed on the NYSE and reports, proxy and information statements, and other information concerning the Company can be inspected at the offices of the NYSE at 20 Broad Street, New York, New York 10005.</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Prospectus constitutes part of a Registration Statement on Form S-3 (together with all amendments and exhibits thereto, the "Registration Statement") filed by the Company with the Commission under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pacing w:after="0" w:line="200" w:lineRule="exact"/>
        <w:rPr>
          <w:sz w:val="20"/>
          <w:szCs w:val="20"/>
          <w:color w:val="auto"/>
        </w:rPr>
      </w:pPr>
    </w:p>
    <w:p>
      <w:pPr>
        <w:spacing w:after="0" w:line="20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INCORPORATION OF CERTAIN INFORMATION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INCORPORATES DOCUMENTS BY REFERENCE THAT ARE NOT PRESENTED HEREIN OR DELIVERED HEREWITH. THESE DOCUMENTS ARE AVAILABLE UPON REQUEST FROM THE CORPORATE SECRETARY, USA WASTE SERVICES, INC., 1001 FANNIN STREET, SUITE 4000, HOUSTON, TEXAS 77002, TELEPHONE NUMBER (713) 512-6200. IN ORDER TO ENSURE TIMELY DELIVERY OF THESE DOCUMENTS, ANY REQUEST SHOULD BE MADE BY A DATE THAT IS AT LEAST FIVE DAYS PRIOR TO THE DATE ON WHICH THE FINAL INVESTMENT DECISION MUST BE MADE.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documents filed by the Company with the Commission under the Exchange Act (File No. 1-12154) and the Securities Act are incorporated by reference in this Prospectus and made a part hereof:</w:t>
      </w:r>
    </w:p>
    <w:p>
      <w:pPr>
        <w:spacing w:after="0" w:line="209" w:lineRule="exact"/>
        <w:rPr>
          <w:sz w:val="20"/>
          <w:szCs w:val="20"/>
          <w:color w:val="auto"/>
        </w:rPr>
      </w:pPr>
    </w:p>
    <w:p>
      <w:pPr>
        <w:ind w:left="1060" w:right="219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December 31, 1996, as amended by its Annual Report on Form 10-K/A (Amendment No. 1) filed April 30, 1997;</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three months ended March 31, 1997 and June 30, 1997;</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filed January 13, 1997, January 24, 1997, February 6, 1997, February 7, 1997, March 27, 1997 (as amended by the Company's Current Reports on Form 8-K/A filed April 15, 1997 and July 23, 1997) and April 17, 1997;</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ind w:left="1060" w:right="17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Joint Proxy Statement and Prospectus, which is part of the Company's Registration Statement on Form S-4 (File No. 333-31979) filed on July 24, 1997, as amended by the Form S-4/A filed on July 24, 1997; and</w:t>
      </w:r>
    </w:p>
    <w:p>
      <w:pPr>
        <w:spacing w:after="0" w:line="207"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contained in the Company's Registration Statement on Form 8-A dated July 1, 1993, as amended by Form 8-B dated July 13, 1995.</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Exchange Act subsequent to the date of this Prospectus and prior to the termination of the offering described herein shall be deemed to be incorporated by reference and to be a part of this Prospectus from the date of filing of such documents. All information appearing in this Prospectus is qualified in its entirety by the information and financial statements (including the notes thereto) appearing in the documents incorporated by reference. Any statement contained in a document incorporated by reference herein shall be deemed to be modified or superseded for all purposes to the extent that a statement contained herein or in any other subsequently filed document which also is or is deemed to be incorporated by reference herein modifies or replaces such statement. Any such statement so modified or superseded shall not be deemed, except as so modified or superseded, to constitute a part of this Prospectus.</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1996 revenues, and serves municipal, commercial, industrial and residential customers in various locations in the United States, Canada, Puerto Rico and Mexico. The Company's solid waste management services include collection, transfer and disposal operations and, to a lesser extent, recycling and certain other waste management services.</w:t>
      </w:r>
    </w:p>
    <w:p>
      <w:pPr>
        <w:spacing w:after="0" w:line="18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 intends to continue to capitalize on the consolidation in the solid waste management industry. Key elements of the Company's strategy include</w:t>
      </w:r>
    </w:p>
    <w:p>
      <w:pPr>
        <w:ind w:right="1779" w:firstLine="8"/>
        <w:spacing w:after="0" w:line="270"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38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Additional information concerning the Company's business, assets, management, results of operations and other matters is included in the Company's reports filed under the Exchange Act that are incorporated by reference in this Prospectus. See "Incorporation of Certain Information by Reference."</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terms "Company" and "USA Waste" refer to USA Waste Services, Inc., a Delaware corporation, and its subsidiaries and predecessors unless the context requires otherwise. USA Waste was incorporated under the laws of the State of Delaware in April 1995 to become the successor to USA Waste Services, Inc., an Oklahoma corporation organized in 1987. The Company's executive offices are located at 1001 Fannin, Suite 4000, Houston, Texas 77002, and its telephone number is (713) 512-6200.</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ind w:left="3160"/>
        <w:spacing w:after="0"/>
        <w:rPr>
          <w:sz w:val="20"/>
          <w:szCs w:val="20"/>
          <w:color w:val="auto"/>
        </w:rPr>
      </w:pPr>
      <w:r>
        <w:rPr>
          <w:rFonts w:ascii="Courier New" w:cs="Courier New" w:eastAsia="Courier New" w:hAnsi="Courier New"/>
          <w:sz w:val="18"/>
          <w:szCs w:val="18"/>
          <w:color w:val="auto"/>
        </w:rPr>
        <w:t>RECENT DEVELOPMENT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August __, 1997, a wholly-owned subsidiary of USA Waste was merged with and into United, and United became a wholly-owned subsidiary of USA Waste. Prior to the Merger, United was the sixth largest provider of integrated, non-hazardous solid waste management services in the United States, as measured by 1996 revenues. Prior to the Merger, United owned or operated 39 landfills, 80 collection companies and 78 transfer stations, and served approximately 950,000 customers in 24 states.</w:t>
      </w:r>
    </w:p>
    <w:p>
      <w:pPr>
        <w:spacing w:after="0" w:line="200" w:lineRule="exact"/>
        <w:rPr>
          <w:sz w:val="20"/>
          <w:szCs w:val="20"/>
          <w:color w:val="auto"/>
        </w:rPr>
      </w:pPr>
    </w:p>
    <w:p>
      <w:pPr>
        <w:spacing w:after="0" w:line="20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addition to the other information set forth in this Prospectus, the following factors should be considered by Holders when evaluating whether to convert their Notes into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 May Not Prove Accurate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When used or incorporated by reference in this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Among the key factors that have a direct bearing on the Company's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The Company has also made certain assumptions relating to the outcome of various commercial, legal and regulatory proceedings relating to the Company's operations and the industry generally. These and other risk factors are discussed below.</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Assurance of Successful Management and Maintenance of Growth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Whether the anticipated benefits of the acquired operations are ultimately achieved will depend on a number of factors, including the ability of the Company to achieve administrative cost savings, rationalization of collection routes, geographic and other efficiencies resulting from access to more landfills, insurance and bonding cost reductions, lower cost of capital and general economies of scale and the ability of the Company to retain municipal contracts and to capitalize on its combined asset base and strategic position.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Moreover, the ability of the Company to continue to grow will depend on a number of factors, including competition from other waste management companies, availability of satisfactory acquisition opportunities, availability of capital, ability to maintain margins and the management of costs in a changing regulatory environment. There can be no assurance that the Company will continue to expand and successfully manage its growth.</w:t>
      </w:r>
    </w:p>
    <w:p>
      <w:pPr>
        <w:spacing w:after="0" w:line="21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Risks Associated with Acquisitions, Including Legal Matters and Potential Dilution of Ownership Interests of Existing Stockholders</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Company regularly pursues opportunities to expand through acquisitions. The Company plans to continue to seek acquisitions that complement its services, broaden its customer base and improve its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ind w:right="1779"/>
        <w:spacing w:after="0" w:line="270" w:lineRule="auto"/>
        <w:rPr>
          <w:sz w:val="20"/>
          <w:szCs w:val="20"/>
          <w:color w:val="auto"/>
        </w:rPr>
      </w:pPr>
      <w:r>
        <w:rPr>
          <w:rFonts w:ascii="Courier New" w:cs="Courier New" w:eastAsia="Courier New" w:hAnsi="Courier New"/>
          <w:sz w:val="16"/>
          <w:szCs w:val="16"/>
          <w:color w:val="auto"/>
        </w:rPr>
        <w:t>operating efficiencies. The Company's acquisition strategy involves certain potential risks associated with assessing, acquiring and integrating the operations of acquired companies and potential risks associated with pre-existing liabilities of acquired companies. Among the risks associated with acquisitions is the risk that the acquired company has engaged in or is alleged to have engaged in conduct prior to the date of acquisition that becomes the subject of civil or criminal legal action after such date. Although the Company generally has been successful in implementing its acquisition strategy, there can be no assurance that attractive acquisition opportunities will continue to be available, that the Company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existing stockholders.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Expansion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significant portion of the Company's operations are conducted in Canada. The Company's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the Company. No prediction can be made as to how existing or future foreign governmental regulations in any jurisdiction may affect the Company in particular or the solid waste management industry in general.</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 for Capital; Debt Financing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expects to require additional capital from time to time to pursue its acquisition strategy and to fund internal growth. A portion of the Company's future capital requirements may be provided through future debt incurrences or issuances of equity securities. There can be no assurance that the Company will be successful in obtaining additional capital through such debt incurrences or issuances of additional equity securities.</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has historically used variable rate debt under revolving bank credit arrangements as one method of financing its rapid growth. Although recent financings by the Company have reduced the amount of variable rate debt currently outstanding, the Company intends to continue to use variable rate debt together with fixed rate financings. To the extent that variable interest rates tend to fluctuate as general interest rates change, an increase in interest rates could have an adverse effect on the Company's earnings in the future.</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Profitability May Be Affected By Factors Beyond USA Waste's Control, Including Competition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waste management industry is highly competitive and requires substantial capital resources. The industry consists of several large national waste management companies as well as numerous local and regional companies of varying sizes and financial resources. The Company competes with numerous waste management companies, some of which have significantly larger operations and greater resources than the Company. The Company also competes with those counties and municipalities that maintain their own waste collection and disposal operations. These counties and municipalities may have financial advantages due to the availability to them of tax revenues and tax exempt financing. In addition, competitors may reduce the price of their services in an effort to expand sales volume or to win competitively bid municipal contracts. Profitability may also be affected by the increasing national emphasis on recycling, composting, incineration, and other waste reduction programs that could reduce the volume of solid waste collected or deposited in landfills.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Capitalized Expenditures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the Company capitalizes certain expenditures and advances relating to its acquisitions, pending acquisitions and landfill development and expansion projects. Indirect acquisition costs, such as executive salaries, general corporate overhead, public affairs and other corporate services, are expensed as incurred. The Company's policy is to charge against earnings any unamortized capitalized expenditures and advances (net of any portion thereof that the Company estimates will be recoverable, through sale or otherwise) relating to any operation that is permanently shut down, any pending acquisition that is not consummated, and any landfill development or expansion project that is not successfully completed. There can be no assurance that the Company in future periods will not be required to incur a charge against earnings in accordance with such policy, which charge, depending upon the magnitude thereof, could have a material adverse effect on the Company's results of operations, financial condition and cash flows.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Adverse Effect of Government Regulation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operations are subject to and substantially affected by federal, state and local laws, regulations, orders and permits, which govern environmental protection, health and safety, zoning and other matters. These regulations may impose restrictions on operations that could adversely affect the Company's results, such as limitations on the expansion of disposal facilities, limitations on or the banning of disposal of out-of-state waste or certain categories of waste or mandates regarding the disposal of solid waste. In particular, the Company is subject to extensive and evolving environmental and land use laws and regulations, which have become increasingly stringent. These laws and regulations affect the Company's businesses in a variety of ways. In order to develop and operate a landfill or other solid waste management facility, it is necessary to obtain and maintain in effect various facility permits and other governmental approvals, including those related to zoning, environmental and land use. These permit approvals may be time consuming and costly to obtain and may be subject to community opposition by various local elected officials or citizens, regulatory delays, subsequent modifications and other uncertainties. There can be no assurance that the Company will be successful in obtaining and maintaining in effect permits and approvals required for the successful operation and growth of its business, including permits and approvals required for the development of additional disposal capacity needed to replace existing capacity that is exhausted. The design, operation and closure of landfills are also subject to extensive federal and state regulations. These regulations could also require the Company to undertake investigatory or remedial activities, to curtail operations or to close a landfill temporarily or permanently. Furthermore, future changes in these regulations may require the Company to modify, supplement, or replace equipment or facilities at costs which could be substantial.</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Environmental Liability and Limited Insurance Coverage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may be subject to liability for environmental damage that its landfills, transfer stations and collection operations may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have a material adverse effect on the Company's results of operations and financial condition.</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ordinary course of its business, the Company may become involved in a variety of legal and administrative proceedings relating to land use and environmental laws and regulations. These may include proceedings by federal, state or local agencies seeking to impose civil or criminal penalties on the Company for violations of such laws and regulations, or to impose liability on the Company under federal or state statutes, or to revoke, or deny renewal of a permit; actions brought by citizens' groups, adjacent landowners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0" w:name="page11"/>
    <w:bookmarkEnd w:id="10"/>
    <w:p>
      <w:pPr>
        <w:ind w:right="1879"/>
        <w:spacing w:after="0" w:line="237" w:lineRule="auto"/>
        <w:rPr>
          <w:sz w:val="20"/>
          <w:szCs w:val="20"/>
          <w:color w:val="auto"/>
        </w:rPr>
      </w:pPr>
      <w:r>
        <w:rPr>
          <w:rFonts w:ascii="Courier New" w:cs="Courier New" w:eastAsia="Courier New" w:hAnsi="Courier New"/>
          <w:sz w:val="18"/>
          <w:szCs w:val="18"/>
          <w:color w:val="auto"/>
        </w:rPr>
        <w:t>or governmental entities opposing the issuance of a permit or approval to the Company or alleging violations of the permits pursuant to which the Company operates or laws or regulations to which the Company is subject; and actions seeking to impose liability on the Company for any environmental damage at its owned or operated facilities (or at facilities formerly owned by the Company or its predecessors) or damage that those facilities or other properties may have caused to adjacent landowners or others, including groundwater or soil contamination. The adverse outcome of one or more of these proceedings could have a material adverse effect on the Company's results of operations, financial condition and cash flows.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ordinary course of its operations, the Company has from time to time received, and it may in the future receive, citations or notices from governmental authorities that its operations are not in compliance with its permits or certain applicable environmental or land use laws and regulations. The Company generally seeks to work with the authorities to resolve the issues raised by such citations or notices. There can be no assurance, however, that the Company will always be successful in this regard.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insurance for environmental liability is very limited because the Company believes that the cost for such insurance is high relative to the coverage it would provide. Due to the limited nature of such insurance coverage for environmental liability, if the Company were to incur liability for environmental damage, such liability could have a material adverse effect on the Company's results of operations, financial condition and cash flows.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Alternatives To Landfill Disposal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Alternatives to landfill disposal, such as recycling and composting, are increasingly being used. In addition, in certain of the Company's markets, incineration is an alternative to landfill disposal. There also has been an increasing trend at the state and local levels to mandate recycling and waste reduction at the source and to prohibit the disposal of certain types of waste at landfills, such as yard waste. These developments may result in the volume of waste going to landfills being reduced in certain areas, which may affect the Company's ability to operate its landfills at full capacity and the prices that can be charged for landfill disposal services.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never declared or paid cash dividends on its Common Stock. The Company currently expects to retain its earnings for its business and does not anticipate paying dividends on its Common Stock at any time in the foreseeable future. The decision whether to apply legally available funds to the payment of dividends on the Common Stock will be made by the Company's Board of Directors from time to time in the exercise of its business judgment.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Certain provisions of the Company's Restated Certificate of Incorporation and By-laws may have the effect of making more difficult an acquisition of the Company in a transaction that is not approved by the Company's Board of Directors. For example, the Company's Board of Directors is given the power to issue up to 10,000,000 shares of Preferred Stock of the Company in one or more series, and to fix the rights and preferences as to any such series, without further authorization of the holders of Common Stock. In addition, the Company's Board of Directors is divided into three classes, each of which serves for a staggered three-year term, making it more difficult for a third party to gain control of the Company's Board of Directors. These provisions generally are designed to permit the Company to develop its businesses and foster its long-term growth without the disruption caused by the threat of a takeover not deemed by the Company's Board of Directors to be in the best interests of the Company and its stockholders. They may also have the effect of discouraging a third party from making a tender offer or otherwise attempting to gain control of the Company even though such an attempt might be economically beneficial to the Company and its stockholders.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1" w:name="page12"/>
    <w:bookmarkEnd w:id="11"/>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relates to an offering of up to 4,961,539 Shares of Common Stock that may be issued to Holders of the Notes upon conversion thereof pursuant to the Indenture, as amended by the Supplemental Indenture. The Company will not receive any cash proceeds from conversion of the Notes.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Company is authorized to issue 300,000,000 shares of Common Stock, par value $0.01 per share, of which 162,769,036 shares were outstanding at</w:t>
      </w:r>
    </w:p>
    <w:p>
      <w:pPr>
        <w:spacing w:after="0" w:line="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August 12, 1997. The Company is also authorized to issue 10,000,000 shares of Preferred Stock, $.01 par value (the "Preferred Stock"), none of which are outstanding.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Holders of Common Stock have no conversion, redemption, or preemptive rights. All outstanding shares of Common Stock are, and the Shares offered hereby upon issuance thereof in exchange for outstanding Notes as provided in the Indenture, as amended by the Supplemental Indenture, will be, validly issued, fully paid, and nonassessable.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transfer agent and registrar for the Common Stock is Boston EquiServe, L.P., Boston,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Anti-Takeover Law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203 of the Delaware General Corporation Law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content,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3" w:name="page14"/>
    <w:bookmarkEnd w:id="13"/>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10" w:lineRule="exact"/>
        <w:rPr>
          <w:sz w:val="20"/>
          <w:szCs w:val="20"/>
          <w:color w:val="auto"/>
        </w:rPr>
      </w:pPr>
    </w:p>
    <w:p>
      <w:pPr>
        <w:ind w:left="120" w:right="1779" w:firstLine="421"/>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4" w:name="page15"/>
    <w:bookmarkEnd w:id="14"/>
    <w:p>
      <w:pPr>
        <w:ind w:left="3160"/>
        <w:spacing w:after="0"/>
        <w:rPr>
          <w:sz w:val="20"/>
          <w:szCs w:val="20"/>
          <w:color w:val="auto"/>
        </w:rPr>
      </w:pPr>
      <w:r>
        <w:rPr>
          <w:rFonts w:ascii="Courier New" w:cs="Courier New" w:eastAsia="Courier New" w:hAnsi="Courier New"/>
          <w:sz w:val="18"/>
          <w:szCs w:val="18"/>
          <w:color w:val="auto"/>
        </w:rPr>
        <w:t>MANNER OF OFFERING</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This Prospectus relates to an offering by USA Waste of up to 4,961,539 shares of Common Stock issuable to holders of Notes upon the conversion thereof pursuant to the Indenture, as amended by the Supplemental Indenture. The Notes are convertible into shares of Common Stock of USA Waste at any time from and after the date of consummation of the Merger and prior to the close of business on the maturity date, unless previously redeemed or repurchased, at a conversion price of $30.2325581396 per share (equivalent to a conversion rate of</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33.0769230768 shares per $1,000 principal amount of Notes), subject to adjustment in certain events. The Company will not receive any cash proceeds from conversion of the Notes.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5" w:name="page16"/>
    <w:bookmarkEnd w:id="15"/>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Certain legal matters in connection with the Shares have been passed upon for the Company by McDermott, Will &amp; Emery, Chicago, Illinois.</w:t>
      </w:r>
    </w:p>
    <w:p>
      <w:pPr>
        <w:spacing w:after="0" w:line="200" w:lineRule="exact"/>
        <w:rPr>
          <w:sz w:val="20"/>
          <w:szCs w:val="20"/>
          <w:color w:val="auto"/>
        </w:rPr>
      </w:pP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consolidated balance sheets of USA Waste as of December 31, 1996 and 1995 and the consolidated statements of operations, stockholders' equity, and cash flows for each of the three years in the period ended December 31, 1996, incorporated by reference in this Prospectus, have been incorporated herein in reliance on the report of Coopers &amp; Lybrand L.L.P., independent accountants, given on the authority of that firm as experts in accounting and auditing.</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16" w:name="page17"/>
    <w:bookmarkEnd w:id="16"/>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4,961,539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PROSPECTUS</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300"/>
        <w:spacing w:after="0"/>
        <w:tabs>
          <w:tab w:leader="none" w:pos="280" w:val="left"/>
        </w:tabs>
        <w:rPr>
          <w:sz w:val="20"/>
          <w:szCs w:val="20"/>
          <w:color w:val="auto"/>
        </w:rPr>
      </w:pPr>
      <w:r>
        <w:rPr>
          <w:rFonts w:ascii="Courier New" w:cs="Courier New" w:eastAsia="Courier New" w:hAnsi="Courier New"/>
          <w:sz w:val="18"/>
          <w:szCs w:val="18"/>
          <w:color w:val="auto"/>
        </w:rPr>
        <w:t>August</w:t>
        <w:tab/>
        <w:t>, 1997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following table sets forth the estimated expenses in connection with the distribution of the securities covered by this Registration Statement.</w:t>
      </w:r>
    </w:p>
    <w:p>
      <w:pPr>
        <w:spacing w:after="0" w:line="16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Securities and Exchange Commission fee................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60,652</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Accountants' fees and expenses........................</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4,348*</w:t>
            </w: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110,000</w:t>
            </w:r>
          </w:p>
        </w:tc>
      </w:tr>
    </w:tbl>
    <w:p>
      <w:pPr>
        <w:ind w:left="6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Estimated.</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8" w:name="page19"/>
    <w:bookmarkEnd w:id="18"/>
    <w:p>
      <w:pPr>
        <w:ind w:right="1779"/>
        <w:spacing w:after="0" w:line="270" w:lineRule="auto"/>
        <w:rPr>
          <w:sz w:val="20"/>
          <w:szCs w:val="20"/>
          <w:color w:val="auto"/>
        </w:rPr>
      </w:pPr>
      <w:r>
        <w:rPr>
          <w:rFonts w:ascii="Courier New" w:cs="Courier New" w:eastAsia="Courier New" w:hAnsi="Courier New"/>
          <w:sz w:val="16"/>
          <w:szCs w:val="16"/>
          <w:color w:val="auto"/>
        </w:rPr>
        <w:t>(whether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8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 and Exhibit</w:t>
      </w:r>
    </w:p>
    <w:p>
      <w:pPr>
        <w:spacing w:after="0" w:line="207"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4.1</w:t>
        <w:tab/>
        <w:t>Restated Certificate of Incorporation of the Company (Incorporated by reference to Exhibit 3.1 to Post-Effective Amendment No. 1 to the Company's Registration Statement on Form S-4 (File No. 33-60103)).</w:t>
      </w:r>
    </w:p>
    <w:p>
      <w:pPr>
        <w:spacing w:after="0" w:line="209" w:lineRule="exact"/>
        <w:rPr>
          <w:sz w:val="20"/>
          <w:szCs w:val="20"/>
          <w:color w:val="auto"/>
        </w:rPr>
      </w:pPr>
    </w:p>
    <w:p>
      <w:pPr>
        <w:ind w:left="540" w:right="2199" w:hanging="526"/>
        <w:spacing w:after="0" w:line="279" w:lineRule="auto"/>
        <w:tabs>
          <w:tab w:leader="none" w:pos="5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Amendment to Restated Certificate of Incorporation of the Company (Incorporated by reference to Exhibit 3.1(a) to the Company's Quarterly Report on Form 10-Q for the three months ended March 31, 1996.)</w:t>
      </w:r>
    </w:p>
    <w:p>
      <w:pPr>
        <w:spacing w:after="0" w:line="178" w:lineRule="exact"/>
        <w:rPr>
          <w:sz w:val="20"/>
          <w:szCs w:val="20"/>
          <w:color w:val="auto"/>
        </w:rPr>
      </w:pPr>
    </w:p>
    <w:p>
      <w:pPr>
        <w:ind w:left="540" w:right="2199" w:hanging="526"/>
        <w:spacing w:after="0" w:line="279" w:lineRule="auto"/>
        <w:tabs>
          <w:tab w:leader="none" w:pos="5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Conformed Copy of Restated Certificate of Incorporation of the Company (Incorporated by reference to Exhibit 3.1(b) to the Company's Quarterly Report on Form 10-Q for the three months ended March 31, 1996).</w:t>
      </w:r>
    </w:p>
    <w:p>
      <w:pPr>
        <w:spacing w:after="0" w:line="178" w:lineRule="exact"/>
        <w:rPr>
          <w:sz w:val="20"/>
          <w:szCs w:val="20"/>
          <w:color w:val="auto"/>
        </w:rPr>
      </w:pPr>
    </w:p>
    <w:p>
      <w:pPr>
        <w:ind w:left="540" w:right="19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4.4</w:t>
        <w:tab/>
        <w:t>By-laws of the Company (Incorporated by reference to Exhibit 3.2 to the Post-Effective Amendment No. 1 to the Company's Registration Statement on Form S-4 (File No. 33-60103))</w:t>
      </w:r>
    </w:p>
    <w:p>
      <w:pPr>
        <w:spacing w:after="0" w:line="209" w:lineRule="exact"/>
        <w:rPr>
          <w:sz w:val="20"/>
          <w:szCs w:val="20"/>
          <w:color w:val="auto"/>
        </w:rPr>
      </w:pPr>
    </w:p>
    <w:p>
      <w:pPr>
        <w:ind w:left="540" w:right="1779" w:hanging="526"/>
        <w:spacing w:after="0" w:line="290" w:lineRule="auto"/>
        <w:tabs>
          <w:tab w:leader="none" w:pos="52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Specimen Common Stock Certificate (Incorporated by reference to Exhibit 4.3 to the Company's Registration Statement on Form S-3, File No. 33-76224).</w:t>
      </w:r>
    </w:p>
    <w:p>
      <w:pPr>
        <w:spacing w:after="0" w:line="170" w:lineRule="exact"/>
        <w:rPr>
          <w:sz w:val="20"/>
          <w:szCs w:val="20"/>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5.1</w:t>
        <w:tab/>
        <w:t>Opinion of McDermott, Will &amp; Emery as to the legality of the securities being registered.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 Consent of McDermott, Will &amp; Emery (included in Exhibit 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 Consent of 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23.3 Consent of Coopers &amp; Lybrand, Chartered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 Powers of Attorney (included on signature page)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540" w:right="2199" w:firstLine="627"/>
        <w:spacing w:after="0" w:line="290" w:lineRule="auto"/>
        <w:tabs>
          <w:tab w:leader="none" w:pos="1593"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19" w:name="page20"/>
    <w:bookmarkEnd w:id="19"/>
    <w:p>
      <w:pPr>
        <w:ind w:left="525" w:right="1999" w:firstLine="528"/>
        <w:spacing w:after="0" w:line="235" w:lineRule="auto"/>
        <w:tabs>
          <w:tab w:leader="none" w:pos="168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jc w:val="both"/>
        <w:ind w:left="525" w:right="1779" w:firstLine="528"/>
        <w:spacing w:after="0" w:line="237" w:lineRule="auto"/>
        <w:tabs>
          <w:tab w:leader="none" w:pos="168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left="525" w:right="2199" w:firstLine="528"/>
        <w:spacing w:after="0" w:line="237" w:lineRule="auto"/>
        <w:tabs>
          <w:tab w:leader="none" w:pos="168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of any material change to such information in the registration statement;</w:t>
      </w:r>
    </w:p>
    <w:p>
      <w:pPr>
        <w:spacing w:after="0" w:line="207" w:lineRule="exact"/>
        <w:rPr>
          <w:sz w:val="20"/>
          <w:szCs w:val="20"/>
          <w:color w:val="auto"/>
        </w:rPr>
      </w:pPr>
    </w:p>
    <w:p>
      <w:pPr>
        <w:ind w:left="525" w:right="1879"/>
        <w:spacing w:after="0" w:line="237" w:lineRule="auto"/>
        <w:rPr>
          <w:sz w:val="20"/>
          <w:szCs w:val="20"/>
          <w:color w:val="auto"/>
        </w:rPr>
      </w:pPr>
      <w:r>
        <w:rPr>
          <w:rFonts w:ascii="Courier New" w:cs="Courier New" w:eastAsia="Courier New" w:hAnsi="Courier New"/>
          <w:sz w:val="18"/>
          <w:szCs w:val="18"/>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10" w:lineRule="exact"/>
        <w:rPr>
          <w:sz w:val="20"/>
          <w:szCs w:val="20"/>
          <w:color w:val="auto"/>
        </w:rPr>
      </w:pPr>
    </w:p>
    <w:p>
      <w:pPr>
        <w:ind w:left="5" w:right="1879" w:firstLine="627"/>
        <w:spacing w:after="0" w:line="237" w:lineRule="auto"/>
        <w:tabs>
          <w:tab w:leader="none" w:pos="105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 w:right="1779" w:firstLine="627"/>
        <w:spacing w:after="0" w:line="236" w:lineRule="auto"/>
        <w:tabs>
          <w:tab w:leader="none" w:pos="105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 .</w:t>
      </w:r>
    </w:p>
    <w:p>
      <w:pPr>
        <w:spacing w:after="0" w:line="208" w:lineRule="exact"/>
        <w:rPr>
          <w:rFonts w:ascii="Courier New" w:cs="Courier New" w:eastAsia="Courier New" w:hAnsi="Courier New"/>
          <w:sz w:val="18"/>
          <w:szCs w:val="18"/>
          <w:color w:val="auto"/>
        </w:rPr>
      </w:pPr>
    </w:p>
    <w:p>
      <w:pPr>
        <w:ind w:left="-535" w:right="1999" w:firstLine="535"/>
        <w:spacing w:after="0" w:line="271" w:lineRule="auto"/>
        <w:tabs>
          <w:tab w:leader="none" w:pos="41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Courier New" w:cs="Courier New" w:eastAsia="Courier New" w:hAnsi="Courier New"/>
          <w:sz w:val="16"/>
          <w:szCs w:val="16"/>
          <w:color w:val="auto"/>
        </w:rPr>
      </w:pPr>
    </w:p>
    <w:p>
      <w:pPr>
        <w:ind w:left="-535" w:right="1779" w:firstLine="535"/>
        <w:spacing w:after="0" w:line="238" w:lineRule="auto"/>
        <w:tabs>
          <w:tab w:leader="none" w:pos="41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684"/>
          </w:cols>
          <w:pgMar w:left="775" w:top="723" w:right="1440" w:bottom="1440" w:gutter="0" w:footer="0" w:header="0"/>
        </w:sectPr>
      </w:pPr>
    </w:p>
    <w:bookmarkStart w:id="20" w:name="page21"/>
    <w:bookmarkEnd w:id="20"/>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Houston, State of Texas, on the 18th day of August, 1997.</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JOHN E. DRURY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John E. Drury,</w:t>
      </w:r>
    </w:p>
    <w:p>
      <w:pPr>
        <w:ind w:left="474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47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in statements, notices or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21" w:name="page22"/>
    <w:bookmarkEnd w:id="21"/>
    <w:p>
      <w:pPr>
        <w:ind w:right="283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AUGUST 18, 1997.</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/s/JOHN E. DRURY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Title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20" w:lineRule="exact"/>
        <w:rPr>
          <w:sz w:val="20"/>
          <w:szCs w:val="20"/>
          <w:color w:val="auto"/>
        </w:rPr>
      </w:pPr>
    </w:p>
    <w:p>
      <w:pPr>
        <w:sectPr>
          <w:pgSz w:w="11900" w:h="16838" w:orient="portrait"/>
          <w:cols w:equalWidth="0" w:num="2">
            <w:col w:w="2560" w:space="720"/>
            <w:col w:w="6939"/>
          </w:cols>
          <w:pgMar w:left="240" w:top="723" w:right="1440" w:bottom="1440" w:gutter="0" w:footer="0" w:header="0"/>
          <w:type w:val="continuous"/>
        </w:sectPr>
      </w:pPr>
    </w:p>
    <w:p>
      <w:pPr>
        <w:ind w:right="283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(principal executive officer) John E. Drury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/s/RODNEY R. PROTO</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President,</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Chief Operating Officer and</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Director</w:t>
            </w:r>
          </w:p>
        </w:tc>
        <w:tc>
          <w:tcPr>
            <w:tcW w:w="342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Rodney R. Proto</w:t>
            </w:r>
          </w:p>
        </w:tc>
        <w:tc>
          <w:tcPr>
            <w:tcW w:w="11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/s/EARL E. DEFRATES</w:t>
            </w:r>
          </w:p>
        </w:tc>
        <w:tc>
          <w:tcPr>
            <w:tcW w:w="4520" w:type="dxa"/>
            <w:vAlign w:val="bottom"/>
            <w:gridSpan w:val="2"/>
          </w:tcPr>
          <w:p>
            <w:pPr>
              <w:spacing w:after="0"/>
              <w:rPr>
                <w:sz w:val="20"/>
                <w:szCs w:val="20"/>
                <w:color w:val="auto"/>
              </w:rPr>
            </w:pPr>
            <w:r>
              <w:rPr>
                <w:rFonts w:ascii="Courier New" w:cs="Courier New" w:eastAsia="Courier New" w:hAnsi="Courier New"/>
                <w:sz w:val="18"/>
                <w:szCs w:val="18"/>
                <w:color w:val="auto"/>
              </w:rPr>
              <w:t>Executive Vice President and Chief</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Earl E. DeFrates</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(principal</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/s/BRUCE E. SNYDER</w:t>
            </w:r>
          </w:p>
        </w:tc>
        <w:tc>
          <w:tcPr>
            <w:tcW w:w="4520" w:type="dxa"/>
            <w:vAlign w:val="bottom"/>
            <w:gridSpan w:val="2"/>
          </w:tcPr>
          <w:p>
            <w:pPr>
              <w:spacing w:after="0"/>
              <w:rPr>
                <w:sz w:val="20"/>
                <w:szCs w:val="20"/>
                <w:color w:val="auto"/>
              </w:rPr>
            </w:pPr>
            <w:r>
              <w:rPr>
                <w:rFonts w:ascii="Courier New" w:cs="Courier New" w:eastAsia="Courier New" w:hAnsi="Courier New"/>
                <w:sz w:val="18"/>
                <w:szCs w:val="18"/>
                <w:color w:val="auto"/>
                <w:w w:val="96"/>
              </w:rPr>
              <w:t>Vice President and Chief Accounting Officer</w:t>
            </w:r>
          </w:p>
        </w:tc>
      </w:tr>
    </w:tbl>
    <w:p>
      <w:pPr>
        <w:spacing w:after="0" w:line="4" w:lineRule="exact"/>
        <w:rPr>
          <w:sz w:val="20"/>
          <w:szCs w:val="20"/>
          <w:color w:val="auto"/>
        </w:rPr>
      </w:pPr>
    </w:p>
    <w:p>
      <w:pPr>
        <w:ind w:right="3579" w:firstLine="8"/>
        <w:spacing w:after="0" w:line="235"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(principal accounting officer) Bruce E. Snyder</w:t>
      </w:r>
    </w:p>
    <w:p>
      <w:pPr>
        <w:spacing w:after="0" w:line="203"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/s/RALPH E. COX</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F. Cox</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/s/RICHARD J. HECKMAN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Heckman</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/s/LARRY J. MARTIN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Larry J. Martin</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/s/WILLIAM E. MOFFETT</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E. Moffett</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/s/DONALD F. MOOREHEAD, JR.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F. Moorehead, Jr.</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/s/ALEXANDER W. RANGOS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/s/JOHN G. RANGOS, SR.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/s/KOSTI SHIRVANIAN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Kosti Shirvanian</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/s/DAVID SUTHERLAND-YOEST</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Sutherland-Yoest</w:t>
      </w:r>
    </w:p>
    <w:p>
      <w:pPr>
        <w:spacing w:after="0" w:line="202"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/s/SAVEY TUFENKIAN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Savey Tufenkian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6380" w:type="dxa"/>
            <w:vAlign w:val="bottom"/>
            <w:gridSpan w:val="2"/>
          </w:tcPr>
          <w:p>
            <w:pPr>
              <w:ind w:left="2280"/>
              <w:spacing w:after="0"/>
              <w:rPr>
                <w:sz w:val="20"/>
                <w:szCs w:val="20"/>
                <w:color w:val="auto"/>
              </w:rPr>
            </w:pPr>
            <w:r>
              <w:rPr>
                <w:rFonts w:ascii="Courier New" w:cs="Courier New" w:eastAsia="Courier New" w:hAnsi="Courier New"/>
                <w:sz w:val="18"/>
                <w:szCs w:val="18"/>
                <w:color w:val="auto"/>
              </w:rPr>
              <w:t>INDEX TO EXHIBITS</w:t>
            </w: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30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332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w w:val="98"/>
              </w:rPr>
              <w:t>Opinion of McDermott, Will &amp;</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Emery</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w w:val="98"/>
              </w:rPr>
              <w:t>Consent of McDermott, Will &amp;</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w w:val="96"/>
              </w:rPr>
              <w:t>Emery (included in Exhibit 5.1)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w w:val="98"/>
              </w:rPr>
              <w:t>Consent of Coopers &amp; Lybrand</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L.L.P.</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Consent of Coopers &amp; Lybrand, Chartered Accountants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w w:val="98"/>
              </w:rPr>
              <w:t>Powers of Attorney (included</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on Signature Page)</w:t>
            </w:r>
          </w:p>
        </w:tc>
      </w:tr>
    </w:tbl>
    <w:p>
      <w:pPr>
        <w:sectPr>
          <w:pgSz w:w="11900" w:h="16838" w:orient="portrait"/>
          <w:cols w:equalWidth="0" w:num="1">
            <w:col w:w="10219"/>
          </w:cols>
          <w:pgMar w:left="240" w:top="717" w:right="1440" w:bottom="1440" w:gutter="0" w:footer="0" w:header="0"/>
        </w:sectPr>
      </w:pPr>
    </w:p>
    <w:bookmarkStart w:id="23" w:name="page24"/>
    <w:bookmarkEnd w:id="23"/>
    <w:p>
      <w:pPr>
        <w:ind w:left="3280"/>
        <w:spacing w:after="0"/>
        <w:rPr>
          <w:sz w:val="20"/>
          <w:szCs w:val="20"/>
          <w:color w:val="auto"/>
        </w:rPr>
      </w:pPr>
      <w:r>
        <w:rPr>
          <w:rFonts w:ascii="Courier New" w:cs="Courier New" w:eastAsia="Courier New" w:hAnsi="Courier New"/>
          <w:sz w:val="18"/>
          <w:szCs w:val="18"/>
          <w:color w:val="auto"/>
        </w:rPr>
        <w:t>[MW&amp;E LETTERHEAD]</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August 18,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First City Tower</w:t>
      </w:r>
    </w:p>
    <w:p>
      <w:pPr>
        <w:spacing w:after="0"/>
        <w:rPr>
          <w:sz w:val="20"/>
          <w:szCs w:val="20"/>
          <w:color w:val="auto"/>
        </w:rPr>
      </w:pPr>
      <w:r>
        <w:rPr>
          <w:rFonts w:ascii="Courier New" w:cs="Courier New" w:eastAsia="Courier New" w:hAnsi="Courier New"/>
          <w:sz w:val="18"/>
          <w:szCs w:val="18"/>
          <w:color w:val="auto"/>
        </w:rPr>
        <w:t>1001 Fannin, Suite 4000</w:t>
      </w:r>
    </w:p>
    <w:p>
      <w:pPr>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This opinion is furnished to you in connection with the above-referenced registration statement on Form S-3 (the "Registration Statement") filed with the Securities and Exchange Commission under the Securities Act of 1933, as amended (the "Securities Act"), for the registration of 4,961,539 shares (the "Shares") of the Common Stock, par value $.01 per share (the "Common Stock"), of USA Waste Services, Inc., a Delaware corporation ("USA Waste").</w:t>
      </w:r>
    </w:p>
    <w:p>
      <w:pPr>
        <w:spacing w:after="0" w:line="18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We have acted as special counsel to USA Waste in connection with the proposed merger (the "Merger") of Riviera Acquisition Corporation, a Delaware corporation and wholly-owned subsidiary of USA Waste ("Acquisition") with and into United Waste Systems, Inc., a Delaware corporation ("United"), pursuant to an Agreement and Plan of Merger, dated as of April 13, 1997, by and among USA Waste, Riviera and United (the "Merger Agreement"). Pursuant to the Merger Agreement and the terms of the Indenture (the "Indenture") dated as of June 5, 1996 between United and Bankers Trust Company, as trustee (the "Trustee"), relating to the 4-1/2% Convertible Subordinated Notes due June 1, 2001 of United (the "Notes"), USA Waste and United have agreed to execute a Supplemental Indenture with the Trustee (the "Supplemental Indenture") to cause the Notes to be convertible, upon consummation of the Merger, into shares of Common Stock of USA Waste.</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In arriving at the opinion expressed below, we have examined the Registration Statement, the Indenture, the Supplemental Indenture, the Restated Certificate of Incorporation of USA Waste, as amended, the Bylaws of USA Waste and such other</w:t>
      </w:r>
    </w:p>
    <w:p>
      <w:pPr>
        <w:sectPr>
          <w:pgSz w:w="11900" w:h="16838" w:orient="portrait"/>
          <w:cols w:equalWidth="0" w:num="1">
            <w:col w:w="10219"/>
          </w:cols>
          <w:pgMar w:left="240" w:top="54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August 18, 1997</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documents as we have deemed necessary to enable us to express the opinion hereinafter set forth. In addition, we have examined and relied, to the extent we deemed proper, on certificates of officers of USA Waste as to factual matters, and on originals or copies certified or otherwise identified to our satisfaction, of all such corporate records of USA Waste and such other instruments and certificates of public officials and other persons as we have deemed appropriate. In our examination, we have assumed the authenticity of all documents submitted to us as originals, the conformity to the original documents of all documents submitted to us as copies, the genuineness of all signatures on documents reviewed by us and the legal capacity of natural persons.</w:t>
      </w:r>
    </w:p>
    <w:p>
      <w:pPr>
        <w:spacing w:after="0" w:line="38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We express no opinion as to the applicability of, compliance with or effect of, the law of any jurisdiction other than the General Corporation Law of the State of Delaware.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the Shares to be issued upon conversion of the Notes will when issued in accordance with the terms of the Indenture, as supplemented and amended by the Supplemental Indenture, be validly issued, fully paid and non-assessable.</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hereby consent to the references to our firm under the caption "Legal Matters" in the Registration Statement and to the use of this opinion as an exhibit to the Registration Statement. In giving this consent, we do not hereby admit that we come within the category of persons whose consent is required under Section 7 of the Securities Act, as amended, or the rules and regulations of the Securities and Exchange Commission thereunder.</w:t>
      </w: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McDermott, Will &amp; Emery</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McDermott, Will &amp; Emery</w:t>
      </w:r>
    </w:p>
    <w:p>
      <w:pPr>
        <w:sectPr>
          <w:pgSz w:w="11900" w:h="16838" w:orient="portrait"/>
          <w:cols w:equalWidth="0" w:num="1">
            <w:col w:w="10219"/>
          </w:cols>
          <w:pgMar w:left="240" w:top="717" w:right="1440" w:bottom="144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consent to the incorporation by reference in this registration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on Form S-3 relating to the registration of 4,961,539 shares of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$.01 par vaue, of our report dated March 21,1997, on our audits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financial statements of USA Waste Services, Inc. and subsidiaries.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also consent to the reference to our firm under the caption "Experts."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Coopers &amp; Lybrand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August 18, 1997</w:t>
      </w:r>
    </w:p>
    <w:p>
      <w:pPr>
        <w:sectPr>
          <w:pgSz w:w="11900" w:h="16838" w:orient="portrait"/>
          <w:cols w:equalWidth="0" w:num="1">
            <w:col w:w="10219"/>
          </w:cols>
          <w:pgMar w:left="240" w:top="339" w:right="1440"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S-3, relating to the registration of 4,961,539 shares of common stock, $.01 par value, of our report dated October 16, 1996, (except for Notes 1 and 8 which are as at January 15, 1997), on our audit of the combined financial statements of Laidlaw Solid Waste Management Group - Canadian Operations.</w:t>
      </w:r>
    </w:p>
    <w:p>
      <w:pPr>
        <w:spacing w:after="0" w:line="200" w:lineRule="exact"/>
        <w:rPr>
          <w:sz w:val="20"/>
          <w:szCs w:val="20"/>
          <w:color w:val="auto"/>
        </w:rPr>
      </w:pPr>
    </w:p>
    <w:p>
      <w:pPr>
        <w:spacing w:after="0" w:line="38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Coopers &amp; Lybrand</w:t>
      </w:r>
    </w:p>
    <w:p>
      <w:pPr>
        <w:ind w:left="4740"/>
        <w:spacing w:after="0" w:line="238" w:lineRule="auto"/>
        <w:rPr>
          <w:sz w:val="20"/>
          <w:szCs w:val="20"/>
          <w:color w:val="auto"/>
        </w:rPr>
      </w:pPr>
      <w:r>
        <w:rPr>
          <w:rFonts w:ascii="Courier New" w:cs="Courier New" w:eastAsia="Courier New" w:hAnsi="Courier New"/>
          <w:sz w:val="18"/>
          <w:szCs w:val="18"/>
          <w:color w:val="auto"/>
        </w:rPr>
        <w:t>Chartered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Hamilton, Canada</w:t>
      </w:r>
    </w:p>
    <w:p>
      <w:pPr>
        <w:spacing w:after="0" w:line="238" w:lineRule="auto"/>
        <w:rPr>
          <w:sz w:val="20"/>
          <w:szCs w:val="20"/>
          <w:color w:val="auto"/>
        </w:rPr>
      </w:pPr>
      <w:r>
        <w:rPr>
          <w:rFonts w:ascii="Courier New" w:cs="Courier New" w:eastAsia="Courier New" w:hAnsi="Courier New"/>
          <w:sz w:val="18"/>
          <w:szCs w:val="18"/>
          <w:color w:val="auto"/>
        </w:rPr>
        <w:t>August 18, 1997</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lowerLetter"/>
      <w:start w:val="1"/>
    </w:lvl>
    <w:lvl w:ilvl="1">
      <w:lvlJc w:val="left"/>
      <w:lvlText w:val="(%2)"/>
      <w:numFmt w:val="decimal"/>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lowerLetter"/>
      <w:start w:val="1"/>
    </w:lvl>
    <w:lvl w:ilvl="1">
      <w:lvlJc w:val="left"/>
      <w:lvlText w:val="(%2)"/>
      <w:numFmt w:val="decimal"/>
      <w:start w:val="2"/>
    </w:lvl>
  </w:abstractNum>
  <w:abstractNum w:abstractNumId="8">
    <w:nsid w:val="1BEFD79F"/>
    <w:multiLevelType w:val="hybridMultilevel"/>
    <w:lvl w:ilvl="0">
      <w:lvlJc w:val="left"/>
      <w:lvlText w:val="(%1)"/>
      <w:numFmt w:val="lowerLetter"/>
      <w:start w:val="2"/>
    </w:lvl>
    <w:lvl w:ilvl="1">
      <w:lvlJc w:val="left"/>
      <w:lvlText w:val="%2"/>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2019-12-12T07:17:54Z</dcterms:created>
  <dcterms:modified xsi:type="dcterms:W3CDTF">2019-12-12T07:17:54Z</dcterms:modified>
</cp:coreProperties>
</file>