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As filed with the Securities and Exchange Commission on February 25, 2008</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Registration Number 333-137526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115" w:lineRule="exact"/>
        <w:rPr>
          <w:sz w:val="20"/>
          <w:szCs w:val="20"/>
          <w:color w:val="auto"/>
        </w:rPr>
      </w:pPr>
    </w:p>
    <w:p>
      <w:pPr>
        <w:ind w:left="4200"/>
        <w:spacing w:after="0"/>
        <w:rPr>
          <w:sz w:val="20"/>
          <w:szCs w:val="20"/>
          <w:color w:val="auto"/>
        </w:rPr>
      </w:pPr>
      <w:r>
        <w:rPr>
          <w:rFonts w:ascii="Arial" w:cs="Arial" w:eastAsia="Arial" w:hAnsi="Arial"/>
          <w:sz w:val="22"/>
          <w:szCs w:val="22"/>
          <w:b w:val="1"/>
          <w:bCs w:val="1"/>
          <w:color w:val="auto"/>
        </w:rPr>
        <w:t>Post-Effective Amendment No. 1</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S-3</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REGISTRATION STATEMENT</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UNDER</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THE SECURITIES ACT OF 1933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420"/>
          </w:cols>
          <w:pgMar w:left="240" w:top="665" w:right="239" w:bottom="0" w:gutter="0" w:footer="0" w:header="0"/>
        </w:sectPr>
      </w:pPr>
    </w:p>
    <w:p>
      <w:pPr>
        <w:spacing w:after="0" w:line="20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6"/>
          <w:szCs w:val="16"/>
          <w:i w:val="1"/>
          <w:iCs w:val="1"/>
          <w:color w:val="auto"/>
        </w:rPr>
        <w:t>(State or other jurisdiction of incorporation or organization)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148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0"/>
          <w:szCs w:val="20"/>
          <w:color w:val="auto"/>
        </w:rPr>
      </w:pPr>
    </w:p>
    <w:p>
      <w:pPr>
        <w:jc w:val="center"/>
        <w:ind w:right="1480"/>
        <w:spacing w:after="0"/>
        <w:rPr>
          <w:sz w:val="20"/>
          <w:szCs w:val="20"/>
          <w:color w:val="auto"/>
        </w:rPr>
      </w:pPr>
      <w:r>
        <w:rPr>
          <w:rFonts w:ascii="Arial" w:cs="Arial" w:eastAsia="Arial" w:hAnsi="Arial"/>
          <w:sz w:val="16"/>
          <w:szCs w:val="16"/>
          <w:i w:val="1"/>
          <w:iCs w:val="1"/>
          <w:color w:val="auto"/>
        </w:rPr>
        <w:t>(I.R.S. Employer Identification No.)</w:t>
      </w:r>
    </w:p>
    <w:p>
      <w:pPr>
        <w:spacing w:after="0" w:line="200" w:lineRule="exact"/>
        <w:rPr>
          <w:sz w:val="20"/>
          <w:szCs w:val="20"/>
          <w:color w:val="auto"/>
        </w:rPr>
      </w:pPr>
    </w:p>
    <w:p>
      <w:pPr>
        <w:sectPr>
          <w:pgSz w:w="11900" w:h="16838" w:orient="portrait"/>
          <w:cols w:equalWidth="0" w:num="2">
            <w:col w:w="6640" w:space="720"/>
            <w:col w:w="4060"/>
          </w:cols>
          <w:pgMar w:left="240" w:top="665" w:right="239" w:bottom="0" w:gutter="0" w:footer="0" w:header="0"/>
          <w:type w:val="continuous"/>
        </w:sectPr>
      </w:pP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1001 Fannin Street, Suite 4000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(713) 512-6200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(Address, including zip code and telephone number, including area code, of registrant’s principal executive offices)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1001 Fannin Street, Suite 4000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0"/>
          <w:szCs w:val="20"/>
          <w:color w:val="auto"/>
        </w:rPr>
      </w:pPr>
    </w:p>
    <w:p>
      <w:pPr>
        <w:ind w:left="5580" w:hanging="428"/>
        <w:spacing w:after="0"/>
        <w:tabs>
          <w:tab w:leader="none" w:pos="55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512-6200</w:t>
      </w:r>
    </w:p>
    <w:p>
      <w:pPr>
        <w:spacing w:after="0" w:line="9" w:lineRule="exact"/>
        <w:rPr>
          <w:rFonts w:ascii="Arial" w:cs="Arial" w:eastAsia="Arial" w:hAnsi="Arial"/>
          <w:sz w:val="18"/>
          <w:szCs w:val="18"/>
          <w:b w:val="1"/>
          <w:bCs w:val="1"/>
          <w:color w:val="auto"/>
        </w:rPr>
      </w:pPr>
    </w:p>
    <w:p>
      <w:pPr>
        <w:ind w:left="4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Attention: General Counsel</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i w:val="1"/>
          <w:iCs w:val="1"/>
          <w:color w:val="auto"/>
        </w:rPr>
        <w:t>(Name, address, including zip code, and telephone number, including area code, of agent for service)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Approximate date of commencement of proposed sale to the public</w:t>
      </w:r>
      <w:r>
        <w:rPr>
          <w:rFonts w:ascii="Arial" w:cs="Arial" w:eastAsia="Arial" w:hAnsi="Arial"/>
          <w:sz w:val="17"/>
          <w:szCs w:val="17"/>
          <w:color w:val="auto"/>
        </w:rPr>
        <w:t>: From time to time after the effective date of this Registration Statement.</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If the only securities being registered on this form are being offered pursuant to dividend or interest reinvestment plans, please check the following box: o</w:t>
      </w:r>
    </w:p>
    <w:p>
      <w:pPr>
        <w:spacing w:after="0" w:line="140" w:lineRule="exact"/>
        <w:rPr>
          <w:sz w:val="20"/>
          <w:szCs w:val="20"/>
          <w:color w:val="auto"/>
        </w:rPr>
      </w:pPr>
    </w:p>
    <w:p>
      <w:pPr>
        <w:ind w:right="300" w:firstLine="225"/>
        <w:spacing w:after="0" w:line="233" w:lineRule="exact"/>
        <w:rPr>
          <w:sz w:val="20"/>
          <w:szCs w:val="20"/>
          <w:color w:val="auto"/>
        </w:rPr>
      </w:pPr>
      <w:r>
        <w:rPr>
          <w:rFonts w:ascii="Arial" w:cs="Arial" w:eastAsia="Arial" w:hAnsi="Arial"/>
          <w:sz w:val="18"/>
          <w:szCs w:val="18"/>
          <w:color w:val="auto"/>
        </w:rPr>
        <w:t xml:space="preserve">If any of the securities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74"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of 1933, please check the following box and list the Securities Act registration statement number of the earlier effective registration statement for the same offering: o</w:t>
      </w:r>
    </w:p>
    <w:p>
      <w:pPr>
        <w:spacing w:after="0" w:line="62" w:lineRule="exact"/>
        <w:rPr>
          <w:sz w:val="20"/>
          <w:szCs w:val="20"/>
          <w:color w:val="auto"/>
        </w:rPr>
      </w:pPr>
    </w:p>
    <w:p>
      <w:pPr>
        <w:ind w:right="540" w:firstLine="225"/>
        <w:spacing w:after="0" w:line="277"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62" w:lineRule="exact"/>
        <w:rPr>
          <w:sz w:val="20"/>
          <w:szCs w:val="20"/>
          <w:color w:val="auto"/>
        </w:rPr>
      </w:pPr>
    </w:p>
    <w:p>
      <w:pPr>
        <w:ind w:right="220" w:firstLine="225"/>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74" w:lineRule="exact"/>
        <w:rPr>
          <w:sz w:val="20"/>
          <w:szCs w:val="20"/>
          <w:color w:val="auto"/>
        </w:rPr>
      </w:pPr>
    </w:p>
    <w:p>
      <w:pPr>
        <w:ind w:right="400" w:firstLine="225"/>
        <w:spacing w:after="0" w:line="277" w:lineRule="auto"/>
        <w:rPr>
          <w:sz w:val="20"/>
          <w:szCs w:val="20"/>
          <w:color w:val="auto"/>
        </w:rPr>
      </w:pPr>
      <w:r>
        <w:rPr>
          <w:rFonts w:ascii="Arial" w:cs="Arial" w:eastAsia="Arial" w:hAnsi="Arial"/>
          <w:sz w:val="18"/>
          <w:szCs w:val="18"/>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o</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6160" w:type="dxa"/>
            <w:vAlign w:val="bottom"/>
            <w:tcBorders>
              <w:top w:val="single" w:sz="8" w:color="auto"/>
              <w:bottom w:val="single" w:sz="8" w:color="auto"/>
            </w:tcBorders>
          </w:tcPr>
          <w:p>
            <w:pPr>
              <w:spacing w:after="0"/>
              <w:rPr>
                <w:sz w:val="3"/>
                <w:szCs w:val="3"/>
                <w:color w:val="auto"/>
              </w:rPr>
            </w:pPr>
          </w:p>
        </w:tc>
        <w:tc>
          <w:tcPr>
            <w:tcW w:w="1280" w:type="dxa"/>
            <w:vAlign w:val="bottom"/>
            <w:tcBorders>
              <w:top w:val="single" w:sz="8" w:color="auto"/>
              <w:bottom w:val="single" w:sz="8" w:color="auto"/>
            </w:tcBorders>
          </w:tcPr>
          <w:p>
            <w:pPr>
              <w:spacing w:after="0"/>
              <w:rPr>
                <w:sz w:val="3"/>
                <w:szCs w:val="3"/>
                <w:color w:val="auto"/>
              </w:rPr>
            </w:pPr>
          </w:p>
        </w:tc>
        <w:tc>
          <w:tcPr>
            <w:tcW w:w="1320" w:type="dxa"/>
            <w:vAlign w:val="bottom"/>
            <w:tcBorders>
              <w:top w:val="single" w:sz="8" w:color="auto"/>
              <w:bottom w:val="single" w:sz="8" w:color="auto"/>
            </w:tcBorders>
          </w:tcPr>
          <w:p>
            <w:pPr>
              <w:spacing w:after="0"/>
              <w:rPr>
                <w:sz w:val="3"/>
                <w:szCs w:val="3"/>
                <w:color w:val="auto"/>
              </w:rPr>
            </w:pPr>
          </w:p>
        </w:tc>
        <w:tc>
          <w:tcPr>
            <w:tcW w:w="1320" w:type="dxa"/>
            <w:vAlign w:val="bottom"/>
            <w:tcBorders>
              <w:top w:val="single" w:sz="8" w:color="auto"/>
              <w:bottom w:val="single" w:sz="8" w:color="auto"/>
            </w:tcBorders>
          </w:tcPr>
          <w:p>
            <w:pPr>
              <w:spacing w:after="0"/>
              <w:rPr>
                <w:sz w:val="3"/>
                <w:szCs w:val="3"/>
                <w:color w:val="auto"/>
              </w:rPr>
            </w:pPr>
          </w:p>
        </w:tc>
        <w:tc>
          <w:tcPr>
            <w:tcW w:w="13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6160" w:type="dxa"/>
            <w:vAlign w:val="bottom"/>
            <w:tcBorders>
              <w:right w:val="single" w:sz="8" w:color="auto"/>
            </w:tcBorders>
          </w:tcPr>
          <w:p>
            <w:pPr>
              <w:spacing w:after="0"/>
              <w:rPr>
                <w:sz w:val="9"/>
                <w:szCs w:val="9"/>
                <w:color w:val="auto"/>
              </w:rPr>
            </w:pPr>
          </w:p>
        </w:tc>
        <w:tc>
          <w:tcPr>
            <w:tcW w:w="1280" w:type="dxa"/>
            <w:vAlign w:val="bottom"/>
            <w:tcBorders>
              <w:right w:val="single" w:sz="8" w:color="auto"/>
            </w:tcBorders>
          </w:tcPr>
          <w:p>
            <w:pPr>
              <w:spacing w:after="0"/>
              <w:rPr>
                <w:sz w:val="9"/>
                <w:szCs w:val="9"/>
                <w:color w:val="auto"/>
              </w:rPr>
            </w:pPr>
          </w:p>
        </w:tc>
        <w:tc>
          <w:tcPr>
            <w:tcW w:w="132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32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6160" w:type="dxa"/>
            <w:vAlign w:val="bottom"/>
            <w:tcBorders>
              <w:right w:val="single" w:sz="8" w:color="auto"/>
            </w:tcBorders>
            <w:vMerge w:val="restart"/>
          </w:tcPr>
          <w:p>
            <w:pPr>
              <w:ind w:left="2360"/>
              <w:spacing w:after="0"/>
              <w:rPr>
                <w:sz w:val="20"/>
                <w:szCs w:val="20"/>
                <w:color w:val="auto"/>
              </w:rPr>
            </w:pPr>
            <w:r>
              <w:rPr>
                <w:rFonts w:ascii="Arial" w:cs="Arial" w:eastAsia="Arial" w:hAnsi="Arial"/>
                <w:sz w:val="14"/>
                <w:szCs w:val="14"/>
                <w:b w:val="1"/>
                <w:bCs w:val="1"/>
                <w:color w:val="auto"/>
              </w:rPr>
              <w:t>Title of Each Class of</w:t>
            </w: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Amount to be</w:t>
            </w:r>
          </w:p>
        </w:tc>
        <w:tc>
          <w:tcPr>
            <w:tcW w:w="13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3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340" w:type="dxa"/>
            <w:vAlign w:val="bottom"/>
            <w:vMerge w:val="restart"/>
          </w:tcPr>
          <w:p>
            <w:pPr>
              <w:jc w:val="center"/>
              <w:ind w:left="42"/>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6160" w:type="dxa"/>
            <w:vAlign w:val="bottom"/>
            <w:tcBorders>
              <w:right w:val="single" w:sz="8" w:color="auto"/>
            </w:tcBorders>
            <w:vMerge w:val="continue"/>
          </w:tcPr>
          <w:p>
            <w:pPr>
              <w:spacing w:after="0"/>
              <w:rPr>
                <w:sz w:val="12"/>
                <w:szCs w:val="12"/>
                <w:color w:val="auto"/>
              </w:rPr>
            </w:pPr>
          </w:p>
        </w:tc>
        <w:tc>
          <w:tcPr>
            <w:tcW w:w="1280" w:type="dxa"/>
            <w:vAlign w:val="bottom"/>
            <w:tcBorders>
              <w:right w:val="single" w:sz="8" w:color="auto"/>
            </w:tcBorders>
            <w:vMerge w:val="continue"/>
          </w:tcPr>
          <w:p>
            <w:pPr>
              <w:spacing w:after="0"/>
              <w:rPr>
                <w:sz w:val="12"/>
                <w:szCs w:val="12"/>
                <w:color w:val="auto"/>
              </w:rPr>
            </w:pPr>
          </w:p>
        </w:tc>
        <w:tc>
          <w:tcPr>
            <w:tcW w:w="13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3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Aggregate</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6160" w:type="dxa"/>
            <w:vAlign w:val="bottom"/>
            <w:tcBorders>
              <w:bottom w:val="single" w:sz="8" w:color="auto"/>
              <w:right w:val="single" w:sz="8" w:color="auto"/>
            </w:tcBorders>
          </w:tcPr>
          <w:p>
            <w:pPr>
              <w:ind w:left="2200"/>
              <w:spacing w:after="0"/>
              <w:rPr>
                <w:sz w:val="20"/>
                <w:szCs w:val="20"/>
                <w:color w:val="auto"/>
              </w:rPr>
            </w:pPr>
            <w:r>
              <w:rPr>
                <w:rFonts w:ascii="Arial" w:cs="Arial" w:eastAsia="Arial" w:hAnsi="Arial"/>
                <w:sz w:val="14"/>
                <w:szCs w:val="14"/>
                <w:b w:val="1"/>
                <w:bCs w:val="1"/>
                <w:color w:val="auto"/>
              </w:rPr>
              <w:t>Securities to be Registered</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Per Unit</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1340" w:type="dxa"/>
            <w:vAlign w:val="bottom"/>
            <w:tcBorders>
              <w:bottom w:val="single" w:sz="8" w:color="auto"/>
            </w:tcBorders>
          </w:tcPr>
          <w:p>
            <w:pPr>
              <w:jc w:val="center"/>
              <w:ind w:left="42"/>
              <w:spacing w:after="0"/>
              <w:rPr>
                <w:sz w:val="20"/>
                <w:szCs w:val="20"/>
                <w:color w:val="auto"/>
              </w:rPr>
            </w:pPr>
            <w:r>
              <w:rPr>
                <w:rFonts w:ascii="Arial" w:cs="Arial" w:eastAsia="Arial" w:hAnsi="Arial"/>
                <w:sz w:val="14"/>
                <w:szCs w:val="14"/>
                <w:b w:val="1"/>
                <w:bCs w:val="1"/>
                <w:color w:val="auto"/>
                <w:w w:val="92"/>
              </w:rPr>
              <w:t>Registration Fee</w:t>
            </w:r>
          </w:p>
        </w:tc>
        <w:tc>
          <w:tcPr>
            <w:tcW w:w="0" w:type="dxa"/>
            <w:vAlign w:val="bottom"/>
          </w:tcPr>
          <w:p>
            <w:pPr>
              <w:spacing w:after="0"/>
              <w:rPr>
                <w:sz w:val="1"/>
                <w:szCs w:val="1"/>
                <w:color w:val="auto"/>
              </w:rPr>
            </w:pPr>
          </w:p>
        </w:tc>
      </w:tr>
      <w:tr>
        <w:trPr>
          <w:trHeight w:val="223"/>
        </w:trPr>
        <w:tc>
          <w:tcPr>
            <w:tcW w:w="6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Debt Securities</w:t>
            </w:r>
          </w:p>
        </w:tc>
        <w:tc>
          <w:tcPr>
            <w:tcW w:w="128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Common Stock, par value $0.01 per share</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w:t>
            </w:r>
          </w:p>
        </w:tc>
        <w:tc>
          <w:tcPr>
            <w:tcW w:w="1340" w:type="dxa"/>
            <w:vAlign w:val="bottom"/>
            <w:tcBorders>
              <w:bottom w:val="single" w:sz="8" w:color="auto"/>
            </w:tcBorders>
          </w:tcPr>
          <w:p>
            <w:pPr>
              <w:jc w:val="center"/>
              <w:ind w:left="42"/>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23"/>
        </w:trPr>
        <w:tc>
          <w:tcPr>
            <w:tcW w:w="6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Preferred Stock</w:t>
            </w:r>
          </w:p>
        </w:tc>
        <w:tc>
          <w:tcPr>
            <w:tcW w:w="128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Warrants</w:t>
            </w:r>
          </w:p>
        </w:tc>
        <w:tc>
          <w:tcPr>
            <w:tcW w:w="128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Guarantees(2)</w:t>
            </w:r>
          </w:p>
        </w:tc>
        <w:tc>
          <w:tcPr>
            <w:tcW w:w="128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Units(3)</w:t>
            </w:r>
          </w:p>
        </w:tc>
        <w:tc>
          <w:tcPr>
            <w:tcW w:w="128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right="20" w:hanging="452"/>
        <w:spacing w:after="0" w:line="291"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An indeterminate aggregate initial offering price or number of the securities of each identified class is being registered as may from time to time be issued at indeterminate prices. Separate consideration may or may not be received for securities that are issuable on exercise, conversion or exchange of other securities. In accordance with Rules 456(b) and 457(r), the registrant is deferring payment of all of the registration fees except for $40,338 that has already been paid with respect to $1,868,070,886 aggregate principal amount of securities that were previously registered pursuant to registration statement No. 333-97697 that were not sold thereunder pursuant to Rule 457(p) under the Securities Act of 1933, as amended (the “Securities Act”). The previously paid filing fees will be applied in lieu of the registration fees due for the first $376,990,654 aggregate initial offering price of securities offered with respect to this registration statement. Any additional fees will be paid in advance or on a pay-as-you-go basis.</w:t>
      </w:r>
    </w:p>
    <w:p>
      <w:pPr>
        <w:sectPr>
          <w:pgSz w:w="11900" w:h="16838" w:orient="portrait"/>
          <w:cols w:equalWidth="0" w:num="1">
            <w:col w:w="11420"/>
          </w:cols>
          <w:pgMar w:left="240" w:top="665" w:right="239" w:bottom="0" w:gutter="0" w:footer="0" w:header="0"/>
          <w:type w:val="continuous"/>
        </w:sectPr>
      </w:pPr>
    </w:p>
    <w:bookmarkStart w:id="2" w:name="page3"/>
    <w:bookmarkEnd w:id="2"/>
    <w:p>
      <w:pPr>
        <w:ind w:left="452" w:hanging="452"/>
        <w:spacing w:after="0" w:line="306" w:lineRule="auto"/>
        <w:tabs>
          <w:tab w:leader="none" w:pos="452"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are also registering guarantees that Waste Management Holdings, Inc. may have with respect to debt securities we may issue. No separate consideration will be received for the guarantees. See inside facing page for information on the additional registrant guarantor.</w:t>
      </w:r>
    </w:p>
    <w:p>
      <w:pPr>
        <w:spacing w:after="0" w:line="1" w:lineRule="exact"/>
        <w:rPr>
          <w:rFonts w:ascii="Arial" w:cs="Arial" w:eastAsia="Arial" w:hAnsi="Arial"/>
          <w:sz w:val="17"/>
          <w:szCs w:val="17"/>
          <w:color w:val="auto"/>
        </w:rPr>
      </w:pPr>
    </w:p>
    <w:p>
      <w:pPr>
        <w:ind w:left="452" w:hanging="452"/>
        <w:spacing w:after="0"/>
        <w:tabs>
          <w:tab w:leader="none" w:pos="452"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securities registered hereunder may be sold separately or as units with other securities registered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561975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52"/>
          </w:cols>
          <w:pgMar w:left="248" w:top="125" w:right="999" w:bottom="1440" w:gutter="0" w:footer="0" w:header="0"/>
        </w:sectPr>
      </w:pPr>
    </w:p>
    <w:bookmarkStart w:id="3" w:name="page4"/>
    <w:bookmarkEnd w:id="3"/>
    <w:p>
      <w:pPr>
        <w:ind w:left="456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2" w:lineRule="exact"/>
        <w:rPr>
          <w:sz w:val="20"/>
          <w:szCs w:val="20"/>
          <w:color w:val="auto"/>
        </w:rPr>
      </w:pPr>
    </w:p>
    <w:p>
      <w:pPr>
        <w:ind w:left="58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ADDITIONAL REGISTRANT GUARANTORS</w:t>
        </w:r>
      </w:hyperlink>
    </w:p>
    <w:p>
      <w:pPr>
        <w:ind w:left="580"/>
        <w:spacing w:after="0" w:line="238" w:lineRule="auto"/>
        <w:rPr>
          <w:sz w:val="20"/>
          <w:szCs w:val="20"/>
          <w:color w:val="auto"/>
        </w:rPr>
      </w:pPr>
      <w:r>
        <w:rPr>
          <w:rFonts w:ascii="Arial" w:cs="Arial" w:eastAsia="Arial" w:hAnsi="Arial"/>
          <w:sz w:val="22"/>
          <w:szCs w:val="22"/>
          <w:u w:val="single" w:color="auto"/>
          <w:color w:val="0000EE"/>
        </w:rPr>
        <w:t>EXPLANATORY NOTE</w:t>
      </w:r>
    </w:p>
    <w:p>
      <w:pPr>
        <w:ind w:left="580"/>
        <w:spacing w:after="0" w:line="230" w:lineRule="auto"/>
        <w:rPr>
          <w:sz w:val="20"/>
          <w:szCs w:val="20"/>
          <w:color w:val="auto"/>
        </w:rPr>
      </w:pPr>
      <w:r>
        <w:rPr>
          <w:rFonts w:ascii="Arial" w:cs="Arial" w:eastAsia="Arial" w:hAnsi="Arial"/>
          <w:sz w:val="22"/>
          <w:szCs w:val="22"/>
          <w:u w:val="single" w:color="auto"/>
          <w:color w:val="0000EE"/>
        </w:rPr>
        <w:t>PART II</w:t>
      </w:r>
    </w:p>
    <w:p>
      <w:pPr>
        <w:ind w:left="580"/>
        <w:spacing w:after="0" w:line="231" w:lineRule="auto"/>
        <w:rPr>
          <w:sz w:val="20"/>
          <w:szCs w:val="20"/>
          <w:color w:val="auto"/>
        </w:rPr>
      </w:pPr>
      <w:r>
        <w:rPr>
          <w:rFonts w:ascii="Arial" w:cs="Arial" w:eastAsia="Arial" w:hAnsi="Arial"/>
          <w:sz w:val="22"/>
          <w:szCs w:val="22"/>
          <w:u w:val="single" w:color="auto"/>
          <w:color w:val="0000EE"/>
        </w:rPr>
        <w:t>INFORMATION NOT REQUIRED IN PROSPECTUS</w:t>
      </w:r>
    </w:p>
    <w:p>
      <w:pPr>
        <w:ind w:left="580"/>
        <w:spacing w:after="0" w:line="231" w:lineRule="auto"/>
        <w:rPr>
          <w:sz w:val="20"/>
          <w:szCs w:val="20"/>
          <w:color w:val="auto"/>
        </w:rPr>
      </w:pPr>
      <w:r>
        <w:rPr>
          <w:rFonts w:ascii="Arial" w:cs="Arial" w:eastAsia="Arial" w:hAnsi="Arial"/>
          <w:sz w:val="22"/>
          <w:szCs w:val="22"/>
          <w:u w:val="single" w:color="auto"/>
          <w:color w:val="0000EE"/>
        </w:rPr>
        <w:t>SIGNATURES</w:t>
      </w:r>
    </w:p>
    <w:p>
      <w:pPr>
        <w:ind w:left="580"/>
        <w:spacing w:after="0" w:line="230" w:lineRule="auto"/>
        <w:rPr>
          <w:sz w:val="20"/>
          <w:szCs w:val="20"/>
          <w:color w:val="auto"/>
        </w:rPr>
      </w:pPr>
      <w:r>
        <w:rPr>
          <w:rFonts w:ascii="Arial" w:cs="Arial" w:eastAsia="Arial" w:hAnsi="Arial"/>
          <w:sz w:val="22"/>
          <w:szCs w:val="22"/>
          <w:u w:val="single" w:color="auto"/>
          <w:color w:val="0000EE"/>
        </w:rPr>
        <w:t>EXHIBIT INDEX</w:t>
      </w:r>
    </w:p>
    <w:p>
      <w:pPr>
        <w:ind w:left="580"/>
        <w:spacing w:after="0" w:line="231" w:lineRule="auto"/>
        <w:rPr>
          <w:sz w:val="20"/>
          <w:szCs w:val="20"/>
          <w:color w:val="auto"/>
        </w:rPr>
      </w:pPr>
      <w:r>
        <w:rPr>
          <w:rFonts w:ascii="Arial" w:cs="Arial" w:eastAsia="Arial" w:hAnsi="Arial"/>
          <w:sz w:val="22"/>
          <w:szCs w:val="22"/>
          <w:u w:val="single" w:color="auto"/>
          <w:color w:val="0000EE"/>
        </w:rPr>
        <w:t>Consent of Ernst &amp; Young LLP</w:t>
      </w:r>
    </w:p>
    <w:p>
      <w:pPr>
        <w:ind w:left="580"/>
        <w:spacing w:after="0" w:line="231" w:lineRule="auto"/>
        <w:rPr>
          <w:sz w:val="20"/>
          <w:szCs w:val="20"/>
          <w:color w:val="auto"/>
        </w:rPr>
      </w:pPr>
      <w:r>
        <w:rPr>
          <w:rFonts w:ascii="Arial" w:cs="Arial" w:eastAsia="Arial" w:hAnsi="Arial"/>
          <w:sz w:val="22"/>
          <w:szCs w:val="22"/>
          <w:u w:val="single" w:color="auto"/>
          <w:color w:val="0000EE"/>
        </w:rPr>
        <w:t>Statement of Eligibility of Trustee on Form T-1</w:t>
      </w:r>
    </w:p>
    <w:p>
      <w:pPr>
        <w:ind w:left="580"/>
        <w:spacing w:after="0"/>
        <w:rPr>
          <w:sz w:val="20"/>
          <w:szCs w:val="20"/>
          <w:color w:val="auto"/>
        </w:rPr>
      </w:pPr>
      <w:r>
        <w:rPr>
          <w:rFonts w:ascii="Arial" w:cs="Arial" w:eastAsia="Arial" w:hAnsi="Arial"/>
          <w:sz w:val="22"/>
          <w:szCs w:val="22"/>
          <w:u w:val="single" w:color="auto"/>
          <w:color w:val="0000EE"/>
        </w:rPr>
        <w:t>Statement of Eligibility of Trustee on Form T-1</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ADDITIONAL REGISTRANT GUARANTORS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State or Other</w:t>
            </w:r>
          </w:p>
        </w:tc>
        <w:tc>
          <w:tcPr>
            <w:tcW w:w="5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Including</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8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IRs Employer</w:t>
            </w:r>
          </w:p>
        </w:tc>
        <w:tc>
          <w:tcPr>
            <w:tcW w:w="560" w:type="dxa"/>
            <w:vAlign w:val="bottom"/>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Zip Code and</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Jurisdiction of</w:t>
            </w:r>
          </w:p>
        </w:tc>
        <w:tc>
          <w:tcPr>
            <w:tcW w:w="56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Telephone Number</w:t>
            </w:r>
          </w:p>
        </w:tc>
        <w:tc>
          <w:tcPr>
            <w:tcW w:w="0" w:type="dxa"/>
            <w:vAlign w:val="bottom"/>
          </w:tcPr>
          <w:p>
            <w:pPr>
              <w:spacing w:after="0"/>
              <w:rPr>
                <w:sz w:val="1"/>
                <w:szCs w:val="1"/>
                <w:color w:val="auto"/>
              </w:rPr>
            </w:pPr>
          </w:p>
        </w:tc>
      </w:tr>
      <w:tr>
        <w:trPr>
          <w:trHeight w:val="149"/>
        </w:trPr>
        <w:tc>
          <w:tcPr>
            <w:tcW w:w="3440" w:type="dxa"/>
            <w:vAlign w:val="bottom"/>
            <w:vMerge w:val="restart"/>
          </w:tcPr>
          <w:p>
            <w:pPr>
              <w:spacing w:after="0"/>
              <w:rPr>
                <w:sz w:val="20"/>
                <w:szCs w:val="20"/>
                <w:color w:val="auto"/>
              </w:rPr>
            </w:pPr>
            <w:r>
              <w:rPr>
                <w:rFonts w:ascii="Arial" w:cs="Arial" w:eastAsia="Arial" w:hAnsi="Arial"/>
                <w:sz w:val="14"/>
                <w:szCs w:val="14"/>
                <w:b w:val="1"/>
                <w:bCs w:val="1"/>
                <w:color w:val="auto"/>
              </w:rPr>
              <w:t>Exact Name as Specified in Charter</w:t>
            </w:r>
          </w:p>
        </w:tc>
        <w:tc>
          <w:tcPr>
            <w:tcW w:w="580" w:type="dxa"/>
            <w:vAlign w:val="bottom"/>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Incorporation or</w:t>
            </w:r>
          </w:p>
        </w:tc>
        <w:tc>
          <w:tcPr>
            <w:tcW w:w="56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Identification</w:t>
            </w:r>
          </w:p>
        </w:tc>
        <w:tc>
          <w:tcPr>
            <w:tcW w:w="560" w:type="dxa"/>
            <w:vAlign w:val="bottom"/>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of Principal</w:t>
            </w:r>
          </w:p>
        </w:tc>
        <w:tc>
          <w:tcPr>
            <w:tcW w:w="0" w:type="dxa"/>
            <w:vAlign w:val="bottom"/>
          </w:tcPr>
          <w:p>
            <w:pPr>
              <w:spacing w:after="0"/>
              <w:rPr>
                <w:sz w:val="1"/>
                <w:szCs w:val="1"/>
                <w:color w:val="auto"/>
              </w:rPr>
            </w:pPr>
          </w:p>
        </w:tc>
      </w:tr>
      <w:tr>
        <w:trPr>
          <w:trHeight w:val="171"/>
        </w:trPr>
        <w:tc>
          <w:tcPr>
            <w:tcW w:w="3440" w:type="dxa"/>
            <w:vAlign w:val="bottom"/>
            <w:tcBorders>
              <w:bottom w:val="single" w:sz="8" w:color="auto"/>
            </w:tcBorders>
            <w:vMerge w:val="continue"/>
          </w:tcPr>
          <w:p>
            <w:pPr>
              <w:spacing w:after="0"/>
              <w:rPr>
                <w:sz w:val="14"/>
                <w:szCs w:val="14"/>
                <w:color w:val="auto"/>
              </w:rPr>
            </w:pPr>
          </w:p>
        </w:tc>
        <w:tc>
          <w:tcPr>
            <w:tcW w:w="580" w:type="dxa"/>
            <w:vAlign w:val="bottom"/>
          </w:tcPr>
          <w:p>
            <w:pPr>
              <w:spacing w:after="0"/>
              <w:rPr>
                <w:sz w:val="14"/>
                <w:szCs w:val="14"/>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Organization</w:t>
            </w:r>
          </w:p>
        </w:tc>
        <w:tc>
          <w:tcPr>
            <w:tcW w:w="56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560" w:type="dxa"/>
            <w:vAlign w:val="bottom"/>
          </w:tcPr>
          <w:p>
            <w:pPr>
              <w:spacing w:after="0"/>
              <w:rPr>
                <w:sz w:val="14"/>
                <w:szCs w:val="14"/>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Executive Office</w:t>
            </w:r>
          </w:p>
        </w:tc>
        <w:tc>
          <w:tcPr>
            <w:tcW w:w="0" w:type="dxa"/>
            <w:vAlign w:val="bottom"/>
          </w:tcPr>
          <w:p>
            <w:pPr>
              <w:spacing w:after="0"/>
              <w:rPr>
                <w:sz w:val="1"/>
                <w:szCs w:val="1"/>
                <w:color w:val="auto"/>
              </w:rPr>
            </w:pPr>
          </w:p>
        </w:tc>
      </w:tr>
      <w:tr>
        <w:trPr>
          <w:trHeight w:val="411"/>
        </w:trPr>
        <w:tc>
          <w:tcPr>
            <w:tcW w:w="3440" w:type="dxa"/>
            <w:vAlign w:val="bottom"/>
          </w:tcPr>
          <w:p>
            <w:pPr>
              <w:spacing w:after="0"/>
              <w:rPr>
                <w:sz w:val="20"/>
                <w:szCs w:val="20"/>
                <w:color w:val="auto"/>
              </w:rPr>
            </w:pPr>
            <w:r>
              <w:rPr>
                <w:rFonts w:ascii="Arial" w:cs="Arial" w:eastAsia="Arial" w:hAnsi="Arial"/>
                <w:sz w:val="18"/>
                <w:szCs w:val="18"/>
                <w:color w:val="auto"/>
              </w:rPr>
              <w:t>Waste Management Holdings, Inc.</w:t>
            </w:r>
          </w:p>
        </w:tc>
        <w:tc>
          <w:tcPr>
            <w:tcW w:w="58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2280" w:type="dxa"/>
            <w:vAlign w:val="bottom"/>
            <w:gridSpan w:val="2"/>
          </w:tcPr>
          <w:p>
            <w:pPr>
              <w:jc w:val="center"/>
              <w:ind w:left="470"/>
              <w:spacing w:after="0"/>
              <w:rPr>
                <w:sz w:val="20"/>
                <w:szCs w:val="20"/>
                <w:color w:val="auto"/>
              </w:rPr>
            </w:pPr>
            <w:r>
              <w:rPr>
                <w:rFonts w:ascii="Arial" w:cs="Arial" w:eastAsia="Arial" w:hAnsi="Arial"/>
                <w:sz w:val="18"/>
                <w:szCs w:val="18"/>
                <w:color w:val="auto"/>
                <w:w w:val="90"/>
              </w:rPr>
              <w:t>36-26660763</w:t>
            </w:r>
          </w:p>
        </w:tc>
        <w:tc>
          <w:tcPr>
            <w:tcW w:w="56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1001 Fannin Street</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Suite 4000</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Houston, Texas 77002</w:t>
            </w:r>
          </w:p>
        </w:tc>
        <w:tc>
          <w:tcPr>
            <w:tcW w:w="0" w:type="dxa"/>
            <w:vAlign w:val="bottom"/>
          </w:tcPr>
          <w:p>
            <w:pPr>
              <w:spacing w:after="0"/>
              <w:rPr>
                <w:sz w:val="1"/>
                <w:szCs w:val="1"/>
                <w:color w:val="auto"/>
              </w:rPr>
            </w:pPr>
          </w:p>
        </w:tc>
      </w:tr>
      <w:tr>
        <w:trPr>
          <w:trHeight w:val="632"/>
        </w:trPr>
        <w:tc>
          <w:tcPr>
            <w:tcW w:w="344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21" w:lineRule="exact"/>
        <w:rPr>
          <w:sz w:val="20"/>
          <w:szCs w:val="20"/>
          <w:color w:val="auto"/>
        </w:rPr>
      </w:pPr>
    </w:p>
    <w:p>
      <w:pPr>
        <w:ind w:firstLine="222"/>
        <w:spacing w:after="0" w:line="273" w:lineRule="auto"/>
        <w:rPr>
          <w:sz w:val="20"/>
          <w:szCs w:val="20"/>
          <w:color w:val="auto"/>
        </w:rPr>
      </w:pPr>
      <w:r>
        <w:rPr>
          <w:rFonts w:ascii="Arial" w:cs="Arial" w:eastAsia="Arial" w:hAnsi="Arial"/>
          <w:sz w:val="17"/>
          <w:szCs w:val="17"/>
          <w:color w:val="auto"/>
        </w:rPr>
        <w:t>This Registration Statement on Form S-3 (registration No. 333-137526) of Waste Management, Inc. is being amended to (i) file the Statement of Eligibility of Trustee on Form T-1 for The Bank of New York Trust Company, N.A., as successor to JPMorgan Chase Bank, National Association, with respect to the senior indenture and the subordinated indenture and (ii) add the signature of Waste Management Holdings, Inc. as a co-registrant that is, or may potentially be, guarantor of some or all of the debt securities with respect to which offers and sales are registered under this Registration Statement, as originally intended in the filing of the Registration Statement on September 22, 2006. No changes or additions are being made hereby to the base prospectus that already forms a part of the Registration Statement. Accordingly, such base prospectus is being omitted from this filing.</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14. </w:t>
      </w:r>
      <w:r>
        <w:rPr>
          <w:rFonts w:ascii="Arial" w:cs="Arial" w:eastAsia="Arial" w:hAnsi="Arial"/>
          <w:sz w:val="18"/>
          <w:szCs w:val="18"/>
          <w:i w:val="1"/>
          <w:iCs w:val="1"/>
          <w:color w:val="auto"/>
        </w:rPr>
        <w:t>Other Expenses of Issuance and Distribution.</w:t>
      </w:r>
    </w:p>
    <w:p>
      <w:pPr>
        <w:spacing w:after="0" w:line="117" w:lineRule="exact"/>
        <w:rPr>
          <w:sz w:val="20"/>
          <w:szCs w:val="20"/>
          <w:color w:val="auto"/>
        </w:rPr>
      </w:pPr>
    </w:p>
    <w:p>
      <w:pPr>
        <w:ind w:right="440" w:firstLine="222"/>
        <w:spacing w:after="0" w:line="277" w:lineRule="auto"/>
        <w:rPr>
          <w:sz w:val="20"/>
          <w:szCs w:val="20"/>
          <w:color w:val="auto"/>
        </w:rPr>
      </w:pPr>
      <w:r>
        <w:rPr>
          <w:rFonts w:ascii="Arial" w:cs="Arial" w:eastAsia="Arial" w:hAnsi="Arial"/>
          <w:sz w:val="18"/>
          <w:szCs w:val="18"/>
          <w:color w:val="auto"/>
        </w:rPr>
        <w:t>The following table sets forth the estimated fees and expenses payable by the Company in connection with the registration of the securities registered hereby: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20" w:type="dxa"/>
            <w:vAlign w:val="bottom"/>
            <w:gridSpan w:val="2"/>
            <w:shd w:val="clear" w:color="auto" w:fill="CCEEFF"/>
          </w:tcPr>
          <w:p>
            <w:pPr>
              <w:jc w:val="right"/>
              <w:ind w:right="190"/>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320" w:type="dxa"/>
            <w:vAlign w:val="bottom"/>
            <w:gridSpan w:val="2"/>
          </w:tcPr>
          <w:p>
            <w:pPr>
              <w:jc w:val="right"/>
              <w:ind w:right="190"/>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320" w:type="dxa"/>
            <w:vAlign w:val="bottom"/>
            <w:gridSpan w:val="2"/>
            <w:shd w:val="clear" w:color="auto" w:fill="CCEEFF"/>
          </w:tcPr>
          <w:p>
            <w:pPr>
              <w:jc w:val="right"/>
              <w:ind w:right="190"/>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Printing fees</w:t>
            </w:r>
          </w:p>
        </w:tc>
        <w:tc>
          <w:tcPr>
            <w:tcW w:w="320" w:type="dxa"/>
            <w:vAlign w:val="bottom"/>
            <w:gridSpan w:val="2"/>
          </w:tcPr>
          <w:p>
            <w:pPr>
              <w:jc w:val="right"/>
              <w:ind w:right="190"/>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Rating agency</w:t>
            </w:r>
          </w:p>
        </w:tc>
        <w:tc>
          <w:tcPr>
            <w:tcW w:w="320" w:type="dxa"/>
            <w:vAlign w:val="bottom"/>
            <w:gridSpan w:val="2"/>
            <w:shd w:val="clear" w:color="auto" w:fill="CCEEFF"/>
          </w:tcPr>
          <w:p>
            <w:pPr>
              <w:jc w:val="right"/>
              <w:ind w:right="190"/>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Trustee’s fees and expenses</w:t>
            </w:r>
          </w:p>
        </w:tc>
        <w:tc>
          <w:tcPr>
            <w:tcW w:w="320" w:type="dxa"/>
            <w:vAlign w:val="bottom"/>
            <w:gridSpan w:val="2"/>
          </w:tcPr>
          <w:p>
            <w:pPr>
              <w:jc w:val="right"/>
              <w:ind w:right="190"/>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320" w:type="dxa"/>
            <w:vAlign w:val="bottom"/>
            <w:gridSpan w:val="2"/>
            <w:shd w:val="clear" w:color="auto" w:fill="CCEEFF"/>
          </w:tcPr>
          <w:p>
            <w:pPr>
              <w:jc w:val="right"/>
              <w:ind w:right="190"/>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10640" w:type="dxa"/>
            <w:vAlign w:val="bottom"/>
          </w:tcPr>
          <w:p>
            <w:pPr>
              <w:ind w:left="2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10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200" w:hanging="452"/>
        <w:spacing w:after="0" w:line="325"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accordance with Rule 456(b), we are deferring payment of the registration fee for the securities offered by this prospectus except for the amount of registration fees that was previously paid under registration statement No. 333-97697, which may be used for securities offered hereunder.</w:t>
      </w:r>
    </w:p>
    <w:p>
      <w:pPr>
        <w:spacing w:after="0" w:line="1"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Estimated expenses are not presently known.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15. </w:t>
      </w:r>
      <w:r>
        <w:rPr>
          <w:rFonts w:ascii="Arial" w:cs="Arial" w:eastAsia="Arial" w:hAnsi="Arial"/>
          <w:sz w:val="18"/>
          <w:szCs w:val="18"/>
          <w:i w:val="1"/>
          <w:iCs w:val="1"/>
          <w:color w:val="auto"/>
        </w:rPr>
        <w:t>Indemnification of Directors and Officers.</w:t>
      </w:r>
    </w:p>
    <w:p>
      <w:pPr>
        <w:spacing w:after="0" w:line="117" w:lineRule="exact"/>
        <w:rPr>
          <w:sz w:val="20"/>
          <w:szCs w:val="20"/>
          <w:color w:val="auto"/>
        </w:rPr>
      </w:pPr>
    </w:p>
    <w:p>
      <w:pPr>
        <w:ind w:right="20" w:firstLine="225"/>
        <w:spacing w:after="0" w:line="272" w:lineRule="auto"/>
        <w:rPr>
          <w:sz w:val="20"/>
          <w:szCs w:val="20"/>
          <w:color w:val="auto"/>
        </w:rPr>
      </w:pPr>
      <w:r>
        <w:rPr>
          <w:rFonts w:ascii="Arial" w:cs="Arial" w:eastAsia="Arial" w:hAnsi="Arial"/>
          <w:sz w:val="17"/>
          <w:szCs w:val="17"/>
          <w:color w:val="auto"/>
        </w:rPr>
        <w:t>Section 145 of the Delaware General Corporation Law (the “DGCL”) makes provision for the indemnification of officers and directors of corporations in terms sufficiently broad to indemnify the officers and directors of the Company under certain circumstances from liabilities (including reimbursement of expenses incurred) arising under the Securities Act. Section 102(b)(7) of the DGCL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in respect of certain unlawful dividend payments or stock redemptions or repurchases, or (iv) for any transaction from which the director derived an improper personal benefit.</w:t>
      </w:r>
    </w:p>
    <w:p>
      <w:pPr>
        <w:spacing w:after="0" w:line="70" w:lineRule="exact"/>
        <w:rPr>
          <w:sz w:val="20"/>
          <w:szCs w:val="20"/>
          <w:color w:val="auto"/>
        </w:rPr>
      </w:pPr>
    </w:p>
    <w:p>
      <w:pPr>
        <w:ind w:right="80" w:firstLine="215"/>
        <w:spacing w:after="0" w:line="255" w:lineRule="auto"/>
        <w:rPr>
          <w:sz w:val="20"/>
          <w:szCs w:val="20"/>
          <w:color w:val="auto"/>
        </w:rPr>
      </w:pPr>
      <w:r>
        <w:rPr>
          <w:rFonts w:ascii="Arial" w:cs="Arial" w:eastAsia="Arial" w:hAnsi="Arial"/>
          <w:sz w:val="18"/>
          <w:szCs w:val="18"/>
          <w:color w:val="auto"/>
        </w:rPr>
        <w:t>As permitted by the DGCL, the Company’s certificate of incorporation provides that, to the fullest extent permitted by the DGCL or decisional law, no director shall be personally liable to the Company or to its stockholders for monetary damages for breach of his fiduciary duty as a director. The effect of this provision in the certificate of incorporation is to eliminate the rights of the Company and its stockholders (through stockholders’ derivative suits on behalf of the Company) to recover monetary damages against a director for breach of fiduciary duty as a director thereof (including breaches resulting from negligent or grossly negligent behavior) except in the situations described in clauses (i)-(iv), inclusive, above. These provisions will not alter the liability of directors under federal securities laws.</w:t>
      </w:r>
    </w:p>
    <w:p>
      <w:pPr>
        <w:spacing w:after="0" w:line="85" w:lineRule="exact"/>
        <w:rPr>
          <w:sz w:val="20"/>
          <w:szCs w:val="20"/>
          <w:color w:val="auto"/>
        </w:rPr>
      </w:pPr>
    </w:p>
    <w:p>
      <w:pPr>
        <w:ind w:right="120" w:firstLine="222"/>
        <w:spacing w:after="0" w:line="255" w:lineRule="auto"/>
        <w:rPr>
          <w:sz w:val="20"/>
          <w:szCs w:val="20"/>
          <w:color w:val="auto"/>
        </w:rPr>
      </w:pPr>
      <w:r>
        <w:rPr>
          <w:rFonts w:ascii="Arial" w:cs="Arial" w:eastAsia="Arial" w:hAnsi="Arial"/>
          <w:sz w:val="18"/>
          <w:szCs w:val="18"/>
          <w:color w:val="auto"/>
        </w:rPr>
        <w:t>The Company’s bylaws (the “bylaws”) provide that the Company shall indemnify any person who was or is a party or is threatened to be made a party to any threatened, pending or completed action, suit or other proceeding, whether civil, criminal, administrative or investigative by reason of the fact that he, is or was a director or officer, against all expenses, liability and loss (including attorneys’ fees, judgments, fines, and amounts paid or to be paid in settlement) reasonably incurred, to the fullest extent authorized by the DGCL, provided that the Company shall indemnify such person in connection with any such action, suit or proceeding initiated by such person only if authorized by the Board of Directors of the Company or brought to enforce certain indemnification rights.</w:t>
      </w:r>
    </w:p>
    <w:p>
      <w:pPr>
        <w:spacing w:after="0" w:line="85" w:lineRule="exact"/>
        <w:rPr>
          <w:sz w:val="20"/>
          <w:szCs w:val="20"/>
          <w:color w:val="auto"/>
        </w:rPr>
      </w:pPr>
    </w:p>
    <w:p>
      <w:pPr>
        <w:ind w:right="80" w:firstLine="222"/>
        <w:spacing w:after="0" w:line="264" w:lineRule="auto"/>
        <w:rPr>
          <w:sz w:val="20"/>
          <w:szCs w:val="20"/>
          <w:color w:val="auto"/>
        </w:rPr>
      </w:pPr>
      <w:r>
        <w:rPr>
          <w:rFonts w:ascii="Arial" w:cs="Arial" w:eastAsia="Arial" w:hAnsi="Arial"/>
          <w:sz w:val="18"/>
          <w:szCs w:val="18"/>
          <w:color w:val="auto"/>
        </w:rPr>
        <w:t>The bylaws also provide that expenses incurred by an officer or director of the Company (acting in his capacity as such) in defending any such action, suit or proceeding shall be paid by the Company, provided that if required by the DGCL such expenses shall be advanced only upon delivery to the Company of an undertaking by or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6" w:name="page7"/>
    <w:bookmarkEnd w:id="6"/>
    <w:p>
      <w:pPr>
        <w:spacing w:after="0"/>
        <w:rPr>
          <w:sz w:val="20"/>
          <w:szCs w:val="20"/>
          <w:color w:val="auto"/>
        </w:rPr>
      </w:pPr>
      <w:r>
        <w:rPr>
          <w:rFonts w:ascii="Arial" w:cs="Arial" w:eastAsia="Arial" w:hAnsi="Arial"/>
          <w:sz w:val="17"/>
          <w:szCs w:val="17"/>
          <w:color w:val="auto"/>
        </w:rPr>
        <w:t>on behalf of such director or officer to repay such amount if it shall ultimately be determined that he is not entitled to be indemnified by the Company.</w:t>
      </w:r>
    </w:p>
    <w:p>
      <w:pPr>
        <w:spacing w:after="0" w:line="129" w:lineRule="exact"/>
        <w:rPr>
          <w:sz w:val="20"/>
          <w:szCs w:val="20"/>
          <w:color w:val="auto"/>
        </w:rPr>
      </w:pPr>
    </w:p>
    <w:p>
      <w:pPr>
        <w:ind w:right="60" w:firstLine="222"/>
        <w:spacing w:after="0" w:line="257" w:lineRule="auto"/>
        <w:rPr>
          <w:sz w:val="20"/>
          <w:szCs w:val="20"/>
          <w:color w:val="auto"/>
        </w:rPr>
      </w:pPr>
      <w:r>
        <w:rPr>
          <w:rFonts w:ascii="Arial" w:cs="Arial" w:eastAsia="Arial" w:hAnsi="Arial"/>
          <w:sz w:val="18"/>
          <w:szCs w:val="18"/>
          <w:color w:val="auto"/>
        </w:rPr>
        <w:t>The bylaws also provide that indemnification provided for in the bylaws shall not be deemed exclusive of any other rights to which the indemnified party may be entitled; that any right of indemnification or protection provided under the bylaws shall not be adversely affected by any amendment, repeal, or modification of the bylaws; and that the Company may purchase and maintain insurance to protect itself and any such person against any such expenses, liability and loss, whether or not the Company would have the power to indemnify such person against such expenses, liability or loss under the DGCL or the bylaws.</w:t>
      </w:r>
    </w:p>
    <w:p>
      <w:pPr>
        <w:spacing w:after="0" w:line="80"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In addition to the above, the Company has entered into indemnification agreements with each of its directors and certain of its officers. The indemnification agreements provide directors and officers with the same indemnification by the Company as described above and assure directors and officers that indemnification will continue to be provided despite future changes in the bylaws of the Company. The Company also provides indemnity insurance pursuant to which officers and directors are indemnified or insured against liability or loss under certain circumstances, which may include liability or related loss under the Securities Act and the Exchange 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16. </w:t>
      </w:r>
      <w:r>
        <w:rPr>
          <w:rFonts w:ascii="Arial" w:cs="Arial" w:eastAsia="Arial" w:hAnsi="Arial"/>
          <w:sz w:val="18"/>
          <w:szCs w:val="18"/>
          <w:i w:val="1"/>
          <w:iCs w:val="1"/>
          <w:color w:val="auto"/>
        </w:rPr>
        <w:t>Exhibits.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Exhibit Index attached hereto and incorporated by reference.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17. </w:t>
      </w:r>
      <w:r>
        <w:rPr>
          <w:rFonts w:ascii="Arial" w:cs="Arial" w:eastAsia="Arial" w:hAnsi="Arial"/>
          <w:sz w:val="18"/>
          <w:szCs w:val="18"/>
          <w:i w:val="1"/>
          <w:iCs w:val="1"/>
          <w:color w:val="auto"/>
        </w:rPr>
        <w:t>Undertakings.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undersigned Registrant hereby undertakes:</w:t>
      </w:r>
    </w:p>
    <w:p>
      <w:pPr>
        <w:spacing w:after="0" w:line="117" w:lineRule="exact"/>
        <w:rPr>
          <w:sz w:val="20"/>
          <w:szCs w:val="20"/>
          <w:color w:val="auto"/>
        </w:rPr>
      </w:pPr>
    </w:p>
    <w:p>
      <w:pPr>
        <w:ind w:left="480" w:hanging="247"/>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680" w:hanging="219"/>
        <w:spacing w:after="0"/>
        <w:tabs>
          <w:tab w:leader="none" w:pos="680"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ind w:left="240" w:right="20" w:firstLine="221"/>
        <w:spacing w:after="0" w:line="273" w:lineRule="auto"/>
        <w:tabs>
          <w:tab w:leader="none" w:pos="730" w:val="left"/>
        </w:tabs>
        <w:numPr>
          <w:ilvl w:val="1"/>
          <w:numId w:val="6"/>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70" w:lineRule="exact"/>
        <w:rPr>
          <w:rFonts w:ascii="Arial" w:cs="Arial" w:eastAsia="Arial" w:hAnsi="Arial"/>
          <w:sz w:val="17"/>
          <w:szCs w:val="17"/>
          <w:color w:val="auto"/>
        </w:rPr>
      </w:pPr>
    </w:p>
    <w:p>
      <w:pPr>
        <w:ind w:left="240" w:right="280" w:firstLine="221"/>
        <w:spacing w:after="0" w:line="277" w:lineRule="auto"/>
        <w:tabs>
          <w:tab w:leader="none" w:pos="780"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(i), (ii) and (iii) do not apply if the information required to be included in a post-effective amendment by those paragraphs</w:t>
      </w:r>
      <w:r>
        <w:rPr>
          <w:rFonts w:ascii="Arial" w:cs="Arial" w:eastAsia="Arial" w:hAnsi="Arial"/>
          <w:sz w:val="18"/>
          <w:szCs w:val="18"/>
          <w:i w:val="1"/>
          <w:iCs w:val="1"/>
          <w:color w:val="auto"/>
        </w:rPr>
        <w:t xml:space="preserve"> </w:t>
      </w:r>
      <w:r>
        <w:rPr>
          <w:rFonts w:ascii="Arial" w:cs="Arial" w:eastAsia="Arial" w:hAnsi="Arial"/>
          <w:sz w:val="18"/>
          <w:szCs w:val="18"/>
          <w:color w:val="auto"/>
        </w:rPr>
        <w:t>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79" w:lineRule="exact"/>
        <w:rPr>
          <w:sz w:val="20"/>
          <w:szCs w:val="20"/>
          <w:color w:val="auto"/>
        </w:rPr>
      </w:pPr>
    </w:p>
    <w:p>
      <w:pPr>
        <w:ind w:right="240" w:firstLine="233"/>
        <w:spacing w:after="0" w:line="264" w:lineRule="auto"/>
        <w:tabs>
          <w:tab w:leader="none" w:pos="477"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73" w:lineRule="exact"/>
        <w:rPr>
          <w:rFonts w:ascii="Arial" w:cs="Arial" w:eastAsia="Arial" w:hAnsi="Arial"/>
          <w:sz w:val="18"/>
          <w:szCs w:val="18"/>
          <w:color w:val="auto"/>
        </w:rPr>
      </w:pPr>
    </w:p>
    <w:p>
      <w:pPr>
        <w:ind w:right="180" w:firstLine="233"/>
        <w:spacing w:after="0" w:line="277" w:lineRule="auto"/>
        <w:tabs>
          <w:tab w:leader="none" w:pos="477"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 w:name="page8"/>
    <w:bookmarkEnd w:id="7"/>
    <w:p>
      <w:pPr>
        <w:ind w:left="440" w:hanging="247"/>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for purposes of determining liability under the Securities Act of 1933 to any purchaser:</w:t>
      </w:r>
    </w:p>
    <w:p>
      <w:pPr>
        <w:spacing w:after="0" w:line="117" w:lineRule="exact"/>
        <w:rPr>
          <w:rFonts w:ascii="Arial" w:cs="Arial" w:eastAsia="Arial" w:hAnsi="Arial"/>
          <w:sz w:val="18"/>
          <w:szCs w:val="18"/>
          <w:color w:val="auto"/>
        </w:rPr>
      </w:pPr>
    </w:p>
    <w:p>
      <w:pPr>
        <w:ind w:left="-40" w:right="220" w:firstLine="458"/>
        <w:spacing w:after="0" w:line="277" w:lineRule="auto"/>
        <w:tabs>
          <w:tab w:leader="none" w:pos="705" w:val="left"/>
        </w:tabs>
        <w:numPr>
          <w:ilvl w:val="1"/>
          <w:numId w:val="8"/>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2" w:lineRule="exact"/>
        <w:rPr>
          <w:rFonts w:ascii="Arial" w:cs="Arial" w:eastAsia="Arial" w:hAnsi="Arial"/>
          <w:sz w:val="18"/>
          <w:szCs w:val="18"/>
          <w:color w:val="auto"/>
        </w:rPr>
      </w:pPr>
    </w:p>
    <w:p>
      <w:pPr>
        <w:ind w:left="-40" w:right="20" w:firstLine="458"/>
        <w:spacing w:after="0" w:line="288" w:lineRule="auto"/>
        <w:tabs>
          <w:tab w:leader="none" w:pos="695" w:val="left"/>
        </w:tabs>
        <w:numPr>
          <w:ilvl w:val="1"/>
          <w:numId w:val="8"/>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related, and the offering of such securities at that time shall be deemed to be the initial </w:t>
      </w:r>
      <w:r>
        <w:rPr>
          <w:rFonts w:ascii="Arial" w:cs="Arial" w:eastAsia="Arial" w:hAnsi="Arial"/>
          <w:sz w:val="16"/>
          <w:szCs w:val="16"/>
          <w:i w:val="1"/>
          <w:iCs w:val="1"/>
          <w:color w:val="auto"/>
        </w:rPr>
        <w:t>bona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fide </w:t>
      </w:r>
      <w:r>
        <w:rPr>
          <w:rFonts w:ascii="Arial" w:cs="Arial" w:eastAsia="Arial" w:hAnsi="Arial"/>
          <w:sz w:val="16"/>
          <w:szCs w:val="16"/>
          <w:color w:val="auto"/>
        </w:rPr>
        <w:t>offering thereof.</w:t>
      </w:r>
      <w:r>
        <w:rPr>
          <w:rFonts w:ascii="Arial" w:cs="Arial" w:eastAsia="Arial" w:hAnsi="Arial"/>
          <w:sz w:val="16"/>
          <w:szCs w:val="16"/>
          <w:i w:val="1"/>
          <w:iCs w:val="1"/>
          <w:color w:val="auto"/>
        </w:rPr>
        <w:t xml:space="preserve"> Provided, however</w:t>
      </w:r>
      <w:r>
        <w:rPr>
          <w:rFonts w:ascii="Arial" w:cs="Arial" w:eastAsia="Arial" w:hAnsi="Arial"/>
          <w:sz w:val="16"/>
          <w:szCs w:val="16"/>
          <w:color w:val="auto"/>
        </w:rPr>
        <w:t>, that no statement made in a registration statement or prospectus that is part of the registration statement or made in a</w:t>
      </w:r>
      <w:r>
        <w:rPr>
          <w:rFonts w:ascii="Arial" w:cs="Arial" w:eastAsia="Arial" w:hAnsi="Arial"/>
          <w:sz w:val="16"/>
          <w:szCs w:val="16"/>
          <w:i w:val="1"/>
          <w:iCs w:val="1"/>
          <w:color w:val="auto"/>
        </w:rPr>
        <w:t xml:space="preserve"> </w:t>
      </w:r>
      <w:r>
        <w:rPr>
          <w:rFonts w:ascii="Arial" w:cs="Arial" w:eastAsia="Arial" w:hAnsi="Arial"/>
          <w:sz w:val="16"/>
          <w:szCs w:val="16"/>
          <w:color w:val="auto"/>
        </w:rPr>
        <w:t>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61" w:lineRule="exact"/>
        <w:rPr>
          <w:rFonts w:ascii="Arial" w:cs="Arial" w:eastAsia="Arial" w:hAnsi="Arial"/>
          <w:sz w:val="16"/>
          <w:szCs w:val="16"/>
          <w:color w:val="auto"/>
        </w:rPr>
      </w:pPr>
    </w:p>
    <w:p>
      <w:pPr>
        <w:ind w:left="-40" w:firstLine="233"/>
        <w:spacing w:after="0" w:line="302" w:lineRule="auto"/>
        <w:tabs>
          <w:tab w:leader="none" w:pos="437" w:val="left"/>
        </w:tabs>
        <w:numPr>
          <w:ilvl w:val="0"/>
          <w:numId w:val="8"/>
        </w:numPr>
        <w:rPr>
          <w:rFonts w:ascii="Arial" w:cs="Arial" w:eastAsia="Arial" w:hAnsi="Arial"/>
          <w:sz w:val="16"/>
          <w:szCs w:val="16"/>
          <w:color w:val="auto"/>
        </w:rPr>
      </w:pPr>
      <w:r>
        <w:rPr>
          <w:rFonts w:ascii="Arial" w:cs="Arial" w:eastAsia="Arial" w:hAnsi="Arial"/>
          <w:sz w:val="16"/>
          <w:szCs w:val="16"/>
          <w:color w:val="auto"/>
        </w:rPr>
        <w:t>That, for purposes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46" w:lineRule="exact"/>
        <w:rPr>
          <w:sz w:val="20"/>
          <w:szCs w:val="20"/>
          <w:color w:val="auto"/>
        </w:rPr>
      </w:pPr>
    </w:p>
    <w:p>
      <w:pPr>
        <w:ind w:left="620" w:hanging="202"/>
        <w:spacing w:after="0"/>
        <w:tabs>
          <w:tab w:leader="none" w:pos="620" w:val="left"/>
        </w:tabs>
        <w:numPr>
          <w:ilvl w:val="1"/>
          <w:numId w:val="9"/>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128" w:lineRule="exact"/>
        <w:rPr>
          <w:rFonts w:ascii="Arial" w:cs="Arial" w:eastAsia="Arial" w:hAnsi="Arial"/>
          <w:sz w:val="17"/>
          <w:szCs w:val="17"/>
          <w:color w:val="auto"/>
        </w:rPr>
      </w:pPr>
    </w:p>
    <w:p>
      <w:pPr>
        <w:ind w:left="-40" w:right="40" w:firstLine="458"/>
        <w:spacing w:after="0" w:line="277" w:lineRule="auto"/>
        <w:tabs>
          <w:tab w:leader="none" w:pos="665"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62" w:lineRule="exact"/>
        <w:rPr>
          <w:rFonts w:ascii="Arial" w:cs="Arial" w:eastAsia="Arial" w:hAnsi="Arial"/>
          <w:sz w:val="18"/>
          <w:szCs w:val="18"/>
          <w:color w:val="auto"/>
        </w:rPr>
      </w:pPr>
    </w:p>
    <w:p>
      <w:pPr>
        <w:ind w:left="-40" w:right="340" w:firstLine="458"/>
        <w:spacing w:after="0" w:line="277" w:lineRule="auto"/>
        <w:tabs>
          <w:tab w:leader="none" w:pos="722"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2" w:lineRule="exact"/>
        <w:rPr>
          <w:rFonts w:ascii="Arial" w:cs="Arial" w:eastAsia="Arial" w:hAnsi="Arial"/>
          <w:sz w:val="18"/>
          <w:szCs w:val="18"/>
          <w:color w:val="auto"/>
        </w:rPr>
      </w:pPr>
    </w:p>
    <w:p>
      <w:pPr>
        <w:ind w:left="720" w:hanging="302"/>
        <w:spacing w:after="0"/>
        <w:tabs>
          <w:tab w:leader="none" w:pos="7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17" w:lineRule="exact"/>
        <w:rPr>
          <w:rFonts w:ascii="Arial" w:cs="Arial" w:eastAsia="Arial" w:hAnsi="Arial"/>
          <w:sz w:val="18"/>
          <w:szCs w:val="18"/>
          <w:color w:val="auto"/>
        </w:rPr>
      </w:pPr>
    </w:p>
    <w:p>
      <w:pPr>
        <w:ind w:left="-40" w:right="120" w:firstLine="233"/>
        <w:spacing w:after="0" w:line="302" w:lineRule="auto"/>
        <w:tabs>
          <w:tab w:leader="none" w:pos="437"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46" w:lineRule="exact"/>
        <w:rPr>
          <w:rFonts w:ascii="Arial" w:cs="Arial" w:eastAsia="Arial" w:hAnsi="Arial"/>
          <w:sz w:val="16"/>
          <w:szCs w:val="16"/>
          <w:color w:val="auto"/>
        </w:rPr>
      </w:pPr>
    </w:p>
    <w:p>
      <w:pPr>
        <w:ind w:left="-40" w:right="20" w:firstLine="233"/>
        <w:spacing w:after="0" w:line="277" w:lineRule="auto"/>
        <w:tabs>
          <w:tab w:leader="none" w:pos="43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62" w:lineRule="exact"/>
        <w:rPr>
          <w:rFonts w:ascii="Arial" w:cs="Arial" w:eastAsia="Arial" w:hAnsi="Arial"/>
          <w:sz w:val="18"/>
          <w:szCs w:val="18"/>
          <w:color w:val="auto"/>
        </w:rPr>
      </w:pPr>
    </w:p>
    <w:p>
      <w:pPr>
        <w:jc w:val="both"/>
        <w:ind w:left="-40" w:right="120" w:firstLine="233"/>
        <w:spacing w:after="0" w:line="279" w:lineRule="auto"/>
        <w:tabs>
          <w:tab w:leader="none" w:pos="4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35" w:right="259" w:bottom="1440" w:gutter="0" w:footer="0" w:header="0"/>
        </w:sectPr>
      </w:pPr>
    </w:p>
    <w:bookmarkStart w:id="8" w:name="page9"/>
    <w:bookmarkEnd w:id="8"/>
    <w:p>
      <w:pPr>
        <w:jc w:val="both"/>
        <w:spacing w:after="0" w:line="279" w:lineRule="auto"/>
        <w:rPr>
          <w:sz w:val="20"/>
          <w:szCs w:val="20"/>
          <w:color w:val="auto"/>
        </w:rPr>
      </w:pPr>
      <w:r>
        <w:rPr>
          <w:rFonts w:ascii="Arial" w:cs="Arial" w:eastAsia="Arial" w:hAnsi="Arial"/>
          <w:sz w:val="17"/>
          <w:szCs w:val="17"/>
          <w:color w:val="auto"/>
        </w:rPr>
        <w:t>paid by a director, officer or controlling person of the registrant in the successful defense of any action, suit or proceeding) is asserted by such director, officer or controlling person in connection with the securities being registered, that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this 25th day of February 2008.</w:t>
      </w:r>
    </w:p>
    <w:p>
      <w:pPr>
        <w:spacing w:after="0" w:line="18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David P. Steiner</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David P. Steiner,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indicated on February 25, 2008.</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Borders>
              <w:bottom w:val="single" w:sz="8" w:color="auto"/>
            </w:tcBorders>
          </w:tcPr>
          <w:p>
            <w:pPr>
              <w:ind w:left="2280"/>
              <w:spacing w:after="0"/>
              <w:rPr>
                <w:sz w:val="20"/>
                <w:szCs w:val="20"/>
                <w:color w:val="auto"/>
              </w:rPr>
            </w:pPr>
            <w:r>
              <w:rPr>
                <w:rFonts w:ascii="Arial" w:cs="Arial" w:eastAsia="Arial" w:hAnsi="Arial"/>
                <w:sz w:val="14"/>
                <w:szCs w:val="14"/>
                <w:b w:val="1"/>
                <w:bCs w:val="1"/>
                <w:color w:val="auto"/>
              </w:rPr>
              <w:t>Signature</w:t>
            </w:r>
          </w:p>
        </w:tc>
        <w:tc>
          <w:tcPr>
            <w:tcW w:w="1120" w:type="dxa"/>
            <w:vAlign w:val="bottom"/>
          </w:tcPr>
          <w:p>
            <w:pPr>
              <w:spacing w:after="0"/>
              <w:rPr>
                <w:sz w:val="14"/>
                <w:szCs w:val="14"/>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r>
      <w:tr>
        <w:trPr>
          <w:trHeight w:val="426"/>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P. Steiner</w:t>
            </w:r>
          </w:p>
        </w:tc>
        <w:tc>
          <w:tcPr>
            <w:tcW w:w="112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3"/>
              </w:rPr>
              <w:t>Chief Executive Officer and Director</w:t>
            </w: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David P. Steiner</w:t>
            </w:r>
          </w:p>
        </w:tc>
        <w:tc>
          <w:tcPr>
            <w:tcW w:w="112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431"/>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1"/>
              </w:rPr>
              <w:t>Senior Vice President and Chief Financial Officer</w:t>
            </w: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Robert G. Simpson</w:t>
            </w:r>
          </w:p>
        </w:tc>
        <w:tc>
          <w:tcPr>
            <w:tcW w:w="112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r>
      <w:tr>
        <w:trPr>
          <w:trHeight w:val="431"/>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2"/>
              </w:rPr>
              <w:t>Vice President and Chief Accounting Officer</w:t>
            </w: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Greg A. Robertson</w:t>
            </w:r>
          </w:p>
        </w:tc>
        <w:tc>
          <w:tcPr>
            <w:tcW w:w="112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r>
      <w:tr>
        <w:trPr>
          <w:trHeight w:val="431"/>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4"/>
                <w:szCs w:val="24"/>
                <w:color w:val="auto"/>
              </w:rPr>
            </w:pPr>
          </w:p>
        </w:tc>
        <w:tc>
          <w:tcPr>
            <w:tcW w:w="5140" w:type="dxa"/>
            <w:vAlign w:val="bottom"/>
          </w:tcPr>
          <w:p>
            <w:pPr>
              <w:ind w:left="2260"/>
              <w:spacing w:after="0"/>
              <w:rPr>
                <w:sz w:val="20"/>
                <w:szCs w:val="20"/>
                <w:color w:val="auto"/>
              </w:rPr>
            </w:pPr>
            <w:r>
              <w:rPr>
                <w:rFonts w:ascii="Arial" w:cs="Arial" w:eastAsia="Arial" w:hAnsi="Arial"/>
                <w:sz w:val="18"/>
                <w:szCs w:val="18"/>
                <w:color w:val="auto"/>
              </w:rPr>
              <w:t>Director</w:t>
            </w: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Pastora San Juan Cafferty</w:t>
            </w:r>
          </w:p>
        </w:tc>
        <w:tc>
          <w:tcPr>
            <w:tcW w:w="112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431"/>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4"/>
                <w:szCs w:val="24"/>
                <w:color w:val="auto"/>
              </w:rPr>
            </w:pPr>
          </w:p>
        </w:tc>
        <w:tc>
          <w:tcPr>
            <w:tcW w:w="5140" w:type="dxa"/>
            <w:vAlign w:val="bottom"/>
          </w:tcPr>
          <w:p>
            <w:pPr>
              <w:ind w:left="2260"/>
              <w:spacing w:after="0"/>
              <w:rPr>
                <w:sz w:val="20"/>
                <w:szCs w:val="20"/>
                <w:color w:val="auto"/>
              </w:rPr>
            </w:pPr>
            <w:r>
              <w:rPr>
                <w:rFonts w:ascii="Arial" w:cs="Arial" w:eastAsia="Arial" w:hAnsi="Arial"/>
                <w:sz w:val="18"/>
                <w:szCs w:val="18"/>
                <w:color w:val="auto"/>
              </w:rPr>
              <w:t>Director</w:t>
            </w: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Frank M. Clark, Jr.</w:t>
            </w:r>
          </w:p>
        </w:tc>
        <w:tc>
          <w:tcPr>
            <w:tcW w:w="112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431"/>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4"/>
                <w:szCs w:val="24"/>
                <w:color w:val="auto"/>
              </w:rPr>
            </w:pPr>
          </w:p>
        </w:tc>
        <w:tc>
          <w:tcPr>
            <w:tcW w:w="5140" w:type="dxa"/>
            <w:vAlign w:val="bottom"/>
          </w:tcPr>
          <w:p>
            <w:pPr>
              <w:ind w:left="2260"/>
              <w:spacing w:after="0"/>
              <w:rPr>
                <w:sz w:val="20"/>
                <w:szCs w:val="20"/>
                <w:color w:val="auto"/>
              </w:rPr>
            </w:pPr>
            <w:r>
              <w:rPr>
                <w:rFonts w:ascii="Arial" w:cs="Arial" w:eastAsia="Arial" w:hAnsi="Arial"/>
                <w:sz w:val="18"/>
                <w:szCs w:val="18"/>
                <w:color w:val="auto"/>
              </w:rPr>
              <w:t>Director</w:t>
            </w: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Patrick W. Gross</w:t>
            </w:r>
          </w:p>
        </w:tc>
        <w:tc>
          <w:tcPr>
            <w:tcW w:w="112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431"/>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4"/>
                <w:szCs w:val="24"/>
                <w:color w:val="auto"/>
              </w:rPr>
            </w:pPr>
          </w:p>
        </w:tc>
        <w:tc>
          <w:tcPr>
            <w:tcW w:w="5140" w:type="dxa"/>
            <w:vAlign w:val="bottom"/>
          </w:tcPr>
          <w:p>
            <w:pPr>
              <w:ind w:left="2260"/>
              <w:spacing w:after="0"/>
              <w:rPr>
                <w:sz w:val="20"/>
                <w:szCs w:val="20"/>
                <w:color w:val="auto"/>
              </w:rPr>
            </w:pPr>
            <w:r>
              <w:rPr>
                <w:rFonts w:ascii="Arial" w:cs="Arial" w:eastAsia="Arial" w:hAnsi="Arial"/>
                <w:sz w:val="18"/>
                <w:szCs w:val="18"/>
                <w:color w:val="auto"/>
              </w:rPr>
              <w:t>Director</w:t>
            </w: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Thomas I. Morgan</w:t>
            </w:r>
          </w:p>
        </w:tc>
        <w:tc>
          <w:tcPr>
            <w:tcW w:w="112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431"/>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4"/>
                <w:szCs w:val="24"/>
                <w:color w:val="auto"/>
              </w:rPr>
            </w:pPr>
          </w:p>
        </w:tc>
        <w:tc>
          <w:tcPr>
            <w:tcW w:w="5140" w:type="dxa"/>
            <w:vAlign w:val="bottom"/>
          </w:tcPr>
          <w:p>
            <w:pPr>
              <w:ind w:left="2260"/>
              <w:spacing w:after="0"/>
              <w:rPr>
                <w:sz w:val="20"/>
                <w:szCs w:val="20"/>
                <w:color w:val="auto"/>
              </w:rPr>
            </w:pPr>
            <w:r>
              <w:rPr>
                <w:rFonts w:ascii="Arial" w:cs="Arial" w:eastAsia="Arial" w:hAnsi="Arial"/>
                <w:sz w:val="18"/>
                <w:szCs w:val="18"/>
                <w:color w:val="auto"/>
              </w:rPr>
              <w:t>Director</w:t>
            </w: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John C. Pope</w:t>
            </w:r>
          </w:p>
        </w:tc>
        <w:tc>
          <w:tcPr>
            <w:tcW w:w="112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404"/>
        </w:trPr>
        <w:tc>
          <w:tcPr>
            <w:tcW w:w="5160" w:type="dxa"/>
            <w:vAlign w:val="bottom"/>
          </w:tcPr>
          <w:p>
            <w:pPr>
              <w:spacing w:after="0"/>
              <w:rPr>
                <w:sz w:val="24"/>
                <w:szCs w:val="24"/>
                <w:color w:val="auto"/>
              </w:rPr>
            </w:pPr>
          </w:p>
        </w:tc>
        <w:tc>
          <w:tcPr>
            <w:tcW w:w="6260" w:type="dxa"/>
            <w:vAlign w:val="bottom"/>
            <w:gridSpan w:val="2"/>
          </w:tcPr>
          <w:p>
            <w:pPr>
              <w:ind w:left="420"/>
              <w:spacing w:after="0"/>
              <w:rPr>
                <w:sz w:val="20"/>
                <w:szCs w:val="20"/>
                <w:color w:val="auto"/>
              </w:rPr>
            </w:pPr>
            <w:r>
              <w:rPr>
                <w:rFonts w:ascii="Arial" w:cs="Arial" w:eastAsia="Arial" w:hAnsi="Arial"/>
                <w:sz w:val="18"/>
                <w:szCs w:val="18"/>
                <w:color w:val="auto"/>
              </w:rPr>
              <w:t>II-5</w:t>
            </w:r>
          </w:p>
        </w:tc>
      </w:tr>
      <w:tr>
        <w:trPr>
          <w:trHeight w:val="226"/>
        </w:trPr>
        <w:tc>
          <w:tcPr>
            <w:tcW w:w="516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5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71"/>
        </w:trPr>
        <w:tc>
          <w:tcPr>
            <w:tcW w:w="5160" w:type="dxa"/>
            <w:vAlign w:val="bottom"/>
            <w:tcBorders>
              <w:bottom w:val="single" w:sz="8" w:color="auto"/>
            </w:tcBorders>
          </w:tcPr>
          <w:p>
            <w:pPr>
              <w:ind w:left="2280"/>
              <w:spacing w:after="0"/>
              <w:rPr>
                <w:sz w:val="20"/>
                <w:szCs w:val="20"/>
                <w:color w:val="auto"/>
              </w:rPr>
            </w:pPr>
            <w:r>
              <w:rPr>
                <w:rFonts w:ascii="Arial" w:cs="Arial" w:eastAsia="Arial" w:hAnsi="Arial"/>
                <w:sz w:val="14"/>
                <w:szCs w:val="14"/>
                <w:b w:val="1"/>
                <w:bCs w:val="1"/>
                <w:color w:val="auto"/>
              </w:rPr>
              <w:t>Signature</w:t>
            </w:r>
          </w:p>
        </w:tc>
        <w:tc>
          <w:tcPr>
            <w:tcW w:w="1120" w:type="dxa"/>
            <w:vAlign w:val="bottom"/>
          </w:tcPr>
          <w:p>
            <w:pPr>
              <w:spacing w:after="0"/>
              <w:rPr>
                <w:sz w:val="14"/>
                <w:szCs w:val="14"/>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r>
      <w:tr>
        <w:trPr>
          <w:trHeight w:val="426"/>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W. Robert Reum</w:t>
            </w:r>
          </w:p>
        </w:tc>
        <w:tc>
          <w:tcPr>
            <w:tcW w:w="112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431"/>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Steven G. Rothmeier</w:t>
            </w:r>
          </w:p>
        </w:tc>
        <w:tc>
          <w:tcPr>
            <w:tcW w:w="112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431"/>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Thomas H. Weidemeyer</w:t>
            </w:r>
          </w:p>
        </w:tc>
        <w:tc>
          <w:tcPr>
            <w:tcW w:w="112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431"/>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By: /s/ David P. Steiner</w:t>
            </w:r>
          </w:p>
        </w:tc>
        <w:tc>
          <w:tcPr>
            <w:tcW w:w="112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auto"/>
              </w:rPr>
              <w:t>David P. Steiner, Attorney-in-Fact</w:t>
            </w:r>
          </w:p>
        </w:tc>
        <w:tc>
          <w:tcPr>
            <w:tcW w:w="112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404"/>
        </w:trPr>
        <w:tc>
          <w:tcPr>
            <w:tcW w:w="5160" w:type="dxa"/>
            <w:vAlign w:val="bottom"/>
          </w:tcPr>
          <w:p>
            <w:pPr>
              <w:spacing w:after="0"/>
              <w:rPr>
                <w:sz w:val="24"/>
                <w:szCs w:val="24"/>
                <w:color w:val="auto"/>
              </w:rPr>
            </w:pPr>
          </w:p>
        </w:tc>
        <w:tc>
          <w:tcPr>
            <w:tcW w:w="6260" w:type="dxa"/>
            <w:vAlign w:val="bottom"/>
            <w:gridSpan w:val="2"/>
          </w:tcPr>
          <w:p>
            <w:pPr>
              <w:ind w:left="420"/>
              <w:spacing w:after="0"/>
              <w:rPr>
                <w:sz w:val="20"/>
                <w:szCs w:val="20"/>
                <w:color w:val="auto"/>
              </w:rPr>
            </w:pPr>
            <w:r>
              <w:rPr>
                <w:rFonts w:ascii="Arial" w:cs="Arial" w:eastAsia="Arial" w:hAnsi="Arial"/>
                <w:sz w:val="18"/>
                <w:szCs w:val="18"/>
                <w:color w:val="auto"/>
              </w:rPr>
              <w:t>II-6</w:t>
            </w:r>
          </w:p>
        </w:tc>
      </w:tr>
      <w:tr>
        <w:trPr>
          <w:trHeight w:val="226"/>
        </w:trPr>
        <w:tc>
          <w:tcPr>
            <w:tcW w:w="516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5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11" w:name="page12"/>
    <w:bookmarkEnd w:id="11"/>
    <w:p>
      <w:pPr>
        <w:jc w:val="both"/>
        <w:ind w:right="240" w:firstLine="225"/>
        <w:spacing w:after="0" w:line="264" w:lineRule="auto"/>
        <w:rPr>
          <w:sz w:val="20"/>
          <w:szCs w:val="20"/>
          <w:color w:val="auto"/>
        </w:rPr>
      </w:pPr>
      <w:r>
        <w:rPr>
          <w:rFonts w:ascii="Arial" w:cs="Arial" w:eastAsia="Arial" w:hAnsi="Arial"/>
          <w:sz w:val="18"/>
          <w:szCs w:val="18"/>
          <w:color w:val="auto"/>
        </w:rPr>
        <w:t>Pursuant to the requirements of the Securities Act of 1933, Waste Management Holdings, Inc. p certifies that it has reasonable grounds to believe that it meets all of the requirements for filing on Form S-3 and has duly caused this registration statement to be signed on its behalf by the undersigned, thereunto duly authorized, in the City of Houston, State of Texas on February 25, 2008.</w:t>
      </w:r>
    </w:p>
    <w:p>
      <w:pPr>
        <w:spacing w:after="0" w:line="18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WASTE MANAGEMENT HOLDINGS, INC.</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Linda J. Smith</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Linda J.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Vice President</w:t>
      </w:r>
    </w:p>
    <w:p>
      <w:pPr>
        <w:spacing w:after="0" w:line="319"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indicated on February 25, 2008.</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20" w:type="dxa"/>
            <w:vAlign w:val="bottom"/>
            <w:tcBorders>
              <w:bottom w:val="single" w:sz="8" w:color="auto"/>
            </w:tcBorders>
          </w:tcPr>
          <w:p>
            <w:pPr>
              <w:ind w:left="2420"/>
              <w:spacing w:after="0"/>
              <w:rPr>
                <w:sz w:val="20"/>
                <w:szCs w:val="20"/>
                <w:color w:val="auto"/>
              </w:rPr>
            </w:pPr>
            <w:r>
              <w:rPr>
                <w:rFonts w:ascii="Arial" w:cs="Arial" w:eastAsia="Arial" w:hAnsi="Arial"/>
                <w:sz w:val="14"/>
                <w:szCs w:val="14"/>
                <w:b w:val="1"/>
                <w:bCs w:val="1"/>
                <w:color w:val="auto"/>
              </w:rPr>
              <w:t>Signature</w:t>
            </w:r>
          </w:p>
        </w:tc>
        <w:tc>
          <w:tcPr>
            <w:tcW w:w="580" w:type="dxa"/>
            <w:vAlign w:val="bottom"/>
          </w:tcPr>
          <w:p>
            <w:pPr>
              <w:spacing w:after="0"/>
              <w:rPr>
                <w:sz w:val="14"/>
                <w:szCs w:val="14"/>
                <w:color w:val="auto"/>
              </w:rPr>
            </w:pPr>
          </w:p>
        </w:tc>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r>
      <w:tr>
        <w:trPr>
          <w:trHeight w:val="426"/>
        </w:trPr>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 P. Carpenter</w:t>
            </w:r>
          </w:p>
        </w:tc>
        <w:tc>
          <w:tcPr>
            <w:tcW w:w="5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86"/>
              </w:rPr>
              <w:t>President</w:t>
            </w:r>
          </w:p>
        </w:tc>
      </w:tr>
      <w:tr>
        <w:trPr>
          <w:trHeight w:val="224"/>
        </w:trPr>
        <w:tc>
          <w:tcPr>
            <w:tcW w:w="5420" w:type="dxa"/>
            <w:vAlign w:val="bottom"/>
          </w:tcPr>
          <w:p>
            <w:pPr>
              <w:spacing w:after="0"/>
              <w:rPr>
                <w:sz w:val="20"/>
                <w:szCs w:val="20"/>
                <w:color w:val="auto"/>
              </w:rPr>
            </w:pPr>
            <w:r>
              <w:rPr>
                <w:rFonts w:ascii="Arial" w:cs="Arial" w:eastAsia="Arial" w:hAnsi="Arial"/>
                <w:sz w:val="18"/>
                <w:szCs w:val="18"/>
                <w:color w:val="auto"/>
              </w:rPr>
              <w:t>Don P. Carpenter</w:t>
            </w:r>
          </w:p>
        </w:tc>
        <w:tc>
          <w:tcPr>
            <w:tcW w:w="580" w:type="dxa"/>
            <w:vAlign w:val="bottom"/>
          </w:tcPr>
          <w:p>
            <w:pPr>
              <w:spacing w:after="0"/>
              <w:rPr>
                <w:sz w:val="19"/>
                <w:szCs w:val="19"/>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431"/>
        </w:trPr>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 A. Robertson</w:t>
            </w:r>
          </w:p>
        </w:tc>
        <w:tc>
          <w:tcPr>
            <w:tcW w:w="580" w:type="dxa"/>
            <w:vAlign w:val="bottom"/>
          </w:tcPr>
          <w:p>
            <w:pPr>
              <w:spacing w:after="0"/>
              <w:rPr>
                <w:sz w:val="24"/>
                <w:szCs w:val="24"/>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2"/>
              </w:rPr>
              <w:t>Vice President, Chief Financial Officer and Controller</w:t>
            </w:r>
          </w:p>
        </w:tc>
      </w:tr>
      <w:tr>
        <w:trPr>
          <w:trHeight w:val="224"/>
        </w:trPr>
        <w:tc>
          <w:tcPr>
            <w:tcW w:w="5420" w:type="dxa"/>
            <w:vAlign w:val="bottom"/>
          </w:tcPr>
          <w:p>
            <w:pPr>
              <w:spacing w:after="0"/>
              <w:rPr>
                <w:sz w:val="20"/>
                <w:szCs w:val="20"/>
                <w:color w:val="auto"/>
              </w:rPr>
            </w:pPr>
            <w:r>
              <w:rPr>
                <w:rFonts w:ascii="Arial" w:cs="Arial" w:eastAsia="Arial" w:hAnsi="Arial"/>
                <w:sz w:val="18"/>
                <w:szCs w:val="18"/>
                <w:color w:val="auto"/>
              </w:rPr>
              <w:t>Greg A. Robertson</w:t>
            </w:r>
          </w:p>
        </w:tc>
        <w:tc>
          <w:tcPr>
            <w:tcW w:w="580" w:type="dxa"/>
            <w:vAlign w:val="bottom"/>
          </w:tcPr>
          <w:p>
            <w:pPr>
              <w:spacing w:after="0"/>
              <w:rPr>
                <w:sz w:val="19"/>
                <w:szCs w:val="19"/>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r>
      <w:tr>
        <w:trPr>
          <w:trHeight w:val="431"/>
        </w:trPr>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Linda J. Smith</w:t>
            </w:r>
          </w:p>
        </w:tc>
        <w:tc>
          <w:tcPr>
            <w:tcW w:w="580" w:type="dxa"/>
            <w:vAlign w:val="bottom"/>
          </w:tcPr>
          <w:p>
            <w:pPr>
              <w:spacing w:after="0"/>
              <w:rPr>
                <w:sz w:val="24"/>
                <w:szCs w:val="24"/>
                <w:color w:val="auto"/>
              </w:rPr>
            </w:pPr>
          </w:p>
        </w:tc>
        <w:tc>
          <w:tcPr>
            <w:tcW w:w="5420" w:type="dxa"/>
            <w:vAlign w:val="bottom"/>
          </w:tcPr>
          <w:p>
            <w:pPr>
              <w:ind w:left="2380"/>
              <w:spacing w:after="0"/>
              <w:rPr>
                <w:sz w:val="20"/>
                <w:szCs w:val="20"/>
                <w:color w:val="auto"/>
              </w:rPr>
            </w:pPr>
            <w:r>
              <w:rPr>
                <w:rFonts w:ascii="Arial" w:cs="Arial" w:eastAsia="Arial" w:hAnsi="Arial"/>
                <w:sz w:val="18"/>
                <w:szCs w:val="18"/>
                <w:color w:val="auto"/>
              </w:rPr>
              <w:t>Director</w:t>
            </w:r>
          </w:p>
        </w:tc>
      </w:tr>
      <w:tr>
        <w:trPr>
          <w:trHeight w:val="224"/>
        </w:trPr>
        <w:tc>
          <w:tcPr>
            <w:tcW w:w="5420" w:type="dxa"/>
            <w:vAlign w:val="bottom"/>
          </w:tcPr>
          <w:p>
            <w:pPr>
              <w:spacing w:after="0"/>
              <w:rPr>
                <w:sz w:val="20"/>
                <w:szCs w:val="20"/>
                <w:color w:val="auto"/>
              </w:rPr>
            </w:pPr>
            <w:r>
              <w:rPr>
                <w:rFonts w:ascii="Arial" w:cs="Arial" w:eastAsia="Arial" w:hAnsi="Arial"/>
                <w:sz w:val="18"/>
                <w:szCs w:val="18"/>
                <w:color w:val="auto"/>
              </w:rPr>
              <w:t>Linda J. Smith</w:t>
            </w:r>
          </w:p>
        </w:tc>
        <w:tc>
          <w:tcPr>
            <w:tcW w:w="580" w:type="dxa"/>
            <w:vAlign w:val="bottom"/>
          </w:tcPr>
          <w:p>
            <w:pPr>
              <w:spacing w:after="0"/>
              <w:rPr>
                <w:sz w:val="19"/>
                <w:szCs w:val="19"/>
                <w:color w:val="auto"/>
              </w:rPr>
            </w:pPr>
          </w:p>
        </w:tc>
        <w:tc>
          <w:tcPr>
            <w:tcW w:w="5420" w:type="dxa"/>
            <w:vAlign w:val="bottom"/>
          </w:tcPr>
          <w:p>
            <w:pPr>
              <w:spacing w:after="0"/>
              <w:rPr>
                <w:sz w:val="19"/>
                <w:szCs w:val="19"/>
                <w:color w:val="auto"/>
              </w:rPr>
            </w:pPr>
          </w:p>
        </w:tc>
      </w:tr>
      <w:tr>
        <w:trPr>
          <w:trHeight w:val="404"/>
        </w:trPr>
        <w:tc>
          <w:tcPr>
            <w:tcW w:w="5420" w:type="dxa"/>
            <w:vAlign w:val="bottom"/>
          </w:tcPr>
          <w:p>
            <w:pPr>
              <w:spacing w:after="0"/>
              <w:rPr>
                <w:sz w:val="24"/>
                <w:szCs w:val="24"/>
                <w:color w:val="auto"/>
              </w:rPr>
            </w:pPr>
          </w:p>
        </w:tc>
        <w:tc>
          <w:tcPr>
            <w:tcW w:w="6000" w:type="dxa"/>
            <w:vAlign w:val="bottom"/>
            <w:gridSpan w:val="2"/>
          </w:tcPr>
          <w:p>
            <w:pPr>
              <w:ind w:left="160"/>
              <w:spacing w:after="0"/>
              <w:rPr>
                <w:sz w:val="20"/>
                <w:szCs w:val="20"/>
                <w:color w:val="auto"/>
              </w:rPr>
            </w:pPr>
            <w:r>
              <w:rPr>
                <w:rFonts w:ascii="Arial" w:cs="Arial" w:eastAsia="Arial" w:hAnsi="Arial"/>
                <w:sz w:val="18"/>
                <w:szCs w:val="18"/>
                <w:color w:val="auto"/>
              </w:rPr>
              <w:t>II-7</w:t>
            </w:r>
          </w:p>
        </w:tc>
      </w:tr>
      <w:tr>
        <w:trPr>
          <w:trHeight w:val="226"/>
        </w:trPr>
        <w:tc>
          <w:tcPr>
            <w:tcW w:w="54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54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60" w:type="dxa"/>
            <w:vAlign w:val="bottom"/>
          </w:tcPr>
          <w:p>
            <w:pPr>
              <w:ind w:left="3860"/>
              <w:spacing w:after="0"/>
              <w:rPr>
                <w:sz w:val="20"/>
                <w:szCs w:val="20"/>
                <w:color w:val="auto"/>
              </w:rPr>
            </w:pPr>
            <w:r>
              <w:rPr>
                <w:rFonts w:ascii="Arial" w:cs="Arial" w:eastAsia="Arial" w:hAnsi="Arial"/>
                <w:sz w:val="18"/>
                <w:szCs w:val="18"/>
                <w:b w:val="1"/>
                <w:bCs w:val="1"/>
                <w:color w:val="auto"/>
              </w:rPr>
              <w:t>EXHIBIT INDEX</w:t>
            </w:r>
          </w:p>
        </w:tc>
      </w:tr>
      <w:tr>
        <w:trPr>
          <w:trHeight w:val="346"/>
        </w:trPr>
        <w:tc>
          <w:tcPr>
            <w:tcW w:w="1160" w:type="dxa"/>
            <w:vAlign w:val="bottom"/>
            <w:gridSpan w:val="2"/>
          </w:tcPr>
          <w:p>
            <w:pPr>
              <w:spacing w:after="0"/>
              <w:rPr>
                <w:sz w:val="20"/>
                <w:szCs w:val="20"/>
                <w:color w:val="auto"/>
              </w:rPr>
            </w:pPr>
            <w:r>
              <w:rPr>
                <w:rFonts w:ascii="Arial" w:cs="Arial" w:eastAsia="Arial" w:hAnsi="Arial"/>
                <w:sz w:val="14"/>
                <w:szCs w:val="14"/>
                <w:color w:val="auto"/>
              </w:rPr>
              <w:t>Exhibit</w:t>
            </w:r>
          </w:p>
        </w:tc>
        <w:tc>
          <w:tcPr>
            <w:tcW w:w="10260" w:type="dxa"/>
            <w:vAlign w:val="bottom"/>
          </w:tcPr>
          <w:p>
            <w:pPr>
              <w:spacing w:after="0"/>
              <w:rPr>
                <w:sz w:val="24"/>
                <w:szCs w:val="24"/>
                <w:color w:val="auto"/>
              </w:rPr>
            </w:pPr>
          </w:p>
        </w:tc>
      </w:tr>
      <w:tr>
        <w:trPr>
          <w:trHeight w:val="167"/>
        </w:trPr>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Number</w:t>
            </w:r>
          </w:p>
        </w:tc>
        <w:tc>
          <w:tcPr>
            <w:tcW w:w="580" w:type="dxa"/>
            <w:vAlign w:val="bottom"/>
          </w:tcPr>
          <w:p>
            <w:pPr>
              <w:spacing w:after="0"/>
              <w:rPr>
                <w:sz w:val="14"/>
                <w:szCs w:val="14"/>
                <w:color w:val="auto"/>
              </w:rPr>
            </w:pPr>
          </w:p>
        </w:tc>
        <w:tc>
          <w:tcPr>
            <w:tcW w:w="10260" w:type="dxa"/>
            <w:vAlign w:val="bottom"/>
            <w:tcBorders>
              <w:bottom w:val="single" w:sz="8" w:color="auto"/>
            </w:tcBorders>
          </w:tcPr>
          <w:p>
            <w:pPr>
              <w:ind w:left="4800"/>
              <w:spacing w:after="0"/>
              <w:rPr>
                <w:sz w:val="20"/>
                <w:szCs w:val="20"/>
                <w:color w:val="auto"/>
              </w:rPr>
            </w:pPr>
            <w:r>
              <w:rPr>
                <w:rFonts w:ascii="Arial" w:cs="Arial" w:eastAsia="Arial" w:hAnsi="Arial"/>
                <w:sz w:val="14"/>
                <w:szCs w:val="14"/>
                <w:color w:val="auto"/>
              </w:rPr>
              <w:t>Description</w:t>
            </w:r>
          </w:p>
        </w:tc>
      </w:tr>
      <w:tr>
        <w:trPr>
          <w:trHeight w:val="411"/>
        </w:trPr>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**1.1</w:t>
            </w:r>
          </w:p>
        </w:tc>
        <w:tc>
          <w:tcPr>
            <w:tcW w:w="10260" w:type="dxa"/>
            <w:vAlign w:val="bottom"/>
          </w:tcPr>
          <w:p>
            <w:pPr>
              <w:spacing w:after="0"/>
              <w:rPr>
                <w:sz w:val="20"/>
                <w:szCs w:val="20"/>
                <w:color w:val="auto"/>
              </w:rPr>
            </w:pPr>
            <w:r>
              <w:rPr>
                <w:rFonts w:ascii="Arial" w:cs="Arial" w:eastAsia="Arial" w:hAnsi="Arial"/>
                <w:sz w:val="18"/>
                <w:szCs w:val="18"/>
                <w:color w:val="auto"/>
              </w:rPr>
              <w:t>Form of Underwriting Agreement (Debt Securities).</w:t>
            </w:r>
          </w:p>
        </w:tc>
      </w:tr>
      <w:tr>
        <w:trPr>
          <w:trHeight w:val="216"/>
        </w:trPr>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**1.2</w:t>
            </w:r>
          </w:p>
        </w:tc>
        <w:tc>
          <w:tcPr>
            <w:tcW w:w="10260" w:type="dxa"/>
            <w:vAlign w:val="bottom"/>
          </w:tcPr>
          <w:p>
            <w:pPr>
              <w:spacing w:after="0"/>
              <w:rPr>
                <w:sz w:val="20"/>
                <w:szCs w:val="20"/>
                <w:color w:val="auto"/>
              </w:rPr>
            </w:pPr>
            <w:r>
              <w:rPr>
                <w:rFonts w:ascii="Arial" w:cs="Arial" w:eastAsia="Arial" w:hAnsi="Arial"/>
                <w:sz w:val="18"/>
                <w:szCs w:val="18"/>
                <w:color w:val="auto"/>
              </w:rPr>
              <w:t>Form of Underwriting Agreement (Equity Securities).</w:t>
            </w:r>
          </w:p>
        </w:tc>
      </w:tr>
      <w:tr>
        <w:trPr>
          <w:trHeight w:val="216"/>
        </w:trPr>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3.1</w:t>
            </w:r>
          </w:p>
        </w:tc>
        <w:tc>
          <w:tcPr>
            <w:tcW w:w="10260" w:type="dxa"/>
            <w:vAlign w:val="bottom"/>
          </w:tcPr>
          <w:p>
            <w:pPr>
              <w:spacing w:after="0"/>
              <w:rPr>
                <w:sz w:val="20"/>
                <w:szCs w:val="20"/>
                <w:color w:val="auto"/>
              </w:rPr>
            </w:pPr>
            <w:r>
              <w:rPr>
                <w:rFonts w:ascii="Arial" w:cs="Arial" w:eastAsia="Arial" w:hAnsi="Arial"/>
                <w:sz w:val="18"/>
                <w:szCs w:val="18"/>
                <w:color w:val="auto"/>
                <w:w w:val="95"/>
              </w:rPr>
              <w:t>Certificate of Incorporation (Incorporated herein by reference to Exhibit 3.1 to the Quarterly Report on Form 10-Q for the quarter ended</w:t>
            </w: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June 30, 2002).</w:t>
            </w:r>
          </w:p>
        </w:tc>
      </w:tr>
      <w:tr>
        <w:trPr>
          <w:trHeight w:val="216"/>
        </w:trPr>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3.2</w:t>
            </w:r>
          </w:p>
        </w:tc>
        <w:tc>
          <w:tcPr>
            <w:tcW w:w="10260" w:type="dxa"/>
            <w:vAlign w:val="bottom"/>
          </w:tcPr>
          <w:p>
            <w:pPr>
              <w:spacing w:after="0"/>
              <w:rPr>
                <w:sz w:val="20"/>
                <w:szCs w:val="20"/>
                <w:color w:val="auto"/>
              </w:rPr>
            </w:pPr>
            <w:r>
              <w:rPr>
                <w:rFonts w:ascii="Arial" w:cs="Arial" w:eastAsia="Arial" w:hAnsi="Arial"/>
                <w:sz w:val="18"/>
                <w:szCs w:val="18"/>
                <w:color w:val="auto"/>
              </w:rPr>
              <w:t>Bylaws (Incorporated herein by reference to Exhibit 3.2 to Current Report on Form 8-K filed March 2, 2007).</w:t>
            </w:r>
          </w:p>
        </w:tc>
      </w:tr>
      <w:tr>
        <w:trPr>
          <w:trHeight w:val="216"/>
        </w:trPr>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*3.3</w:t>
            </w:r>
          </w:p>
        </w:tc>
        <w:tc>
          <w:tcPr>
            <w:tcW w:w="10260" w:type="dxa"/>
            <w:vAlign w:val="bottom"/>
          </w:tcPr>
          <w:p>
            <w:pPr>
              <w:spacing w:after="0"/>
              <w:rPr>
                <w:sz w:val="20"/>
                <w:szCs w:val="20"/>
                <w:color w:val="auto"/>
              </w:rPr>
            </w:pPr>
            <w:r>
              <w:rPr>
                <w:rFonts w:ascii="Arial" w:cs="Arial" w:eastAsia="Arial" w:hAnsi="Arial"/>
                <w:sz w:val="18"/>
                <w:szCs w:val="18"/>
                <w:color w:val="auto"/>
              </w:rPr>
              <w:t>Certificate of Incorporation of Waste Management Holdings, Inc.</w:t>
            </w:r>
          </w:p>
        </w:tc>
      </w:tr>
      <w:tr>
        <w:trPr>
          <w:trHeight w:val="216"/>
        </w:trPr>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*3.4</w:t>
            </w:r>
          </w:p>
        </w:tc>
        <w:tc>
          <w:tcPr>
            <w:tcW w:w="10260" w:type="dxa"/>
            <w:vAlign w:val="bottom"/>
          </w:tcPr>
          <w:p>
            <w:pPr>
              <w:spacing w:after="0"/>
              <w:rPr>
                <w:sz w:val="20"/>
                <w:szCs w:val="20"/>
                <w:color w:val="auto"/>
              </w:rPr>
            </w:pPr>
            <w:r>
              <w:rPr>
                <w:rFonts w:ascii="Arial" w:cs="Arial" w:eastAsia="Arial" w:hAnsi="Arial"/>
                <w:sz w:val="18"/>
                <w:szCs w:val="18"/>
                <w:color w:val="auto"/>
              </w:rPr>
              <w:t>Bylaws of Waste Management Holdings, Inc.</w:t>
            </w:r>
          </w:p>
        </w:tc>
      </w:tr>
      <w:tr>
        <w:trPr>
          <w:trHeight w:val="216"/>
        </w:trPr>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*4.1</w:t>
            </w:r>
          </w:p>
        </w:tc>
        <w:tc>
          <w:tcPr>
            <w:tcW w:w="10260" w:type="dxa"/>
            <w:vAlign w:val="bottom"/>
          </w:tcPr>
          <w:p>
            <w:pPr>
              <w:spacing w:after="0"/>
              <w:rPr>
                <w:sz w:val="20"/>
                <w:szCs w:val="20"/>
                <w:color w:val="auto"/>
              </w:rPr>
            </w:pPr>
            <w:r>
              <w:rPr>
                <w:rFonts w:ascii="Arial" w:cs="Arial" w:eastAsia="Arial" w:hAnsi="Arial"/>
                <w:sz w:val="18"/>
                <w:szCs w:val="18"/>
                <w:color w:val="auto"/>
              </w:rPr>
              <w:t>Specimen certificate of Common Stock.</w:t>
            </w:r>
          </w:p>
        </w:tc>
      </w:tr>
      <w:tr>
        <w:trPr>
          <w:trHeight w:val="216"/>
        </w:trPr>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4.2</w:t>
            </w:r>
          </w:p>
        </w:tc>
        <w:tc>
          <w:tcPr>
            <w:tcW w:w="10260" w:type="dxa"/>
            <w:vAlign w:val="bottom"/>
          </w:tcPr>
          <w:p>
            <w:pPr>
              <w:spacing w:after="0"/>
              <w:rPr>
                <w:sz w:val="20"/>
                <w:szCs w:val="20"/>
                <w:color w:val="auto"/>
              </w:rPr>
            </w:pPr>
            <w:r>
              <w:rPr>
                <w:rFonts w:ascii="Arial" w:cs="Arial" w:eastAsia="Arial" w:hAnsi="Arial"/>
                <w:sz w:val="18"/>
                <w:szCs w:val="18"/>
                <w:color w:val="auto"/>
                <w:w w:val="96"/>
              </w:rPr>
              <w:t>Senior indenture dated as of September 10, 1997 (Incorporated herein by reference to Exhibit 4.1 to Current Report on Form 8-K filed</w:t>
            </w: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September 24, 1997).</w:t>
            </w:r>
          </w:p>
        </w:tc>
      </w:tr>
      <w:tr>
        <w:trPr>
          <w:trHeight w:val="216"/>
        </w:trPr>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4.3</w:t>
            </w:r>
          </w:p>
        </w:tc>
        <w:tc>
          <w:tcPr>
            <w:tcW w:w="10260" w:type="dxa"/>
            <w:vAlign w:val="bottom"/>
          </w:tcPr>
          <w:p>
            <w:pPr>
              <w:spacing w:after="0"/>
              <w:rPr>
                <w:sz w:val="20"/>
                <w:szCs w:val="20"/>
                <w:color w:val="auto"/>
              </w:rPr>
            </w:pPr>
            <w:r>
              <w:rPr>
                <w:rFonts w:ascii="Arial" w:cs="Arial" w:eastAsia="Arial" w:hAnsi="Arial"/>
                <w:sz w:val="18"/>
                <w:szCs w:val="18"/>
                <w:color w:val="auto"/>
                <w:w w:val="93"/>
              </w:rPr>
              <w:t>Subordinated indenture dated as of February 1, 1997 (Incorporated herein by reference to Exhibit 4.1 to Current Report on Form 8-K filed</w:t>
            </w: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February 7, 1997).</w:t>
            </w:r>
          </w:p>
        </w:tc>
      </w:tr>
      <w:tr>
        <w:trPr>
          <w:trHeight w:val="216"/>
        </w:trPr>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**4.4</w:t>
            </w:r>
          </w:p>
        </w:tc>
        <w:tc>
          <w:tcPr>
            <w:tcW w:w="10260" w:type="dxa"/>
            <w:vAlign w:val="bottom"/>
          </w:tcPr>
          <w:p>
            <w:pPr>
              <w:spacing w:after="0"/>
              <w:rPr>
                <w:sz w:val="20"/>
                <w:szCs w:val="20"/>
                <w:color w:val="auto"/>
              </w:rPr>
            </w:pPr>
            <w:r>
              <w:rPr>
                <w:rFonts w:ascii="Arial" w:cs="Arial" w:eastAsia="Arial" w:hAnsi="Arial"/>
                <w:sz w:val="18"/>
                <w:szCs w:val="18"/>
                <w:color w:val="auto"/>
              </w:rPr>
              <w:t>Form of Debt Securities.</w:t>
            </w:r>
          </w:p>
        </w:tc>
      </w:tr>
      <w:tr>
        <w:trPr>
          <w:trHeight w:val="216"/>
        </w:trPr>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**4.5</w:t>
            </w:r>
          </w:p>
        </w:tc>
        <w:tc>
          <w:tcPr>
            <w:tcW w:w="10260" w:type="dxa"/>
            <w:vAlign w:val="bottom"/>
          </w:tcPr>
          <w:p>
            <w:pPr>
              <w:spacing w:after="0"/>
              <w:rPr>
                <w:sz w:val="20"/>
                <w:szCs w:val="20"/>
                <w:color w:val="auto"/>
              </w:rPr>
            </w:pPr>
            <w:r>
              <w:rPr>
                <w:rFonts w:ascii="Arial" w:cs="Arial" w:eastAsia="Arial" w:hAnsi="Arial"/>
                <w:sz w:val="18"/>
                <w:szCs w:val="18"/>
                <w:color w:val="auto"/>
              </w:rPr>
              <w:t>Form of Guarantee Agreement.</w:t>
            </w:r>
          </w:p>
        </w:tc>
      </w:tr>
      <w:tr>
        <w:trPr>
          <w:trHeight w:val="216"/>
        </w:trPr>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**4.6</w:t>
            </w:r>
          </w:p>
        </w:tc>
        <w:tc>
          <w:tcPr>
            <w:tcW w:w="10260" w:type="dxa"/>
            <w:vAlign w:val="bottom"/>
          </w:tcPr>
          <w:p>
            <w:pPr>
              <w:spacing w:after="0"/>
              <w:rPr>
                <w:sz w:val="20"/>
                <w:szCs w:val="20"/>
                <w:color w:val="auto"/>
              </w:rPr>
            </w:pPr>
            <w:r>
              <w:rPr>
                <w:rFonts w:ascii="Arial" w:cs="Arial" w:eastAsia="Arial" w:hAnsi="Arial"/>
                <w:sz w:val="18"/>
                <w:szCs w:val="18"/>
                <w:color w:val="auto"/>
              </w:rPr>
              <w:t>Form of Warrant Agreement.</w:t>
            </w:r>
          </w:p>
        </w:tc>
      </w:tr>
      <w:tr>
        <w:trPr>
          <w:trHeight w:val="216"/>
        </w:trPr>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**4.7</w:t>
            </w:r>
          </w:p>
        </w:tc>
        <w:tc>
          <w:tcPr>
            <w:tcW w:w="10260" w:type="dxa"/>
            <w:vAlign w:val="bottom"/>
          </w:tcPr>
          <w:p>
            <w:pPr>
              <w:spacing w:after="0"/>
              <w:rPr>
                <w:sz w:val="20"/>
                <w:szCs w:val="20"/>
                <w:color w:val="auto"/>
              </w:rPr>
            </w:pPr>
            <w:r>
              <w:rPr>
                <w:rFonts w:ascii="Arial" w:cs="Arial" w:eastAsia="Arial" w:hAnsi="Arial"/>
                <w:sz w:val="18"/>
                <w:szCs w:val="18"/>
                <w:color w:val="auto"/>
              </w:rPr>
              <w:t>Form of Unit Agreement.</w:t>
            </w:r>
          </w:p>
        </w:tc>
      </w:tr>
      <w:tr>
        <w:trPr>
          <w:trHeight w:val="216"/>
        </w:trPr>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*5.1</w:t>
            </w:r>
          </w:p>
        </w:tc>
        <w:tc>
          <w:tcPr>
            <w:tcW w:w="10260" w:type="dxa"/>
            <w:vAlign w:val="bottom"/>
          </w:tcPr>
          <w:p>
            <w:pPr>
              <w:spacing w:after="0"/>
              <w:rPr>
                <w:sz w:val="20"/>
                <w:szCs w:val="20"/>
                <w:color w:val="auto"/>
              </w:rPr>
            </w:pPr>
            <w:r>
              <w:rPr>
                <w:rFonts w:ascii="Arial" w:cs="Arial" w:eastAsia="Arial" w:hAnsi="Arial"/>
                <w:sz w:val="18"/>
                <w:szCs w:val="18"/>
                <w:color w:val="auto"/>
              </w:rPr>
              <w:t>Legal opinion of John S. Tsai regarding the legality of the securities being registered under this registration statement.</w:t>
            </w:r>
          </w:p>
        </w:tc>
      </w:tr>
      <w:tr>
        <w:trPr>
          <w:trHeight w:val="216"/>
        </w:trPr>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12.1</w:t>
            </w:r>
          </w:p>
        </w:tc>
        <w:tc>
          <w:tcPr>
            <w:tcW w:w="10260" w:type="dxa"/>
            <w:vAlign w:val="bottom"/>
          </w:tcPr>
          <w:p>
            <w:pPr>
              <w:spacing w:after="0"/>
              <w:rPr>
                <w:sz w:val="20"/>
                <w:szCs w:val="20"/>
                <w:color w:val="auto"/>
              </w:rPr>
            </w:pPr>
            <w:r>
              <w:rPr>
                <w:rFonts w:ascii="Arial" w:cs="Arial" w:eastAsia="Arial" w:hAnsi="Arial"/>
                <w:sz w:val="18"/>
                <w:szCs w:val="18"/>
                <w:color w:val="auto"/>
                <w:w w:val="91"/>
              </w:rPr>
              <w:t>Statement regarding computation of ratio of earnings to fixed charges (Incorporated herein by reference to Exhibit 12.1 to Registrant’s Annual</w:t>
            </w: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Report on Form 10-K for the year ended December 31, 2007).</w:t>
            </w:r>
          </w:p>
        </w:tc>
      </w:tr>
      <w:tr>
        <w:trPr>
          <w:trHeight w:val="216"/>
        </w:trPr>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*23.1</w:t>
            </w:r>
          </w:p>
        </w:tc>
        <w:tc>
          <w:tcPr>
            <w:tcW w:w="10260" w:type="dxa"/>
            <w:vAlign w:val="bottom"/>
          </w:tcPr>
          <w:p>
            <w:pPr>
              <w:spacing w:after="0"/>
              <w:rPr>
                <w:sz w:val="20"/>
                <w:szCs w:val="20"/>
                <w:color w:val="auto"/>
              </w:rPr>
            </w:pPr>
            <w:r>
              <w:rPr>
                <w:rFonts w:ascii="Arial" w:cs="Arial" w:eastAsia="Arial" w:hAnsi="Arial"/>
                <w:sz w:val="18"/>
                <w:szCs w:val="18"/>
                <w:color w:val="auto"/>
              </w:rPr>
              <w:t>Consent of John S. Tsai (included in Exhibits 5.1).</w:t>
            </w:r>
          </w:p>
        </w:tc>
      </w:tr>
      <w:tr>
        <w:trPr>
          <w:trHeight w:val="216"/>
        </w:trPr>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23.2</w:t>
            </w:r>
          </w:p>
        </w:tc>
        <w:tc>
          <w:tcPr>
            <w:tcW w:w="10260" w:type="dxa"/>
            <w:vAlign w:val="bottom"/>
          </w:tcPr>
          <w:p>
            <w:pPr>
              <w:spacing w:after="0"/>
              <w:rPr>
                <w:sz w:val="20"/>
                <w:szCs w:val="20"/>
                <w:color w:val="auto"/>
              </w:rPr>
            </w:pPr>
            <w:r>
              <w:rPr>
                <w:rFonts w:ascii="Arial" w:cs="Arial" w:eastAsia="Arial" w:hAnsi="Arial"/>
                <w:sz w:val="18"/>
                <w:szCs w:val="18"/>
                <w:color w:val="auto"/>
              </w:rPr>
              <w:t>Consent of Ernst &amp; Young LLP, Independent Registered Public Accounting Firm.</w:t>
            </w:r>
          </w:p>
        </w:tc>
      </w:tr>
      <w:tr>
        <w:trPr>
          <w:trHeight w:val="216"/>
        </w:trPr>
        <w:tc>
          <w:tcPr>
            <w:tcW w:w="580" w:type="dxa"/>
            <w:vAlign w:val="bottom"/>
          </w:tcPr>
          <w:p>
            <w:pPr>
              <w:jc w:val="right"/>
              <w:ind w:right="32"/>
              <w:spacing w:after="0"/>
              <w:rPr>
                <w:sz w:val="20"/>
                <w:szCs w:val="20"/>
                <w:color w:val="auto"/>
              </w:rPr>
            </w:pPr>
            <w:r>
              <w:rPr>
                <w:rFonts w:ascii="Arial" w:cs="Arial" w:eastAsia="Arial" w:hAnsi="Arial"/>
                <w:sz w:val="18"/>
                <w:szCs w:val="18"/>
                <w:color w:val="auto"/>
              </w:rPr>
              <w:t>24</w:t>
            </w:r>
          </w:p>
        </w:tc>
        <w:tc>
          <w:tcPr>
            <w:tcW w:w="58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Powers of Attorney (Previously included on Page II-5 as part of the signature pages).</w:t>
            </w:r>
          </w:p>
        </w:tc>
      </w:tr>
      <w:tr>
        <w:trPr>
          <w:trHeight w:val="216"/>
        </w:trPr>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25.1</w:t>
            </w:r>
          </w:p>
        </w:tc>
        <w:tc>
          <w:tcPr>
            <w:tcW w:w="10260" w:type="dxa"/>
            <w:vAlign w:val="bottom"/>
          </w:tcPr>
          <w:p>
            <w:pPr>
              <w:spacing w:after="0"/>
              <w:rPr>
                <w:sz w:val="20"/>
                <w:szCs w:val="20"/>
                <w:color w:val="auto"/>
              </w:rPr>
            </w:pPr>
            <w:r>
              <w:rPr>
                <w:rFonts w:ascii="Arial" w:cs="Arial" w:eastAsia="Arial" w:hAnsi="Arial"/>
                <w:sz w:val="18"/>
                <w:szCs w:val="18"/>
                <w:color w:val="auto"/>
              </w:rPr>
              <w:t>Statement of Eligibility of Trustee on Form T-1 with respect to the senior indenture.</w:t>
            </w:r>
          </w:p>
        </w:tc>
      </w:tr>
      <w:tr>
        <w:trPr>
          <w:trHeight w:val="230"/>
        </w:trPr>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25.2</w:t>
            </w:r>
          </w:p>
        </w:tc>
        <w:tc>
          <w:tcPr>
            <w:tcW w:w="10260" w:type="dxa"/>
            <w:vAlign w:val="bottom"/>
          </w:tcPr>
          <w:p>
            <w:pPr>
              <w:spacing w:after="0"/>
              <w:rPr>
                <w:sz w:val="20"/>
                <w:szCs w:val="20"/>
                <w:color w:val="auto"/>
              </w:rPr>
            </w:pPr>
            <w:r>
              <w:rPr>
                <w:rFonts w:ascii="Arial" w:cs="Arial" w:eastAsia="Arial" w:hAnsi="Arial"/>
                <w:sz w:val="18"/>
                <w:szCs w:val="18"/>
                <w:color w:val="auto"/>
              </w:rPr>
              <w:t>Statement of Eligibility of Trustee on Form T-1 with respect to the subordinated indenture.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Previously filed as an exhibit to the Registration Statement.</w:t>
      </w:r>
    </w:p>
    <w:p>
      <w:pPr>
        <w:spacing w:after="0" w:line="77" w:lineRule="exact"/>
        <w:rPr>
          <w:sz w:val="20"/>
          <w:szCs w:val="20"/>
          <w:color w:val="auto"/>
        </w:rPr>
      </w:pPr>
    </w:p>
    <w:p>
      <w:pPr>
        <w:ind w:left="460" w:right="580" w:hanging="452"/>
        <w:spacing w:after="0" w:line="27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be filed by amendment to this Registration Statement or as an exhibit to a periodic report filed under the Securities Exchange Act of 1934, as amended.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1420"/>
          </w:cols>
          <w:pgMar w:left="240" w:top="958"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23.2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consent to the reference to our firm under the caption “Experts” in this Post-Effective Amendment No. 1 to the Registration Statement on Form S-3 (No. 333-137526) and related Prospectus of Waste Management, Inc. for the registration of debt securities, common stock, preferred stock, warrants, guarantees and units and to the incorporation by reference therein of our reports dated February 18, 2008, with respect to the consolidated financial statements and schedule of Waste Management, Inc., and the effectiveness of internal control over financial reporting of Waste Management, Inc., included in the Annual Report (Form 10-K) for the year ended December 31, 2007, filed with the Securities and Exchange Commission.</w:t>
      </w:r>
    </w:p>
    <w:p>
      <w:pPr>
        <w:spacing w:after="0" w:line="1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Houston, TX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2008</w:t>
      </w:r>
    </w:p>
    <w:p>
      <w:pPr>
        <w:sectPr>
          <w:pgSz w:w="11900" w:h="16838" w:orient="portrait"/>
          <w:cols w:equalWidth="0" w:num="1">
            <w:col w:w="11420"/>
          </w:cols>
          <w:pgMar w:left="240" w:top="93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646430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t>FORM T-1</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STATEMENT OF ELIGIBILITY</w:t>
      </w:r>
    </w:p>
    <w:p>
      <w:pPr>
        <w:spacing w:after="0" w:line="4" w:lineRule="exact"/>
        <w:rPr>
          <w:sz w:val="20"/>
          <w:szCs w:val="20"/>
          <w:color w:val="auto"/>
        </w:rPr>
      </w:pPr>
    </w:p>
    <w:p>
      <w:pPr>
        <w:ind w:left="3060"/>
        <w:spacing w:after="0"/>
        <w:rPr>
          <w:sz w:val="20"/>
          <w:szCs w:val="20"/>
          <w:color w:val="auto"/>
        </w:rPr>
      </w:pPr>
      <w:r>
        <w:rPr>
          <w:rFonts w:ascii="Arial" w:cs="Arial" w:eastAsia="Arial" w:hAnsi="Arial"/>
          <w:sz w:val="22"/>
          <w:szCs w:val="22"/>
          <w:b w:val="1"/>
          <w:bCs w:val="1"/>
          <w:color w:val="auto"/>
        </w:rPr>
        <w:t>UNDER THE TRUST INDENTURE ACT OF 1939 OF A</w:t>
      </w:r>
    </w:p>
    <w:p>
      <w:pPr>
        <w:ind w:left="3040"/>
        <w:spacing w:after="0"/>
        <w:rPr>
          <w:sz w:val="20"/>
          <w:szCs w:val="20"/>
          <w:color w:val="auto"/>
        </w:rPr>
      </w:pPr>
      <w:r>
        <w:rPr>
          <w:rFonts w:ascii="Arial" w:cs="Arial" w:eastAsia="Arial" w:hAnsi="Arial"/>
          <w:sz w:val="22"/>
          <w:szCs w:val="22"/>
          <w:b w:val="1"/>
          <w:bCs w:val="1"/>
          <w:color w:val="auto"/>
        </w:rPr>
        <w:t>CORPORATION DESIGNATED TO ACT AS TRUSTEE</w:t>
      </w:r>
    </w:p>
    <w:p>
      <w:pPr>
        <w:spacing w:after="0" w:line="182" w:lineRule="exact"/>
        <w:rPr>
          <w:sz w:val="20"/>
          <w:szCs w:val="20"/>
          <w:color w:val="auto"/>
        </w:rPr>
      </w:pPr>
    </w:p>
    <w:p>
      <w:pPr>
        <w:ind w:left="3340"/>
        <w:spacing w:after="0"/>
        <w:rPr>
          <w:sz w:val="20"/>
          <w:szCs w:val="20"/>
          <w:color w:val="auto"/>
        </w:rPr>
      </w:pPr>
      <w:r>
        <w:rPr>
          <w:rFonts w:ascii="Arial" w:cs="Arial" w:eastAsia="Arial" w:hAnsi="Arial"/>
          <w:sz w:val="22"/>
          <w:szCs w:val="22"/>
          <w:b w:val="1"/>
          <w:bCs w:val="1"/>
          <w:color w:val="auto"/>
        </w:rPr>
        <w:t>CHECK IF AN APPLICATION TO DETERMINE</w:t>
      </w:r>
    </w:p>
    <w:p>
      <w:pPr>
        <w:spacing w:after="0" w:line="4" w:lineRule="exact"/>
        <w:rPr>
          <w:sz w:val="20"/>
          <w:szCs w:val="20"/>
          <w:color w:val="auto"/>
        </w:rPr>
      </w:pPr>
    </w:p>
    <w:p>
      <w:pPr>
        <w:ind w:left="3420"/>
        <w:spacing w:after="0"/>
        <w:rPr>
          <w:sz w:val="20"/>
          <w:szCs w:val="20"/>
          <w:color w:val="auto"/>
        </w:rPr>
      </w:pPr>
      <w:r>
        <w:rPr>
          <w:rFonts w:ascii="Arial" w:cs="Arial" w:eastAsia="Arial" w:hAnsi="Arial"/>
          <w:sz w:val="22"/>
          <w:szCs w:val="22"/>
          <w:b w:val="1"/>
          <w:bCs w:val="1"/>
          <w:color w:val="auto"/>
        </w:rPr>
        <w:t>ELIGIBILITY OF A TRUSTEE PURSUANT TO</w:t>
      </w:r>
    </w:p>
    <w:p>
      <w:pPr>
        <w:ind w:left="4460"/>
        <w:spacing w:after="0"/>
        <w:tabs>
          <w:tab w:leader="none" w:pos="6840" w:val="left"/>
        </w:tabs>
        <w:rPr>
          <w:sz w:val="20"/>
          <w:szCs w:val="20"/>
          <w:color w:val="auto"/>
        </w:rPr>
      </w:pPr>
      <w:r>
        <w:rPr>
          <w:rFonts w:ascii="Arial" w:cs="Arial" w:eastAsia="Arial" w:hAnsi="Arial"/>
          <w:sz w:val="22"/>
          <w:szCs w:val="22"/>
          <w:b w:val="1"/>
          <w:bCs w:val="1"/>
          <w:color w:val="auto"/>
        </w:rPr>
        <w:t>SECTION 305(b)(2)</w:t>
      </w:r>
      <w:r>
        <w:rPr>
          <w:sz w:val="20"/>
          <w:szCs w:val="20"/>
          <w:color w:val="auto"/>
        </w:rPr>
        <w:tab/>
      </w:r>
      <w:r>
        <w:rPr>
          <w:rFonts w:ascii="Arial" w:cs="Arial" w:eastAsia="Arial" w:hAnsi="Arial"/>
          <w:sz w:val="19"/>
          <w:szCs w:val="19"/>
          <w:b w:val="1"/>
          <w:bCs w:val="1"/>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184785</wp:posOffset>
            </wp:positionV>
            <wp:extent cx="18783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40"/>
          <w:szCs w:val="40"/>
          <w:b w:val="1"/>
          <w:bCs w:val="1"/>
          <w:color w:val="auto"/>
        </w:rPr>
        <w:t>THE BANK OF NEW YORK TRUST COMPANY, N.A.</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trustee as specified in its charter)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960" w:type="dxa"/>
            <w:vAlign w:val="bottom"/>
            <w:gridSpan w:val="3"/>
          </w:tcPr>
          <w:p>
            <w:pPr>
              <w:jc w:val="center"/>
              <w:ind w:right="2540"/>
              <w:spacing w:after="0"/>
              <w:rPr>
                <w:sz w:val="20"/>
                <w:szCs w:val="20"/>
                <w:color w:val="auto"/>
              </w:rPr>
            </w:pPr>
            <w:r>
              <w:rPr>
                <w:rFonts w:ascii="Arial" w:cs="Arial" w:eastAsia="Arial" w:hAnsi="Arial"/>
                <w:sz w:val="18"/>
                <w:szCs w:val="18"/>
                <w:color w:val="auto"/>
                <w:w w:val="87"/>
              </w:rPr>
              <w:t>(State</w:t>
            </w:r>
          </w:p>
        </w:tc>
        <w:tc>
          <w:tcPr>
            <w:tcW w:w="3460" w:type="dxa"/>
            <w:vAlign w:val="bottom"/>
          </w:tcPr>
          <w:p>
            <w:pPr>
              <w:jc w:val="center"/>
              <w:ind w:right="1870"/>
              <w:spacing w:after="0"/>
              <w:rPr>
                <w:sz w:val="20"/>
                <w:szCs w:val="20"/>
                <w:color w:val="auto"/>
              </w:rPr>
            </w:pPr>
            <w:r>
              <w:rPr>
                <w:rFonts w:ascii="Arial" w:cs="Arial" w:eastAsia="Arial" w:hAnsi="Arial"/>
                <w:sz w:val="18"/>
                <w:szCs w:val="18"/>
                <w:b w:val="1"/>
                <w:bCs w:val="1"/>
                <w:color w:val="auto"/>
                <w:w w:val="89"/>
              </w:rPr>
              <w:t>95-3571558</w:t>
            </w:r>
          </w:p>
        </w:tc>
      </w:tr>
      <w:tr>
        <w:trPr>
          <w:trHeight w:val="216"/>
        </w:trPr>
        <w:tc>
          <w:tcPr>
            <w:tcW w:w="7960" w:type="dxa"/>
            <w:vAlign w:val="bottom"/>
            <w:gridSpan w:val="3"/>
          </w:tcPr>
          <w:p>
            <w:pPr>
              <w:jc w:val="center"/>
              <w:ind w:right="2560"/>
              <w:spacing w:after="0"/>
              <w:rPr>
                <w:sz w:val="20"/>
                <w:szCs w:val="20"/>
                <w:color w:val="auto"/>
              </w:rPr>
            </w:pPr>
            <w:r>
              <w:rPr>
                <w:rFonts w:ascii="Arial" w:cs="Arial" w:eastAsia="Arial" w:hAnsi="Arial"/>
                <w:sz w:val="18"/>
                <w:szCs w:val="18"/>
                <w:color w:val="auto"/>
                <w:w w:val="93"/>
              </w:rPr>
              <w:t>of incorporation</w:t>
            </w:r>
          </w:p>
        </w:tc>
        <w:tc>
          <w:tcPr>
            <w:tcW w:w="3460" w:type="dxa"/>
            <w:vAlign w:val="bottom"/>
          </w:tcPr>
          <w:p>
            <w:pPr>
              <w:jc w:val="center"/>
              <w:ind w:right="1890"/>
              <w:spacing w:after="0"/>
              <w:rPr>
                <w:sz w:val="20"/>
                <w:szCs w:val="20"/>
                <w:color w:val="auto"/>
              </w:rPr>
            </w:pPr>
            <w:r>
              <w:rPr>
                <w:rFonts w:ascii="Arial" w:cs="Arial" w:eastAsia="Arial" w:hAnsi="Arial"/>
                <w:sz w:val="18"/>
                <w:szCs w:val="18"/>
                <w:color w:val="auto"/>
                <w:w w:val="92"/>
              </w:rPr>
              <w:t>(I.R.S. employer</w:t>
            </w:r>
          </w:p>
        </w:tc>
      </w:tr>
      <w:tr>
        <w:trPr>
          <w:trHeight w:val="230"/>
        </w:trPr>
        <w:tc>
          <w:tcPr>
            <w:tcW w:w="7960" w:type="dxa"/>
            <w:vAlign w:val="bottom"/>
            <w:gridSpan w:val="3"/>
          </w:tcPr>
          <w:p>
            <w:pPr>
              <w:jc w:val="center"/>
              <w:ind w:right="2520"/>
              <w:spacing w:after="0"/>
              <w:rPr>
                <w:sz w:val="20"/>
                <w:szCs w:val="20"/>
                <w:color w:val="auto"/>
              </w:rPr>
            </w:pPr>
            <w:r>
              <w:rPr>
                <w:rFonts w:ascii="Arial" w:cs="Arial" w:eastAsia="Arial" w:hAnsi="Arial"/>
                <w:sz w:val="18"/>
                <w:szCs w:val="18"/>
                <w:color w:val="auto"/>
                <w:w w:val="92"/>
              </w:rPr>
              <w:t>if not a U.S. national bank)</w:t>
            </w:r>
          </w:p>
        </w:tc>
        <w:tc>
          <w:tcPr>
            <w:tcW w:w="3460" w:type="dxa"/>
            <w:vAlign w:val="bottom"/>
          </w:tcPr>
          <w:p>
            <w:pPr>
              <w:jc w:val="center"/>
              <w:ind w:right="187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7960" w:type="dxa"/>
            <w:vAlign w:val="bottom"/>
            <w:gridSpan w:val="3"/>
          </w:tcPr>
          <w:p>
            <w:pPr>
              <w:jc w:val="center"/>
              <w:ind w:right="2580"/>
              <w:spacing w:after="0"/>
              <w:rPr>
                <w:sz w:val="20"/>
                <w:szCs w:val="20"/>
                <w:color w:val="auto"/>
              </w:rPr>
            </w:pPr>
            <w:r>
              <w:rPr>
                <w:rFonts w:ascii="Arial" w:cs="Arial" w:eastAsia="Arial" w:hAnsi="Arial"/>
                <w:sz w:val="18"/>
                <w:szCs w:val="18"/>
                <w:b w:val="1"/>
                <w:bCs w:val="1"/>
                <w:color w:val="auto"/>
                <w:w w:val="90"/>
              </w:rPr>
              <w:t>700 South Flower Street</w:t>
            </w:r>
          </w:p>
        </w:tc>
        <w:tc>
          <w:tcPr>
            <w:tcW w:w="3460" w:type="dxa"/>
            <w:vAlign w:val="bottom"/>
          </w:tcPr>
          <w:p>
            <w:pPr>
              <w:jc w:val="center"/>
              <w:ind w:right="1870"/>
              <w:spacing w:after="0"/>
              <w:rPr>
                <w:sz w:val="20"/>
                <w:szCs w:val="20"/>
                <w:color w:val="auto"/>
              </w:rPr>
            </w:pPr>
            <w:r>
              <w:rPr>
                <w:rFonts w:ascii="Arial" w:cs="Arial" w:eastAsia="Arial" w:hAnsi="Arial"/>
                <w:sz w:val="18"/>
                <w:szCs w:val="18"/>
                <w:b w:val="1"/>
                <w:bCs w:val="1"/>
                <w:color w:val="auto"/>
                <w:w w:val="91"/>
              </w:rPr>
              <w:t>90017</w:t>
            </w:r>
          </w:p>
        </w:tc>
      </w:tr>
      <w:tr>
        <w:trPr>
          <w:trHeight w:val="216"/>
        </w:trPr>
        <w:tc>
          <w:tcPr>
            <w:tcW w:w="7960" w:type="dxa"/>
            <w:vAlign w:val="bottom"/>
            <w:gridSpan w:val="3"/>
          </w:tcPr>
          <w:p>
            <w:pPr>
              <w:jc w:val="center"/>
              <w:ind w:right="2540"/>
              <w:spacing w:after="0"/>
              <w:rPr>
                <w:sz w:val="20"/>
                <w:szCs w:val="20"/>
                <w:color w:val="auto"/>
              </w:rPr>
            </w:pPr>
            <w:r>
              <w:rPr>
                <w:rFonts w:ascii="Arial" w:cs="Arial" w:eastAsia="Arial" w:hAnsi="Arial"/>
                <w:sz w:val="18"/>
                <w:szCs w:val="18"/>
                <w:b w:val="1"/>
                <w:bCs w:val="1"/>
                <w:color w:val="auto"/>
                <w:w w:val="88"/>
              </w:rPr>
              <w:t>Suite 500</w:t>
            </w:r>
          </w:p>
        </w:tc>
        <w:tc>
          <w:tcPr>
            <w:tcW w:w="3460" w:type="dxa"/>
            <w:vAlign w:val="bottom"/>
          </w:tcPr>
          <w:p>
            <w:pPr>
              <w:jc w:val="center"/>
              <w:ind w:right="1890"/>
              <w:spacing w:after="0"/>
              <w:rPr>
                <w:sz w:val="20"/>
                <w:szCs w:val="20"/>
                <w:color w:val="auto"/>
              </w:rPr>
            </w:pPr>
            <w:r>
              <w:rPr>
                <w:rFonts w:ascii="Arial" w:cs="Arial" w:eastAsia="Arial" w:hAnsi="Arial"/>
                <w:sz w:val="18"/>
                <w:szCs w:val="18"/>
                <w:color w:val="auto"/>
                <w:w w:val="93"/>
              </w:rPr>
              <w:t>(Zip code)</w:t>
            </w:r>
          </w:p>
        </w:tc>
      </w:tr>
      <w:tr>
        <w:trPr>
          <w:trHeight w:val="220"/>
        </w:trPr>
        <w:tc>
          <w:tcPr>
            <w:tcW w:w="7960" w:type="dxa"/>
            <w:vAlign w:val="bottom"/>
            <w:gridSpan w:val="3"/>
          </w:tcPr>
          <w:p>
            <w:pPr>
              <w:jc w:val="center"/>
              <w:ind w:right="2520"/>
              <w:spacing w:after="0"/>
              <w:rPr>
                <w:sz w:val="20"/>
                <w:szCs w:val="20"/>
                <w:color w:val="auto"/>
              </w:rPr>
            </w:pPr>
            <w:r>
              <w:rPr>
                <w:rFonts w:ascii="Arial" w:cs="Arial" w:eastAsia="Arial" w:hAnsi="Arial"/>
                <w:sz w:val="18"/>
                <w:szCs w:val="18"/>
                <w:b w:val="1"/>
                <w:bCs w:val="1"/>
                <w:color w:val="auto"/>
                <w:w w:val="89"/>
              </w:rPr>
              <w:t>Los Angeles, California</w:t>
            </w:r>
          </w:p>
        </w:tc>
        <w:tc>
          <w:tcPr>
            <w:tcW w:w="3460" w:type="dxa"/>
            <w:vAlign w:val="bottom"/>
          </w:tcPr>
          <w:p>
            <w:pPr>
              <w:spacing w:after="0"/>
              <w:rPr>
                <w:sz w:val="19"/>
                <w:szCs w:val="19"/>
                <w:color w:val="auto"/>
              </w:rPr>
            </w:pPr>
          </w:p>
        </w:tc>
      </w:tr>
      <w:tr>
        <w:trPr>
          <w:trHeight w:val="230"/>
        </w:trPr>
        <w:tc>
          <w:tcPr>
            <w:tcW w:w="7960" w:type="dxa"/>
            <w:vAlign w:val="bottom"/>
            <w:gridSpan w:val="3"/>
          </w:tcPr>
          <w:p>
            <w:pPr>
              <w:jc w:val="center"/>
              <w:ind w:right="2540"/>
              <w:spacing w:after="0"/>
              <w:rPr>
                <w:sz w:val="20"/>
                <w:szCs w:val="20"/>
                <w:color w:val="auto"/>
              </w:rPr>
            </w:pPr>
            <w:r>
              <w:rPr>
                <w:rFonts w:ascii="Arial" w:cs="Arial" w:eastAsia="Arial" w:hAnsi="Arial"/>
                <w:sz w:val="18"/>
                <w:szCs w:val="18"/>
                <w:color w:val="auto"/>
                <w:w w:val="92"/>
              </w:rPr>
              <w:t>(Address of principal executive offices)</w:t>
            </w:r>
          </w:p>
        </w:tc>
        <w:tc>
          <w:tcPr>
            <w:tcW w:w="3460" w:type="dxa"/>
            <w:vAlign w:val="bottom"/>
          </w:tcPr>
          <w:p>
            <w:pPr>
              <w:spacing w:after="0"/>
              <w:rPr>
                <w:sz w:val="20"/>
                <w:szCs w:val="20"/>
                <w:color w:val="auto"/>
              </w:rPr>
            </w:pPr>
          </w:p>
        </w:tc>
      </w:tr>
      <w:tr>
        <w:trPr>
          <w:trHeight w:val="324"/>
        </w:trPr>
        <w:tc>
          <w:tcPr>
            <w:tcW w:w="4240" w:type="dxa"/>
            <w:vAlign w:val="bottom"/>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583"/>
        </w:trPr>
        <w:tc>
          <w:tcPr>
            <w:tcW w:w="7960" w:type="dxa"/>
            <w:vAlign w:val="bottom"/>
            <w:gridSpan w:val="3"/>
          </w:tcPr>
          <w:p>
            <w:pPr>
              <w:jc w:val="center"/>
              <w:ind w:left="3384"/>
              <w:spacing w:after="0"/>
              <w:rPr>
                <w:sz w:val="20"/>
                <w:szCs w:val="20"/>
                <w:color w:val="auto"/>
              </w:rPr>
            </w:pPr>
            <w:r>
              <w:rPr>
                <w:rFonts w:ascii="Arial" w:cs="Arial" w:eastAsia="Arial" w:hAnsi="Arial"/>
                <w:sz w:val="18"/>
                <w:szCs w:val="18"/>
                <w:b w:val="1"/>
                <w:bCs w:val="1"/>
                <w:color w:val="auto"/>
                <w:w w:val="92"/>
              </w:rPr>
              <w:t>The Bank of New York Trust Company, N.A.</w:t>
            </w:r>
          </w:p>
        </w:tc>
        <w:tc>
          <w:tcPr>
            <w:tcW w:w="3460" w:type="dxa"/>
            <w:vAlign w:val="bottom"/>
          </w:tcPr>
          <w:p>
            <w:pPr>
              <w:spacing w:after="0"/>
              <w:rPr>
                <w:sz w:val="24"/>
                <w:szCs w:val="24"/>
                <w:color w:val="auto"/>
              </w:rPr>
            </w:pPr>
          </w:p>
        </w:tc>
      </w:tr>
      <w:tr>
        <w:trPr>
          <w:trHeight w:val="216"/>
        </w:trPr>
        <w:tc>
          <w:tcPr>
            <w:tcW w:w="4240" w:type="dxa"/>
            <w:vAlign w:val="bottom"/>
          </w:tcPr>
          <w:p>
            <w:pPr>
              <w:spacing w:after="0"/>
              <w:rPr>
                <w:sz w:val="18"/>
                <w:szCs w:val="18"/>
                <w:color w:val="auto"/>
              </w:rPr>
            </w:pPr>
          </w:p>
        </w:tc>
        <w:tc>
          <w:tcPr>
            <w:tcW w:w="3720" w:type="dxa"/>
            <w:vAlign w:val="bottom"/>
            <w:gridSpan w:val="2"/>
          </w:tcPr>
          <w:p>
            <w:pPr>
              <w:jc w:val="center"/>
              <w:ind w:right="760"/>
              <w:spacing w:after="0"/>
              <w:rPr>
                <w:sz w:val="20"/>
                <w:szCs w:val="20"/>
                <w:color w:val="auto"/>
              </w:rPr>
            </w:pPr>
            <w:r>
              <w:rPr>
                <w:rFonts w:ascii="Arial" w:cs="Arial" w:eastAsia="Arial" w:hAnsi="Arial"/>
                <w:sz w:val="18"/>
                <w:szCs w:val="18"/>
                <w:b w:val="1"/>
                <w:bCs w:val="1"/>
                <w:color w:val="auto"/>
                <w:w w:val="89"/>
              </w:rPr>
              <w:t>700 South Flower Street, Suite 500</w:t>
            </w:r>
          </w:p>
        </w:tc>
        <w:tc>
          <w:tcPr>
            <w:tcW w:w="346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372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90"/>
              </w:rPr>
              <w:t>Los Angeles, California 90017</w:t>
            </w:r>
          </w:p>
        </w:tc>
        <w:tc>
          <w:tcPr>
            <w:tcW w:w="3460" w:type="dxa"/>
            <w:vAlign w:val="bottom"/>
          </w:tcPr>
          <w:p>
            <w:pPr>
              <w:spacing w:after="0"/>
              <w:rPr>
                <w:sz w:val="18"/>
                <w:szCs w:val="18"/>
                <w:color w:val="auto"/>
              </w:rPr>
            </w:pPr>
          </w:p>
        </w:tc>
      </w:tr>
      <w:tr>
        <w:trPr>
          <w:trHeight w:val="216"/>
        </w:trPr>
        <w:tc>
          <w:tcPr>
            <w:tcW w:w="7960" w:type="dxa"/>
            <w:vAlign w:val="bottom"/>
            <w:gridSpan w:val="3"/>
          </w:tcPr>
          <w:p>
            <w:pPr>
              <w:jc w:val="center"/>
              <w:ind w:left="3364"/>
              <w:spacing w:after="0"/>
              <w:rPr>
                <w:sz w:val="20"/>
                <w:szCs w:val="20"/>
                <w:color w:val="auto"/>
              </w:rPr>
            </w:pPr>
            <w:r>
              <w:rPr>
                <w:rFonts w:ascii="Arial" w:cs="Arial" w:eastAsia="Arial" w:hAnsi="Arial"/>
                <w:sz w:val="18"/>
                <w:szCs w:val="18"/>
                <w:b w:val="1"/>
                <w:bCs w:val="1"/>
                <w:color w:val="auto"/>
                <w:w w:val="92"/>
              </w:rPr>
              <w:t>Attn: The Bank of New York Trust Company, N.A.</w:t>
            </w:r>
          </w:p>
        </w:tc>
        <w:tc>
          <w:tcPr>
            <w:tcW w:w="3460" w:type="dxa"/>
            <w:vAlign w:val="bottom"/>
          </w:tcPr>
          <w:p>
            <w:pPr>
              <w:spacing w:after="0"/>
              <w:rPr>
                <w:sz w:val="18"/>
                <w:szCs w:val="18"/>
                <w:color w:val="auto"/>
              </w:rPr>
            </w:pPr>
          </w:p>
        </w:tc>
      </w:tr>
      <w:tr>
        <w:trPr>
          <w:trHeight w:val="220"/>
        </w:trPr>
        <w:tc>
          <w:tcPr>
            <w:tcW w:w="7200" w:type="dxa"/>
            <w:vAlign w:val="bottom"/>
            <w:gridSpan w:val="2"/>
          </w:tcPr>
          <w:p>
            <w:pPr>
              <w:jc w:val="center"/>
              <w:ind w:left="4124"/>
              <w:spacing w:after="0"/>
              <w:rPr>
                <w:sz w:val="20"/>
                <w:szCs w:val="20"/>
                <w:color w:val="auto"/>
              </w:rPr>
            </w:pPr>
            <w:r>
              <w:rPr>
                <w:rFonts w:ascii="Arial" w:cs="Arial" w:eastAsia="Arial" w:hAnsi="Arial"/>
                <w:sz w:val="18"/>
                <w:szCs w:val="18"/>
                <w:b w:val="1"/>
                <w:bCs w:val="1"/>
                <w:color w:val="auto"/>
                <w:w w:val="90"/>
              </w:rPr>
              <w:t>213-630-6205</w:t>
            </w:r>
          </w:p>
        </w:tc>
        <w:tc>
          <w:tcPr>
            <w:tcW w:w="76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230"/>
        </w:trPr>
        <w:tc>
          <w:tcPr>
            <w:tcW w:w="7960" w:type="dxa"/>
            <w:vAlign w:val="bottom"/>
            <w:gridSpan w:val="3"/>
          </w:tcPr>
          <w:p>
            <w:pPr>
              <w:jc w:val="center"/>
              <w:ind w:left="3364"/>
              <w:spacing w:after="0"/>
              <w:rPr>
                <w:sz w:val="20"/>
                <w:szCs w:val="20"/>
                <w:color w:val="auto"/>
              </w:rPr>
            </w:pPr>
            <w:r>
              <w:rPr>
                <w:rFonts w:ascii="Arial" w:cs="Arial" w:eastAsia="Arial" w:hAnsi="Arial"/>
                <w:sz w:val="18"/>
                <w:szCs w:val="18"/>
                <w:color w:val="auto"/>
                <w:w w:val="89"/>
              </w:rPr>
              <w:t>(Name, address and telephone number of agent for service)</w:t>
            </w:r>
          </w:p>
        </w:tc>
        <w:tc>
          <w:tcPr>
            <w:tcW w:w="3460" w:type="dxa"/>
            <w:vAlign w:val="bottom"/>
          </w:tcPr>
          <w:p>
            <w:pPr>
              <w:spacing w:after="0"/>
              <w:rPr>
                <w:sz w:val="20"/>
                <w:szCs w:val="20"/>
                <w:color w:val="auto"/>
              </w:rPr>
            </w:pPr>
          </w:p>
        </w:tc>
      </w:tr>
      <w:tr>
        <w:trPr>
          <w:trHeight w:val="324"/>
        </w:trPr>
        <w:tc>
          <w:tcPr>
            <w:tcW w:w="4240" w:type="dxa"/>
            <w:vAlign w:val="bottom"/>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708"/>
        </w:trPr>
        <w:tc>
          <w:tcPr>
            <w:tcW w:w="7960" w:type="dxa"/>
            <w:vAlign w:val="bottom"/>
            <w:gridSpan w:val="3"/>
          </w:tcPr>
          <w:p>
            <w:pPr>
              <w:jc w:val="center"/>
              <w:ind w:left="3384"/>
              <w:spacing w:after="0"/>
              <w:rPr>
                <w:sz w:val="20"/>
                <w:szCs w:val="20"/>
                <w:color w:val="auto"/>
              </w:rPr>
            </w:pPr>
            <w:r>
              <w:rPr>
                <w:rFonts w:ascii="Arial" w:cs="Arial" w:eastAsia="Arial" w:hAnsi="Arial"/>
                <w:sz w:val="40"/>
                <w:szCs w:val="40"/>
                <w:b w:val="1"/>
                <w:bCs w:val="1"/>
                <w:color w:val="auto"/>
                <w:w w:val="90"/>
              </w:rPr>
              <w:t>Waste Management, Inc.</w:t>
            </w:r>
          </w:p>
        </w:tc>
        <w:tc>
          <w:tcPr>
            <w:tcW w:w="3460" w:type="dxa"/>
            <w:vAlign w:val="bottom"/>
          </w:tcPr>
          <w:p>
            <w:pPr>
              <w:spacing w:after="0"/>
              <w:rPr>
                <w:sz w:val="24"/>
                <w:szCs w:val="24"/>
                <w:color w:val="auto"/>
              </w:rPr>
            </w:pPr>
          </w:p>
        </w:tc>
      </w:tr>
      <w:tr>
        <w:trPr>
          <w:trHeight w:val="230"/>
        </w:trPr>
        <w:tc>
          <w:tcPr>
            <w:tcW w:w="7960" w:type="dxa"/>
            <w:vAlign w:val="bottom"/>
            <w:gridSpan w:val="3"/>
          </w:tcPr>
          <w:p>
            <w:pPr>
              <w:jc w:val="center"/>
              <w:ind w:left="3384"/>
              <w:spacing w:after="0"/>
              <w:rPr>
                <w:sz w:val="20"/>
                <w:szCs w:val="20"/>
                <w:color w:val="auto"/>
              </w:rPr>
            </w:pPr>
            <w:r>
              <w:rPr>
                <w:rFonts w:ascii="Arial" w:cs="Arial" w:eastAsia="Arial" w:hAnsi="Arial"/>
                <w:sz w:val="18"/>
                <w:szCs w:val="18"/>
                <w:color w:val="auto"/>
                <w:w w:val="91"/>
              </w:rPr>
              <w:t>(Exact name of obligor as specified in its charter)</w:t>
            </w:r>
          </w:p>
        </w:tc>
        <w:tc>
          <w:tcPr>
            <w:tcW w:w="3460" w:type="dxa"/>
            <w:vAlign w:val="bottom"/>
          </w:tcPr>
          <w:p>
            <w:pPr>
              <w:spacing w:after="0"/>
              <w:rPr>
                <w:sz w:val="20"/>
                <w:szCs w:val="20"/>
                <w:color w:val="auto"/>
              </w:rPr>
            </w:pPr>
          </w:p>
        </w:tc>
      </w:tr>
      <w:tr>
        <w:trPr>
          <w:trHeight w:val="418"/>
        </w:trPr>
        <w:tc>
          <w:tcPr>
            <w:tcW w:w="7960" w:type="dxa"/>
            <w:vAlign w:val="bottom"/>
            <w:gridSpan w:val="3"/>
          </w:tcPr>
          <w:p>
            <w:pPr>
              <w:jc w:val="center"/>
              <w:ind w:right="2520"/>
              <w:spacing w:after="0"/>
              <w:rPr>
                <w:sz w:val="20"/>
                <w:szCs w:val="20"/>
                <w:color w:val="auto"/>
              </w:rPr>
            </w:pPr>
            <w:r>
              <w:rPr>
                <w:rFonts w:ascii="Arial" w:cs="Arial" w:eastAsia="Arial" w:hAnsi="Arial"/>
                <w:sz w:val="18"/>
                <w:szCs w:val="18"/>
                <w:b w:val="1"/>
                <w:bCs w:val="1"/>
                <w:color w:val="auto"/>
                <w:w w:val="91"/>
              </w:rPr>
              <w:t>Delaware</w:t>
            </w:r>
          </w:p>
        </w:tc>
        <w:tc>
          <w:tcPr>
            <w:tcW w:w="3460" w:type="dxa"/>
            <w:vAlign w:val="bottom"/>
          </w:tcPr>
          <w:p>
            <w:pPr>
              <w:jc w:val="center"/>
              <w:ind w:right="1870"/>
              <w:spacing w:after="0"/>
              <w:rPr>
                <w:sz w:val="20"/>
                <w:szCs w:val="20"/>
                <w:color w:val="auto"/>
              </w:rPr>
            </w:pPr>
            <w:r>
              <w:rPr>
                <w:rFonts w:ascii="Arial" w:cs="Arial" w:eastAsia="Arial" w:hAnsi="Arial"/>
                <w:sz w:val="18"/>
                <w:szCs w:val="18"/>
                <w:b w:val="1"/>
                <w:bCs w:val="1"/>
                <w:color w:val="auto"/>
                <w:w w:val="89"/>
              </w:rPr>
              <w:t>73-1309529</w:t>
            </w:r>
          </w:p>
        </w:tc>
      </w:tr>
      <w:tr>
        <w:trPr>
          <w:trHeight w:val="216"/>
        </w:trPr>
        <w:tc>
          <w:tcPr>
            <w:tcW w:w="7960" w:type="dxa"/>
            <w:vAlign w:val="bottom"/>
            <w:gridSpan w:val="3"/>
          </w:tcPr>
          <w:p>
            <w:pPr>
              <w:jc w:val="center"/>
              <w:ind w:right="2580"/>
              <w:spacing w:after="0"/>
              <w:rPr>
                <w:sz w:val="20"/>
                <w:szCs w:val="20"/>
                <w:color w:val="auto"/>
              </w:rPr>
            </w:pPr>
            <w:r>
              <w:rPr>
                <w:rFonts w:ascii="Arial" w:cs="Arial" w:eastAsia="Arial" w:hAnsi="Arial"/>
                <w:sz w:val="18"/>
                <w:szCs w:val="18"/>
                <w:color w:val="auto"/>
                <w:w w:val="93"/>
              </w:rPr>
              <w:t>(State or other jurisdiction of</w:t>
            </w:r>
          </w:p>
        </w:tc>
        <w:tc>
          <w:tcPr>
            <w:tcW w:w="3460" w:type="dxa"/>
            <w:vAlign w:val="bottom"/>
          </w:tcPr>
          <w:p>
            <w:pPr>
              <w:jc w:val="center"/>
              <w:ind w:right="1890"/>
              <w:spacing w:after="0"/>
              <w:rPr>
                <w:sz w:val="20"/>
                <w:szCs w:val="20"/>
                <w:color w:val="auto"/>
              </w:rPr>
            </w:pPr>
            <w:r>
              <w:rPr>
                <w:rFonts w:ascii="Arial" w:cs="Arial" w:eastAsia="Arial" w:hAnsi="Arial"/>
                <w:sz w:val="18"/>
                <w:szCs w:val="18"/>
                <w:color w:val="auto"/>
                <w:w w:val="92"/>
              </w:rPr>
              <w:t>(I.R.S. employer</w:t>
            </w:r>
          </w:p>
        </w:tc>
      </w:tr>
      <w:tr>
        <w:trPr>
          <w:trHeight w:val="230"/>
        </w:trPr>
        <w:tc>
          <w:tcPr>
            <w:tcW w:w="7960" w:type="dxa"/>
            <w:vAlign w:val="bottom"/>
            <w:gridSpan w:val="3"/>
          </w:tcPr>
          <w:p>
            <w:pPr>
              <w:jc w:val="center"/>
              <w:ind w:right="2520"/>
              <w:spacing w:after="0"/>
              <w:rPr>
                <w:sz w:val="20"/>
                <w:szCs w:val="20"/>
                <w:color w:val="auto"/>
              </w:rPr>
            </w:pPr>
            <w:r>
              <w:rPr>
                <w:rFonts w:ascii="Arial" w:cs="Arial" w:eastAsia="Arial" w:hAnsi="Arial"/>
                <w:sz w:val="18"/>
                <w:szCs w:val="18"/>
                <w:color w:val="auto"/>
                <w:w w:val="92"/>
              </w:rPr>
              <w:t>incorporation or organization)</w:t>
            </w:r>
          </w:p>
        </w:tc>
        <w:tc>
          <w:tcPr>
            <w:tcW w:w="3460" w:type="dxa"/>
            <w:vAlign w:val="bottom"/>
          </w:tcPr>
          <w:p>
            <w:pPr>
              <w:jc w:val="center"/>
              <w:ind w:right="187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7960" w:type="dxa"/>
            <w:vAlign w:val="bottom"/>
            <w:gridSpan w:val="3"/>
          </w:tcPr>
          <w:p>
            <w:pPr>
              <w:jc w:val="center"/>
              <w:ind w:right="2540"/>
              <w:spacing w:after="0"/>
              <w:rPr>
                <w:sz w:val="20"/>
                <w:szCs w:val="20"/>
                <w:color w:val="auto"/>
              </w:rPr>
            </w:pPr>
            <w:r>
              <w:rPr>
                <w:rFonts w:ascii="Arial" w:cs="Arial" w:eastAsia="Arial" w:hAnsi="Arial"/>
                <w:sz w:val="18"/>
                <w:szCs w:val="18"/>
                <w:b w:val="1"/>
                <w:bCs w:val="1"/>
                <w:color w:val="auto"/>
                <w:w w:val="90"/>
              </w:rPr>
              <w:t>1001 Fannin Street, Suite 4000</w:t>
            </w:r>
          </w:p>
        </w:tc>
        <w:tc>
          <w:tcPr>
            <w:tcW w:w="3460" w:type="dxa"/>
            <w:vAlign w:val="bottom"/>
          </w:tcPr>
          <w:p>
            <w:pPr>
              <w:jc w:val="center"/>
              <w:ind w:right="1870"/>
              <w:spacing w:after="0"/>
              <w:rPr>
                <w:sz w:val="20"/>
                <w:szCs w:val="20"/>
                <w:color w:val="auto"/>
              </w:rPr>
            </w:pPr>
            <w:r>
              <w:rPr>
                <w:rFonts w:ascii="Arial" w:cs="Arial" w:eastAsia="Arial" w:hAnsi="Arial"/>
                <w:sz w:val="18"/>
                <w:szCs w:val="18"/>
                <w:b w:val="1"/>
                <w:bCs w:val="1"/>
                <w:color w:val="auto"/>
                <w:w w:val="91"/>
              </w:rPr>
              <w:t>77002</w:t>
            </w:r>
          </w:p>
        </w:tc>
      </w:tr>
      <w:tr>
        <w:trPr>
          <w:trHeight w:val="220"/>
        </w:trPr>
        <w:tc>
          <w:tcPr>
            <w:tcW w:w="7960" w:type="dxa"/>
            <w:vAlign w:val="bottom"/>
            <w:gridSpan w:val="3"/>
          </w:tcPr>
          <w:p>
            <w:pPr>
              <w:jc w:val="center"/>
              <w:ind w:right="2540"/>
              <w:spacing w:after="0"/>
              <w:rPr>
                <w:sz w:val="20"/>
                <w:szCs w:val="20"/>
                <w:color w:val="auto"/>
              </w:rPr>
            </w:pPr>
            <w:r>
              <w:rPr>
                <w:rFonts w:ascii="Arial" w:cs="Arial" w:eastAsia="Arial" w:hAnsi="Arial"/>
                <w:sz w:val="18"/>
                <w:szCs w:val="18"/>
                <w:b w:val="1"/>
                <w:bCs w:val="1"/>
                <w:color w:val="auto"/>
                <w:w w:val="88"/>
              </w:rPr>
              <w:t>Houston, Texas</w:t>
            </w:r>
          </w:p>
        </w:tc>
        <w:tc>
          <w:tcPr>
            <w:tcW w:w="3460" w:type="dxa"/>
            <w:vAlign w:val="bottom"/>
          </w:tcPr>
          <w:p>
            <w:pPr>
              <w:jc w:val="center"/>
              <w:ind w:right="1890"/>
              <w:spacing w:after="0"/>
              <w:rPr>
                <w:sz w:val="20"/>
                <w:szCs w:val="20"/>
                <w:color w:val="auto"/>
              </w:rPr>
            </w:pPr>
            <w:r>
              <w:rPr>
                <w:rFonts w:ascii="Arial" w:cs="Arial" w:eastAsia="Arial" w:hAnsi="Arial"/>
                <w:sz w:val="18"/>
                <w:szCs w:val="18"/>
                <w:color w:val="auto"/>
                <w:w w:val="94"/>
              </w:rPr>
              <w:t>(Zip Code)</w:t>
            </w:r>
          </w:p>
        </w:tc>
      </w:tr>
      <w:tr>
        <w:trPr>
          <w:trHeight w:val="230"/>
        </w:trPr>
        <w:tc>
          <w:tcPr>
            <w:tcW w:w="7960" w:type="dxa"/>
            <w:vAlign w:val="bottom"/>
            <w:gridSpan w:val="3"/>
          </w:tcPr>
          <w:p>
            <w:pPr>
              <w:jc w:val="center"/>
              <w:ind w:right="2540"/>
              <w:spacing w:after="0"/>
              <w:rPr>
                <w:sz w:val="20"/>
                <w:szCs w:val="20"/>
                <w:color w:val="auto"/>
              </w:rPr>
            </w:pPr>
            <w:r>
              <w:rPr>
                <w:rFonts w:ascii="Arial" w:cs="Arial" w:eastAsia="Arial" w:hAnsi="Arial"/>
                <w:sz w:val="18"/>
                <w:szCs w:val="18"/>
                <w:color w:val="auto"/>
                <w:w w:val="92"/>
              </w:rPr>
              <w:t>(Address of principal executive offices)</w:t>
            </w:r>
          </w:p>
        </w:tc>
        <w:tc>
          <w:tcPr>
            <w:tcW w:w="3460" w:type="dxa"/>
            <w:vAlign w:val="bottom"/>
          </w:tcPr>
          <w:p>
            <w:pPr>
              <w:spacing w:after="0"/>
              <w:rPr>
                <w:sz w:val="20"/>
                <w:szCs w:val="20"/>
                <w:color w:val="auto"/>
              </w:rPr>
            </w:pPr>
          </w:p>
        </w:tc>
      </w:tr>
      <w:tr>
        <w:trPr>
          <w:trHeight w:val="324"/>
        </w:trPr>
        <w:tc>
          <w:tcPr>
            <w:tcW w:w="4240" w:type="dxa"/>
            <w:vAlign w:val="bottom"/>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601"/>
        </w:trPr>
        <w:tc>
          <w:tcPr>
            <w:tcW w:w="4240" w:type="dxa"/>
            <w:vAlign w:val="bottom"/>
          </w:tcPr>
          <w:p>
            <w:pPr>
              <w:spacing w:after="0"/>
              <w:rPr>
                <w:sz w:val="24"/>
                <w:szCs w:val="24"/>
                <w:color w:val="auto"/>
              </w:rPr>
            </w:pPr>
          </w:p>
        </w:tc>
        <w:tc>
          <w:tcPr>
            <w:tcW w:w="3720" w:type="dxa"/>
            <w:vAlign w:val="bottom"/>
            <w:gridSpan w:val="2"/>
          </w:tcPr>
          <w:p>
            <w:pPr>
              <w:jc w:val="center"/>
              <w:ind w:right="760"/>
              <w:spacing w:after="0"/>
              <w:rPr>
                <w:sz w:val="20"/>
                <w:szCs w:val="20"/>
                <w:color w:val="auto"/>
              </w:rPr>
            </w:pPr>
            <w:r>
              <w:rPr>
                <w:rFonts w:ascii="Arial" w:cs="Arial" w:eastAsia="Arial" w:hAnsi="Arial"/>
                <w:sz w:val="18"/>
                <w:szCs w:val="18"/>
                <w:b w:val="1"/>
                <w:bCs w:val="1"/>
                <w:color w:val="auto"/>
                <w:w w:val="88"/>
              </w:rPr>
              <w:t>Debt Securities</w:t>
            </w:r>
          </w:p>
        </w:tc>
        <w:tc>
          <w:tcPr>
            <w:tcW w:w="3460" w:type="dxa"/>
            <w:vAlign w:val="bottom"/>
          </w:tcPr>
          <w:p>
            <w:pPr>
              <w:spacing w:after="0"/>
              <w:rPr>
                <w:sz w:val="24"/>
                <w:szCs w:val="24"/>
                <w:color w:val="auto"/>
              </w:rPr>
            </w:pPr>
          </w:p>
        </w:tc>
      </w:tr>
      <w:tr>
        <w:trPr>
          <w:trHeight w:val="189"/>
        </w:trPr>
        <w:tc>
          <w:tcPr>
            <w:tcW w:w="42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tcPr>
          <w:p>
            <w:pPr>
              <w:spacing w:after="0"/>
              <w:rPr>
                <w:sz w:val="16"/>
                <w:szCs w:val="16"/>
                <w:color w:val="auto"/>
              </w:rPr>
            </w:pPr>
          </w:p>
        </w:tc>
      </w:tr>
      <w:tr>
        <w:trPr>
          <w:trHeight w:val="28"/>
        </w:trPr>
        <w:tc>
          <w:tcPr>
            <w:tcW w:w="42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618"/>
        </w:trPr>
        <w:tc>
          <w:tcPr>
            <w:tcW w:w="4240" w:type="dxa"/>
            <w:vAlign w:val="bottom"/>
            <w:tcBorders>
              <w:bottom w:val="single" w:sz="8" w:color="808080"/>
            </w:tcBorders>
          </w:tcPr>
          <w:p>
            <w:pPr>
              <w:spacing w:after="0"/>
              <w:rPr>
                <w:sz w:val="24"/>
                <w:szCs w:val="24"/>
                <w:color w:val="auto"/>
              </w:rPr>
            </w:pPr>
          </w:p>
        </w:tc>
        <w:tc>
          <w:tcPr>
            <w:tcW w:w="296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34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06" w:right="239" w:bottom="1440" w:gutter="0" w:footer="0" w:header="0"/>
        </w:sectPr>
      </w:pPr>
    </w:p>
    <w:bookmarkStart w:id="15" w:name="page16"/>
    <w:bookmarkEnd w:id="15"/>
    <w:p>
      <w:pPr>
        <w:ind w:left="260" w:hanging="252"/>
        <w:spacing w:after="0"/>
        <w:tabs>
          <w:tab w:leader="none" w:pos="2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General information. Furnish the following information as to the trustee:</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1"/>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Name and address of each examining or supervising authority to which it is subject.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680" w:type="dxa"/>
            <w:vAlign w:val="bottom"/>
            <w:gridSpan w:val="2"/>
          </w:tcPr>
          <w:p>
            <w:pPr>
              <w:spacing w:after="0"/>
              <w:rPr>
                <w:sz w:val="20"/>
                <w:szCs w:val="20"/>
                <w:color w:val="auto"/>
              </w:rPr>
            </w:pPr>
            <w:r>
              <w:rPr>
                <w:rFonts w:ascii="Arial" w:cs="Arial" w:eastAsia="Arial" w:hAnsi="Arial"/>
                <w:sz w:val="14"/>
                <w:szCs w:val="14"/>
                <w:color w:val="auto"/>
              </w:rPr>
              <w:t>Name</w:t>
            </w:r>
          </w:p>
        </w:tc>
        <w:tc>
          <w:tcPr>
            <w:tcW w:w="60" w:type="dxa"/>
            <w:vAlign w:val="bottom"/>
          </w:tcPr>
          <w:p>
            <w:pPr>
              <w:spacing w:after="0"/>
              <w:rPr>
                <w:sz w:val="14"/>
                <w:szCs w:val="14"/>
                <w:color w:val="auto"/>
              </w:rPr>
            </w:pPr>
          </w:p>
        </w:tc>
        <w:tc>
          <w:tcPr>
            <w:tcW w:w="5680" w:type="dxa"/>
            <w:vAlign w:val="bottom"/>
          </w:tcPr>
          <w:p>
            <w:pPr>
              <w:ind w:left="2600"/>
              <w:spacing w:after="0"/>
              <w:rPr>
                <w:sz w:val="20"/>
                <w:szCs w:val="20"/>
                <w:color w:val="auto"/>
              </w:rPr>
            </w:pPr>
            <w:r>
              <w:rPr>
                <w:rFonts w:ascii="Arial" w:cs="Arial" w:eastAsia="Arial" w:hAnsi="Arial"/>
                <w:sz w:val="14"/>
                <w:szCs w:val="14"/>
                <w:color w:val="auto"/>
              </w:rPr>
              <w:t>Address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Comptroller of the Currency United States Department of the Treasury</w:t>
            </w:r>
          </w:p>
        </w:tc>
        <w:tc>
          <w:tcPr>
            <w:tcW w:w="5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Washington, D.C. 20219</w:t>
            </w:r>
          </w:p>
        </w:tc>
        <w:tc>
          <w:tcPr>
            <w:tcW w:w="0" w:type="dxa"/>
            <w:vAlign w:val="bottom"/>
          </w:tcPr>
          <w:p>
            <w:pPr>
              <w:spacing w:after="0"/>
              <w:rPr>
                <w:sz w:val="1"/>
                <w:szCs w:val="1"/>
                <w:color w:val="auto"/>
              </w:rPr>
            </w:pPr>
          </w:p>
        </w:tc>
      </w:tr>
      <w:tr>
        <w:trPr>
          <w:trHeight w:val="432"/>
        </w:trPr>
        <w:tc>
          <w:tcPr>
            <w:tcW w:w="5680" w:type="dxa"/>
            <w:vAlign w:val="bottom"/>
            <w:gridSpan w:val="2"/>
          </w:tcPr>
          <w:p>
            <w:pPr>
              <w:spacing w:after="0"/>
              <w:rPr>
                <w:sz w:val="20"/>
                <w:szCs w:val="20"/>
                <w:color w:val="auto"/>
              </w:rPr>
            </w:pPr>
            <w:r>
              <w:rPr>
                <w:rFonts w:ascii="Arial" w:cs="Arial" w:eastAsia="Arial" w:hAnsi="Arial"/>
                <w:sz w:val="18"/>
                <w:szCs w:val="18"/>
                <w:color w:val="auto"/>
              </w:rPr>
              <w:t>Federal Reserve Bank</w:t>
            </w:r>
          </w:p>
        </w:tc>
        <w:tc>
          <w:tcPr>
            <w:tcW w:w="5740" w:type="dxa"/>
            <w:vAlign w:val="bottom"/>
            <w:gridSpan w:val="2"/>
          </w:tcPr>
          <w:p>
            <w:pPr>
              <w:ind w:left="60"/>
              <w:spacing w:after="0"/>
              <w:rPr>
                <w:sz w:val="20"/>
                <w:szCs w:val="20"/>
                <w:color w:val="auto"/>
              </w:rPr>
            </w:pPr>
            <w:r>
              <w:rPr>
                <w:rFonts w:ascii="Arial" w:cs="Arial" w:eastAsia="Arial" w:hAnsi="Arial"/>
                <w:sz w:val="18"/>
                <w:szCs w:val="18"/>
                <w:color w:val="auto"/>
              </w:rPr>
              <w:t>San Francisco, California 94105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Federal Deposit Insurance Corporation</w:t>
            </w:r>
          </w:p>
        </w:tc>
        <w:tc>
          <w:tcPr>
            <w:tcW w:w="5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Washington, D.C. 20429</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Whether it is authorized to exercise corporate trust powers.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Yes.</w:t>
      </w:r>
    </w:p>
    <w:p>
      <w:pPr>
        <w:spacing w:after="0" w:line="113"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Affiliations with Obligor.</w:t>
      </w:r>
    </w:p>
    <w:p>
      <w:pPr>
        <w:spacing w:after="0" w:line="130" w:lineRule="exact"/>
        <w:rPr>
          <w:rFonts w:ascii="Arial" w:cs="Arial" w:eastAsia="Arial" w:hAnsi="Arial"/>
          <w:sz w:val="18"/>
          <w:szCs w:val="18"/>
          <w:b w:val="1"/>
          <w:bCs w:val="1"/>
          <w:color w:val="auto"/>
        </w:rPr>
      </w:pPr>
    </w:p>
    <w:p>
      <w:pPr>
        <w:ind w:left="500" w:right="5460"/>
        <w:spacing w:after="0" w:line="39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If the obligor is an affiliate of the trustee, describe each such affiliation. </w:t>
      </w:r>
      <w:r>
        <w:rPr>
          <w:rFonts w:ascii="Arial" w:cs="Arial" w:eastAsia="Arial" w:hAnsi="Arial"/>
          <w:sz w:val="18"/>
          <w:szCs w:val="18"/>
          <w:color w:val="auto"/>
        </w:rPr>
        <w:t>None.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3-15. Not applicable.</w:t>
      </w:r>
    </w:p>
    <w:p>
      <w:pPr>
        <w:spacing w:after="0" w:line="131"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List of Exhibits.</w:t>
      </w:r>
    </w:p>
    <w:p>
      <w:pPr>
        <w:spacing w:after="0" w:line="130" w:lineRule="exact"/>
        <w:rPr>
          <w:rFonts w:ascii="Arial" w:cs="Arial" w:eastAsia="Arial" w:hAnsi="Arial"/>
          <w:sz w:val="18"/>
          <w:szCs w:val="18"/>
          <w:b w:val="1"/>
          <w:bCs w:val="1"/>
          <w:color w:val="auto"/>
        </w:rPr>
      </w:pPr>
    </w:p>
    <w:p>
      <w:pPr>
        <w:ind w:left="500" w:right="22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Exhibits identified in parentheses below, on file with the Commission, are incorporated herein by reference as an exhibit hereto, pursuant to Rule 7a-29 under the Trust Indenture Act of 1939 (the “Act”) and 17 C.F.R. 229.10(d).</w:t>
      </w:r>
    </w:p>
    <w:p>
      <w:pPr>
        <w:spacing w:after="0" w:line="57" w:lineRule="exact"/>
        <w:rPr>
          <w:rFonts w:ascii="Arial" w:cs="Arial" w:eastAsia="Arial" w:hAnsi="Arial"/>
          <w:sz w:val="18"/>
          <w:szCs w:val="18"/>
          <w:b w:val="1"/>
          <w:bCs w:val="1"/>
          <w:color w:val="auto"/>
        </w:rPr>
      </w:pPr>
    </w:p>
    <w:p>
      <w:pPr>
        <w:ind w:left="660" w:right="540" w:hanging="436"/>
        <w:spacing w:after="0" w:line="277"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 copy of the articles of association of The Bank of New York Trust Company, N.A. (Exhibit 1 to Form T-1 filed with Registration Statement No. 333-121948).</w:t>
      </w:r>
    </w:p>
    <w:p>
      <w:pPr>
        <w:spacing w:after="0" w:line="75" w:lineRule="exact"/>
        <w:rPr>
          <w:rFonts w:ascii="Arial" w:cs="Arial" w:eastAsia="Arial" w:hAnsi="Arial"/>
          <w:sz w:val="18"/>
          <w:szCs w:val="18"/>
          <w:color w:val="auto"/>
        </w:rPr>
      </w:pPr>
    </w:p>
    <w:p>
      <w:pPr>
        <w:ind w:left="660" w:hanging="436"/>
        <w:spacing w:after="0"/>
        <w:tabs>
          <w:tab w:leader="none" w:pos="6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 copy of certificate of authority of the trustee to commence business. (Exhibit 2 to Form T-1 filed with Registration Statement No. 333-121948).</w:t>
      </w:r>
    </w:p>
    <w:p>
      <w:pPr>
        <w:spacing w:after="0" w:line="153" w:lineRule="exact"/>
        <w:rPr>
          <w:rFonts w:ascii="Arial" w:cs="Arial" w:eastAsia="Arial" w:hAnsi="Arial"/>
          <w:sz w:val="16"/>
          <w:szCs w:val="16"/>
          <w:color w:val="auto"/>
        </w:rPr>
      </w:pPr>
    </w:p>
    <w:p>
      <w:pPr>
        <w:ind w:left="660" w:right="480" w:hanging="436"/>
        <w:spacing w:after="0" w:line="277"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 copy of the authorization of the trustee to exercise corporate trust powers. (Exhibit 3 to Form T-1 filed with Registration Statement No. 333-121948).</w:t>
      </w:r>
    </w:p>
    <w:p>
      <w:pPr>
        <w:spacing w:after="0" w:line="75" w:lineRule="exact"/>
        <w:rPr>
          <w:rFonts w:ascii="Arial" w:cs="Arial" w:eastAsia="Arial" w:hAnsi="Arial"/>
          <w:sz w:val="18"/>
          <w:szCs w:val="18"/>
          <w:color w:val="auto"/>
        </w:rPr>
      </w:pPr>
    </w:p>
    <w:p>
      <w:pPr>
        <w:ind w:left="660" w:hanging="436"/>
        <w:spacing w:after="0"/>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 copy of the existing by-laws of the trustee. (Exhibit 4 to Form T-1 filed with Registration Statement No. 333-121948).</w:t>
      </w:r>
    </w:p>
    <w:p>
      <w:pPr>
        <w:spacing w:after="0" w:line="131" w:lineRule="exact"/>
        <w:rPr>
          <w:sz w:val="20"/>
          <w:szCs w:val="20"/>
          <w:color w:val="auto"/>
        </w:rPr>
      </w:pPr>
    </w:p>
    <w:p>
      <w:pPr>
        <w:ind w:left="660" w:hanging="43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Act.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6" w:name="page17"/>
    <w:bookmarkEnd w:id="16"/>
    <w:p>
      <w:pPr>
        <w:ind w:left="660" w:hanging="436"/>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copy of the latest report of condition of the trustee published pursuant to law or to the requirements of its supervising or examining authority.</w:t>
      </w:r>
    </w:p>
    <w:p>
      <w:pPr>
        <w:spacing w:after="0" w:line="34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w:t>
      </w:r>
    </w:p>
    <w:p>
      <w:pPr>
        <w:spacing w:after="0" w:line="117"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Pursuant to the requirements of the Act, the trustee, The Bank of New York Trust Company, N.A., a banking association organized and existing under the laws of the United States of America, has duly caused this statement of eligibility to be signed on its behalf by the undersigned, thereunto duly authorized, all in The City of Houston, and State of Texas, on the 25th day of February, 2008.</w:t>
      </w:r>
    </w:p>
    <w:p>
      <w:pPr>
        <w:spacing w:after="0" w:line="18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THE BANK OF NEW YORK TRUST COMPANY, N.A.</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Marcella Burgess</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Marcella Burgess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16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Assistant Vice President</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6</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THE TRUSTEE</w:t>
      </w:r>
    </w:p>
    <w:p>
      <w:pPr>
        <w:spacing w:after="0" w:line="117"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color w:val="auto"/>
        </w:rPr>
        <w:t xml:space="preserve">Pursuant to the requirements of Section 321 (b) of the Trust Indenture Act of 1939, and in connection with the proposed issue of </w:t>
      </w:r>
      <w:r>
        <w:rPr>
          <w:rFonts w:ascii="Arial" w:cs="Arial" w:eastAsia="Arial" w:hAnsi="Arial"/>
          <w:sz w:val="18"/>
          <w:szCs w:val="18"/>
          <w:b w:val="1"/>
          <w:bCs w:val="1"/>
          <w:color w:val="auto"/>
        </w:rPr>
        <w:t>Waste Management, Inc.,</w:t>
      </w:r>
      <w:r>
        <w:rPr>
          <w:rFonts w:ascii="Arial" w:cs="Arial" w:eastAsia="Arial" w:hAnsi="Arial"/>
          <w:sz w:val="18"/>
          <w:szCs w:val="18"/>
          <w:color w:val="auto"/>
        </w:rPr>
        <w:t xml:space="preserve"> The Bank of New York Trust Company, N.A. hereby consents that reports of examinations by Federal, State, Territorial or District authorities may be furnished by such authorities to the Securities and Exchange Commission upon request therefore.</w:t>
      </w:r>
    </w:p>
    <w:p>
      <w:pPr>
        <w:spacing w:after="0" w:line="18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THE BANK OF NEW YORK TRUST</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COMPANY, N.A.</w:t>
      </w:r>
    </w:p>
    <w:p>
      <w:pPr>
        <w:spacing w:after="0" w:line="21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Marcella Burgess</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Marcella Burgess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Assistant Vice President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2008</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64"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7</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Report of Condition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BANK OF NEW YORK TRUST COMPANY, N.A.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700 South Flower Street, Suite 200, Los Angeles, CA 90017</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At the close of business September 30, 2007, published in accordance with Federal regulatory authority instructions.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Dollar Amounts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in Thousands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7"/>
              </w:rPr>
              <w:t>ASSETS</w:t>
            </w:r>
          </w:p>
        </w:tc>
        <w:tc>
          <w:tcPr>
            <w:tcW w:w="4740" w:type="dxa"/>
            <w:vAlign w:val="bottom"/>
            <w:tcBorders>
              <w:bottom w:val="single" w:sz="8" w:color="CCEEFF"/>
            </w:tcBorders>
            <w:shd w:val="clear" w:color="auto" w:fill="CCEEFF"/>
          </w:tcPr>
          <w:p>
            <w:pPr>
              <w:spacing w:after="0"/>
              <w:rPr>
                <w:sz w:val="17"/>
                <w:szCs w:val="17"/>
                <w:color w:val="auto"/>
              </w:rPr>
            </w:pPr>
          </w:p>
        </w:tc>
        <w:tc>
          <w:tcPr>
            <w:tcW w:w="50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5400" w:type="dxa"/>
            <w:vAlign w:val="bottom"/>
            <w:gridSpan w:val="3"/>
          </w:tcPr>
          <w:p>
            <w:pPr>
              <w:spacing w:after="0"/>
              <w:rPr>
                <w:sz w:val="20"/>
                <w:szCs w:val="20"/>
                <w:color w:val="auto"/>
              </w:rPr>
            </w:pPr>
            <w:r>
              <w:rPr>
                <w:rFonts w:ascii="Arial" w:cs="Arial" w:eastAsia="Arial" w:hAnsi="Arial"/>
                <w:sz w:val="18"/>
                <w:szCs w:val="18"/>
                <w:color w:val="auto"/>
              </w:rPr>
              <w:t>Cash and balances due from depository institutions:</w:t>
            </w:r>
          </w:p>
        </w:tc>
        <w:tc>
          <w:tcPr>
            <w:tcW w:w="5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Noninterest-bearing balances and currency and coin</w:t>
            </w:r>
          </w:p>
        </w:tc>
        <w:tc>
          <w:tcPr>
            <w:tcW w:w="6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ind w:left="200"/>
              <w:spacing w:after="0"/>
              <w:rPr>
                <w:sz w:val="20"/>
                <w:szCs w:val="20"/>
                <w:color w:val="auto"/>
              </w:rPr>
            </w:pPr>
            <w:r>
              <w:rPr>
                <w:rFonts w:ascii="Arial" w:cs="Arial" w:eastAsia="Arial" w:hAnsi="Arial"/>
                <w:sz w:val="18"/>
                <w:szCs w:val="18"/>
                <w:color w:val="auto"/>
              </w:rPr>
              <w:t>Interest-bearing balances</w:t>
            </w:r>
          </w:p>
        </w:tc>
        <w:tc>
          <w:tcPr>
            <w:tcW w:w="602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w:t>
            </w:r>
          </w:p>
        </w:tc>
        <w:tc>
          <w:tcPr>
            <w:tcW w:w="5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ind w:left="200"/>
              <w:spacing w:after="0"/>
              <w:rPr>
                <w:sz w:val="20"/>
                <w:szCs w:val="20"/>
                <w:color w:val="auto"/>
              </w:rPr>
            </w:pPr>
            <w:r>
              <w:rPr>
                <w:rFonts w:ascii="Arial" w:cs="Arial" w:eastAsia="Arial" w:hAnsi="Arial"/>
                <w:sz w:val="18"/>
                <w:szCs w:val="18"/>
                <w:color w:val="auto"/>
              </w:rPr>
              <w:t>Held-to-maturity securities</w:t>
            </w:r>
          </w:p>
        </w:tc>
        <w:tc>
          <w:tcPr>
            <w:tcW w:w="6020" w:type="dxa"/>
            <w:vAlign w:val="bottom"/>
            <w:gridSpan w:val="3"/>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Available-for-sale securities</w:t>
            </w:r>
          </w:p>
        </w:tc>
        <w:tc>
          <w:tcPr>
            <w:tcW w:w="6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115,996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w w:val="92"/>
              </w:rPr>
              <w:t>Federal funds sold and securities purchased under agreements to resell:</w:t>
            </w:r>
          </w:p>
        </w:tc>
        <w:tc>
          <w:tcPr>
            <w:tcW w:w="5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Federal funds sold</w:t>
            </w:r>
          </w:p>
        </w:tc>
        <w:tc>
          <w:tcPr>
            <w:tcW w:w="6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ind w:left="200"/>
              <w:spacing w:after="0"/>
              <w:rPr>
                <w:sz w:val="20"/>
                <w:szCs w:val="20"/>
                <w:color w:val="auto"/>
              </w:rPr>
            </w:pPr>
            <w:r>
              <w:rPr>
                <w:rFonts w:ascii="Arial" w:cs="Arial" w:eastAsia="Arial" w:hAnsi="Arial"/>
                <w:sz w:val="18"/>
                <w:szCs w:val="18"/>
                <w:color w:val="auto"/>
              </w:rPr>
              <w:t>Securities purchased under agreements to resell</w:t>
            </w:r>
          </w:p>
        </w:tc>
        <w:tc>
          <w:tcPr>
            <w:tcW w:w="6020" w:type="dxa"/>
            <w:vAlign w:val="bottom"/>
            <w:gridSpan w:val="3"/>
          </w:tcPr>
          <w:p>
            <w:pPr>
              <w:jc w:val="right"/>
              <w:ind w:right="100"/>
              <w:spacing w:after="0"/>
              <w:rPr>
                <w:sz w:val="20"/>
                <w:szCs w:val="20"/>
                <w:color w:val="auto"/>
              </w:rPr>
            </w:pPr>
            <w:r>
              <w:rPr>
                <w:rFonts w:ascii="Arial" w:cs="Arial" w:eastAsia="Arial" w:hAnsi="Arial"/>
                <w:sz w:val="18"/>
                <w:szCs w:val="18"/>
                <w:color w:val="auto"/>
              </w:rPr>
              <w:t>108,174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and lease financing receivables:</w:t>
            </w:r>
          </w:p>
        </w:tc>
        <w:tc>
          <w:tcPr>
            <w:tcW w:w="5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ind w:left="200"/>
              <w:spacing w:after="0"/>
              <w:rPr>
                <w:sz w:val="20"/>
                <w:szCs w:val="20"/>
                <w:color w:val="auto"/>
              </w:rPr>
            </w:pPr>
            <w:r>
              <w:rPr>
                <w:rFonts w:ascii="Arial" w:cs="Arial" w:eastAsia="Arial" w:hAnsi="Arial"/>
                <w:sz w:val="18"/>
                <w:szCs w:val="18"/>
                <w:color w:val="auto"/>
              </w:rPr>
              <w:t>Loans and leases held for sale</w:t>
            </w:r>
          </w:p>
        </w:tc>
        <w:tc>
          <w:tcPr>
            <w:tcW w:w="602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Loans and leases, net of unearned income</w:t>
            </w:r>
          </w:p>
        </w:tc>
        <w:tc>
          <w:tcPr>
            <w:tcW w:w="6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ind w:left="200"/>
              <w:spacing w:after="0"/>
              <w:rPr>
                <w:sz w:val="20"/>
                <w:szCs w:val="20"/>
                <w:color w:val="auto"/>
              </w:rPr>
            </w:pPr>
            <w:r>
              <w:rPr>
                <w:rFonts w:ascii="Arial" w:cs="Arial" w:eastAsia="Arial" w:hAnsi="Arial"/>
                <w:sz w:val="18"/>
                <w:szCs w:val="18"/>
                <w:color w:val="auto"/>
              </w:rPr>
              <w:t>LESS: Allowance for loan and lease losses</w:t>
            </w:r>
          </w:p>
        </w:tc>
        <w:tc>
          <w:tcPr>
            <w:tcW w:w="602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Loans and leases, net of unearned income and allowance</w:t>
            </w:r>
          </w:p>
        </w:tc>
        <w:tc>
          <w:tcPr>
            <w:tcW w:w="6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Trading assets</w:t>
            </w:r>
          </w:p>
        </w:tc>
        <w:tc>
          <w:tcPr>
            <w:tcW w:w="602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Premises and fixed assets (including capitalized leases)</w:t>
            </w:r>
          </w:p>
        </w:tc>
        <w:tc>
          <w:tcPr>
            <w:tcW w:w="6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Other real estate owned</w:t>
            </w:r>
          </w:p>
        </w:tc>
        <w:tc>
          <w:tcPr>
            <w:tcW w:w="602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Investments in unconsolidated subsidiaries and associated companies</w:t>
            </w:r>
          </w:p>
        </w:tc>
        <w:tc>
          <w:tcPr>
            <w:tcW w:w="6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Not applicable</w:t>
            </w:r>
          </w:p>
        </w:tc>
        <w:tc>
          <w:tcPr>
            <w:tcW w:w="5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5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ind w:left="200"/>
              <w:spacing w:after="0"/>
              <w:rPr>
                <w:sz w:val="20"/>
                <w:szCs w:val="20"/>
                <w:color w:val="auto"/>
              </w:rPr>
            </w:pPr>
            <w:r>
              <w:rPr>
                <w:rFonts w:ascii="Arial" w:cs="Arial" w:eastAsia="Arial" w:hAnsi="Arial"/>
                <w:sz w:val="18"/>
                <w:szCs w:val="18"/>
                <w:color w:val="auto"/>
              </w:rPr>
              <w:t>Goodwill</w:t>
            </w:r>
          </w:p>
        </w:tc>
        <w:tc>
          <w:tcPr>
            <w:tcW w:w="6020" w:type="dxa"/>
            <w:vAlign w:val="bottom"/>
            <w:gridSpan w:val="3"/>
          </w:tcPr>
          <w:p>
            <w:pPr>
              <w:jc w:val="right"/>
              <w:ind w:right="100"/>
              <w:spacing w:after="0"/>
              <w:rPr>
                <w:sz w:val="20"/>
                <w:szCs w:val="20"/>
                <w:color w:val="auto"/>
              </w:rPr>
            </w:pPr>
            <w:r>
              <w:rPr>
                <w:rFonts w:ascii="Arial" w:cs="Arial" w:eastAsia="Arial" w:hAnsi="Arial"/>
                <w:sz w:val="18"/>
                <w:szCs w:val="18"/>
                <w:color w:val="auto"/>
              </w:rPr>
              <w:t>871,685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Intangible Assets</w:t>
            </w:r>
          </w:p>
        </w:tc>
        <w:tc>
          <w:tcPr>
            <w:tcW w:w="6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308,586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50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6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$ 1,627,289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5000" w:type="dxa"/>
            <w:vAlign w:val="bottom"/>
            <w:vMerge w:val="restart"/>
          </w:tcPr>
          <w:p>
            <w:pPr>
              <w:jc w:val="right"/>
              <w:ind w:right="4550"/>
              <w:spacing w:after="0"/>
              <w:rPr>
                <w:sz w:val="20"/>
                <w:szCs w:val="20"/>
                <w:color w:val="auto"/>
              </w:rPr>
            </w:pPr>
            <w:r>
              <w:rPr>
                <w:rFonts w:ascii="Arial" w:cs="Arial" w:eastAsia="Arial" w:hAnsi="Arial"/>
                <w:sz w:val="18"/>
                <w:szCs w:val="18"/>
                <w:color w:val="auto"/>
              </w:rPr>
              <w:t>1</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50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740" w:type="dxa"/>
            <w:vAlign w:val="bottom"/>
            <w:tcBorders>
              <w:bottom w:val="single" w:sz="8" w:color="808080"/>
            </w:tcBorders>
          </w:tcPr>
          <w:p>
            <w:pPr>
              <w:spacing w:after="0"/>
              <w:rPr>
                <w:sz w:val="19"/>
                <w:szCs w:val="19"/>
                <w:color w:val="auto"/>
              </w:rPr>
            </w:pPr>
          </w:p>
        </w:tc>
        <w:tc>
          <w:tcPr>
            <w:tcW w:w="50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Dollar Amounts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in Thousands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LIABILITIES</w:t>
            </w:r>
          </w:p>
        </w:tc>
        <w:tc>
          <w:tcPr>
            <w:tcW w:w="9360" w:type="dxa"/>
            <w:vAlign w:val="bottom"/>
            <w:tcBorders>
              <w:bottom w:val="single" w:sz="8" w:color="CCEEFF"/>
            </w:tcBorders>
            <w:gridSpan w:val="2"/>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10400" w:type="dxa"/>
            <w:vAlign w:val="bottom"/>
            <w:gridSpan w:val="4"/>
          </w:tcPr>
          <w:p>
            <w:pPr>
              <w:spacing w:after="0"/>
              <w:rPr>
                <w:sz w:val="20"/>
                <w:szCs w:val="20"/>
                <w:color w:val="auto"/>
              </w:rPr>
            </w:pPr>
            <w:r>
              <w:rPr>
                <w:rFonts w:ascii="Arial" w:cs="Arial" w:eastAsia="Arial" w:hAnsi="Arial"/>
                <w:sz w:val="18"/>
                <w:szCs w:val="18"/>
                <w:color w:val="auto"/>
              </w:rPr>
              <w:t>Deposits: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 domestic offices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tcPr>
          <w:p>
            <w:pPr>
              <w:ind w:left="200"/>
              <w:spacing w:after="0"/>
              <w:rPr>
                <w:sz w:val="20"/>
                <w:szCs w:val="20"/>
                <w:color w:val="auto"/>
              </w:rPr>
            </w:pPr>
            <w:r>
              <w:rPr>
                <w:rFonts w:ascii="Arial" w:cs="Arial" w:eastAsia="Arial" w:hAnsi="Arial"/>
                <w:sz w:val="18"/>
                <w:szCs w:val="18"/>
                <w:color w:val="auto"/>
              </w:rPr>
              <w:t>Noninterest-bearing</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Interest-bearing</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Not applicable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tcPr>
          <w:p>
            <w:pPr>
              <w:ind w:left="200"/>
              <w:spacing w:after="0"/>
              <w:rPr>
                <w:sz w:val="20"/>
                <w:szCs w:val="20"/>
                <w:color w:val="auto"/>
              </w:rPr>
            </w:pPr>
            <w:r>
              <w:rPr>
                <w:rFonts w:ascii="Arial" w:cs="Arial" w:eastAsia="Arial" w:hAnsi="Arial"/>
                <w:sz w:val="18"/>
                <w:szCs w:val="18"/>
                <w:color w:val="auto"/>
              </w:rPr>
              <w:t>Federal funds purchased</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Securities sold under agreements to repurchase</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Trading liabilities</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borrowed money:</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tcPr>
          <w:p>
            <w:pPr>
              <w:ind w:left="200"/>
              <w:spacing w:after="0"/>
              <w:rPr>
                <w:sz w:val="20"/>
                <w:szCs w:val="20"/>
                <w:color w:val="auto"/>
              </w:rPr>
            </w:pPr>
            <w:r>
              <w:rPr>
                <w:rFonts w:ascii="Arial" w:cs="Arial" w:eastAsia="Arial" w:hAnsi="Arial"/>
                <w:sz w:val="18"/>
                <w:szCs w:val="18"/>
                <w:color w:val="auto"/>
              </w:rPr>
              <w:t>(includes mortgage indebtedness and obligations under capitalized leases)</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168,691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Not applicable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Subordinated notes and debentures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148,215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319,473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Minority interest in consolidated subsidiaries</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3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EQUITY CAPITAL</w:t>
            </w: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89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10400" w:type="dxa"/>
            <w:vAlign w:val="bottom"/>
            <w:gridSpan w:val="4"/>
          </w:tcPr>
          <w:p>
            <w:pPr>
              <w:spacing w:after="0"/>
              <w:rPr>
                <w:sz w:val="20"/>
                <w:szCs w:val="20"/>
                <w:color w:val="auto"/>
              </w:rPr>
            </w:pPr>
            <w:r>
              <w:rPr>
                <w:rFonts w:ascii="Arial" w:cs="Arial" w:eastAsia="Arial" w:hAnsi="Arial"/>
                <w:sz w:val="18"/>
                <w:szCs w:val="18"/>
                <w:color w:val="auto"/>
              </w:rPr>
              <w:t>Perpetual preferred stock and related surplus</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Common stock</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Surplus (exclude all surplus related to preferred stock)</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1,121,520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Accumulated other comprehensive income</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equity capital components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Total equity capital</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1,307,816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 minority interest, and equity capital (sum of items 21, 22, and 28)</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1,627,289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225"/>
        <w:spacing w:after="0" w:line="277" w:lineRule="auto"/>
        <w:rPr>
          <w:sz w:val="20"/>
          <w:szCs w:val="20"/>
          <w:color w:val="auto"/>
        </w:rPr>
      </w:pPr>
      <w:r>
        <w:rPr>
          <w:rFonts w:ascii="Arial" w:cs="Arial" w:eastAsia="Arial" w:hAnsi="Arial"/>
          <w:sz w:val="18"/>
          <w:szCs w:val="18"/>
          <w:color w:val="auto"/>
        </w:rPr>
        <w:t>I, Karen Bayz, Vice President of the above-named bank do hereby declare that this Report of Condition is true and correct to the best of my knowledge and belief.</w:t>
      </w:r>
    </w:p>
    <w:p>
      <w:pPr>
        <w:spacing w:after="0" w:line="170" w:lineRule="exact"/>
        <w:rPr>
          <w:sz w:val="20"/>
          <w:szCs w:val="20"/>
          <w:color w:val="auto"/>
        </w:rPr>
      </w:pPr>
    </w:p>
    <w:p>
      <w:pPr>
        <w:spacing w:after="0"/>
        <w:tabs>
          <w:tab w:leader="none" w:pos="2100" w:val="left"/>
          <w:tab w:leader="none" w:pos="2560" w:val="left"/>
        </w:tabs>
        <w:rPr>
          <w:sz w:val="20"/>
          <w:szCs w:val="20"/>
          <w:color w:val="auto"/>
        </w:rPr>
      </w:pPr>
      <w:r>
        <w:rPr>
          <w:rFonts w:ascii="Arial" w:cs="Arial" w:eastAsia="Arial" w:hAnsi="Arial"/>
          <w:sz w:val="18"/>
          <w:szCs w:val="18"/>
          <w:color w:val="auto"/>
        </w:rPr>
        <w:t>Karen Bayz</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Vice President</w:t>
      </w:r>
    </w:p>
    <w:p>
      <w:pPr>
        <w:spacing w:after="0" w:line="117"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We, the undersigned directors, attest to the correctness of this statement of resources and liabilities. We declare that it has been examined by us, and to the best of our knowledge and belief has been prepared in conformance with the instructions and is true and correct.</w:t>
      </w:r>
    </w:p>
    <w:p>
      <w:pPr>
        <w:sectPr>
          <w:pgSz w:w="11900" w:h="16838" w:orient="portrait"/>
          <w:cols w:equalWidth="0" w:num="1">
            <w:col w:w="11420"/>
          </w:cols>
          <w:pgMar w:left="240" w:top="1135" w:right="239" w:bottom="1440" w:gutter="0" w:footer="0" w:header="0"/>
        </w:sectPr>
      </w:pPr>
    </w:p>
    <w:p>
      <w:pPr>
        <w:spacing w:after="0" w:line="170"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Michael K. Klugman, President Frank P. Sulzberger, MD William D. Lindelof, VP</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Directors (Trustees)</w:t>
      </w:r>
    </w:p>
    <w:p>
      <w:pPr>
        <w:spacing w:after="0" w:line="437" w:lineRule="exact"/>
        <w:rPr>
          <w:sz w:val="20"/>
          <w:szCs w:val="20"/>
          <w:color w:val="auto"/>
        </w:rPr>
      </w:pPr>
    </w:p>
    <w:p>
      <w:pPr>
        <w:sectPr>
          <w:pgSz w:w="11900" w:h="16838" w:orient="portrait"/>
          <w:cols w:equalWidth="0" w:num="3">
            <w:col w:w="2520" w:space="720"/>
            <w:col w:w="60" w:space="360"/>
            <w:col w:w="7760"/>
          </w:cols>
          <w:pgMar w:left="240" w:top="1135" w:right="239" w:bottom="1440" w:gutter="0" w:footer="0" w:header="0"/>
          <w:type w:val="continuous"/>
        </w:sect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135" w:right="23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646430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t>FORM T-1</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STATEMENT OF ELIGIBILITY</w:t>
      </w:r>
    </w:p>
    <w:p>
      <w:pPr>
        <w:spacing w:after="0" w:line="4" w:lineRule="exact"/>
        <w:rPr>
          <w:sz w:val="20"/>
          <w:szCs w:val="20"/>
          <w:color w:val="auto"/>
        </w:rPr>
      </w:pPr>
    </w:p>
    <w:p>
      <w:pPr>
        <w:ind w:left="3060"/>
        <w:spacing w:after="0"/>
        <w:rPr>
          <w:sz w:val="20"/>
          <w:szCs w:val="20"/>
          <w:color w:val="auto"/>
        </w:rPr>
      </w:pPr>
      <w:r>
        <w:rPr>
          <w:rFonts w:ascii="Arial" w:cs="Arial" w:eastAsia="Arial" w:hAnsi="Arial"/>
          <w:sz w:val="22"/>
          <w:szCs w:val="22"/>
          <w:b w:val="1"/>
          <w:bCs w:val="1"/>
          <w:color w:val="auto"/>
        </w:rPr>
        <w:t>UNDER THE TRUST INDENTURE ACT OF 1939 OF A</w:t>
      </w:r>
    </w:p>
    <w:p>
      <w:pPr>
        <w:ind w:left="3040"/>
        <w:spacing w:after="0"/>
        <w:rPr>
          <w:sz w:val="20"/>
          <w:szCs w:val="20"/>
          <w:color w:val="auto"/>
        </w:rPr>
      </w:pPr>
      <w:r>
        <w:rPr>
          <w:rFonts w:ascii="Arial" w:cs="Arial" w:eastAsia="Arial" w:hAnsi="Arial"/>
          <w:sz w:val="22"/>
          <w:szCs w:val="22"/>
          <w:b w:val="1"/>
          <w:bCs w:val="1"/>
          <w:color w:val="auto"/>
        </w:rPr>
        <w:t>CORPORATION DESIGNATED TO ACT AS TRUSTEE</w:t>
      </w:r>
    </w:p>
    <w:p>
      <w:pPr>
        <w:spacing w:after="0" w:line="182" w:lineRule="exact"/>
        <w:rPr>
          <w:sz w:val="20"/>
          <w:szCs w:val="20"/>
          <w:color w:val="auto"/>
        </w:rPr>
      </w:pPr>
    </w:p>
    <w:p>
      <w:pPr>
        <w:ind w:left="3340"/>
        <w:spacing w:after="0"/>
        <w:rPr>
          <w:sz w:val="20"/>
          <w:szCs w:val="20"/>
          <w:color w:val="auto"/>
        </w:rPr>
      </w:pPr>
      <w:r>
        <w:rPr>
          <w:rFonts w:ascii="Arial" w:cs="Arial" w:eastAsia="Arial" w:hAnsi="Arial"/>
          <w:sz w:val="22"/>
          <w:szCs w:val="22"/>
          <w:b w:val="1"/>
          <w:bCs w:val="1"/>
          <w:color w:val="auto"/>
        </w:rPr>
        <w:t>CHECK IF AN APPLICATION TO DETERMINE</w:t>
      </w:r>
    </w:p>
    <w:p>
      <w:pPr>
        <w:spacing w:after="0" w:line="4" w:lineRule="exact"/>
        <w:rPr>
          <w:sz w:val="20"/>
          <w:szCs w:val="20"/>
          <w:color w:val="auto"/>
        </w:rPr>
      </w:pPr>
    </w:p>
    <w:p>
      <w:pPr>
        <w:ind w:left="3420"/>
        <w:spacing w:after="0"/>
        <w:rPr>
          <w:sz w:val="20"/>
          <w:szCs w:val="20"/>
          <w:color w:val="auto"/>
        </w:rPr>
      </w:pPr>
      <w:r>
        <w:rPr>
          <w:rFonts w:ascii="Arial" w:cs="Arial" w:eastAsia="Arial" w:hAnsi="Arial"/>
          <w:sz w:val="22"/>
          <w:szCs w:val="22"/>
          <w:b w:val="1"/>
          <w:bCs w:val="1"/>
          <w:color w:val="auto"/>
        </w:rPr>
        <w:t>ELIGIBILITY OF A TRUSTEE PURSUANT TO</w:t>
      </w:r>
    </w:p>
    <w:p>
      <w:pPr>
        <w:ind w:left="4460"/>
        <w:spacing w:after="0"/>
        <w:tabs>
          <w:tab w:leader="none" w:pos="6840" w:val="left"/>
        </w:tabs>
        <w:rPr>
          <w:sz w:val="20"/>
          <w:szCs w:val="20"/>
          <w:color w:val="auto"/>
        </w:rPr>
      </w:pPr>
      <w:r>
        <w:rPr>
          <w:rFonts w:ascii="Arial" w:cs="Arial" w:eastAsia="Arial" w:hAnsi="Arial"/>
          <w:sz w:val="22"/>
          <w:szCs w:val="22"/>
          <w:b w:val="1"/>
          <w:bCs w:val="1"/>
          <w:color w:val="auto"/>
        </w:rPr>
        <w:t>SECTION 305(b)(2)</w:t>
      </w:r>
      <w:r>
        <w:rPr>
          <w:sz w:val="20"/>
          <w:szCs w:val="20"/>
          <w:color w:val="auto"/>
        </w:rPr>
        <w:tab/>
      </w:r>
      <w:r>
        <w:rPr>
          <w:rFonts w:ascii="Arial" w:cs="Arial" w:eastAsia="Arial" w:hAnsi="Arial"/>
          <w:sz w:val="19"/>
          <w:szCs w:val="19"/>
          <w:b w:val="1"/>
          <w:bCs w:val="1"/>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184785</wp:posOffset>
            </wp:positionV>
            <wp:extent cx="18783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40"/>
          <w:szCs w:val="40"/>
          <w:b w:val="1"/>
          <w:bCs w:val="1"/>
          <w:color w:val="auto"/>
        </w:rPr>
        <w:t>THE BANK OF NEW YORK TRUST COMPANY, N.A.</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trustee as specified in its charter)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960" w:type="dxa"/>
            <w:vAlign w:val="bottom"/>
            <w:gridSpan w:val="3"/>
          </w:tcPr>
          <w:p>
            <w:pPr>
              <w:jc w:val="center"/>
              <w:ind w:right="2540"/>
              <w:spacing w:after="0"/>
              <w:rPr>
                <w:sz w:val="20"/>
                <w:szCs w:val="20"/>
                <w:color w:val="auto"/>
              </w:rPr>
            </w:pPr>
            <w:r>
              <w:rPr>
                <w:rFonts w:ascii="Arial" w:cs="Arial" w:eastAsia="Arial" w:hAnsi="Arial"/>
                <w:sz w:val="18"/>
                <w:szCs w:val="18"/>
                <w:color w:val="auto"/>
                <w:w w:val="87"/>
              </w:rPr>
              <w:t>(State</w:t>
            </w:r>
          </w:p>
        </w:tc>
        <w:tc>
          <w:tcPr>
            <w:tcW w:w="3460" w:type="dxa"/>
            <w:vAlign w:val="bottom"/>
          </w:tcPr>
          <w:p>
            <w:pPr>
              <w:jc w:val="center"/>
              <w:ind w:right="1870"/>
              <w:spacing w:after="0"/>
              <w:rPr>
                <w:sz w:val="20"/>
                <w:szCs w:val="20"/>
                <w:color w:val="auto"/>
              </w:rPr>
            </w:pPr>
            <w:r>
              <w:rPr>
                <w:rFonts w:ascii="Arial" w:cs="Arial" w:eastAsia="Arial" w:hAnsi="Arial"/>
                <w:sz w:val="18"/>
                <w:szCs w:val="18"/>
                <w:b w:val="1"/>
                <w:bCs w:val="1"/>
                <w:color w:val="auto"/>
                <w:w w:val="89"/>
              </w:rPr>
              <w:t>95-3571558</w:t>
            </w:r>
          </w:p>
        </w:tc>
      </w:tr>
      <w:tr>
        <w:trPr>
          <w:trHeight w:val="216"/>
        </w:trPr>
        <w:tc>
          <w:tcPr>
            <w:tcW w:w="7960" w:type="dxa"/>
            <w:vAlign w:val="bottom"/>
            <w:gridSpan w:val="3"/>
          </w:tcPr>
          <w:p>
            <w:pPr>
              <w:jc w:val="center"/>
              <w:ind w:right="2560"/>
              <w:spacing w:after="0"/>
              <w:rPr>
                <w:sz w:val="20"/>
                <w:szCs w:val="20"/>
                <w:color w:val="auto"/>
              </w:rPr>
            </w:pPr>
            <w:r>
              <w:rPr>
                <w:rFonts w:ascii="Arial" w:cs="Arial" w:eastAsia="Arial" w:hAnsi="Arial"/>
                <w:sz w:val="18"/>
                <w:szCs w:val="18"/>
                <w:color w:val="auto"/>
                <w:w w:val="93"/>
              </w:rPr>
              <w:t>of incorporation</w:t>
            </w:r>
          </w:p>
        </w:tc>
        <w:tc>
          <w:tcPr>
            <w:tcW w:w="3460" w:type="dxa"/>
            <w:vAlign w:val="bottom"/>
          </w:tcPr>
          <w:p>
            <w:pPr>
              <w:jc w:val="center"/>
              <w:ind w:right="1890"/>
              <w:spacing w:after="0"/>
              <w:rPr>
                <w:sz w:val="20"/>
                <w:szCs w:val="20"/>
                <w:color w:val="auto"/>
              </w:rPr>
            </w:pPr>
            <w:r>
              <w:rPr>
                <w:rFonts w:ascii="Arial" w:cs="Arial" w:eastAsia="Arial" w:hAnsi="Arial"/>
                <w:sz w:val="18"/>
                <w:szCs w:val="18"/>
                <w:color w:val="auto"/>
                <w:w w:val="92"/>
              </w:rPr>
              <w:t>(I.R.S. employer</w:t>
            </w:r>
          </w:p>
        </w:tc>
      </w:tr>
      <w:tr>
        <w:trPr>
          <w:trHeight w:val="230"/>
        </w:trPr>
        <w:tc>
          <w:tcPr>
            <w:tcW w:w="7960" w:type="dxa"/>
            <w:vAlign w:val="bottom"/>
            <w:gridSpan w:val="3"/>
          </w:tcPr>
          <w:p>
            <w:pPr>
              <w:jc w:val="center"/>
              <w:ind w:right="2520"/>
              <w:spacing w:after="0"/>
              <w:rPr>
                <w:sz w:val="20"/>
                <w:szCs w:val="20"/>
                <w:color w:val="auto"/>
              </w:rPr>
            </w:pPr>
            <w:r>
              <w:rPr>
                <w:rFonts w:ascii="Arial" w:cs="Arial" w:eastAsia="Arial" w:hAnsi="Arial"/>
                <w:sz w:val="18"/>
                <w:szCs w:val="18"/>
                <w:color w:val="auto"/>
                <w:w w:val="92"/>
              </w:rPr>
              <w:t>if not a U.S. national bank)</w:t>
            </w:r>
          </w:p>
        </w:tc>
        <w:tc>
          <w:tcPr>
            <w:tcW w:w="3460" w:type="dxa"/>
            <w:vAlign w:val="bottom"/>
          </w:tcPr>
          <w:p>
            <w:pPr>
              <w:jc w:val="center"/>
              <w:ind w:right="187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7960" w:type="dxa"/>
            <w:vAlign w:val="bottom"/>
            <w:gridSpan w:val="3"/>
          </w:tcPr>
          <w:p>
            <w:pPr>
              <w:jc w:val="center"/>
              <w:ind w:right="2580"/>
              <w:spacing w:after="0"/>
              <w:rPr>
                <w:sz w:val="20"/>
                <w:szCs w:val="20"/>
                <w:color w:val="auto"/>
              </w:rPr>
            </w:pPr>
            <w:r>
              <w:rPr>
                <w:rFonts w:ascii="Arial" w:cs="Arial" w:eastAsia="Arial" w:hAnsi="Arial"/>
                <w:sz w:val="18"/>
                <w:szCs w:val="18"/>
                <w:b w:val="1"/>
                <w:bCs w:val="1"/>
                <w:color w:val="auto"/>
                <w:w w:val="90"/>
              </w:rPr>
              <w:t>700 South Flower Street</w:t>
            </w:r>
          </w:p>
        </w:tc>
        <w:tc>
          <w:tcPr>
            <w:tcW w:w="3460" w:type="dxa"/>
            <w:vAlign w:val="bottom"/>
          </w:tcPr>
          <w:p>
            <w:pPr>
              <w:jc w:val="center"/>
              <w:ind w:right="1870"/>
              <w:spacing w:after="0"/>
              <w:rPr>
                <w:sz w:val="20"/>
                <w:szCs w:val="20"/>
                <w:color w:val="auto"/>
              </w:rPr>
            </w:pPr>
            <w:r>
              <w:rPr>
                <w:rFonts w:ascii="Arial" w:cs="Arial" w:eastAsia="Arial" w:hAnsi="Arial"/>
                <w:sz w:val="18"/>
                <w:szCs w:val="18"/>
                <w:b w:val="1"/>
                <w:bCs w:val="1"/>
                <w:color w:val="auto"/>
                <w:w w:val="91"/>
              </w:rPr>
              <w:t>90017</w:t>
            </w:r>
          </w:p>
        </w:tc>
      </w:tr>
      <w:tr>
        <w:trPr>
          <w:trHeight w:val="216"/>
        </w:trPr>
        <w:tc>
          <w:tcPr>
            <w:tcW w:w="7960" w:type="dxa"/>
            <w:vAlign w:val="bottom"/>
            <w:gridSpan w:val="3"/>
          </w:tcPr>
          <w:p>
            <w:pPr>
              <w:jc w:val="center"/>
              <w:ind w:right="2540"/>
              <w:spacing w:after="0"/>
              <w:rPr>
                <w:sz w:val="20"/>
                <w:szCs w:val="20"/>
                <w:color w:val="auto"/>
              </w:rPr>
            </w:pPr>
            <w:r>
              <w:rPr>
                <w:rFonts w:ascii="Arial" w:cs="Arial" w:eastAsia="Arial" w:hAnsi="Arial"/>
                <w:sz w:val="18"/>
                <w:szCs w:val="18"/>
                <w:b w:val="1"/>
                <w:bCs w:val="1"/>
                <w:color w:val="auto"/>
                <w:w w:val="88"/>
              </w:rPr>
              <w:t>Suite 500</w:t>
            </w:r>
          </w:p>
        </w:tc>
        <w:tc>
          <w:tcPr>
            <w:tcW w:w="3460" w:type="dxa"/>
            <w:vAlign w:val="bottom"/>
          </w:tcPr>
          <w:p>
            <w:pPr>
              <w:jc w:val="center"/>
              <w:ind w:right="1890"/>
              <w:spacing w:after="0"/>
              <w:rPr>
                <w:sz w:val="20"/>
                <w:szCs w:val="20"/>
                <w:color w:val="auto"/>
              </w:rPr>
            </w:pPr>
            <w:r>
              <w:rPr>
                <w:rFonts w:ascii="Arial" w:cs="Arial" w:eastAsia="Arial" w:hAnsi="Arial"/>
                <w:sz w:val="18"/>
                <w:szCs w:val="18"/>
                <w:color w:val="auto"/>
                <w:w w:val="93"/>
              </w:rPr>
              <w:t>(Zip code)</w:t>
            </w:r>
          </w:p>
        </w:tc>
      </w:tr>
      <w:tr>
        <w:trPr>
          <w:trHeight w:val="220"/>
        </w:trPr>
        <w:tc>
          <w:tcPr>
            <w:tcW w:w="7960" w:type="dxa"/>
            <w:vAlign w:val="bottom"/>
            <w:gridSpan w:val="3"/>
          </w:tcPr>
          <w:p>
            <w:pPr>
              <w:jc w:val="center"/>
              <w:ind w:right="2520"/>
              <w:spacing w:after="0"/>
              <w:rPr>
                <w:sz w:val="20"/>
                <w:szCs w:val="20"/>
                <w:color w:val="auto"/>
              </w:rPr>
            </w:pPr>
            <w:r>
              <w:rPr>
                <w:rFonts w:ascii="Arial" w:cs="Arial" w:eastAsia="Arial" w:hAnsi="Arial"/>
                <w:sz w:val="18"/>
                <w:szCs w:val="18"/>
                <w:b w:val="1"/>
                <w:bCs w:val="1"/>
                <w:color w:val="auto"/>
                <w:w w:val="89"/>
              </w:rPr>
              <w:t>Los Angeles, California</w:t>
            </w:r>
          </w:p>
        </w:tc>
        <w:tc>
          <w:tcPr>
            <w:tcW w:w="3460" w:type="dxa"/>
            <w:vAlign w:val="bottom"/>
          </w:tcPr>
          <w:p>
            <w:pPr>
              <w:spacing w:after="0"/>
              <w:rPr>
                <w:sz w:val="19"/>
                <w:szCs w:val="19"/>
                <w:color w:val="auto"/>
              </w:rPr>
            </w:pPr>
          </w:p>
        </w:tc>
      </w:tr>
      <w:tr>
        <w:trPr>
          <w:trHeight w:val="230"/>
        </w:trPr>
        <w:tc>
          <w:tcPr>
            <w:tcW w:w="7960" w:type="dxa"/>
            <w:vAlign w:val="bottom"/>
            <w:gridSpan w:val="3"/>
          </w:tcPr>
          <w:p>
            <w:pPr>
              <w:jc w:val="center"/>
              <w:ind w:right="2540"/>
              <w:spacing w:after="0"/>
              <w:rPr>
                <w:sz w:val="20"/>
                <w:szCs w:val="20"/>
                <w:color w:val="auto"/>
              </w:rPr>
            </w:pPr>
            <w:r>
              <w:rPr>
                <w:rFonts w:ascii="Arial" w:cs="Arial" w:eastAsia="Arial" w:hAnsi="Arial"/>
                <w:sz w:val="18"/>
                <w:szCs w:val="18"/>
                <w:color w:val="auto"/>
                <w:w w:val="92"/>
              </w:rPr>
              <w:t>(Address of principal executive offices)</w:t>
            </w:r>
          </w:p>
        </w:tc>
        <w:tc>
          <w:tcPr>
            <w:tcW w:w="3460" w:type="dxa"/>
            <w:vAlign w:val="bottom"/>
          </w:tcPr>
          <w:p>
            <w:pPr>
              <w:spacing w:after="0"/>
              <w:rPr>
                <w:sz w:val="20"/>
                <w:szCs w:val="20"/>
                <w:color w:val="auto"/>
              </w:rPr>
            </w:pPr>
          </w:p>
        </w:tc>
      </w:tr>
      <w:tr>
        <w:trPr>
          <w:trHeight w:val="324"/>
        </w:trPr>
        <w:tc>
          <w:tcPr>
            <w:tcW w:w="4240" w:type="dxa"/>
            <w:vAlign w:val="bottom"/>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583"/>
        </w:trPr>
        <w:tc>
          <w:tcPr>
            <w:tcW w:w="7960" w:type="dxa"/>
            <w:vAlign w:val="bottom"/>
            <w:gridSpan w:val="3"/>
          </w:tcPr>
          <w:p>
            <w:pPr>
              <w:jc w:val="center"/>
              <w:ind w:left="3384"/>
              <w:spacing w:after="0"/>
              <w:rPr>
                <w:sz w:val="20"/>
                <w:szCs w:val="20"/>
                <w:color w:val="auto"/>
              </w:rPr>
            </w:pPr>
            <w:r>
              <w:rPr>
                <w:rFonts w:ascii="Arial" w:cs="Arial" w:eastAsia="Arial" w:hAnsi="Arial"/>
                <w:sz w:val="18"/>
                <w:szCs w:val="18"/>
                <w:b w:val="1"/>
                <w:bCs w:val="1"/>
                <w:color w:val="auto"/>
                <w:w w:val="92"/>
              </w:rPr>
              <w:t>The Bank of New York Trust Company, N.A.</w:t>
            </w:r>
          </w:p>
        </w:tc>
        <w:tc>
          <w:tcPr>
            <w:tcW w:w="3460" w:type="dxa"/>
            <w:vAlign w:val="bottom"/>
          </w:tcPr>
          <w:p>
            <w:pPr>
              <w:spacing w:after="0"/>
              <w:rPr>
                <w:sz w:val="24"/>
                <w:szCs w:val="24"/>
                <w:color w:val="auto"/>
              </w:rPr>
            </w:pPr>
          </w:p>
        </w:tc>
      </w:tr>
      <w:tr>
        <w:trPr>
          <w:trHeight w:val="216"/>
        </w:trPr>
        <w:tc>
          <w:tcPr>
            <w:tcW w:w="4240" w:type="dxa"/>
            <w:vAlign w:val="bottom"/>
          </w:tcPr>
          <w:p>
            <w:pPr>
              <w:spacing w:after="0"/>
              <w:rPr>
                <w:sz w:val="18"/>
                <w:szCs w:val="18"/>
                <w:color w:val="auto"/>
              </w:rPr>
            </w:pPr>
          </w:p>
        </w:tc>
        <w:tc>
          <w:tcPr>
            <w:tcW w:w="3720" w:type="dxa"/>
            <w:vAlign w:val="bottom"/>
            <w:gridSpan w:val="2"/>
          </w:tcPr>
          <w:p>
            <w:pPr>
              <w:jc w:val="center"/>
              <w:ind w:right="760"/>
              <w:spacing w:after="0"/>
              <w:rPr>
                <w:sz w:val="20"/>
                <w:szCs w:val="20"/>
                <w:color w:val="auto"/>
              </w:rPr>
            </w:pPr>
            <w:r>
              <w:rPr>
                <w:rFonts w:ascii="Arial" w:cs="Arial" w:eastAsia="Arial" w:hAnsi="Arial"/>
                <w:sz w:val="18"/>
                <w:szCs w:val="18"/>
                <w:b w:val="1"/>
                <w:bCs w:val="1"/>
                <w:color w:val="auto"/>
                <w:w w:val="89"/>
              </w:rPr>
              <w:t>700 South Flower Street, Suite 500</w:t>
            </w:r>
          </w:p>
        </w:tc>
        <w:tc>
          <w:tcPr>
            <w:tcW w:w="346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372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90"/>
              </w:rPr>
              <w:t>Los Angeles, California 90017</w:t>
            </w:r>
          </w:p>
        </w:tc>
        <w:tc>
          <w:tcPr>
            <w:tcW w:w="3460" w:type="dxa"/>
            <w:vAlign w:val="bottom"/>
          </w:tcPr>
          <w:p>
            <w:pPr>
              <w:spacing w:after="0"/>
              <w:rPr>
                <w:sz w:val="18"/>
                <w:szCs w:val="18"/>
                <w:color w:val="auto"/>
              </w:rPr>
            </w:pPr>
          </w:p>
        </w:tc>
      </w:tr>
      <w:tr>
        <w:trPr>
          <w:trHeight w:val="216"/>
        </w:trPr>
        <w:tc>
          <w:tcPr>
            <w:tcW w:w="7960" w:type="dxa"/>
            <w:vAlign w:val="bottom"/>
            <w:gridSpan w:val="3"/>
          </w:tcPr>
          <w:p>
            <w:pPr>
              <w:jc w:val="center"/>
              <w:ind w:left="3364"/>
              <w:spacing w:after="0"/>
              <w:rPr>
                <w:sz w:val="20"/>
                <w:szCs w:val="20"/>
                <w:color w:val="auto"/>
              </w:rPr>
            </w:pPr>
            <w:r>
              <w:rPr>
                <w:rFonts w:ascii="Arial" w:cs="Arial" w:eastAsia="Arial" w:hAnsi="Arial"/>
                <w:sz w:val="18"/>
                <w:szCs w:val="18"/>
                <w:b w:val="1"/>
                <w:bCs w:val="1"/>
                <w:color w:val="auto"/>
                <w:w w:val="92"/>
              </w:rPr>
              <w:t>Attn: The Bank of New York Trust Company, N.A.</w:t>
            </w:r>
          </w:p>
        </w:tc>
        <w:tc>
          <w:tcPr>
            <w:tcW w:w="3460" w:type="dxa"/>
            <w:vAlign w:val="bottom"/>
          </w:tcPr>
          <w:p>
            <w:pPr>
              <w:spacing w:after="0"/>
              <w:rPr>
                <w:sz w:val="18"/>
                <w:szCs w:val="18"/>
                <w:color w:val="auto"/>
              </w:rPr>
            </w:pPr>
          </w:p>
        </w:tc>
      </w:tr>
      <w:tr>
        <w:trPr>
          <w:trHeight w:val="220"/>
        </w:trPr>
        <w:tc>
          <w:tcPr>
            <w:tcW w:w="7200" w:type="dxa"/>
            <w:vAlign w:val="bottom"/>
            <w:gridSpan w:val="2"/>
          </w:tcPr>
          <w:p>
            <w:pPr>
              <w:jc w:val="center"/>
              <w:ind w:left="4124"/>
              <w:spacing w:after="0"/>
              <w:rPr>
                <w:sz w:val="20"/>
                <w:szCs w:val="20"/>
                <w:color w:val="auto"/>
              </w:rPr>
            </w:pPr>
            <w:r>
              <w:rPr>
                <w:rFonts w:ascii="Arial" w:cs="Arial" w:eastAsia="Arial" w:hAnsi="Arial"/>
                <w:sz w:val="18"/>
                <w:szCs w:val="18"/>
                <w:b w:val="1"/>
                <w:bCs w:val="1"/>
                <w:color w:val="auto"/>
                <w:w w:val="90"/>
              </w:rPr>
              <w:t>213-630-6205</w:t>
            </w:r>
          </w:p>
        </w:tc>
        <w:tc>
          <w:tcPr>
            <w:tcW w:w="760" w:type="dxa"/>
            <w:vAlign w:val="bottom"/>
          </w:tcPr>
          <w:p>
            <w:pPr>
              <w:spacing w:after="0"/>
              <w:rPr>
                <w:sz w:val="19"/>
                <w:szCs w:val="19"/>
                <w:color w:val="auto"/>
              </w:rPr>
            </w:pPr>
          </w:p>
        </w:tc>
        <w:tc>
          <w:tcPr>
            <w:tcW w:w="3460" w:type="dxa"/>
            <w:vAlign w:val="bottom"/>
          </w:tcPr>
          <w:p>
            <w:pPr>
              <w:spacing w:after="0"/>
              <w:rPr>
                <w:sz w:val="19"/>
                <w:szCs w:val="19"/>
                <w:color w:val="auto"/>
              </w:rPr>
            </w:pPr>
          </w:p>
        </w:tc>
      </w:tr>
      <w:tr>
        <w:trPr>
          <w:trHeight w:val="230"/>
        </w:trPr>
        <w:tc>
          <w:tcPr>
            <w:tcW w:w="7960" w:type="dxa"/>
            <w:vAlign w:val="bottom"/>
            <w:gridSpan w:val="3"/>
          </w:tcPr>
          <w:p>
            <w:pPr>
              <w:jc w:val="center"/>
              <w:ind w:left="3364"/>
              <w:spacing w:after="0"/>
              <w:rPr>
                <w:sz w:val="20"/>
                <w:szCs w:val="20"/>
                <w:color w:val="auto"/>
              </w:rPr>
            </w:pPr>
            <w:r>
              <w:rPr>
                <w:rFonts w:ascii="Arial" w:cs="Arial" w:eastAsia="Arial" w:hAnsi="Arial"/>
                <w:sz w:val="18"/>
                <w:szCs w:val="18"/>
                <w:color w:val="auto"/>
                <w:w w:val="89"/>
              </w:rPr>
              <w:t>(Name, address and telephone number of agent for service)</w:t>
            </w:r>
          </w:p>
        </w:tc>
        <w:tc>
          <w:tcPr>
            <w:tcW w:w="3460" w:type="dxa"/>
            <w:vAlign w:val="bottom"/>
          </w:tcPr>
          <w:p>
            <w:pPr>
              <w:spacing w:after="0"/>
              <w:rPr>
                <w:sz w:val="20"/>
                <w:szCs w:val="20"/>
                <w:color w:val="auto"/>
              </w:rPr>
            </w:pPr>
          </w:p>
        </w:tc>
      </w:tr>
      <w:tr>
        <w:trPr>
          <w:trHeight w:val="324"/>
        </w:trPr>
        <w:tc>
          <w:tcPr>
            <w:tcW w:w="4240" w:type="dxa"/>
            <w:vAlign w:val="bottom"/>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708"/>
        </w:trPr>
        <w:tc>
          <w:tcPr>
            <w:tcW w:w="7960" w:type="dxa"/>
            <w:vAlign w:val="bottom"/>
            <w:gridSpan w:val="3"/>
          </w:tcPr>
          <w:p>
            <w:pPr>
              <w:jc w:val="center"/>
              <w:ind w:left="3384"/>
              <w:spacing w:after="0"/>
              <w:rPr>
                <w:sz w:val="20"/>
                <w:szCs w:val="20"/>
                <w:color w:val="auto"/>
              </w:rPr>
            </w:pPr>
            <w:r>
              <w:rPr>
                <w:rFonts w:ascii="Arial" w:cs="Arial" w:eastAsia="Arial" w:hAnsi="Arial"/>
                <w:sz w:val="40"/>
                <w:szCs w:val="40"/>
                <w:b w:val="1"/>
                <w:bCs w:val="1"/>
                <w:color w:val="auto"/>
                <w:w w:val="90"/>
              </w:rPr>
              <w:t>Waste Management, Inc.</w:t>
            </w:r>
          </w:p>
        </w:tc>
        <w:tc>
          <w:tcPr>
            <w:tcW w:w="3460" w:type="dxa"/>
            <w:vAlign w:val="bottom"/>
          </w:tcPr>
          <w:p>
            <w:pPr>
              <w:spacing w:after="0"/>
              <w:rPr>
                <w:sz w:val="24"/>
                <w:szCs w:val="24"/>
                <w:color w:val="auto"/>
              </w:rPr>
            </w:pPr>
          </w:p>
        </w:tc>
      </w:tr>
      <w:tr>
        <w:trPr>
          <w:trHeight w:val="230"/>
        </w:trPr>
        <w:tc>
          <w:tcPr>
            <w:tcW w:w="7960" w:type="dxa"/>
            <w:vAlign w:val="bottom"/>
            <w:gridSpan w:val="3"/>
          </w:tcPr>
          <w:p>
            <w:pPr>
              <w:jc w:val="center"/>
              <w:ind w:left="3384"/>
              <w:spacing w:after="0"/>
              <w:rPr>
                <w:sz w:val="20"/>
                <w:szCs w:val="20"/>
                <w:color w:val="auto"/>
              </w:rPr>
            </w:pPr>
            <w:r>
              <w:rPr>
                <w:rFonts w:ascii="Arial" w:cs="Arial" w:eastAsia="Arial" w:hAnsi="Arial"/>
                <w:sz w:val="18"/>
                <w:szCs w:val="18"/>
                <w:color w:val="auto"/>
                <w:w w:val="91"/>
              </w:rPr>
              <w:t>(Exact name of obligor as specified in its charter)</w:t>
            </w:r>
          </w:p>
        </w:tc>
        <w:tc>
          <w:tcPr>
            <w:tcW w:w="3460" w:type="dxa"/>
            <w:vAlign w:val="bottom"/>
          </w:tcPr>
          <w:p>
            <w:pPr>
              <w:spacing w:after="0"/>
              <w:rPr>
                <w:sz w:val="20"/>
                <w:szCs w:val="20"/>
                <w:color w:val="auto"/>
              </w:rPr>
            </w:pPr>
          </w:p>
        </w:tc>
      </w:tr>
      <w:tr>
        <w:trPr>
          <w:trHeight w:val="418"/>
        </w:trPr>
        <w:tc>
          <w:tcPr>
            <w:tcW w:w="7960" w:type="dxa"/>
            <w:vAlign w:val="bottom"/>
            <w:gridSpan w:val="3"/>
          </w:tcPr>
          <w:p>
            <w:pPr>
              <w:jc w:val="center"/>
              <w:ind w:right="2520"/>
              <w:spacing w:after="0"/>
              <w:rPr>
                <w:sz w:val="20"/>
                <w:szCs w:val="20"/>
                <w:color w:val="auto"/>
              </w:rPr>
            </w:pPr>
            <w:r>
              <w:rPr>
                <w:rFonts w:ascii="Arial" w:cs="Arial" w:eastAsia="Arial" w:hAnsi="Arial"/>
                <w:sz w:val="18"/>
                <w:szCs w:val="18"/>
                <w:b w:val="1"/>
                <w:bCs w:val="1"/>
                <w:color w:val="auto"/>
                <w:w w:val="91"/>
              </w:rPr>
              <w:t>Delaware</w:t>
            </w:r>
          </w:p>
        </w:tc>
        <w:tc>
          <w:tcPr>
            <w:tcW w:w="3460" w:type="dxa"/>
            <w:vAlign w:val="bottom"/>
          </w:tcPr>
          <w:p>
            <w:pPr>
              <w:jc w:val="center"/>
              <w:ind w:right="1870"/>
              <w:spacing w:after="0"/>
              <w:rPr>
                <w:sz w:val="20"/>
                <w:szCs w:val="20"/>
                <w:color w:val="auto"/>
              </w:rPr>
            </w:pPr>
            <w:r>
              <w:rPr>
                <w:rFonts w:ascii="Arial" w:cs="Arial" w:eastAsia="Arial" w:hAnsi="Arial"/>
                <w:sz w:val="18"/>
                <w:szCs w:val="18"/>
                <w:b w:val="1"/>
                <w:bCs w:val="1"/>
                <w:color w:val="auto"/>
                <w:w w:val="89"/>
              </w:rPr>
              <w:t>73-1309529</w:t>
            </w:r>
          </w:p>
        </w:tc>
      </w:tr>
      <w:tr>
        <w:trPr>
          <w:trHeight w:val="216"/>
        </w:trPr>
        <w:tc>
          <w:tcPr>
            <w:tcW w:w="7960" w:type="dxa"/>
            <w:vAlign w:val="bottom"/>
            <w:gridSpan w:val="3"/>
          </w:tcPr>
          <w:p>
            <w:pPr>
              <w:jc w:val="center"/>
              <w:ind w:right="2580"/>
              <w:spacing w:after="0"/>
              <w:rPr>
                <w:sz w:val="20"/>
                <w:szCs w:val="20"/>
                <w:color w:val="auto"/>
              </w:rPr>
            </w:pPr>
            <w:r>
              <w:rPr>
                <w:rFonts w:ascii="Arial" w:cs="Arial" w:eastAsia="Arial" w:hAnsi="Arial"/>
                <w:sz w:val="18"/>
                <w:szCs w:val="18"/>
                <w:color w:val="auto"/>
                <w:w w:val="93"/>
              </w:rPr>
              <w:t>(State or other jurisdiction of</w:t>
            </w:r>
          </w:p>
        </w:tc>
        <w:tc>
          <w:tcPr>
            <w:tcW w:w="3460" w:type="dxa"/>
            <w:vAlign w:val="bottom"/>
          </w:tcPr>
          <w:p>
            <w:pPr>
              <w:jc w:val="center"/>
              <w:ind w:right="1890"/>
              <w:spacing w:after="0"/>
              <w:rPr>
                <w:sz w:val="20"/>
                <w:szCs w:val="20"/>
                <w:color w:val="auto"/>
              </w:rPr>
            </w:pPr>
            <w:r>
              <w:rPr>
                <w:rFonts w:ascii="Arial" w:cs="Arial" w:eastAsia="Arial" w:hAnsi="Arial"/>
                <w:sz w:val="18"/>
                <w:szCs w:val="18"/>
                <w:color w:val="auto"/>
                <w:w w:val="92"/>
              </w:rPr>
              <w:t>(I.R.S. employer</w:t>
            </w:r>
          </w:p>
        </w:tc>
      </w:tr>
      <w:tr>
        <w:trPr>
          <w:trHeight w:val="230"/>
        </w:trPr>
        <w:tc>
          <w:tcPr>
            <w:tcW w:w="7960" w:type="dxa"/>
            <w:vAlign w:val="bottom"/>
            <w:gridSpan w:val="3"/>
          </w:tcPr>
          <w:p>
            <w:pPr>
              <w:jc w:val="center"/>
              <w:ind w:right="2520"/>
              <w:spacing w:after="0"/>
              <w:rPr>
                <w:sz w:val="20"/>
                <w:szCs w:val="20"/>
                <w:color w:val="auto"/>
              </w:rPr>
            </w:pPr>
            <w:r>
              <w:rPr>
                <w:rFonts w:ascii="Arial" w:cs="Arial" w:eastAsia="Arial" w:hAnsi="Arial"/>
                <w:sz w:val="18"/>
                <w:szCs w:val="18"/>
                <w:color w:val="auto"/>
                <w:w w:val="92"/>
              </w:rPr>
              <w:t>incorporation or organization)</w:t>
            </w:r>
          </w:p>
        </w:tc>
        <w:tc>
          <w:tcPr>
            <w:tcW w:w="3460" w:type="dxa"/>
            <w:vAlign w:val="bottom"/>
          </w:tcPr>
          <w:p>
            <w:pPr>
              <w:jc w:val="center"/>
              <w:ind w:right="187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7960" w:type="dxa"/>
            <w:vAlign w:val="bottom"/>
            <w:gridSpan w:val="3"/>
          </w:tcPr>
          <w:p>
            <w:pPr>
              <w:jc w:val="center"/>
              <w:ind w:right="2540"/>
              <w:spacing w:after="0"/>
              <w:rPr>
                <w:sz w:val="20"/>
                <w:szCs w:val="20"/>
                <w:color w:val="auto"/>
              </w:rPr>
            </w:pPr>
            <w:r>
              <w:rPr>
                <w:rFonts w:ascii="Arial" w:cs="Arial" w:eastAsia="Arial" w:hAnsi="Arial"/>
                <w:sz w:val="18"/>
                <w:szCs w:val="18"/>
                <w:b w:val="1"/>
                <w:bCs w:val="1"/>
                <w:color w:val="auto"/>
                <w:w w:val="90"/>
              </w:rPr>
              <w:t>1001 Fannin Street, Suite 4000</w:t>
            </w:r>
          </w:p>
        </w:tc>
        <w:tc>
          <w:tcPr>
            <w:tcW w:w="3460" w:type="dxa"/>
            <w:vAlign w:val="bottom"/>
          </w:tcPr>
          <w:p>
            <w:pPr>
              <w:jc w:val="center"/>
              <w:ind w:right="1870"/>
              <w:spacing w:after="0"/>
              <w:rPr>
                <w:sz w:val="20"/>
                <w:szCs w:val="20"/>
                <w:color w:val="auto"/>
              </w:rPr>
            </w:pPr>
            <w:r>
              <w:rPr>
                <w:rFonts w:ascii="Arial" w:cs="Arial" w:eastAsia="Arial" w:hAnsi="Arial"/>
                <w:sz w:val="18"/>
                <w:szCs w:val="18"/>
                <w:b w:val="1"/>
                <w:bCs w:val="1"/>
                <w:color w:val="auto"/>
                <w:w w:val="91"/>
              </w:rPr>
              <w:t>77002</w:t>
            </w:r>
          </w:p>
        </w:tc>
      </w:tr>
      <w:tr>
        <w:trPr>
          <w:trHeight w:val="220"/>
        </w:trPr>
        <w:tc>
          <w:tcPr>
            <w:tcW w:w="7960" w:type="dxa"/>
            <w:vAlign w:val="bottom"/>
            <w:gridSpan w:val="3"/>
          </w:tcPr>
          <w:p>
            <w:pPr>
              <w:jc w:val="center"/>
              <w:ind w:right="2540"/>
              <w:spacing w:after="0"/>
              <w:rPr>
                <w:sz w:val="20"/>
                <w:szCs w:val="20"/>
                <w:color w:val="auto"/>
              </w:rPr>
            </w:pPr>
            <w:r>
              <w:rPr>
                <w:rFonts w:ascii="Arial" w:cs="Arial" w:eastAsia="Arial" w:hAnsi="Arial"/>
                <w:sz w:val="18"/>
                <w:szCs w:val="18"/>
                <w:b w:val="1"/>
                <w:bCs w:val="1"/>
                <w:color w:val="auto"/>
                <w:w w:val="88"/>
              </w:rPr>
              <w:t>Houston, Texas</w:t>
            </w:r>
          </w:p>
        </w:tc>
        <w:tc>
          <w:tcPr>
            <w:tcW w:w="3460" w:type="dxa"/>
            <w:vAlign w:val="bottom"/>
          </w:tcPr>
          <w:p>
            <w:pPr>
              <w:jc w:val="center"/>
              <w:ind w:right="1890"/>
              <w:spacing w:after="0"/>
              <w:rPr>
                <w:sz w:val="20"/>
                <w:szCs w:val="20"/>
                <w:color w:val="auto"/>
              </w:rPr>
            </w:pPr>
            <w:r>
              <w:rPr>
                <w:rFonts w:ascii="Arial" w:cs="Arial" w:eastAsia="Arial" w:hAnsi="Arial"/>
                <w:sz w:val="18"/>
                <w:szCs w:val="18"/>
                <w:color w:val="auto"/>
                <w:w w:val="94"/>
              </w:rPr>
              <w:t>(Zip Code)</w:t>
            </w:r>
          </w:p>
        </w:tc>
      </w:tr>
      <w:tr>
        <w:trPr>
          <w:trHeight w:val="230"/>
        </w:trPr>
        <w:tc>
          <w:tcPr>
            <w:tcW w:w="7960" w:type="dxa"/>
            <w:vAlign w:val="bottom"/>
            <w:gridSpan w:val="3"/>
          </w:tcPr>
          <w:p>
            <w:pPr>
              <w:jc w:val="center"/>
              <w:ind w:right="2540"/>
              <w:spacing w:after="0"/>
              <w:rPr>
                <w:sz w:val="20"/>
                <w:szCs w:val="20"/>
                <w:color w:val="auto"/>
              </w:rPr>
            </w:pPr>
            <w:r>
              <w:rPr>
                <w:rFonts w:ascii="Arial" w:cs="Arial" w:eastAsia="Arial" w:hAnsi="Arial"/>
                <w:sz w:val="18"/>
                <w:szCs w:val="18"/>
                <w:color w:val="auto"/>
                <w:w w:val="92"/>
              </w:rPr>
              <w:t>(Address of principal executive offices)</w:t>
            </w:r>
          </w:p>
        </w:tc>
        <w:tc>
          <w:tcPr>
            <w:tcW w:w="3460" w:type="dxa"/>
            <w:vAlign w:val="bottom"/>
          </w:tcPr>
          <w:p>
            <w:pPr>
              <w:spacing w:after="0"/>
              <w:rPr>
                <w:sz w:val="20"/>
                <w:szCs w:val="20"/>
                <w:color w:val="auto"/>
              </w:rPr>
            </w:pPr>
          </w:p>
        </w:tc>
      </w:tr>
      <w:tr>
        <w:trPr>
          <w:trHeight w:val="324"/>
        </w:trPr>
        <w:tc>
          <w:tcPr>
            <w:tcW w:w="4240" w:type="dxa"/>
            <w:vAlign w:val="bottom"/>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601"/>
        </w:trPr>
        <w:tc>
          <w:tcPr>
            <w:tcW w:w="4240" w:type="dxa"/>
            <w:vAlign w:val="bottom"/>
          </w:tcPr>
          <w:p>
            <w:pPr>
              <w:spacing w:after="0"/>
              <w:rPr>
                <w:sz w:val="24"/>
                <w:szCs w:val="24"/>
                <w:color w:val="auto"/>
              </w:rPr>
            </w:pPr>
          </w:p>
        </w:tc>
        <w:tc>
          <w:tcPr>
            <w:tcW w:w="3720" w:type="dxa"/>
            <w:vAlign w:val="bottom"/>
            <w:gridSpan w:val="2"/>
          </w:tcPr>
          <w:p>
            <w:pPr>
              <w:jc w:val="center"/>
              <w:ind w:right="760"/>
              <w:spacing w:after="0"/>
              <w:rPr>
                <w:sz w:val="20"/>
                <w:szCs w:val="20"/>
                <w:color w:val="auto"/>
              </w:rPr>
            </w:pPr>
            <w:r>
              <w:rPr>
                <w:rFonts w:ascii="Arial" w:cs="Arial" w:eastAsia="Arial" w:hAnsi="Arial"/>
                <w:sz w:val="18"/>
                <w:szCs w:val="18"/>
                <w:b w:val="1"/>
                <w:bCs w:val="1"/>
                <w:color w:val="auto"/>
                <w:w w:val="88"/>
              </w:rPr>
              <w:t>Debt Securities</w:t>
            </w:r>
          </w:p>
        </w:tc>
        <w:tc>
          <w:tcPr>
            <w:tcW w:w="3460" w:type="dxa"/>
            <w:vAlign w:val="bottom"/>
          </w:tcPr>
          <w:p>
            <w:pPr>
              <w:spacing w:after="0"/>
              <w:rPr>
                <w:sz w:val="24"/>
                <w:szCs w:val="24"/>
                <w:color w:val="auto"/>
              </w:rPr>
            </w:pPr>
          </w:p>
        </w:tc>
      </w:tr>
      <w:tr>
        <w:trPr>
          <w:trHeight w:val="189"/>
        </w:trPr>
        <w:tc>
          <w:tcPr>
            <w:tcW w:w="42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tcPr>
          <w:p>
            <w:pPr>
              <w:spacing w:after="0"/>
              <w:rPr>
                <w:sz w:val="16"/>
                <w:szCs w:val="16"/>
                <w:color w:val="auto"/>
              </w:rPr>
            </w:pPr>
          </w:p>
        </w:tc>
      </w:tr>
      <w:tr>
        <w:trPr>
          <w:trHeight w:val="28"/>
        </w:trPr>
        <w:tc>
          <w:tcPr>
            <w:tcW w:w="42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618"/>
        </w:trPr>
        <w:tc>
          <w:tcPr>
            <w:tcW w:w="4240" w:type="dxa"/>
            <w:vAlign w:val="bottom"/>
            <w:tcBorders>
              <w:bottom w:val="single" w:sz="8" w:color="808080"/>
            </w:tcBorders>
          </w:tcPr>
          <w:p>
            <w:pPr>
              <w:spacing w:after="0"/>
              <w:rPr>
                <w:sz w:val="24"/>
                <w:szCs w:val="24"/>
                <w:color w:val="auto"/>
              </w:rPr>
            </w:pPr>
          </w:p>
        </w:tc>
        <w:tc>
          <w:tcPr>
            <w:tcW w:w="296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34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06" w:right="239" w:bottom="1440" w:gutter="0" w:footer="0" w:header="0"/>
        </w:sectPr>
      </w:pPr>
    </w:p>
    <w:bookmarkStart w:id="21" w:name="page22"/>
    <w:bookmarkEnd w:id="21"/>
    <w:p>
      <w:pPr>
        <w:ind w:left="260" w:hanging="252"/>
        <w:spacing w:after="0"/>
        <w:tabs>
          <w:tab w:leader="none" w:pos="2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General information. Furnish the following information as to the trustee:</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1"/>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Name and address of each examining or supervising authority to which it is subject.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680" w:type="dxa"/>
            <w:vAlign w:val="bottom"/>
            <w:gridSpan w:val="2"/>
          </w:tcPr>
          <w:p>
            <w:pPr>
              <w:spacing w:after="0"/>
              <w:rPr>
                <w:sz w:val="20"/>
                <w:szCs w:val="20"/>
                <w:color w:val="auto"/>
              </w:rPr>
            </w:pPr>
            <w:r>
              <w:rPr>
                <w:rFonts w:ascii="Arial" w:cs="Arial" w:eastAsia="Arial" w:hAnsi="Arial"/>
                <w:sz w:val="14"/>
                <w:szCs w:val="14"/>
                <w:color w:val="auto"/>
              </w:rPr>
              <w:t>Name</w:t>
            </w:r>
          </w:p>
        </w:tc>
        <w:tc>
          <w:tcPr>
            <w:tcW w:w="60" w:type="dxa"/>
            <w:vAlign w:val="bottom"/>
          </w:tcPr>
          <w:p>
            <w:pPr>
              <w:spacing w:after="0"/>
              <w:rPr>
                <w:sz w:val="14"/>
                <w:szCs w:val="14"/>
                <w:color w:val="auto"/>
              </w:rPr>
            </w:pPr>
          </w:p>
        </w:tc>
        <w:tc>
          <w:tcPr>
            <w:tcW w:w="5680" w:type="dxa"/>
            <w:vAlign w:val="bottom"/>
          </w:tcPr>
          <w:p>
            <w:pPr>
              <w:ind w:left="2600"/>
              <w:spacing w:after="0"/>
              <w:rPr>
                <w:sz w:val="20"/>
                <w:szCs w:val="20"/>
                <w:color w:val="auto"/>
              </w:rPr>
            </w:pPr>
            <w:r>
              <w:rPr>
                <w:rFonts w:ascii="Arial" w:cs="Arial" w:eastAsia="Arial" w:hAnsi="Arial"/>
                <w:sz w:val="14"/>
                <w:szCs w:val="14"/>
                <w:color w:val="auto"/>
              </w:rPr>
              <w:t>Address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Comptroller of the Currency United States Department of the Treasury</w:t>
            </w:r>
          </w:p>
        </w:tc>
        <w:tc>
          <w:tcPr>
            <w:tcW w:w="5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Washington, D.C. 20219</w:t>
            </w:r>
          </w:p>
        </w:tc>
        <w:tc>
          <w:tcPr>
            <w:tcW w:w="0" w:type="dxa"/>
            <w:vAlign w:val="bottom"/>
          </w:tcPr>
          <w:p>
            <w:pPr>
              <w:spacing w:after="0"/>
              <w:rPr>
                <w:sz w:val="1"/>
                <w:szCs w:val="1"/>
                <w:color w:val="auto"/>
              </w:rPr>
            </w:pPr>
          </w:p>
        </w:tc>
      </w:tr>
      <w:tr>
        <w:trPr>
          <w:trHeight w:val="432"/>
        </w:trPr>
        <w:tc>
          <w:tcPr>
            <w:tcW w:w="5680" w:type="dxa"/>
            <w:vAlign w:val="bottom"/>
            <w:gridSpan w:val="2"/>
          </w:tcPr>
          <w:p>
            <w:pPr>
              <w:spacing w:after="0"/>
              <w:rPr>
                <w:sz w:val="20"/>
                <w:szCs w:val="20"/>
                <w:color w:val="auto"/>
              </w:rPr>
            </w:pPr>
            <w:r>
              <w:rPr>
                <w:rFonts w:ascii="Arial" w:cs="Arial" w:eastAsia="Arial" w:hAnsi="Arial"/>
                <w:sz w:val="18"/>
                <w:szCs w:val="18"/>
                <w:color w:val="auto"/>
              </w:rPr>
              <w:t>Federal Reserve Bank</w:t>
            </w:r>
          </w:p>
        </w:tc>
        <w:tc>
          <w:tcPr>
            <w:tcW w:w="5740" w:type="dxa"/>
            <w:vAlign w:val="bottom"/>
            <w:gridSpan w:val="2"/>
          </w:tcPr>
          <w:p>
            <w:pPr>
              <w:ind w:left="60"/>
              <w:spacing w:after="0"/>
              <w:rPr>
                <w:sz w:val="20"/>
                <w:szCs w:val="20"/>
                <w:color w:val="auto"/>
              </w:rPr>
            </w:pPr>
            <w:r>
              <w:rPr>
                <w:rFonts w:ascii="Arial" w:cs="Arial" w:eastAsia="Arial" w:hAnsi="Arial"/>
                <w:sz w:val="18"/>
                <w:szCs w:val="18"/>
                <w:color w:val="auto"/>
              </w:rPr>
              <w:t>San Francisco, California 94105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Federal Deposit Insurance Corporation</w:t>
            </w:r>
          </w:p>
        </w:tc>
        <w:tc>
          <w:tcPr>
            <w:tcW w:w="5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Washington, D.C. 20429</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60" w:hanging="436"/>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Whether it is authorized to exercise corporate trust powers.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Yes.</w:t>
      </w:r>
    </w:p>
    <w:p>
      <w:pPr>
        <w:spacing w:after="0" w:line="113" w:lineRule="exact"/>
        <w:rPr>
          <w:sz w:val="20"/>
          <w:szCs w:val="20"/>
          <w:color w:val="auto"/>
        </w:rPr>
      </w:pPr>
    </w:p>
    <w:p>
      <w:pPr>
        <w:ind w:left="500" w:hanging="492"/>
        <w:spacing w:after="0"/>
        <w:tabs>
          <w:tab w:leader="none" w:pos="5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Affiliations with Obligor.</w:t>
      </w:r>
    </w:p>
    <w:p>
      <w:pPr>
        <w:spacing w:after="0" w:line="130" w:lineRule="exact"/>
        <w:rPr>
          <w:rFonts w:ascii="Arial" w:cs="Arial" w:eastAsia="Arial" w:hAnsi="Arial"/>
          <w:sz w:val="18"/>
          <w:szCs w:val="18"/>
          <w:b w:val="1"/>
          <w:bCs w:val="1"/>
          <w:color w:val="auto"/>
        </w:rPr>
      </w:pPr>
    </w:p>
    <w:p>
      <w:pPr>
        <w:ind w:left="500" w:right="5460"/>
        <w:spacing w:after="0" w:line="39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If the obligor is an affiliate of the trustee, describe each such affiliation. </w:t>
      </w:r>
      <w:r>
        <w:rPr>
          <w:rFonts w:ascii="Arial" w:cs="Arial" w:eastAsia="Arial" w:hAnsi="Arial"/>
          <w:sz w:val="18"/>
          <w:szCs w:val="18"/>
          <w:color w:val="auto"/>
        </w:rPr>
        <w:t>None.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3-15. Not applicable.</w:t>
      </w:r>
    </w:p>
    <w:p>
      <w:pPr>
        <w:spacing w:after="0" w:line="131"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List of Exhibits.</w:t>
      </w:r>
    </w:p>
    <w:p>
      <w:pPr>
        <w:spacing w:after="0" w:line="130" w:lineRule="exact"/>
        <w:rPr>
          <w:rFonts w:ascii="Arial" w:cs="Arial" w:eastAsia="Arial" w:hAnsi="Arial"/>
          <w:sz w:val="18"/>
          <w:szCs w:val="18"/>
          <w:b w:val="1"/>
          <w:bCs w:val="1"/>
          <w:color w:val="auto"/>
        </w:rPr>
      </w:pPr>
    </w:p>
    <w:p>
      <w:pPr>
        <w:ind w:left="500" w:right="22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Exhibits identified in parentheses below, on file with the Commission, are incorporated herein by reference as an exhibit hereto, pursuant to Rule 7a-29 under the Trust Indenture Act of 1939 (the “Act”) and 17 C.F.R. 229.10(d).</w:t>
      </w:r>
    </w:p>
    <w:p>
      <w:pPr>
        <w:spacing w:after="0" w:line="57" w:lineRule="exact"/>
        <w:rPr>
          <w:rFonts w:ascii="Arial" w:cs="Arial" w:eastAsia="Arial" w:hAnsi="Arial"/>
          <w:sz w:val="18"/>
          <w:szCs w:val="18"/>
          <w:b w:val="1"/>
          <w:bCs w:val="1"/>
          <w:color w:val="auto"/>
        </w:rPr>
      </w:pPr>
    </w:p>
    <w:p>
      <w:pPr>
        <w:ind w:left="660" w:right="540" w:hanging="436"/>
        <w:spacing w:after="0" w:line="277"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 copy of the articles of association of The Bank of New York Trust Company, N.A. (Exhibit 1 to Form T-1 filed with Registration Statement No. 333-121948).</w:t>
      </w:r>
    </w:p>
    <w:p>
      <w:pPr>
        <w:spacing w:after="0" w:line="75" w:lineRule="exact"/>
        <w:rPr>
          <w:rFonts w:ascii="Arial" w:cs="Arial" w:eastAsia="Arial" w:hAnsi="Arial"/>
          <w:sz w:val="18"/>
          <w:szCs w:val="18"/>
          <w:color w:val="auto"/>
        </w:rPr>
      </w:pPr>
    </w:p>
    <w:p>
      <w:pPr>
        <w:ind w:left="660" w:hanging="436"/>
        <w:spacing w:after="0"/>
        <w:tabs>
          <w:tab w:leader="none" w:pos="6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 copy of certificate of authority of the trustee to commence business. (Exhibit 2 to Form T-1 filed with Registration Statement No. 333-121948).</w:t>
      </w:r>
    </w:p>
    <w:p>
      <w:pPr>
        <w:spacing w:after="0" w:line="153" w:lineRule="exact"/>
        <w:rPr>
          <w:rFonts w:ascii="Arial" w:cs="Arial" w:eastAsia="Arial" w:hAnsi="Arial"/>
          <w:sz w:val="16"/>
          <w:szCs w:val="16"/>
          <w:color w:val="auto"/>
        </w:rPr>
      </w:pPr>
    </w:p>
    <w:p>
      <w:pPr>
        <w:ind w:left="660" w:right="480" w:hanging="436"/>
        <w:spacing w:after="0" w:line="277"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 copy of the authorization of the trustee to exercise corporate trust powers. (Exhibit 3 to Form T-1 filed with Registration Statement No. 333-121948).</w:t>
      </w:r>
    </w:p>
    <w:p>
      <w:pPr>
        <w:spacing w:after="0" w:line="75" w:lineRule="exact"/>
        <w:rPr>
          <w:rFonts w:ascii="Arial" w:cs="Arial" w:eastAsia="Arial" w:hAnsi="Arial"/>
          <w:sz w:val="18"/>
          <w:szCs w:val="18"/>
          <w:color w:val="auto"/>
        </w:rPr>
      </w:pPr>
    </w:p>
    <w:p>
      <w:pPr>
        <w:ind w:left="660" w:hanging="436"/>
        <w:spacing w:after="0"/>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 copy of the existing by-laws of the trustee. (Exhibit 4 to Form T-1 filed with Registration Statement No. 333-121948).</w:t>
      </w:r>
    </w:p>
    <w:p>
      <w:pPr>
        <w:spacing w:after="0" w:line="131" w:lineRule="exact"/>
        <w:rPr>
          <w:sz w:val="20"/>
          <w:szCs w:val="20"/>
          <w:color w:val="auto"/>
        </w:rPr>
      </w:pPr>
    </w:p>
    <w:p>
      <w:pPr>
        <w:ind w:left="660" w:hanging="43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Act.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2" w:name="page23"/>
    <w:bookmarkEnd w:id="22"/>
    <w:p>
      <w:pPr>
        <w:ind w:left="660" w:hanging="436"/>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 copy of the latest report of condition of the trustee published pursuant to law or to the requirements of its supervising or examining authority.</w:t>
      </w:r>
    </w:p>
    <w:p>
      <w:pPr>
        <w:spacing w:after="0" w:line="34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w:t>
      </w:r>
    </w:p>
    <w:p>
      <w:pPr>
        <w:spacing w:after="0" w:line="117"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Pursuant to the requirements of the Act, the trustee, The Bank of New York Trust Company, N.A., a banking association organized and existing under the laws of the United States of America, has duly caused this statement of eligibility to be signed on its behalf by the undersigned, thereunto duly authorized, all in The City of Houston, and State of Texas, on the 25th day of February, 2008.</w:t>
      </w:r>
    </w:p>
    <w:p>
      <w:pPr>
        <w:spacing w:after="0" w:line="18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THE BANK OF NEW YORK TRUST COMPANY, N.A.</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Marcella Burgess</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Marcella Burgess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161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Assistant Vice President</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6</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THE TRUSTEE</w:t>
      </w:r>
    </w:p>
    <w:p>
      <w:pPr>
        <w:spacing w:after="0" w:line="117"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color w:val="auto"/>
        </w:rPr>
        <w:t xml:space="preserve">Pursuant to the requirements of Section 321 (b) of the Trust Indenture Act of 1939, and in connection with the proposed issue of </w:t>
      </w:r>
      <w:r>
        <w:rPr>
          <w:rFonts w:ascii="Arial" w:cs="Arial" w:eastAsia="Arial" w:hAnsi="Arial"/>
          <w:sz w:val="18"/>
          <w:szCs w:val="18"/>
          <w:b w:val="1"/>
          <w:bCs w:val="1"/>
          <w:color w:val="auto"/>
        </w:rPr>
        <w:t>Waste Management, Inc.,</w:t>
      </w:r>
      <w:r>
        <w:rPr>
          <w:rFonts w:ascii="Arial" w:cs="Arial" w:eastAsia="Arial" w:hAnsi="Arial"/>
          <w:sz w:val="18"/>
          <w:szCs w:val="18"/>
          <w:color w:val="auto"/>
        </w:rPr>
        <w:t xml:space="preserve"> The Bank of New York Trust Company, N.A. hereby consents that reports of examinations by Federal, State, Territorial or District authorities may be furnished by such authorities to the Securities and Exchange Commission upon request therefore.</w:t>
      </w:r>
    </w:p>
    <w:p>
      <w:pPr>
        <w:spacing w:after="0" w:line="18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THE BANK OF NEW YORK TRUST</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COMPANY, N.A.</w:t>
      </w:r>
    </w:p>
    <w:p>
      <w:pPr>
        <w:spacing w:after="0" w:line="21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Marcella Burgess</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Marcella Burgess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Assistant Vice President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2008</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64"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7</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Report of Condition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BANK OF NEW YORK TRUST COMPANY, N.A.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700 South Flower Street, Suite 200, Los Angeles, CA 90017</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At the close of business September 30, 2007, published in accordance with Federal regulatory authority instructions.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Dollar Amounts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in Thousands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7"/>
              </w:rPr>
              <w:t>ASSETS</w:t>
            </w:r>
          </w:p>
        </w:tc>
        <w:tc>
          <w:tcPr>
            <w:tcW w:w="4740" w:type="dxa"/>
            <w:vAlign w:val="bottom"/>
            <w:tcBorders>
              <w:bottom w:val="single" w:sz="8" w:color="CCEEFF"/>
            </w:tcBorders>
            <w:shd w:val="clear" w:color="auto" w:fill="CCEEFF"/>
          </w:tcPr>
          <w:p>
            <w:pPr>
              <w:spacing w:after="0"/>
              <w:rPr>
                <w:sz w:val="17"/>
                <w:szCs w:val="17"/>
                <w:color w:val="auto"/>
              </w:rPr>
            </w:pPr>
          </w:p>
        </w:tc>
        <w:tc>
          <w:tcPr>
            <w:tcW w:w="50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5400" w:type="dxa"/>
            <w:vAlign w:val="bottom"/>
            <w:gridSpan w:val="3"/>
          </w:tcPr>
          <w:p>
            <w:pPr>
              <w:spacing w:after="0"/>
              <w:rPr>
                <w:sz w:val="20"/>
                <w:szCs w:val="20"/>
                <w:color w:val="auto"/>
              </w:rPr>
            </w:pPr>
            <w:r>
              <w:rPr>
                <w:rFonts w:ascii="Arial" w:cs="Arial" w:eastAsia="Arial" w:hAnsi="Arial"/>
                <w:sz w:val="18"/>
                <w:szCs w:val="18"/>
                <w:color w:val="auto"/>
              </w:rPr>
              <w:t>Cash and balances due from depository institutions:</w:t>
            </w:r>
          </w:p>
        </w:tc>
        <w:tc>
          <w:tcPr>
            <w:tcW w:w="5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Noninterest-bearing balances and currency and coin</w:t>
            </w:r>
          </w:p>
        </w:tc>
        <w:tc>
          <w:tcPr>
            <w:tcW w:w="6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ind w:left="200"/>
              <w:spacing w:after="0"/>
              <w:rPr>
                <w:sz w:val="20"/>
                <w:szCs w:val="20"/>
                <w:color w:val="auto"/>
              </w:rPr>
            </w:pPr>
            <w:r>
              <w:rPr>
                <w:rFonts w:ascii="Arial" w:cs="Arial" w:eastAsia="Arial" w:hAnsi="Arial"/>
                <w:sz w:val="18"/>
                <w:szCs w:val="18"/>
                <w:color w:val="auto"/>
              </w:rPr>
              <w:t>Interest-bearing balances</w:t>
            </w:r>
          </w:p>
        </w:tc>
        <w:tc>
          <w:tcPr>
            <w:tcW w:w="602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w:t>
            </w:r>
          </w:p>
        </w:tc>
        <w:tc>
          <w:tcPr>
            <w:tcW w:w="5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ind w:left="200"/>
              <w:spacing w:after="0"/>
              <w:rPr>
                <w:sz w:val="20"/>
                <w:szCs w:val="20"/>
                <w:color w:val="auto"/>
              </w:rPr>
            </w:pPr>
            <w:r>
              <w:rPr>
                <w:rFonts w:ascii="Arial" w:cs="Arial" w:eastAsia="Arial" w:hAnsi="Arial"/>
                <w:sz w:val="18"/>
                <w:szCs w:val="18"/>
                <w:color w:val="auto"/>
              </w:rPr>
              <w:t>Held-to-maturity securities</w:t>
            </w:r>
          </w:p>
        </w:tc>
        <w:tc>
          <w:tcPr>
            <w:tcW w:w="6020" w:type="dxa"/>
            <w:vAlign w:val="bottom"/>
            <w:gridSpan w:val="3"/>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Available-for-sale securities</w:t>
            </w:r>
          </w:p>
        </w:tc>
        <w:tc>
          <w:tcPr>
            <w:tcW w:w="6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115,996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w w:val="92"/>
              </w:rPr>
              <w:t>Federal funds sold and securities purchased under agreements to resell:</w:t>
            </w:r>
          </w:p>
        </w:tc>
        <w:tc>
          <w:tcPr>
            <w:tcW w:w="5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Federal funds sold</w:t>
            </w:r>
          </w:p>
        </w:tc>
        <w:tc>
          <w:tcPr>
            <w:tcW w:w="6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ind w:left="200"/>
              <w:spacing w:after="0"/>
              <w:rPr>
                <w:sz w:val="20"/>
                <w:szCs w:val="20"/>
                <w:color w:val="auto"/>
              </w:rPr>
            </w:pPr>
            <w:r>
              <w:rPr>
                <w:rFonts w:ascii="Arial" w:cs="Arial" w:eastAsia="Arial" w:hAnsi="Arial"/>
                <w:sz w:val="18"/>
                <w:szCs w:val="18"/>
                <w:color w:val="auto"/>
              </w:rPr>
              <w:t>Securities purchased under agreements to resell</w:t>
            </w:r>
          </w:p>
        </w:tc>
        <w:tc>
          <w:tcPr>
            <w:tcW w:w="6020" w:type="dxa"/>
            <w:vAlign w:val="bottom"/>
            <w:gridSpan w:val="3"/>
          </w:tcPr>
          <w:p>
            <w:pPr>
              <w:jc w:val="right"/>
              <w:ind w:right="100"/>
              <w:spacing w:after="0"/>
              <w:rPr>
                <w:sz w:val="20"/>
                <w:szCs w:val="20"/>
                <w:color w:val="auto"/>
              </w:rPr>
            </w:pPr>
            <w:r>
              <w:rPr>
                <w:rFonts w:ascii="Arial" w:cs="Arial" w:eastAsia="Arial" w:hAnsi="Arial"/>
                <w:sz w:val="18"/>
                <w:szCs w:val="18"/>
                <w:color w:val="auto"/>
              </w:rPr>
              <w:t>108,174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and lease financing receivables:</w:t>
            </w:r>
          </w:p>
        </w:tc>
        <w:tc>
          <w:tcPr>
            <w:tcW w:w="5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ind w:left="200"/>
              <w:spacing w:after="0"/>
              <w:rPr>
                <w:sz w:val="20"/>
                <w:szCs w:val="20"/>
                <w:color w:val="auto"/>
              </w:rPr>
            </w:pPr>
            <w:r>
              <w:rPr>
                <w:rFonts w:ascii="Arial" w:cs="Arial" w:eastAsia="Arial" w:hAnsi="Arial"/>
                <w:sz w:val="18"/>
                <w:szCs w:val="18"/>
                <w:color w:val="auto"/>
              </w:rPr>
              <w:t>Loans and leases held for sale</w:t>
            </w:r>
          </w:p>
        </w:tc>
        <w:tc>
          <w:tcPr>
            <w:tcW w:w="602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Loans and leases, net of unearned income</w:t>
            </w:r>
          </w:p>
        </w:tc>
        <w:tc>
          <w:tcPr>
            <w:tcW w:w="6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ind w:left="200"/>
              <w:spacing w:after="0"/>
              <w:rPr>
                <w:sz w:val="20"/>
                <w:szCs w:val="20"/>
                <w:color w:val="auto"/>
              </w:rPr>
            </w:pPr>
            <w:r>
              <w:rPr>
                <w:rFonts w:ascii="Arial" w:cs="Arial" w:eastAsia="Arial" w:hAnsi="Arial"/>
                <w:sz w:val="18"/>
                <w:szCs w:val="18"/>
                <w:color w:val="auto"/>
              </w:rPr>
              <w:t>LESS: Allowance for loan and lease losses</w:t>
            </w:r>
          </w:p>
        </w:tc>
        <w:tc>
          <w:tcPr>
            <w:tcW w:w="602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Loans and leases, net of unearned income and allowance</w:t>
            </w:r>
          </w:p>
        </w:tc>
        <w:tc>
          <w:tcPr>
            <w:tcW w:w="6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Trading assets</w:t>
            </w:r>
          </w:p>
        </w:tc>
        <w:tc>
          <w:tcPr>
            <w:tcW w:w="602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Premises and fixed assets (including capitalized leases)</w:t>
            </w:r>
          </w:p>
        </w:tc>
        <w:tc>
          <w:tcPr>
            <w:tcW w:w="6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Other real estate owned</w:t>
            </w:r>
          </w:p>
        </w:tc>
        <w:tc>
          <w:tcPr>
            <w:tcW w:w="602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Investments in unconsolidated subsidiaries and associated companies</w:t>
            </w:r>
          </w:p>
        </w:tc>
        <w:tc>
          <w:tcPr>
            <w:tcW w:w="6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Not applicable</w:t>
            </w:r>
          </w:p>
        </w:tc>
        <w:tc>
          <w:tcPr>
            <w:tcW w:w="5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5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ind w:left="200"/>
              <w:spacing w:after="0"/>
              <w:rPr>
                <w:sz w:val="20"/>
                <w:szCs w:val="20"/>
                <w:color w:val="auto"/>
              </w:rPr>
            </w:pPr>
            <w:r>
              <w:rPr>
                <w:rFonts w:ascii="Arial" w:cs="Arial" w:eastAsia="Arial" w:hAnsi="Arial"/>
                <w:sz w:val="18"/>
                <w:szCs w:val="18"/>
                <w:color w:val="auto"/>
              </w:rPr>
              <w:t>Goodwill</w:t>
            </w:r>
          </w:p>
        </w:tc>
        <w:tc>
          <w:tcPr>
            <w:tcW w:w="6020" w:type="dxa"/>
            <w:vAlign w:val="bottom"/>
            <w:gridSpan w:val="3"/>
          </w:tcPr>
          <w:p>
            <w:pPr>
              <w:jc w:val="right"/>
              <w:ind w:right="100"/>
              <w:spacing w:after="0"/>
              <w:rPr>
                <w:sz w:val="20"/>
                <w:szCs w:val="20"/>
                <w:color w:val="auto"/>
              </w:rPr>
            </w:pPr>
            <w:r>
              <w:rPr>
                <w:rFonts w:ascii="Arial" w:cs="Arial" w:eastAsia="Arial" w:hAnsi="Arial"/>
                <w:sz w:val="18"/>
                <w:szCs w:val="18"/>
                <w:color w:val="auto"/>
              </w:rPr>
              <w:t>871,685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Intangible Assets</w:t>
            </w:r>
          </w:p>
        </w:tc>
        <w:tc>
          <w:tcPr>
            <w:tcW w:w="6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308,586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50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6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$ 1,627,289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5000" w:type="dxa"/>
            <w:vAlign w:val="bottom"/>
            <w:vMerge w:val="restart"/>
          </w:tcPr>
          <w:p>
            <w:pPr>
              <w:jc w:val="right"/>
              <w:ind w:right="4550"/>
              <w:spacing w:after="0"/>
              <w:rPr>
                <w:sz w:val="20"/>
                <w:szCs w:val="20"/>
                <w:color w:val="auto"/>
              </w:rPr>
            </w:pPr>
            <w:r>
              <w:rPr>
                <w:rFonts w:ascii="Arial" w:cs="Arial" w:eastAsia="Arial" w:hAnsi="Arial"/>
                <w:sz w:val="18"/>
                <w:szCs w:val="18"/>
                <w:color w:val="auto"/>
              </w:rPr>
              <w:t>1</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50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740" w:type="dxa"/>
            <w:vAlign w:val="bottom"/>
            <w:tcBorders>
              <w:bottom w:val="single" w:sz="8" w:color="808080"/>
            </w:tcBorders>
          </w:tcPr>
          <w:p>
            <w:pPr>
              <w:spacing w:after="0"/>
              <w:rPr>
                <w:sz w:val="19"/>
                <w:szCs w:val="19"/>
                <w:color w:val="auto"/>
              </w:rPr>
            </w:pPr>
          </w:p>
        </w:tc>
        <w:tc>
          <w:tcPr>
            <w:tcW w:w="50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Dollar Amounts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in Thousands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LIABILITIES</w:t>
            </w:r>
          </w:p>
        </w:tc>
        <w:tc>
          <w:tcPr>
            <w:tcW w:w="9360" w:type="dxa"/>
            <w:vAlign w:val="bottom"/>
            <w:tcBorders>
              <w:bottom w:val="single" w:sz="8" w:color="CCEEFF"/>
            </w:tcBorders>
            <w:gridSpan w:val="2"/>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10400" w:type="dxa"/>
            <w:vAlign w:val="bottom"/>
            <w:gridSpan w:val="4"/>
          </w:tcPr>
          <w:p>
            <w:pPr>
              <w:spacing w:after="0"/>
              <w:rPr>
                <w:sz w:val="20"/>
                <w:szCs w:val="20"/>
                <w:color w:val="auto"/>
              </w:rPr>
            </w:pPr>
            <w:r>
              <w:rPr>
                <w:rFonts w:ascii="Arial" w:cs="Arial" w:eastAsia="Arial" w:hAnsi="Arial"/>
                <w:sz w:val="18"/>
                <w:szCs w:val="18"/>
                <w:color w:val="auto"/>
              </w:rPr>
              <w:t>Deposits: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 domestic offices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tcPr>
          <w:p>
            <w:pPr>
              <w:ind w:left="200"/>
              <w:spacing w:after="0"/>
              <w:rPr>
                <w:sz w:val="20"/>
                <w:szCs w:val="20"/>
                <w:color w:val="auto"/>
              </w:rPr>
            </w:pPr>
            <w:r>
              <w:rPr>
                <w:rFonts w:ascii="Arial" w:cs="Arial" w:eastAsia="Arial" w:hAnsi="Arial"/>
                <w:sz w:val="18"/>
                <w:szCs w:val="18"/>
                <w:color w:val="auto"/>
              </w:rPr>
              <w:t>Noninterest-bearing</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Interest-bearing</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Not applicable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tcPr>
          <w:p>
            <w:pPr>
              <w:ind w:left="200"/>
              <w:spacing w:after="0"/>
              <w:rPr>
                <w:sz w:val="20"/>
                <w:szCs w:val="20"/>
                <w:color w:val="auto"/>
              </w:rPr>
            </w:pPr>
            <w:r>
              <w:rPr>
                <w:rFonts w:ascii="Arial" w:cs="Arial" w:eastAsia="Arial" w:hAnsi="Arial"/>
                <w:sz w:val="18"/>
                <w:szCs w:val="18"/>
                <w:color w:val="auto"/>
              </w:rPr>
              <w:t>Federal funds purchased</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Securities sold under agreements to repurchase</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Trading liabilities</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borrowed money:</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tcPr>
          <w:p>
            <w:pPr>
              <w:ind w:left="200"/>
              <w:spacing w:after="0"/>
              <w:rPr>
                <w:sz w:val="20"/>
                <w:szCs w:val="20"/>
                <w:color w:val="auto"/>
              </w:rPr>
            </w:pPr>
            <w:r>
              <w:rPr>
                <w:rFonts w:ascii="Arial" w:cs="Arial" w:eastAsia="Arial" w:hAnsi="Arial"/>
                <w:sz w:val="18"/>
                <w:szCs w:val="18"/>
                <w:color w:val="auto"/>
              </w:rPr>
              <w:t>(includes mortgage indebtedness and obligations under capitalized leases)</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168,691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Not applicable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Subordinated notes and debentures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148,215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319,473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Minority interest in consolidated subsidiaries</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3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EQUITY CAPITAL</w:t>
            </w: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89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10400" w:type="dxa"/>
            <w:vAlign w:val="bottom"/>
            <w:gridSpan w:val="4"/>
          </w:tcPr>
          <w:p>
            <w:pPr>
              <w:spacing w:after="0"/>
              <w:rPr>
                <w:sz w:val="20"/>
                <w:szCs w:val="20"/>
                <w:color w:val="auto"/>
              </w:rPr>
            </w:pPr>
            <w:r>
              <w:rPr>
                <w:rFonts w:ascii="Arial" w:cs="Arial" w:eastAsia="Arial" w:hAnsi="Arial"/>
                <w:sz w:val="18"/>
                <w:szCs w:val="18"/>
                <w:color w:val="auto"/>
              </w:rPr>
              <w:t>Perpetual preferred stock and related surplus</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Common stock</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Surplus (exclude all surplus related to preferred stock)</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1,121,520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Accumulated other comprehensive income</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equity capital components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Total equity capital</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1,307,816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 minority interest, and equity capital (sum of items 21, 22, and 28)</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1,627,289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225"/>
        <w:spacing w:after="0" w:line="277" w:lineRule="auto"/>
        <w:rPr>
          <w:sz w:val="20"/>
          <w:szCs w:val="20"/>
          <w:color w:val="auto"/>
        </w:rPr>
      </w:pPr>
      <w:r>
        <w:rPr>
          <w:rFonts w:ascii="Arial" w:cs="Arial" w:eastAsia="Arial" w:hAnsi="Arial"/>
          <w:sz w:val="18"/>
          <w:szCs w:val="18"/>
          <w:color w:val="auto"/>
        </w:rPr>
        <w:t>I, Karen Bayz, Vice President of the above-named bank do hereby declare that this Report of Condition is true and correct to the best of my knowledge and belief.</w:t>
      </w:r>
    </w:p>
    <w:p>
      <w:pPr>
        <w:spacing w:after="0" w:line="170" w:lineRule="exact"/>
        <w:rPr>
          <w:sz w:val="20"/>
          <w:szCs w:val="20"/>
          <w:color w:val="auto"/>
        </w:rPr>
      </w:pPr>
    </w:p>
    <w:p>
      <w:pPr>
        <w:spacing w:after="0"/>
        <w:tabs>
          <w:tab w:leader="none" w:pos="2100" w:val="left"/>
          <w:tab w:leader="none" w:pos="2560" w:val="left"/>
        </w:tabs>
        <w:rPr>
          <w:sz w:val="20"/>
          <w:szCs w:val="20"/>
          <w:color w:val="auto"/>
        </w:rPr>
      </w:pPr>
      <w:r>
        <w:rPr>
          <w:rFonts w:ascii="Arial" w:cs="Arial" w:eastAsia="Arial" w:hAnsi="Arial"/>
          <w:sz w:val="18"/>
          <w:szCs w:val="18"/>
          <w:color w:val="auto"/>
        </w:rPr>
        <w:t>Karen Bayz</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Vice President</w:t>
      </w:r>
    </w:p>
    <w:p>
      <w:pPr>
        <w:spacing w:after="0" w:line="117"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We, the undersigned directors, attest to the correctness of this statement of resources and liabilities. We declare that it has been examined by us, and to the best of our knowledge and belief has been prepared in conformance with the instructions and is true and correct.</w:t>
      </w:r>
    </w:p>
    <w:p>
      <w:pPr>
        <w:sectPr>
          <w:pgSz w:w="11900" w:h="16838" w:orient="portrait"/>
          <w:cols w:equalWidth="0" w:num="1">
            <w:col w:w="11420"/>
          </w:cols>
          <w:pgMar w:left="240" w:top="1135" w:right="239" w:bottom="1440" w:gutter="0" w:footer="0" w:header="0"/>
        </w:sectPr>
      </w:pPr>
    </w:p>
    <w:p>
      <w:pPr>
        <w:spacing w:after="0" w:line="170"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Michael K. Klugman, President Frank P. Sulzberger, MD William D. Lindelof, VP</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Directors (Trustees)</w:t>
      </w:r>
    </w:p>
    <w:p>
      <w:pPr>
        <w:spacing w:after="0" w:line="437" w:lineRule="exact"/>
        <w:rPr>
          <w:sz w:val="20"/>
          <w:szCs w:val="20"/>
          <w:color w:val="auto"/>
        </w:rPr>
      </w:pPr>
    </w:p>
    <w:p>
      <w:pPr>
        <w:sectPr>
          <w:pgSz w:w="11900" w:h="16838" w:orient="portrait"/>
          <w:cols w:equalWidth="0" w:num="3">
            <w:col w:w="2520" w:space="720"/>
            <w:col w:w="60" w:space="360"/>
            <w:col w:w="7760"/>
          </w:cols>
          <w:pgMar w:left="240" w:top="1135" w:right="239" w:bottom="1440" w:gutter="0" w:footer="0" w:header="0"/>
          <w:type w:val="continuous"/>
        </w:sectPr>
      </w:pPr>
    </w:p>
    <w:p>
      <w:pPr>
        <w:jc w:val="center"/>
        <w:spacing w:after="0"/>
        <w:rPr>
          <w:sz w:val="20"/>
          <w:szCs w:val="20"/>
          <w:color w:val="auto"/>
        </w:rPr>
      </w:pPr>
      <w:r>
        <w:rPr>
          <w:rFonts w:ascii="Arial" w:cs="Arial" w:eastAsia="Arial" w:hAnsi="Arial"/>
          <w:sz w:val="17"/>
          <w:szCs w:val="17"/>
          <w:color w:val="auto"/>
        </w:rPr>
        <w:t>2</w:t>
      </w:r>
    </w:p>
    <w:sectPr>
      <w:pgSz w:w="11900" w:h="16838" w:orient="portrait"/>
      <w:cols w:equalWidth="0" w:num="1">
        <w:col w:w="11420"/>
      </w:cols>
      <w:pgMar w:left="240" w:top="113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decimal"/>
      <w:start w:val="713"/>
    </w:lvl>
  </w:abstractNum>
  <w:abstractNum w:abstractNumId="1">
    <w:nsid w:val="3352255A"/>
    <w:multiLevelType w:val="hybridMultilevel"/>
    <w:lvl w:ilvl="0">
      <w:lvlJc w:val="left"/>
      <w:lvlText w:val="(%1)"/>
      <w:numFmt w:val="decimal"/>
      <w:start w:val="1"/>
    </w:lvl>
  </w:abstractNum>
  <w:abstractNum w:abstractNumId="2">
    <w:nsid w:val="109CF92E"/>
    <w:multiLevelType w:val="hybridMultilevel"/>
    <w:lvl w:ilvl="0">
      <w:lvlJc w:val="left"/>
      <w:lvlText w:val="(%1)"/>
      <w:numFmt w:val="decimal"/>
      <w:start w:val="2"/>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1)"/>
      <w:numFmt w:val="decimal"/>
      <w:start w:val="1"/>
    </w:lvl>
    <w:lvl w:ilvl="1">
      <w:lvlJc w:val="left"/>
      <w:lvlText w:val="(%2)"/>
      <w:numFmt w:val="lowerRoman"/>
      <w:start w:val="1"/>
    </w:lvl>
  </w:abstractNum>
  <w:abstractNum w:abstractNumId="6">
    <w:nsid w:val="41A7C4C9"/>
    <w:multiLevelType w:val="hybridMultilevel"/>
    <w:lvl w:ilvl="0">
      <w:lvlJc w:val="left"/>
      <w:lvlText w:val="(%1)"/>
      <w:numFmt w:val="decimal"/>
      <w:start w:val="2"/>
    </w:lvl>
  </w:abstractNum>
  <w:abstractNum w:abstractNumId="7">
    <w:nsid w:val="6B68079A"/>
    <w:multiLevelType w:val="hybridMultilevel"/>
    <w:lvl w:ilvl="0">
      <w:lvlJc w:val="left"/>
      <w:lvlText w:val="(%1)"/>
      <w:numFmt w:val="decimal"/>
      <w:start w:val="4"/>
    </w:lvl>
    <w:lvl w:ilvl="1">
      <w:lvlJc w:val="left"/>
      <w:lvlText w:val="(%2)"/>
      <w:numFmt w:val="upperLetter"/>
      <w:start w:val="1"/>
    </w:lvl>
  </w:abstractNum>
  <w:abstractNum w:abstractNumId="8">
    <w:nsid w:val="4E6AFB66"/>
    <w:multiLevelType w:val="hybridMultilevel"/>
    <w:lvl w:ilvl="0">
      <w:lvlJc w:val="left"/>
      <w:lvlText w:val="%1"/>
      <w:numFmt w:val="decimal"/>
      <w:start w:val="1"/>
    </w:lvl>
    <w:lvl w:ilvl="1">
      <w:lvlJc w:val="left"/>
      <w:lvlText w:val="(%2)"/>
      <w:numFmt w:val="lowerRoman"/>
      <w:start w:val="1"/>
    </w:lvl>
  </w:abstractNum>
  <w:abstractNum w:abstractNumId="9">
    <w:nsid w:val="25E45D32"/>
    <w:multiLevelType w:val="hybridMultilevel"/>
    <w:lvl w:ilvl="0">
      <w:lvlJc w:val="left"/>
      <w:lvlText w:val="(%1)"/>
      <w:numFmt w:val="decimal"/>
      <w:start w:val="6"/>
    </w:lvl>
    <w:lvl w:ilvl="1">
      <w:lvlJc w:val="left"/>
      <w:lvlText w:val="%2"/>
      <w:numFmt w:val="lowerRoman"/>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1."/>
      <w:numFmt w:val="decimal"/>
      <w:start w:val="1"/>
    </w:lvl>
    <w:lvl w:ilvl="1">
      <w:lvlJc w:val="left"/>
      <w:lvlText w:val="(%2)"/>
      <w:numFmt w:val="lowerLetter"/>
      <w:start w:val="1"/>
    </w:lvl>
  </w:abstractNum>
  <w:abstractNum w:abstractNumId="13">
    <w:nsid w:val="7C83E458"/>
    <w:multiLevelType w:val="hybridMultilevel"/>
    <w:lvl w:ilvl="0">
      <w:lvlJc w:val="left"/>
      <w:lvlText w:val="(%1)"/>
      <w:numFmt w:val="lowerLetter"/>
      <w:start w:val="2"/>
    </w:lvl>
  </w:abstractNum>
  <w:abstractNum w:abstractNumId="14">
    <w:nsid w:val="257130A3"/>
    <w:multiLevelType w:val="hybridMultilevel"/>
    <w:lvl w:ilvl="0">
      <w:lvlJc w:val="left"/>
      <w:lvlText w:val="%1."/>
      <w:numFmt w:val="decimal"/>
      <w:start w:val="2"/>
    </w:lvl>
  </w:abstractNum>
  <w:abstractNum w:abstractNumId="15">
    <w:nsid w:val="62BBD95A"/>
    <w:multiLevelType w:val="hybridMultilevel"/>
    <w:lvl w:ilvl="0">
      <w:lvlJc w:val="left"/>
      <w:lvlText w:val="%1."/>
      <w:numFmt w:val="decimal"/>
      <w:start w:val="16"/>
    </w:lvl>
    <w:lvl w:ilvl="1">
      <w:lvlJc w:val="left"/>
      <w:lvlText w:val="%2."/>
      <w:numFmt w:val="decimal"/>
      <w:start w:val="1"/>
    </w:lvl>
  </w:abstractNum>
  <w:abstractNum w:abstractNumId="16">
    <w:nsid w:val="436C6125"/>
    <w:multiLevelType w:val="hybridMultilevel"/>
    <w:lvl w:ilvl="0">
      <w:lvlJc w:val="left"/>
      <w:lvlText w:val="%1."/>
      <w:numFmt w:val="decimal"/>
      <w:start w:val="6"/>
    </w:lvl>
  </w:abstractNum>
  <w:abstractNum w:abstractNumId="17">
    <w:nsid w:val="628C895D"/>
    <w:multiLevelType w:val="hybridMultilevel"/>
    <w:lvl w:ilvl="0">
      <w:lvlJc w:val="left"/>
      <w:lvlText w:val="%1."/>
      <w:numFmt w:val="decimal"/>
      <w:start w:val="7"/>
    </w:lvl>
  </w:abstractNum>
  <w:abstractNum w:abstractNumId="18">
    <w:nsid w:val="333AB105"/>
    <w:multiLevelType w:val="hybridMultilevel"/>
    <w:lvl w:ilvl="0">
      <w:lvlJc w:val="left"/>
      <w:lvlText w:val="%1."/>
      <w:numFmt w:val="decimal"/>
      <w:start w:val="1"/>
    </w:lvl>
    <w:lvl w:ilvl="1">
      <w:lvlJc w:val="left"/>
      <w:lvlText w:val="(%2)"/>
      <w:numFmt w:val="lowerLetter"/>
      <w:start w:val="1"/>
    </w:lvl>
  </w:abstractNum>
  <w:abstractNum w:abstractNumId="19">
    <w:nsid w:val="721DA317"/>
    <w:multiLevelType w:val="hybridMultilevel"/>
    <w:lvl w:ilvl="0">
      <w:lvlJc w:val="left"/>
      <w:lvlText w:val="(%1)"/>
      <w:numFmt w:val="lowerLetter"/>
      <w:start w:val="2"/>
    </w:lvl>
  </w:abstractNum>
  <w:abstractNum w:abstractNumId="20">
    <w:nsid w:val="2443A858"/>
    <w:multiLevelType w:val="hybridMultilevel"/>
    <w:lvl w:ilvl="0">
      <w:lvlJc w:val="left"/>
      <w:lvlText w:val="%1."/>
      <w:numFmt w:val="decimal"/>
      <w:start w:val="2"/>
    </w:lvl>
  </w:abstractNum>
  <w:abstractNum w:abstractNumId="21">
    <w:nsid w:val="2D1D5AE9"/>
    <w:multiLevelType w:val="hybridMultilevel"/>
    <w:lvl w:ilvl="0">
      <w:lvlJc w:val="left"/>
      <w:lvlText w:val="%1."/>
      <w:numFmt w:val="decimal"/>
      <w:start w:val="16"/>
    </w:lvl>
    <w:lvl w:ilvl="1">
      <w:lvlJc w:val="left"/>
      <w:lvlText w:val="%2."/>
      <w:numFmt w:val="decimal"/>
      <w:start w:val="1"/>
    </w:lvl>
  </w:abstractNum>
  <w:abstractNum w:abstractNumId="22">
    <w:nsid w:val="6763845E"/>
    <w:multiLevelType w:val="hybridMultilevel"/>
    <w:lvl w:ilvl="0">
      <w:lvlJc w:val="left"/>
      <w:lvlText w:val="%1."/>
      <w:numFmt w:val="decimal"/>
      <w:start w:val="6"/>
    </w:lvl>
  </w:abstractNum>
  <w:abstractNum w:abstractNumId="23">
    <w:nsid w:val="75A2A8D4"/>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2019-12-20T04:06:38Z</dcterms:created>
  <dcterms:modified xsi:type="dcterms:W3CDTF">2019-12-20T04:06:38Z</dcterms:modified>
</cp:coreProperties>
</file>