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right="1919"/>
        <w:spacing w:after="0"/>
        <w:rPr>
          <w:sz w:val="20"/>
          <w:szCs w:val="20"/>
          <w:color w:val="auto"/>
        </w:rPr>
      </w:pPr>
      <w:r>
        <w:rPr>
          <w:rFonts w:ascii="Courier New" w:cs="Courier New" w:eastAsia="Courier New" w:hAnsi="Courier New"/>
          <w:sz w:val="18"/>
          <w:szCs w:val="18"/>
          <w:color w:val="auto"/>
        </w:rPr>
        <w:t>FILED PURSUANT TO RULE 424(B)(5)</w:t>
      </w:r>
    </w:p>
    <w:p>
      <w:pPr>
        <w:jc w:val="right"/>
        <w:ind w:right="1919"/>
        <w:spacing w:after="0" w:line="238" w:lineRule="auto"/>
        <w:rPr>
          <w:sz w:val="20"/>
          <w:szCs w:val="20"/>
          <w:color w:val="auto"/>
        </w:rPr>
      </w:pPr>
      <w:r>
        <w:rPr>
          <w:rFonts w:ascii="Courier New" w:cs="Courier New" w:eastAsia="Courier New" w:hAnsi="Courier New"/>
          <w:sz w:val="18"/>
          <w:szCs w:val="18"/>
          <w:color w:val="auto"/>
        </w:rPr>
        <w:t>REGISTRATION NUMBER 333-80063</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PROSPECTUS SUPPLEMENT</w:t>
      </w:r>
    </w:p>
    <w:p>
      <w:pPr>
        <w:spacing w:after="0" w:line="238" w:lineRule="auto"/>
        <w:rPr>
          <w:sz w:val="20"/>
          <w:szCs w:val="20"/>
          <w:color w:val="auto"/>
        </w:rPr>
      </w:pPr>
      <w:r>
        <w:rPr>
          <w:rFonts w:ascii="Courier New" w:cs="Courier New" w:eastAsia="Courier New" w:hAnsi="Courier New"/>
          <w:sz w:val="18"/>
          <w:szCs w:val="18"/>
          <w:color w:val="auto"/>
        </w:rPr>
        <w:t>(TO PROSPECTUS DATED</w:t>
      </w:r>
    </w:p>
    <w:p>
      <w:pPr>
        <w:spacing w:after="0" w:line="238" w:lineRule="auto"/>
        <w:rPr>
          <w:sz w:val="20"/>
          <w:szCs w:val="20"/>
          <w:color w:val="auto"/>
        </w:rPr>
      </w:pPr>
      <w:r>
        <w:rPr>
          <w:rFonts w:ascii="Courier New" w:cs="Courier New" w:eastAsia="Courier New" w:hAnsi="Courier New"/>
          <w:sz w:val="18"/>
          <w:szCs w:val="18"/>
          <w:color w:val="auto"/>
        </w:rPr>
        <w:t>FEBRUARY 14, 2000)</w:t>
      </w:r>
    </w:p>
    <w:p>
      <w:pPr>
        <w:spacing w:after="0" w:line="200" w:lineRule="exact"/>
        <w:rPr>
          <w:sz w:val="24"/>
          <w:szCs w:val="24"/>
          <w:color w:val="auto"/>
        </w:rPr>
      </w:pPr>
    </w:p>
    <w:p>
      <w:pPr>
        <w:spacing w:after="0" w:line="204"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1,125,000 SHARES</w:t>
      </w:r>
    </w:p>
    <w:p>
      <w:pPr>
        <w:spacing w:after="0" w:line="201"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WASTE MANAGEMENT, INC.</w:t>
      </w:r>
    </w:p>
    <w:p>
      <w:pPr>
        <w:ind w:left="3380"/>
        <w:spacing w:after="0" w:line="238" w:lineRule="auto"/>
        <w:rPr>
          <w:sz w:val="20"/>
          <w:szCs w:val="20"/>
          <w:color w:val="auto"/>
        </w:rPr>
      </w:pPr>
      <w:r>
        <w:rPr>
          <w:rFonts w:ascii="Courier New" w:cs="Courier New" w:eastAsia="Courier New" w:hAnsi="Courier New"/>
          <w:sz w:val="18"/>
          <w:szCs w:val="18"/>
          <w:color w:val="auto"/>
        </w:rPr>
        <w:t>COMMON STOCK</w:t>
      </w:r>
    </w:p>
    <w:p>
      <w:pPr>
        <w:ind w:left="242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4"/>
          <w:szCs w:val="24"/>
          <w:color w:val="auto"/>
        </w:rPr>
      </w:pPr>
    </w:p>
    <w:p>
      <w:pPr>
        <w:ind w:right="2239" w:firstLine="632"/>
        <w:spacing w:after="0" w:line="236" w:lineRule="auto"/>
        <w:rPr>
          <w:sz w:val="20"/>
          <w:szCs w:val="20"/>
          <w:color w:val="auto"/>
        </w:rPr>
      </w:pPr>
      <w:r>
        <w:rPr>
          <w:rFonts w:ascii="Courier New" w:cs="Courier New" w:eastAsia="Courier New" w:hAnsi="Courier New"/>
          <w:sz w:val="18"/>
          <w:szCs w:val="18"/>
          <w:color w:val="auto"/>
        </w:rPr>
        <w:t>Our common stock is listed on the New York Stock Exchange under the trading symbol "WMI." On February 14, 2000, the last reported sale price of the common stock on the New York Stock Exchange was $14.75 per share.</w:t>
      </w:r>
    </w:p>
    <w:p>
      <w:pPr>
        <w:spacing w:after="0" w:line="208" w:lineRule="exact"/>
        <w:rPr>
          <w:sz w:val="24"/>
          <w:szCs w:val="24"/>
          <w:color w:val="auto"/>
        </w:rPr>
      </w:pPr>
    </w:p>
    <w:p>
      <w:pPr>
        <w:ind w:right="2439" w:firstLine="632"/>
        <w:spacing w:after="0" w:line="237" w:lineRule="auto"/>
        <w:rPr>
          <w:sz w:val="20"/>
          <w:szCs w:val="20"/>
          <w:color w:val="auto"/>
        </w:rPr>
      </w:pPr>
      <w:r>
        <w:rPr>
          <w:rFonts w:ascii="Courier New" w:cs="Courier New" w:eastAsia="Courier New" w:hAnsi="Courier New"/>
          <w:sz w:val="18"/>
          <w:szCs w:val="18"/>
          <w:color w:val="auto"/>
        </w:rPr>
        <w:t>We will issue the shares directly to certain persons in order to settle litigation and other claims or to satisfy judgments or arbitration awards. The shares will be issued to those persons based upon an agreed number of shares or an agreed dollar value of shares in relation to the closing price of our common stock on the New York Stock Exchange on a specific trading date. We will not receive any proceeds from the issuance of these shares.</w:t>
      </w:r>
    </w:p>
    <w:p>
      <w:pPr>
        <w:spacing w:after="0" w:line="210" w:lineRule="exact"/>
        <w:rPr>
          <w:sz w:val="24"/>
          <w:szCs w:val="24"/>
          <w:color w:val="auto"/>
        </w:rPr>
      </w:pPr>
    </w:p>
    <w:p>
      <w:pPr>
        <w:ind w:right="2559" w:firstLine="632"/>
        <w:spacing w:after="0" w:line="236" w:lineRule="auto"/>
        <w:rPr>
          <w:sz w:val="20"/>
          <w:szCs w:val="20"/>
          <w:color w:val="auto"/>
        </w:rPr>
      </w:pPr>
      <w:r>
        <w:rPr>
          <w:rFonts w:ascii="Courier New" w:cs="Courier New" w:eastAsia="Courier New" w:hAnsi="Courier New"/>
          <w:sz w:val="18"/>
          <w:szCs w:val="18"/>
          <w:color w:val="auto"/>
        </w:rPr>
        <w:t>INVESTING IN THE COMMON STOCK INVOLVES RISKS THAT ARE DESCRIBED IN THE "RISK FACTORS" SECTION BEGINNING ON PAGE 4 OF THE ACCOMPANYING PROSPECTUS.</w:t>
      </w:r>
    </w:p>
    <w:p>
      <w:pPr>
        <w:ind w:left="242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4"/>
          <w:szCs w:val="24"/>
          <w:color w:val="auto"/>
        </w:rPr>
      </w:pPr>
    </w:p>
    <w:p>
      <w:pPr>
        <w:ind w:right="2559" w:firstLine="632"/>
        <w:spacing w:after="0" w:line="237" w:lineRule="auto"/>
        <w:rPr>
          <w:sz w:val="20"/>
          <w:szCs w:val="20"/>
          <w:color w:val="auto"/>
        </w:rPr>
      </w:pPr>
      <w:r>
        <w:rPr>
          <w:rFonts w:ascii="Courier New" w:cs="Courier New" w:eastAsia="Courier New" w:hAnsi="Courier New"/>
          <w:sz w:val="18"/>
          <w:szCs w:val="18"/>
          <w:color w:val="auto"/>
        </w:rPr>
        <w:t>NEITHER THE SECURITIES AND EXCHANGE COMMISSION NOR ANY STATE SECURITIES COMMISSION HAS APPROVED OR DISAPPROVED OF THESE SECURITIES OR PASSED UPON THE ADEQUACY OR ACCURACY OF THIS PROSPECTUS SUPPLEMENT. ANY REPRESENTATION TO THE CONTRARY IS A CRIMINAL OFFENSE.</w:t>
      </w:r>
    </w:p>
    <w:p>
      <w:pPr>
        <w:ind w:left="242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4"/>
          <w:szCs w:val="24"/>
          <w:color w:val="auto"/>
        </w:rPr>
      </w:pPr>
    </w:p>
    <w:p>
      <w:pPr>
        <w:ind w:right="2339" w:firstLine="632"/>
        <w:spacing w:after="0" w:line="235" w:lineRule="auto"/>
        <w:rPr>
          <w:sz w:val="20"/>
          <w:szCs w:val="20"/>
          <w:color w:val="auto"/>
        </w:rPr>
      </w:pPr>
      <w:r>
        <w:rPr>
          <w:rFonts w:ascii="Courier New" w:cs="Courier New" w:eastAsia="Courier New" w:hAnsi="Courier New"/>
          <w:sz w:val="18"/>
          <w:szCs w:val="18"/>
          <w:color w:val="auto"/>
        </w:rPr>
        <w:t>WE EXPECT TO DELIVER THE SHARES AGAINST PAYMENT THEREFOR IN HOUSTON, TEXAS ON OR ABOUT FEBRUARY 16, 2000.</w:t>
      </w:r>
    </w:p>
    <w:p>
      <w:pPr>
        <w:ind w:left="242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ind w:left="1800"/>
        <w:spacing w:after="0"/>
        <w:rPr>
          <w:sz w:val="20"/>
          <w:szCs w:val="20"/>
          <w:color w:val="auto"/>
        </w:rPr>
      </w:pPr>
      <w:r>
        <w:rPr>
          <w:rFonts w:ascii="Courier New" w:cs="Courier New" w:eastAsia="Courier New" w:hAnsi="Courier New"/>
          <w:sz w:val="18"/>
          <w:szCs w:val="18"/>
          <w:color w:val="auto"/>
        </w:rPr>
        <w:t>Prospectus Supplement dated February 15, 2000</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2" w:lineRule="exact"/>
        <w:rPr>
          <w:sz w:val="24"/>
          <w:szCs w:val="24"/>
          <w:color w:val="auto"/>
        </w:rPr>
      </w:pPr>
    </w:p>
    <w:p>
      <w:pPr>
        <w:ind w:right="2239" w:firstLine="632"/>
        <w:spacing w:after="0" w:line="270" w:lineRule="auto"/>
        <w:rPr>
          <w:sz w:val="20"/>
          <w:szCs w:val="20"/>
          <w:color w:val="auto"/>
        </w:rPr>
      </w:pPr>
      <w:r>
        <w:rPr>
          <w:rFonts w:ascii="Courier New" w:cs="Courier New" w:eastAsia="Courier New" w:hAnsi="Courier New"/>
          <w:sz w:val="16"/>
          <w:szCs w:val="16"/>
          <w:color w:val="auto"/>
        </w:rPr>
        <w:t>NO DEALER, SALESPERSON OR OTHER PERSON HAS BEEN AUTHORIZED TO GIVE ANY INFORMATION OR TO MAKE ANY REPRESENTATION NOT CONTAINED IN THIS PROSPECTUS SUPPLEMENT OR THE ACCOMPANYING PROSPECTUS AND, IF GIVEN OR MADE, SUCH INFORMATION OR REPRESENTATION MUST NOT BE RELIED UPON AS HAVING BEEN AUTHORIZED BY WASTE MANAGEMENT. THIS PROSPECTUS SUPPLEMENT AND THE ACCOMPANYING PROSPECTUS DO NOT CONSTITUTE AN OFFER TO SELL OR A SOLICITATION OF ANY OFFER TO BUY ANY SECURITY OTHER THAN THE SHARES OFFERED HEREBY, NOR DO THEY CONSTITUTE AN OFFER TO SELL OR A SOLICITATION OF AN OFFER TO BUY ANY SECURITIES OFFERED HEREBY TO ANY PERSON IN ANY JURISDICTION IN WHICH IT IS UNLAWFUL TO MAKE SUCH AN OFFER OR SOLICITATION TO SUCH PERSON. NEITHER THE DELIVERY OF THIS PROSPECTUS SUPPLEMENT AND THE ACCOMPANYING PROSPECTUS NOR ANY SALE MADE HEREUNDER OR THEREUNDER SHALL UNDER ANY CIRCUMSTANCES IMPLY THAT THE INFORMATION CONTAINED HEREIN OR THEREIN IS CORRECT AS OF A DATE SUBSEQUENT TO THEIR RESPECTIVE DATES.</w:t>
      </w:r>
    </w:p>
    <w:p>
      <w:pPr>
        <w:spacing w:after="0" w:line="200" w:lineRule="exact"/>
        <w:rPr>
          <w:sz w:val="24"/>
          <w:szCs w:val="24"/>
          <w:color w:val="auto"/>
        </w:rPr>
      </w:pPr>
    </w:p>
    <w:p>
      <w:pPr>
        <w:spacing w:after="0" w:line="384"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TABLE OF CONTENTS</w:t>
      </w:r>
    </w:p>
    <w:p>
      <w:pPr>
        <w:spacing w:after="0" w:line="201" w:lineRule="exact"/>
        <w:rPr>
          <w:sz w:val="24"/>
          <w:szCs w:val="24"/>
          <w:color w:val="auto"/>
        </w:rPr>
      </w:pPr>
    </w:p>
    <w:p>
      <w:pPr>
        <w:jc w:val="right"/>
        <w:ind w:right="1919"/>
        <w:spacing w:after="0"/>
        <w:rPr>
          <w:sz w:val="20"/>
          <w:szCs w:val="20"/>
          <w:color w:val="auto"/>
        </w:rPr>
      </w:pPr>
      <w:r>
        <w:rPr>
          <w:rFonts w:ascii="Courier New" w:cs="Courier New" w:eastAsia="Courier New" w:hAnsi="Courier New"/>
          <w:sz w:val="18"/>
          <w:szCs w:val="18"/>
          <w:color w:val="auto"/>
        </w:rPr>
        <w:t>PAGE</w:t>
      </w:r>
    </w:p>
    <w:p>
      <w:pPr>
        <w:ind w:left="2860"/>
        <w:spacing w:after="0" w:line="238" w:lineRule="auto"/>
        <w:rPr>
          <w:sz w:val="20"/>
          <w:szCs w:val="20"/>
          <w:color w:val="auto"/>
        </w:rPr>
      </w:pPr>
      <w:r>
        <w:rPr>
          <w:rFonts w:ascii="Courier New" w:cs="Courier New" w:eastAsia="Courier New" w:hAnsi="Courier New"/>
          <w:sz w:val="18"/>
          <w:szCs w:val="18"/>
          <w:color w:val="auto"/>
        </w:rPr>
        <w:t>PROSPECTUS SUPPLEMENT</w:t>
      </w:r>
    </w:p>
    <w:p>
      <w:pPr>
        <w:spacing w:after="0" w:line="201" w:lineRule="exact"/>
        <w:rPr>
          <w:sz w:val="24"/>
          <w:szCs w:val="24"/>
          <w:color w:val="auto"/>
        </w:rPr>
      </w:pPr>
    </w:p>
    <w:p>
      <w:pPr>
        <w:spacing w:after="0"/>
        <w:tabs>
          <w:tab w:leader="dot" w:pos="7880" w:val="left"/>
        </w:tabs>
        <w:rPr>
          <w:sz w:val="20"/>
          <w:szCs w:val="20"/>
          <w:color w:val="auto"/>
        </w:rPr>
      </w:pPr>
      <w:r>
        <w:rPr>
          <w:rFonts w:ascii="Courier New" w:cs="Courier New" w:eastAsia="Courier New" w:hAnsi="Courier New"/>
          <w:sz w:val="18"/>
          <w:szCs w:val="18"/>
          <w:color w:val="auto"/>
        </w:rPr>
        <w:t>The Company</w:t>
      </w:r>
      <w:r>
        <w:rPr>
          <w:sz w:val="20"/>
          <w:szCs w:val="20"/>
          <w:color w:val="auto"/>
        </w:rPr>
        <w:tab/>
      </w:r>
      <w:r>
        <w:rPr>
          <w:rFonts w:ascii="Courier New" w:cs="Courier New" w:eastAsia="Courier New" w:hAnsi="Courier New"/>
          <w:sz w:val="16"/>
          <w:szCs w:val="16"/>
          <w:color w:val="auto"/>
        </w:rPr>
        <w:t>S-3</w:t>
      </w:r>
    </w:p>
    <w:p>
      <w:pPr>
        <w:spacing w:after="0"/>
        <w:tabs>
          <w:tab w:leader="dot" w:pos="7880" w:val="left"/>
        </w:tabs>
        <w:rPr>
          <w:sz w:val="20"/>
          <w:szCs w:val="20"/>
          <w:color w:val="auto"/>
        </w:rPr>
      </w:pPr>
      <w:r>
        <w:rPr>
          <w:rFonts w:ascii="Courier New" w:cs="Courier New" w:eastAsia="Courier New" w:hAnsi="Courier New"/>
          <w:sz w:val="18"/>
          <w:szCs w:val="18"/>
          <w:color w:val="auto"/>
        </w:rPr>
        <w:t>Plan of Distribution</w:t>
      </w:r>
      <w:r>
        <w:rPr>
          <w:sz w:val="20"/>
          <w:szCs w:val="20"/>
          <w:color w:val="auto"/>
        </w:rPr>
        <w:tab/>
      </w:r>
      <w:r>
        <w:rPr>
          <w:rFonts w:ascii="Courier New" w:cs="Courier New" w:eastAsia="Courier New" w:hAnsi="Courier New"/>
          <w:sz w:val="16"/>
          <w:szCs w:val="16"/>
          <w:color w:val="auto"/>
        </w:rPr>
        <w:t>S-6</w:t>
      </w:r>
    </w:p>
    <w:p>
      <w:pPr>
        <w:spacing w:after="0" w:line="201"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PROSPECTUS</w:t>
      </w:r>
    </w:p>
    <w:p>
      <w:pPr>
        <w:spacing w:after="0" w:line="201" w:lineRule="exact"/>
        <w:rPr>
          <w:sz w:val="24"/>
          <w:szCs w:val="24"/>
          <w:color w:val="auto"/>
        </w:rPr>
      </w:pPr>
    </w:p>
    <w:p>
      <w:pPr>
        <w:spacing w:after="0"/>
        <w:tabs>
          <w:tab w:leader="dot" w:pos="8100" w:val="left"/>
        </w:tabs>
        <w:rPr>
          <w:sz w:val="20"/>
          <w:szCs w:val="20"/>
          <w:color w:val="auto"/>
        </w:rPr>
      </w:pPr>
      <w:r>
        <w:rPr>
          <w:rFonts w:ascii="Courier New" w:cs="Courier New" w:eastAsia="Courier New" w:hAnsi="Courier New"/>
          <w:sz w:val="18"/>
          <w:szCs w:val="18"/>
          <w:color w:val="auto"/>
        </w:rPr>
        <w:t>Where To Find More Information</w:t>
      </w:r>
      <w:r>
        <w:rPr>
          <w:sz w:val="20"/>
          <w:szCs w:val="20"/>
          <w:color w:val="auto"/>
        </w:rPr>
        <w:tab/>
      </w:r>
      <w:r>
        <w:rPr>
          <w:rFonts w:ascii="Courier New" w:cs="Courier New" w:eastAsia="Courier New" w:hAnsi="Courier New"/>
          <w:sz w:val="16"/>
          <w:szCs w:val="16"/>
          <w:color w:val="auto"/>
        </w:rPr>
        <w:t>2</w:t>
      </w:r>
    </w:p>
    <w:p>
      <w:pPr>
        <w:spacing w:after="0"/>
        <w:tabs>
          <w:tab w:leader="dot" w:pos="8100" w:val="left"/>
        </w:tabs>
        <w:rPr>
          <w:sz w:val="20"/>
          <w:szCs w:val="20"/>
          <w:color w:val="auto"/>
        </w:rPr>
      </w:pPr>
      <w:r>
        <w:rPr>
          <w:rFonts w:ascii="Courier New" w:cs="Courier New" w:eastAsia="Courier New" w:hAnsi="Courier New"/>
          <w:sz w:val="18"/>
          <w:szCs w:val="18"/>
          <w:color w:val="auto"/>
        </w:rPr>
        <w:t>Our Company</w:t>
      </w:r>
      <w:r>
        <w:rPr>
          <w:sz w:val="20"/>
          <w:szCs w:val="20"/>
          <w:color w:val="auto"/>
        </w:rPr>
        <w:tab/>
      </w:r>
      <w:r>
        <w:rPr>
          <w:rFonts w:ascii="Courier New" w:cs="Courier New" w:eastAsia="Courier New" w:hAnsi="Courier New"/>
          <w:sz w:val="16"/>
          <w:szCs w:val="16"/>
          <w:color w:val="auto"/>
        </w:rPr>
        <w:t>4</w:t>
      </w:r>
    </w:p>
    <w:p>
      <w:pPr>
        <w:spacing w:after="0"/>
        <w:tabs>
          <w:tab w:leader="dot" w:pos="8100" w:val="left"/>
        </w:tabs>
        <w:rPr>
          <w:sz w:val="20"/>
          <w:szCs w:val="20"/>
          <w:color w:val="auto"/>
        </w:rPr>
      </w:pPr>
      <w:r>
        <w:rPr>
          <w:rFonts w:ascii="Courier New" w:cs="Courier New" w:eastAsia="Courier New" w:hAnsi="Courier New"/>
          <w:sz w:val="18"/>
          <w:szCs w:val="18"/>
          <w:color w:val="auto"/>
        </w:rPr>
        <w:t>Risk Factors</w:t>
      </w:r>
      <w:r>
        <w:rPr>
          <w:sz w:val="20"/>
          <w:szCs w:val="20"/>
          <w:color w:val="auto"/>
        </w:rPr>
        <w:tab/>
      </w:r>
      <w:r>
        <w:rPr>
          <w:rFonts w:ascii="Courier New" w:cs="Courier New" w:eastAsia="Courier New" w:hAnsi="Courier New"/>
          <w:sz w:val="16"/>
          <w:szCs w:val="16"/>
          <w:color w:val="auto"/>
        </w:rPr>
        <w:t>4</w:t>
      </w:r>
    </w:p>
    <w:p>
      <w:pPr>
        <w:spacing w:after="0"/>
        <w:tabs>
          <w:tab w:leader="dot" w:pos="8000" w:val="left"/>
        </w:tabs>
        <w:rPr>
          <w:sz w:val="20"/>
          <w:szCs w:val="20"/>
          <w:color w:val="auto"/>
        </w:rPr>
      </w:pPr>
      <w:r>
        <w:rPr>
          <w:rFonts w:ascii="Courier New" w:cs="Courier New" w:eastAsia="Courier New" w:hAnsi="Courier New"/>
          <w:sz w:val="18"/>
          <w:szCs w:val="18"/>
          <w:color w:val="auto"/>
        </w:rPr>
        <w:t>Special Note Regarding Forward-Looking Statements</w:t>
      </w:r>
      <w:r>
        <w:rPr>
          <w:sz w:val="20"/>
          <w:szCs w:val="20"/>
          <w:color w:val="auto"/>
        </w:rPr>
        <w:tab/>
      </w:r>
      <w:r>
        <w:rPr>
          <w:rFonts w:ascii="Courier New" w:cs="Courier New" w:eastAsia="Courier New" w:hAnsi="Courier New"/>
          <w:sz w:val="16"/>
          <w:szCs w:val="16"/>
          <w:color w:val="auto"/>
        </w:rPr>
        <w:t>11</w:t>
      </w:r>
    </w:p>
    <w:p>
      <w:pPr>
        <w:spacing w:after="0"/>
        <w:tabs>
          <w:tab w:leader="dot" w:pos="8000" w:val="left"/>
        </w:tabs>
        <w:rPr>
          <w:sz w:val="20"/>
          <w:szCs w:val="20"/>
          <w:color w:val="auto"/>
        </w:rPr>
      </w:pPr>
      <w:r>
        <w:rPr>
          <w:rFonts w:ascii="Courier New" w:cs="Courier New" w:eastAsia="Courier New" w:hAnsi="Courier New"/>
          <w:sz w:val="18"/>
          <w:szCs w:val="18"/>
          <w:color w:val="auto"/>
        </w:rPr>
        <w:t>Use of Proceeds</w:t>
      </w:r>
      <w:r>
        <w:rPr>
          <w:sz w:val="20"/>
          <w:szCs w:val="20"/>
          <w:color w:val="auto"/>
        </w:rPr>
        <w:tab/>
      </w:r>
      <w:r>
        <w:rPr>
          <w:rFonts w:ascii="Courier New" w:cs="Courier New" w:eastAsia="Courier New" w:hAnsi="Courier New"/>
          <w:sz w:val="16"/>
          <w:szCs w:val="16"/>
          <w:color w:val="auto"/>
        </w:rPr>
        <w:t>12</w:t>
      </w:r>
    </w:p>
    <w:p>
      <w:pPr>
        <w:spacing w:after="0"/>
        <w:tabs>
          <w:tab w:leader="dot" w:pos="8000" w:val="left"/>
        </w:tabs>
        <w:rPr>
          <w:sz w:val="20"/>
          <w:szCs w:val="20"/>
          <w:color w:val="auto"/>
        </w:rPr>
      </w:pPr>
      <w:r>
        <w:rPr>
          <w:rFonts w:ascii="Courier New" w:cs="Courier New" w:eastAsia="Courier New" w:hAnsi="Courier New"/>
          <w:sz w:val="18"/>
          <w:szCs w:val="18"/>
          <w:color w:val="auto"/>
        </w:rPr>
        <w:t>Ratios of Earnings to Fixed Charges</w:t>
      </w:r>
      <w:r>
        <w:rPr>
          <w:sz w:val="20"/>
          <w:szCs w:val="20"/>
          <w:color w:val="auto"/>
        </w:rPr>
        <w:tab/>
      </w:r>
      <w:r>
        <w:rPr>
          <w:rFonts w:ascii="Courier New" w:cs="Courier New" w:eastAsia="Courier New" w:hAnsi="Courier New"/>
          <w:sz w:val="16"/>
          <w:szCs w:val="16"/>
          <w:color w:val="auto"/>
        </w:rPr>
        <w:t>12</w:t>
      </w:r>
    </w:p>
    <w:p>
      <w:pPr>
        <w:spacing w:after="0"/>
        <w:tabs>
          <w:tab w:leader="dot" w:pos="8000" w:val="left"/>
        </w:tabs>
        <w:rPr>
          <w:sz w:val="20"/>
          <w:szCs w:val="20"/>
          <w:color w:val="auto"/>
        </w:rPr>
      </w:pPr>
      <w:r>
        <w:rPr>
          <w:rFonts w:ascii="Courier New" w:cs="Courier New" w:eastAsia="Courier New" w:hAnsi="Courier New"/>
          <w:sz w:val="18"/>
          <w:szCs w:val="18"/>
          <w:color w:val="auto"/>
        </w:rPr>
        <w:t>Description of Debt Securities</w:t>
      </w:r>
      <w:r>
        <w:rPr>
          <w:sz w:val="20"/>
          <w:szCs w:val="20"/>
          <w:color w:val="auto"/>
        </w:rPr>
        <w:tab/>
      </w:r>
      <w:r>
        <w:rPr>
          <w:rFonts w:ascii="Courier New" w:cs="Courier New" w:eastAsia="Courier New" w:hAnsi="Courier New"/>
          <w:sz w:val="16"/>
          <w:szCs w:val="16"/>
          <w:color w:val="auto"/>
        </w:rPr>
        <w:t>13</w:t>
      </w:r>
    </w:p>
    <w:p>
      <w:pPr>
        <w:sectPr>
          <w:pgSz w:w="11900" w:h="16838" w:orient="portrait"/>
          <w:cols w:equalWidth="0" w:num="1">
            <w:col w:w="10139"/>
          </w:cols>
          <w:pgMar w:left="320" w:top="244" w:right="1440" w:bottom="0" w:gutter="0" w:footer="0" w:header="0"/>
        </w:sectPr>
      </w:pPr>
    </w:p>
    <w:bookmarkStart w:id="1" w:name="page2"/>
    <w:bookmarkEnd w:id="1"/>
    <w:p>
      <w:pPr>
        <w:spacing w:after="0"/>
        <w:tabs>
          <w:tab w:leader="dot" w:pos="8000" w:val="left"/>
        </w:tabs>
        <w:rPr>
          <w:sz w:val="20"/>
          <w:szCs w:val="20"/>
          <w:color w:val="auto"/>
        </w:rPr>
      </w:pPr>
      <w:r>
        <w:rPr>
          <w:rFonts w:ascii="Courier New" w:cs="Courier New" w:eastAsia="Courier New" w:hAnsi="Courier New"/>
          <w:sz w:val="18"/>
          <w:szCs w:val="18"/>
          <w:color w:val="auto"/>
        </w:rPr>
        <w:t>Description of Capital Stock</w:t>
      </w:r>
      <w:r>
        <w:rPr>
          <w:sz w:val="20"/>
          <w:szCs w:val="20"/>
          <w:color w:val="auto"/>
        </w:rPr>
        <w:tab/>
      </w:r>
      <w:r>
        <w:rPr>
          <w:rFonts w:ascii="Courier New" w:cs="Courier New" w:eastAsia="Courier New" w:hAnsi="Courier New"/>
          <w:sz w:val="16"/>
          <w:szCs w:val="16"/>
          <w:color w:val="auto"/>
        </w:rPr>
        <w:t>41</w:t>
      </w:r>
    </w:p>
    <w:p>
      <w:pPr>
        <w:spacing w:after="0"/>
        <w:tabs>
          <w:tab w:leader="dot" w:pos="8000" w:val="left"/>
        </w:tabs>
        <w:rPr>
          <w:sz w:val="20"/>
          <w:szCs w:val="20"/>
          <w:color w:val="auto"/>
        </w:rPr>
      </w:pPr>
      <w:r>
        <w:rPr>
          <w:rFonts w:ascii="Courier New" w:cs="Courier New" w:eastAsia="Courier New" w:hAnsi="Courier New"/>
          <w:sz w:val="18"/>
          <w:szCs w:val="18"/>
          <w:color w:val="auto"/>
        </w:rPr>
        <w:t>Plan of Distribution</w:t>
      </w:r>
      <w:r>
        <w:rPr>
          <w:sz w:val="20"/>
          <w:szCs w:val="20"/>
          <w:color w:val="auto"/>
        </w:rPr>
        <w:tab/>
      </w:r>
      <w:r>
        <w:rPr>
          <w:rFonts w:ascii="Courier New" w:cs="Courier New" w:eastAsia="Courier New" w:hAnsi="Courier New"/>
          <w:sz w:val="16"/>
          <w:szCs w:val="16"/>
          <w:color w:val="auto"/>
        </w:rPr>
        <w:t>43</w:t>
      </w:r>
    </w:p>
    <w:p>
      <w:pPr>
        <w:spacing w:after="0"/>
        <w:tabs>
          <w:tab w:leader="dot" w:pos="8000" w:val="left"/>
        </w:tabs>
        <w:rPr>
          <w:sz w:val="20"/>
          <w:szCs w:val="20"/>
          <w:color w:val="auto"/>
        </w:rPr>
      </w:pPr>
      <w:r>
        <w:rPr>
          <w:rFonts w:ascii="Courier New" w:cs="Courier New" w:eastAsia="Courier New" w:hAnsi="Courier New"/>
          <w:sz w:val="18"/>
          <w:szCs w:val="18"/>
          <w:color w:val="auto"/>
        </w:rPr>
        <w:t>Validity of Securities</w:t>
      </w:r>
      <w:r>
        <w:rPr>
          <w:sz w:val="20"/>
          <w:szCs w:val="20"/>
          <w:color w:val="auto"/>
        </w:rPr>
        <w:tab/>
      </w:r>
      <w:r>
        <w:rPr>
          <w:rFonts w:ascii="Courier New" w:cs="Courier New" w:eastAsia="Courier New" w:hAnsi="Courier New"/>
          <w:sz w:val="16"/>
          <w:szCs w:val="16"/>
          <w:color w:val="auto"/>
        </w:rPr>
        <w:t>44</w:t>
      </w:r>
    </w:p>
    <w:p>
      <w:pPr>
        <w:spacing w:after="0"/>
        <w:tabs>
          <w:tab w:leader="dot" w:pos="8000" w:val="left"/>
        </w:tabs>
        <w:rPr>
          <w:sz w:val="20"/>
          <w:szCs w:val="20"/>
          <w:color w:val="auto"/>
        </w:rPr>
      </w:pPr>
      <w:r>
        <w:rPr>
          <w:rFonts w:ascii="Courier New" w:cs="Courier New" w:eastAsia="Courier New" w:hAnsi="Courier New"/>
          <w:sz w:val="18"/>
          <w:szCs w:val="18"/>
          <w:color w:val="auto"/>
        </w:rPr>
        <w:t>Experts</w:t>
      </w:r>
      <w:r>
        <w:rPr>
          <w:sz w:val="20"/>
          <w:szCs w:val="20"/>
          <w:color w:val="auto"/>
        </w:rPr>
        <w:tab/>
      </w:r>
      <w:r>
        <w:rPr>
          <w:rFonts w:ascii="Courier New" w:cs="Courier New" w:eastAsia="Courier New" w:hAnsi="Courier New"/>
          <w:sz w:val="16"/>
          <w:szCs w:val="16"/>
          <w:color w:val="auto"/>
        </w:rPr>
        <w:t>44</w:t>
      </w:r>
    </w:p>
    <w:p>
      <w:pPr>
        <w:sectPr>
          <w:pgSz w:w="11900" w:h="16838" w:orient="portrait"/>
          <w:cols w:equalWidth="0" w:num="1">
            <w:col w:w="10139"/>
          </w:cols>
          <w:pgMar w:left="320" w:top="136" w:right="1440" w:bottom="1440" w:gutter="0" w:footer="0" w:header="0"/>
        </w:sectPr>
      </w:pPr>
    </w:p>
    <w:bookmarkStart w:id="2" w:name="page3"/>
    <w:bookmarkEnd w:id="2"/>
    <w:p>
      <w:pPr>
        <w:spacing w:after="0" w:line="99"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THE COMPANY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OVERVIEW</w:t>
      </w:r>
    </w:p>
    <w:p>
      <w:pPr>
        <w:spacing w:after="0" w:line="207" w:lineRule="exact"/>
        <w:rPr>
          <w:sz w:val="20"/>
          <w:szCs w:val="20"/>
          <w:color w:val="auto"/>
        </w:rPr>
      </w:pPr>
    </w:p>
    <w:p>
      <w:pPr>
        <w:ind w:right="2239" w:firstLine="632"/>
        <w:spacing w:after="0" w:line="270" w:lineRule="auto"/>
        <w:rPr>
          <w:sz w:val="20"/>
          <w:szCs w:val="20"/>
          <w:color w:val="auto"/>
        </w:rPr>
      </w:pPr>
      <w:r>
        <w:rPr>
          <w:rFonts w:ascii="Courier New" w:cs="Courier New" w:eastAsia="Courier New" w:hAnsi="Courier New"/>
          <w:sz w:val="16"/>
          <w:szCs w:val="16"/>
          <w:color w:val="auto"/>
        </w:rPr>
        <w:t>We are a global leader in providing integrated waste management services. In North America, we provide solid waste management services throughout the United States, as well as in Canada, Mexico and Puerto Rico, including collection, transfer, recycling and resource recovery services, and disposal services, including the landfill disposal of hazardous wastes. In addition, we are a leading developer, operator and owner of waste-to-energy facilities in the United States. We also engage in other hazardous waste management services throughout North America, as well as low-level and other radioactive waste services. Internationally, we operate throughout Europe, the Pacific Rim, South America and other select international markets. Our diversified customer base includes commercial, industrial, municipal and residential customers, other waste management companies, governmental entities and independent power markets.</w:t>
      </w: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RECENT DEVELOPMENTS</w:t>
      </w:r>
    </w:p>
    <w:p>
      <w:pPr>
        <w:spacing w:after="0" w:line="207" w:lineRule="exact"/>
        <w:rPr>
          <w:sz w:val="20"/>
          <w:szCs w:val="20"/>
          <w:color w:val="auto"/>
        </w:rPr>
      </w:pPr>
    </w:p>
    <w:p>
      <w:pPr>
        <w:ind w:right="2239" w:firstLine="632"/>
        <w:spacing w:after="0" w:line="238" w:lineRule="auto"/>
        <w:rPr>
          <w:sz w:val="20"/>
          <w:szCs w:val="20"/>
          <w:color w:val="auto"/>
        </w:rPr>
      </w:pPr>
      <w:r>
        <w:rPr>
          <w:rFonts w:ascii="Courier New" w:cs="Courier New" w:eastAsia="Courier New" w:hAnsi="Courier New"/>
          <w:sz w:val="18"/>
          <w:szCs w:val="18"/>
          <w:color w:val="auto"/>
        </w:rPr>
        <w:t>On July 6, 1999, we announced that we had lowered our expected earnings per share for the three-month period ended June 30, 1999. On July 29, 1999, we announced a further reduction in our expected earnings for that period. On August 3, 1999, we announced that our reported operating income for the three-month period ended March 31, 1999 may have included certain non-recurring pretax income items. Between July 8, 1999 and September 3, 1999, numerous lawsuits that purport to be based on one or more of these announcements have been filed against us and certain of our officers and directors. Taken together, the plaintiffs of these lawsuits purport to assert claims on behalf of a class of purchasers of our common stock between June 10, 1998 and August 2, 1999. Among other things, the plaintiffs allege that Waste Management and certain of its officers and directors (i) made knowingly false earnings projections for the three months ended June 30, 1999 and (ii) failed to adequately disclose facts relating to its earnings projections that the plaintiffs allege would have been material to purchasers of Waste Management's common stock. The plaintiffs also claim that certain of Waste Management's officers and directors sold common stock at prices known to be inflated by the alleged material misstatements and omissions. The plaintiffs in these actions seek damages with interest, costs and such other relief as the respective courts deem proper.</w:t>
      </w:r>
    </w:p>
    <w:p>
      <w:pPr>
        <w:spacing w:after="0" w:line="209" w:lineRule="exact"/>
        <w:rPr>
          <w:sz w:val="20"/>
          <w:szCs w:val="20"/>
          <w:color w:val="auto"/>
        </w:rPr>
      </w:pPr>
    </w:p>
    <w:p>
      <w:pPr>
        <w:ind w:right="2239" w:firstLine="632"/>
        <w:spacing w:after="0" w:line="270" w:lineRule="auto"/>
        <w:rPr>
          <w:sz w:val="20"/>
          <w:szCs w:val="20"/>
          <w:color w:val="auto"/>
        </w:rPr>
      </w:pPr>
      <w:r>
        <w:rPr>
          <w:rFonts w:ascii="Courier New" w:cs="Courier New" w:eastAsia="Courier New" w:hAnsi="Courier New"/>
          <w:sz w:val="16"/>
          <w:szCs w:val="16"/>
          <w:color w:val="auto"/>
        </w:rPr>
        <w:t>In addition, three of Waste Management's stockholders have filed lawsuits against certain of our officers and directors in connection with the events surrounding our second quarter 1999 earnings projections and July 6, 1999 earnings announcement. The plaintiffs in these actions purport to allege derivative claims on behalf of Waste Management against these officers and directors for alleged breaches of fiduciary duty resulting from their alleged stock sales during the three-month period ended June 30, 1999 and/or their oversight of Waste Management's affairs. The lawsuits name Waste Management, Inc. as a nominal defendant and seek compensatory and punitive damages with interest, equitable and/or injunctive relief, costs and such other relief as the respective courts deem proper.</w:t>
      </w:r>
    </w:p>
    <w:p>
      <w:pPr>
        <w:spacing w:after="0" w:line="187" w:lineRule="exact"/>
        <w:rPr>
          <w:sz w:val="20"/>
          <w:szCs w:val="20"/>
          <w:color w:val="auto"/>
        </w:rPr>
      </w:pPr>
    </w:p>
    <w:p>
      <w:pPr>
        <w:ind w:right="2439" w:firstLine="632"/>
        <w:spacing w:after="0" w:line="237" w:lineRule="auto"/>
        <w:rPr>
          <w:sz w:val="20"/>
          <w:szCs w:val="20"/>
          <w:color w:val="auto"/>
        </w:rPr>
      </w:pPr>
      <w:r>
        <w:rPr>
          <w:rFonts w:ascii="Courier New" w:cs="Courier New" w:eastAsia="Courier New" w:hAnsi="Courier New"/>
          <w:sz w:val="18"/>
          <w:szCs w:val="18"/>
          <w:color w:val="auto"/>
        </w:rPr>
        <w:t>In addition, the Securities and Exchange Commission has notified us of an informal inquiry into the period ended June 30, 1999, as well as certain sales of our common stock that preceded our July 6, 1999 earnings announcement.</w:t>
      </w:r>
    </w:p>
    <w:p>
      <w:pPr>
        <w:spacing w:after="0" w:line="207" w:lineRule="exact"/>
        <w:rPr>
          <w:sz w:val="20"/>
          <w:szCs w:val="20"/>
          <w:color w:val="auto"/>
        </w:rPr>
      </w:pPr>
    </w:p>
    <w:p>
      <w:pPr>
        <w:ind w:right="2339" w:firstLine="632"/>
        <w:spacing w:after="0" w:line="236" w:lineRule="auto"/>
        <w:rPr>
          <w:sz w:val="20"/>
          <w:szCs w:val="20"/>
          <w:color w:val="auto"/>
        </w:rPr>
      </w:pPr>
      <w:r>
        <w:rPr>
          <w:rFonts w:ascii="Courier New" w:cs="Courier New" w:eastAsia="Courier New" w:hAnsi="Courier New"/>
          <w:sz w:val="18"/>
          <w:szCs w:val="18"/>
          <w:color w:val="auto"/>
        </w:rPr>
        <w:t>The New York Stock Exchange has notified us that its market Trading Analysis Department is reviewing transactions in our common stock prior to the July 6, 1999 earnings forecast announcement.</w:t>
      </w:r>
    </w:p>
    <w:p>
      <w:pPr>
        <w:spacing w:after="0" w:line="208" w:lineRule="exact"/>
        <w:rPr>
          <w:sz w:val="20"/>
          <w:szCs w:val="20"/>
          <w:color w:val="auto"/>
        </w:rPr>
      </w:pPr>
    </w:p>
    <w:p>
      <w:pPr>
        <w:ind w:right="2239" w:firstLine="632"/>
        <w:spacing w:after="0" w:line="272" w:lineRule="auto"/>
        <w:rPr>
          <w:sz w:val="20"/>
          <w:szCs w:val="20"/>
          <w:color w:val="auto"/>
        </w:rPr>
      </w:pPr>
      <w:r>
        <w:rPr>
          <w:rFonts w:ascii="Courier New" w:cs="Courier New" w:eastAsia="Courier New" w:hAnsi="Courier New"/>
          <w:sz w:val="16"/>
          <w:szCs w:val="16"/>
          <w:color w:val="auto"/>
        </w:rPr>
        <w:t>We are conducting a thorough investigation of each of the allegations that have been made in connection with our second quarter 1999 earnings communications. As part of this investigation, our Board of Directors has authorized a review of the allegations that have been made against certain of our officers and directors. Roderick M. Hills, a former chairman of the Commission and chairman of our audit committee, is directing the review.</w:t>
      </w:r>
    </w:p>
    <w:p>
      <w:pPr>
        <w:spacing w:after="0" w:line="185" w:lineRule="exact"/>
        <w:rPr>
          <w:sz w:val="20"/>
          <w:szCs w:val="20"/>
          <w:color w:val="auto"/>
        </w:rPr>
      </w:pPr>
    </w:p>
    <w:p>
      <w:pPr>
        <w:ind w:right="2339" w:firstLine="632"/>
        <w:spacing w:after="0" w:line="271" w:lineRule="auto"/>
        <w:rPr>
          <w:sz w:val="20"/>
          <w:szCs w:val="20"/>
          <w:color w:val="auto"/>
        </w:rPr>
      </w:pPr>
      <w:r>
        <w:rPr>
          <w:rFonts w:ascii="Courier New" w:cs="Courier New" w:eastAsia="Courier New" w:hAnsi="Courier New"/>
          <w:sz w:val="16"/>
          <w:szCs w:val="16"/>
          <w:color w:val="auto"/>
        </w:rPr>
        <w:t>It is not possible at this time to predict the impact that the above lawsuits may have on Waste Management Holdings or Waste Management, nor is it possible to predict whether any other suits or claims may arise out of these matters in the future. However, it is reasonably possible that the outcome of any present or future litigation may have a material adverse impact on our financial condition or results of operations in one or more future periods. Waste Management and Waste Management Holdings intend to defend themselves vigorously in all the above matters.</w:t>
      </w:r>
    </w:p>
    <w:p>
      <w:pPr>
        <w:sectPr>
          <w:pgSz w:w="11900" w:h="16938" w:orient="portrait"/>
          <w:cols w:equalWidth="0" w:num="1">
            <w:col w:w="10139"/>
          </w:cols>
          <w:pgMar w:left="320" w:top="919" w:right="1440" w:bottom="0" w:gutter="0" w:footer="0" w:header="0"/>
        </w:sectPr>
      </w:pPr>
    </w:p>
    <w:bookmarkStart w:id="3" w:name="page4"/>
    <w:bookmarkEnd w:id="3"/>
    <w:p>
      <w:pPr>
        <w:ind w:right="2239" w:firstLine="632"/>
        <w:spacing w:after="0" w:line="269" w:lineRule="auto"/>
        <w:rPr>
          <w:sz w:val="20"/>
          <w:szCs w:val="20"/>
          <w:color w:val="auto"/>
        </w:rPr>
      </w:pPr>
      <w:r>
        <w:rPr>
          <w:rFonts w:ascii="Courier New" w:cs="Courier New" w:eastAsia="Courier New" w:hAnsi="Courier New"/>
          <w:sz w:val="16"/>
          <w:szCs w:val="16"/>
          <w:color w:val="auto"/>
        </w:rPr>
        <w:t>On November 10, 1999, we announced the selection of A. Maurice Myers as our Chairman, Chief Executive Officer and President. Mr. Myers, 59, joins us from Yellow Corporation, where he has been Chairman, CEO and President since April 1996. Yellow Corporation is the parent company of Yellow Freight, one of the nation's oldest and largest trucking companies. Under Mr. Myers' leadership, Yellow Corporation returned to profitability in just one year, after three years of negative earnings. Mr. Myers also implemented a productivity initiative and a re-structuring of the company's largest subsidiary, Yellow Freight, dividing that company into five regionally-based business units and reducing operating costs, while significantly increasing the company's ability to meet changing customer needs. Mr. Myers is a recognized leader in integrating information technology with business operations. He directed the re-engineering of Yellow Corporation's information systems, providing the company with greater financial accountability and a distinct competitive advantage over other freight haulers. In 1999, Yellow Corporation was named one of the nation's top 100 Information Technology companies, the only freight transportation company to be so recognized. Prior to joining Yellow Corporation in 1996, Mr. Myers served as President and Chief Operating Officer of America West Airlines and is credited in part for that company's financial turnaround. Mr. Myers also served as President and CEO of Aloha Airlines, and held a senior management position with Continental Airlines.</w:t>
      </w:r>
    </w:p>
    <w:p>
      <w:pPr>
        <w:spacing w:after="0" w:line="200" w:lineRule="exact"/>
        <w:rPr>
          <w:sz w:val="20"/>
          <w:szCs w:val="20"/>
          <w:color w:val="auto"/>
        </w:rPr>
      </w:pPr>
    </w:p>
    <w:p>
      <w:pPr>
        <w:spacing w:after="0" w:line="394" w:lineRule="exact"/>
        <w:rPr>
          <w:sz w:val="20"/>
          <w:szCs w:val="20"/>
          <w:color w:val="auto"/>
        </w:rPr>
      </w:pPr>
    </w:p>
    <w:p>
      <w:pPr>
        <w:ind w:right="2339" w:firstLine="526"/>
        <w:spacing w:after="0" w:line="237" w:lineRule="auto"/>
        <w:rPr>
          <w:sz w:val="20"/>
          <w:szCs w:val="20"/>
          <w:color w:val="auto"/>
        </w:rPr>
      </w:pPr>
      <w:r>
        <w:rPr>
          <w:rFonts w:ascii="Courier New" w:cs="Courier New" w:eastAsia="Courier New" w:hAnsi="Courier New"/>
          <w:sz w:val="18"/>
          <w:szCs w:val="18"/>
          <w:color w:val="auto"/>
        </w:rPr>
        <w:t>On November 23, 1999, we announced the appointment of Thomas L. Smith as Senior Vice President-Information Systems. Mr. Smith will report to Mr. Myers and will be responsible for our information systems strategies and implementation efforts. Mr. Smith joins us from Yellow Services, Inc., a wholly owned subsidiary of Yellow Corporation, where he served as President. Under Mr. Smith's leadership, Yellow Corporation was named as a recipient of the 1999 CIO-100 Award by CIO Magazine for having information systems best positioned to succeed beyond 2000.</w:t>
      </w:r>
    </w:p>
    <w:p>
      <w:pPr>
        <w:spacing w:after="0" w:line="212" w:lineRule="exact"/>
        <w:rPr>
          <w:sz w:val="20"/>
          <w:szCs w:val="20"/>
          <w:color w:val="auto"/>
        </w:rPr>
      </w:pPr>
    </w:p>
    <w:p>
      <w:pPr>
        <w:ind w:right="2439" w:firstLine="526"/>
        <w:spacing w:after="0" w:line="237" w:lineRule="auto"/>
        <w:rPr>
          <w:sz w:val="20"/>
          <w:szCs w:val="20"/>
          <w:color w:val="auto"/>
        </w:rPr>
      </w:pPr>
      <w:r>
        <w:rPr>
          <w:rFonts w:ascii="Courier New" w:cs="Courier New" w:eastAsia="Courier New" w:hAnsi="Courier New"/>
          <w:sz w:val="18"/>
          <w:szCs w:val="18"/>
          <w:color w:val="auto"/>
        </w:rPr>
        <w:t>An Executive Committee of our Board of Directors has been formed, consisting of A. Maurice Myers, Ralph V. Whitworth, Roderick M. Hills and Jerome P. York. The Board of Directors has appointed Mr. Whitworth, a managing member of Relational Investors LLC, as Chairman of the Executive Committee.</w:t>
      </w:r>
    </w:p>
    <w:p>
      <w:pPr>
        <w:spacing w:after="0" w:line="208" w:lineRule="exact"/>
        <w:rPr>
          <w:sz w:val="20"/>
          <w:szCs w:val="20"/>
          <w:color w:val="auto"/>
        </w:rPr>
      </w:pPr>
    </w:p>
    <w:p>
      <w:pPr>
        <w:ind w:right="2239" w:firstLine="632"/>
        <w:spacing w:after="0" w:line="270" w:lineRule="auto"/>
        <w:rPr>
          <w:sz w:val="20"/>
          <w:szCs w:val="20"/>
          <w:color w:val="auto"/>
        </w:rPr>
      </w:pPr>
      <w:r>
        <w:rPr>
          <w:rFonts w:ascii="Courier New" w:cs="Courier New" w:eastAsia="Courier New" w:hAnsi="Courier New"/>
          <w:sz w:val="16"/>
          <w:szCs w:val="16"/>
          <w:color w:val="auto"/>
        </w:rPr>
        <w:t>The Board of Directors has initiated a strategic initiative aimed at increasing shareholder value. We have engaged Chase Securities Inc. and Donaldson, Lufkin and Jenrette Securities Corporation as financial advisors to assist us in this matter. The plan calls for disposition of some or all of our international assets, a substantial majority of our non-core assets, and certain non-strategic North American solid waste assets that account for 10% of our operating revenues in that sector. We intend immediately to initiate the disposition of these assets and plan to substantially complete these asset sales in the first half of 2000, although there can be no assurance that these dispositions will be completed in the contemplated time frame. We expect to use the proceeds of these dispositions primarily to reduce debt and over time to repurchase shares and make selective tuck-in acquisitions of solid waste businesses in North America.</w:t>
      </w:r>
    </w:p>
    <w:p>
      <w:pPr>
        <w:spacing w:after="0" w:line="388" w:lineRule="exact"/>
        <w:rPr>
          <w:sz w:val="20"/>
          <w:szCs w:val="20"/>
          <w:color w:val="auto"/>
        </w:rPr>
      </w:pPr>
    </w:p>
    <w:p>
      <w:pPr>
        <w:ind w:right="2239" w:firstLine="632"/>
        <w:spacing w:after="0" w:line="272" w:lineRule="auto"/>
        <w:rPr>
          <w:sz w:val="20"/>
          <w:szCs w:val="20"/>
          <w:color w:val="auto"/>
        </w:rPr>
      </w:pPr>
      <w:r>
        <w:rPr>
          <w:rFonts w:ascii="Courier New" w:cs="Courier New" w:eastAsia="Courier New" w:hAnsi="Courier New"/>
          <w:sz w:val="16"/>
          <w:szCs w:val="16"/>
          <w:color w:val="auto"/>
        </w:rPr>
        <w:t>In the second quarter of 1999, we entered into an agreement to purchase all of the Canadian solid waste assets of Allied Waste Industries, Inc. ("Allied") that Allied acquired upon its acquisition of Browning-Ferris Industries, Inc. The purchase price of these assets was to be approximately $501 million in cash. On November 8, 1999, we entered into revised agreements with Allied, which replace the original agreement.</w:t>
      </w:r>
    </w:p>
    <w:p>
      <w:pPr>
        <w:spacing w:after="0" w:line="185" w:lineRule="exact"/>
        <w:rPr>
          <w:sz w:val="20"/>
          <w:szCs w:val="20"/>
          <w:color w:val="auto"/>
        </w:rPr>
      </w:pPr>
    </w:p>
    <w:p>
      <w:pPr>
        <w:ind w:right="2239" w:firstLine="632"/>
        <w:spacing w:after="0" w:line="238" w:lineRule="auto"/>
        <w:rPr>
          <w:sz w:val="20"/>
          <w:szCs w:val="20"/>
          <w:color w:val="auto"/>
        </w:rPr>
      </w:pPr>
      <w:r>
        <w:rPr>
          <w:rFonts w:ascii="Courier New" w:cs="Courier New" w:eastAsia="Courier New" w:hAnsi="Courier New"/>
          <w:sz w:val="18"/>
          <w:szCs w:val="18"/>
          <w:color w:val="auto"/>
        </w:rPr>
        <w:t>Under the terms of the revised agreements, Allied has agreed to sell to us all of the shares of Browning-Ferris Industries Limited ("BFIL"), which owns the solid waste operations of Browning-Ferris in Canada, including collection operations, transfer stations, landfill operations and recycling facilities. Annual run rate revenues generated from these operations are approximately US $176 million. Allied will continue to operate certain of the Canadian operations that we are being required to divest by the Competition Bureau of Canada and market those operations for sale, on behalf of BFIL, after the closing. The sale of the BFIL shares is subject to final approval pursuant to the Competition Act and the Investment Canada Act. Additionally, we have agreed to sell to Allied certain U.S. solid waste services assets with combined reported historical revenue of approximately $132 million, including nine landfill operations, 19 collection operations, five transfer stations and a landfill operating contract. The sale of such assets is subject to final approval pursuant to the Hart-Scott Rodino Act. We expect to receive net cash proceeds as a result of the revised transactions.</w:t>
      </w:r>
    </w:p>
    <w:p>
      <w:pPr>
        <w:spacing w:after="0" w:line="207" w:lineRule="exact"/>
        <w:rPr>
          <w:sz w:val="20"/>
          <w:szCs w:val="20"/>
          <w:color w:val="auto"/>
        </w:rPr>
      </w:pPr>
    </w:p>
    <w:p>
      <w:pPr>
        <w:ind w:right="2439" w:firstLine="526"/>
        <w:spacing w:after="0" w:line="279" w:lineRule="auto"/>
        <w:rPr>
          <w:sz w:val="20"/>
          <w:szCs w:val="20"/>
          <w:color w:val="auto"/>
        </w:rPr>
      </w:pPr>
      <w:r>
        <w:rPr>
          <w:rFonts w:ascii="Courier New" w:cs="Courier New" w:eastAsia="Courier New" w:hAnsi="Courier New"/>
          <w:sz w:val="16"/>
          <w:szCs w:val="16"/>
          <w:color w:val="auto"/>
        </w:rPr>
        <w:t>On December 15 and 16, 1999, we permanently amended our two domestic bank credit facilities and two Euro facilities, respectively, for which waivers were sought in the third quarter 1999. The amended terms and</w:t>
      </w:r>
    </w:p>
    <w:p>
      <w:pPr>
        <w:sectPr>
          <w:pgSz w:w="11900" w:h="16838" w:orient="portrait"/>
          <w:cols w:equalWidth="0" w:num="1">
            <w:col w:w="10139"/>
          </w:cols>
          <w:pgMar w:left="320" w:top="344" w:right="1440" w:bottom="0" w:gutter="0" w:footer="0" w:header="0"/>
        </w:sectPr>
      </w:pPr>
    </w:p>
    <w:bookmarkStart w:id="4" w:name="page5"/>
    <w:bookmarkEnd w:id="4"/>
    <w:p>
      <w:pPr>
        <w:ind w:right="2439"/>
        <w:spacing w:after="0" w:line="237" w:lineRule="auto"/>
        <w:rPr>
          <w:sz w:val="20"/>
          <w:szCs w:val="20"/>
          <w:color w:val="auto"/>
        </w:rPr>
      </w:pPr>
      <w:r>
        <w:rPr>
          <w:rFonts w:ascii="Courier New" w:cs="Courier New" w:eastAsia="Courier New" w:hAnsi="Courier New"/>
          <w:sz w:val="18"/>
          <w:szCs w:val="18"/>
          <w:color w:val="auto"/>
        </w:rPr>
        <w:t>conditions of the facilities also contain the necessary provisions for us to follow through with our strategy of divesting our international and non-core assets. Initial proceeds from the sales of such assets will be used to reduce debt and improve our financial position.</w:t>
      </w:r>
    </w:p>
    <w:p>
      <w:pPr>
        <w:spacing w:after="0" w:line="207" w:lineRule="exact"/>
        <w:rPr>
          <w:sz w:val="20"/>
          <w:szCs w:val="20"/>
          <w:color w:val="auto"/>
        </w:rPr>
      </w:pPr>
    </w:p>
    <w:p>
      <w:pPr>
        <w:ind w:right="2339" w:firstLine="632"/>
        <w:spacing w:after="0" w:line="238" w:lineRule="auto"/>
        <w:rPr>
          <w:sz w:val="20"/>
          <w:szCs w:val="20"/>
          <w:color w:val="auto"/>
        </w:rPr>
      </w:pPr>
      <w:r>
        <w:rPr>
          <w:rFonts w:ascii="Courier New" w:cs="Courier New" w:eastAsia="Courier New" w:hAnsi="Courier New"/>
          <w:sz w:val="18"/>
          <w:szCs w:val="18"/>
          <w:color w:val="auto"/>
        </w:rPr>
        <w:t>On January 24, 2000, we announced the appointment of Lawrence O'Donnell, III as Senior Vice President, General Counsel and Secretary. In this role, Mr. O'Donnell will have primary responsibility for the management of all legal matters relating to us and our operating subsidiaries and will report to Mr. Myers. He will direct the Company's legal staff at its corporate headquarters and in its worldwide operating units and will have senior responsibility for the supervision and management of our network of outside legal counsel. Mr. O'Donnell joins us from Houston-based Baker Hughes Incorporated, where he has been Vice President and General Counsel since 1995. Baker Hughes, a New York Stock Exchange company with revenues of more than $6 billion in 1998, is a leading supplier of reservoir-centered products, services and systems to the worldwide oil and gas industry and a leading supplier of separation technologies to process industries globally. There he directed a legal staff of 24 attorneys and an international staff of 65 individuals.</w:t>
      </w:r>
    </w:p>
    <w:p>
      <w:pPr>
        <w:spacing w:after="0" w:line="207" w:lineRule="exact"/>
        <w:rPr>
          <w:sz w:val="20"/>
          <w:szCs w:val="20"/>
          <w:color w:val="auto"/>
        </w:rPr>
      </w:pPr>
    </w:p>
    <w:p>
      <w:pPr>
        <w:ind w:right="2239" w:firstLine="632"/>
        <w:spacing w:after="0" w:line="237" w:lineRule="auto"/>
        <w:rPr>
          <w:sz w:val="20"/>
          <w:szCs w:val="20"/>
          <w:color w:val="auto"/>
        </w:rPr>
      </w:pPr>
      <w:r>
        <w:rPr>
          <w:rFonts w:ascii="Courier New" w:cs="Courier New" w:eastAsia="Courier New" w:hAnsi="Courier New"/>
          <w:sz w:val="18"/>
          <w:szCs w:val="18"/>
          <w:color w:val="auto"/>
        </w:rPr>
        <w:t>On January 31, 2000, we announced that we had reached an agreement to sell our waste services operations in Finland to Lassila &amp; Tikanoja plc for approximately $100 million. We expect to complete the transaction in the first half of 2000. The sale is subject to the approval of the Finnish Competition Authority. Lassila &amp; Tikanoja, based in Helsinki, Finland and traded on the Finnish Stock Exchange, is a provider of environmental services and materials for healthcare and hygiene products. The sale of our Finnish business is part of our previously announced strategic initiative to divest of some or all of our international assets and re-focus on our North American solid waste operations.</w:t>
      </w:r>
    </w:p>
    <w:p>
      <w:pPr>
        <w:spacing w:after="0" w:line="200" w:lineRule="exact"/>
        <w:rPr>
          <w:sz w:val="20"/>
          <w:szCs w:val="20"/>
          <w:color w:val="auto"/>
        </w:rPr>
      </w:pPr>
    </w:p>
    <w:p>
      <w:pPr>
        <w:spacing w:after="0" w:line="211" w:lineRule="exact"/>
        <w:rPr>
          <w:sz w:val="20"/>
          <w:szCs w:val="20"/>
          <w:color w:val="auto"/>
        </w:rPr>
      </w:pPr>
    </w:p>
    <w:p>
      <w:pPr>
        <w:jc w:val="center"/>
        <w:ind w:right="2119"/>
        <w:spacing w:after="0"/>
        <w:rPr>
          <w:sz w:val="20"/>
          <w:szCs w:val="20"/>
          <w:color w:val="auto"/>
        </w:rPr>
      </w:pPr>
      <w:r>
        <w:rPr>
          <w:rFonts w:ascii="Courier New" w:cs="Courier New" w:eastAsia="Courier New" w:hAnsi="Courier New"/>
          <w:sz w:val="18"/>
          <w:szCs w:val="18"/>
          <w:color w:val="auto"/>
        </w:rPr>
        <w:t>PLAN OF DISTRIBUTION</w:t>
      </w:r>
    </w:p>
    <w:p>
      <w:pPr>
        <w:spacing w:after="0" w:line="207" w:lineRule="exact"/>
        <w:rPr>
          <w:sz w:val="20"/>
          <w:szCs w:val="20"/>
          <w:color w:val="auto"/>
        </w:rPr>
      </w:pPr>
    </w:p>
    <w:p>
      <w:pPr>
        <w:ind w:right="2239" w:firstLine="632"/>
        <w:spacing w:after="0" w:line="237" w:lineRule="auto"/>
        <w:rPr>
          <w:sz w:val="20"/>
          <w:szCs w:val="20"/>
          <w:color w:val="auto"/>
        </w:rPr>
      </w:pPr>
      <w:r>
        <w:rPr>
          <w:rFonts w:ascii="Courier New" w:cs="Courier New" w:eastAsia="Courier New" w:hAnsi="Courier New"/>
          <w:sz w:val="18"/>
          <w:szCs w:val="18"/>
          <w:color w:val="auto"/>
        </w:rPr>
        <w:t>We will issue the shares directly to certain persons in order to settle litigation and other claims or to satisfy judgments or arbitration awards. We will not receive any cash proceeds from these issuances but will eliminate an actual or potential liability.</w:t>
      </w:r>
    </w:p>
    <w:p>
      <w:pPr>
        <w:sectPr>
          <w:pgSz w:w="11900" w:h="16838" w:orient="portrait"/>
          <w:cols w:equalWidth="0" w:num="1">
            <w:col w:w="10139"/>
          </w:cols>
          <w:pgMar w:left="320" w:top="142"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PROSPECTUS</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$3,000,000,000</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WASTE MANAGEMENT, INC.</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DEBT SECURITIES</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We may offer from time to time</w:t>
      </w:r>
    </w:p>
    <w:p>
      <w:pPr>
        <w:spacing w:after="0" w:line="201" w:lineRule="exact"/>
        <w:rPr>
          <w:sz w:val="20"/>
          <w:szCs w:val="20"/>
          <w:color w:val="auto"/>
        </w:rPr>
      </w:pPr>
    </w:p>
    <w:p>
      <w:pPr>
        <w:ind w:left="2000" w:hanging="728"/>
        <w:spacing w:after="0"/>
        <w:tabs>
          <w:tab w:leader="none" w:pos="20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Debt securities</w:t>
      </w:r>
    </w:p>
    <w:p>
      <w:pPr>
        <w:spacing w:after="0" w:line="201" w:lineRule="exact"/>
        <w:rPr>
          <w:rFonts w:ascii="Courier New" w:cs="Courier New" w:eastAsia="Courier New" w:hAnsi="Courier New"/>
          <w:sz w:val="18"/>
          <w:szCs w:val="18"/>
          <w:color w:val="auto"/>
        </w:rPr>
      </w:pPr>
    </w:p>
    <w:p>
      <w:pPr>
        <w:ind w:left="2000" w:hanging="728"/>
        <w:spacing w:after="0"/>
        <w:tabs>
          <w:tab w:leader="none" w:pos="20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Shares of our common stock</w:t>
      </w:r>
    </w:p>
    <w:p>
      <w:pPr>
        <w:spacing w:after="0" w:line="207" w:lineRule="exact"/>
        <w:rPr>
          <w:sz w:val="20"/>
          <w:szCs w:val="20"/>
          <w:color w:val="auto"/>
        </w:rPr>
      </w:pPr>
    </w:p>
    <w:p>
      <w:pPr>
        <w:ind w:right="2339"/>
        <w:spacing w:after="0" w:line="235" w:lineRule="auto"/>
        <w:rPr>
          <w:sz w:val="20"/>
          <w:szCs w:val="20"/>
          <w:color w:val="auto"/>
        </w:rPr>
      </w:pPr>
      <w:r>
        <w:rPr>
          <w:rFonts w:ascii="Courier New" w:cs="Courier New" w:eastAsia="Courier New" w:hAnsi="Courier New"/>
          <w:sz w:val="18"/>
          <w:szCs w:val="18"/>
          <w:color w:val="auto"/>
        </w:rPr>
        <w:t>Our shares of common stock are listed on the New York Stock Exchange under the symbol "WMI."</w:t>
      </w:r>
    </w:p>
    <w:p>
      <w:pPr>
        <w:spacing w:after="0" w:line="202"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CONSIDER CAREFULLY THE RISK FACTORS BEGINNING ON PAGE 4.</w:t>
      </w:r>
    </w:p>
    <w:p>
      <w:pPr>
        <w:spacing w:after="0" w:line="207" w:lineRule="exact"/>
        <w:rPr>
          <w:sz w:val="20"/>
          <w:szCs w:val="20"/>
          <w:color w:val="auto"/>
        </w:rPr>
      </w:pPr>
    </w:p>
    <w:p>
      <w:pPr>
        <w:ind w:right="2339" w:firstLine="632"/>
        <w:spacing w:after="0" w:line="237" w:lineRule="auto"/>
        <w:rPr>
          <w:sz w:val="20"/>
          <w:szCs w:val="20"/>
          <w:color w:val="auto"/>
        </w:rPr>
      </w:pPr>
      <w:r>
        <w:rPr>
          <w:rFonts w:ascii="Courier New" w:cs="Courier New" w:eastAsia="Courier New" w:hAnsi="Courier New"/>
          <w:sz w:val="18"/>
          <w:szCs w:val="18"/>
          <w:color w:val="auto"/>
        </w:rPr>
        <w:t>We will provide a prospectus supplement each time we issue the securities covered by this prospectus. The prospectus supplement will provide specific information about the terms of that offering and also may add, update or change information contained in this prospectus.</w:t>
      </w:r>
    </w:p>
    <w:p>
      <w:pPr>
        <w:spacing w:after="0" w:line="207" w:lineRule="exact"/>
        <w:rPr>
          <w:sz w:val="20"/>
          <w:szCs w:val="20"/>
          <w:color w:val="auto"/>
        </w:rPr>
      </w:pPr>
    </w:p>
    <w:p>
      <w:pPr>
        <w:ind w:right="2239" w:firstLine="632"/>
        <w:spacing w:after="0" w:line="237" w:lineRule="auto"/>
        <w:rPr>
          <w:sz w:val="20"/>
          <w:szCs w:val="20"/>
          <w:color w:val="auto"/>
        </w:rPr>
      </w:pPr>
      <w:r>
        <w:rPr>
          <w:rFonts w:ascii="Courier New" w:cs="Courier New" w:eastAsia="Courier New" w:hAnsi="Courier New"/>
          <w:sz w:val="18"/>
          <w:szCs w:val="18"/>
          <w:color w:val="auto"/>
        </w:rPr>
        <w:t>You should read this prospectus and the related prospectus supplement carefully before you invest in our securities. This prospectus may not be used to offer and sell our securities unless accompanied by a prospectus supplement.</w:t>
      </w:r>
    </w:p>
    <w:p>
      <w:pPr>
        <w:spacing w:after="0" w:line="207" w:lineRule="exact"/>
        <w:rPr>
          <w:sz w:val="20"/>
          <w:szCs w:val="20"/>
          <w:color w:val="auto"/>
        </w:rPr>
      </w:pPr>
    </w:p>
    <w:p>
      <w:pPr>
        <w:ind w:right="2339" w:firstLine="632"/>
        <w:spacing w:after="0" w:line="237" w:lineRule="auto"/>
        <w:rPr>
          <w:sz w:val="20"/>
          <w:szCs w:val="20"/>
          <w:color w:val="auto"/>
        </w:rPr>
      </w:pPr>
      <w:r>
        <w:rPr>
          <w:rFonts w:ascii="Courier New" w:cs="Courier New" w:eastAsia="Courier New" w:hAnsi="Courier New"/>
          <w:sz w:val="18"/>
          <w:szCs w:val="18"/>
          <w:color w:val="auto"/>
        </w:rPr>
        <w:t>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jurisdiction where the offer or sale is not permitted.</w:t>
      </w:r>
    </w:p>
    <w:p>
      <w:pPr>
        <w:spacing w:after="0" w:line="209" w:lineRule="exact"/>
        <w:rPr>
          <w:sz w:val="20"/>
          <w:szCs w:val="20"/>
          <w:color w:val="auto"/>
        </w:rPr>
      </w:pPr>
    </w:p>
    <w:p>
      <w:pPr>
        <w:ind w:right="2439" w:firstLine="632"/>
        <w:spacing w:after="0" w:line="237" w:lineRule="auto"/>
        <w:rPr>
          <w:sz w:val="20"/>
          <w:szCs w:val="20"/>
          <w:color w:val="auto"/>
        </w:rPr>
      </w:pPr>
      <w:r>
        <w:rPr>
          <w:rFonts w:ascii="Courier New" w:cs="Courier New" w:eastAsia="Courier New" w:hAnsi="Courier New"/>
          <w:sz w:val="18"/>
          <w:szCs w:val="18"/>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THE DATE OF THIS PROSPECTUS IS FEBRUARY 14, 2000.</w:t>
      </w:r>
    </w:p>
    <w:p>
      <w:pPr>
        <w:sectPr>
          <w:pgSz w:w="11900" w:h="16838" w:orient="portrait"/>
          <w:cols w:equalWidth="0" w:num="1">
            <w:col w:w="10139"/>
          </w:cols>
          <w:pgMar w:left="320" w:top="1122" w:right="1440" w:bottom="1440" w:gutter="0" w:footer="0" w:header="0"/>
        </w:sectPr>
      </w:pPr>
    </w:p>
    <w:bookmarkStart w:id="6" w:name="page7"/>
    <w:bookmarkEnd w:id="6"/>
    <w:p>
      <w:pPr>
        <w:spacing w:after="0" w:line="78"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TABLE OF CONTENTS</w:t>
      </w:r>
    </w:p>
    <w:p>
      <w:pPr>
        <w:spacing w:after="0" w:line="201" w:lineRule="exact"/>
        <w:rPr>
          <w:sz w:val="20"/>
          <w:szCs w:val="20"/>
          <w:color w:val="auto"/>
        </w:rPr>
      </w:pPr>
    </w:p>
    <w:p>
      <w:pPr>
        <w:spacing w:after="0"/>
        <w:tabs>
          <w:tab w:leader="dot" w:pos="8100" w:val="left"/>
        </w:tabs>
        <w:rPr>
          <w:sz w:val="20"/>
          <w:szCs w:val="20"/>
          <w:color w:val="auto"/>
        </w:rPr>
      </w:pPr>
      <w:r>
        <w:rPr>
          <w:rFonts w:ascii="Courier New" w:cs="Courier New" w:eastAsia="Courier New" w:hAnsi="Courier New"/>
          <w:sz w:val="18"/>
          <w:szCs w:val="18"/>
          <w:color w:val="auto"/>
        </w:rPr>
        <w:t>Where To Find More Information</w:t>
      </w:r>
      <w:r>
        <w:rPr>
          <w:sz w:val="20"/>
          <w:szCs w:val="20"/>
          <w:color w:val="auto"/>
        </w:rPr>
        <w:tab/>
      </w:r>
      <w:r>
        <w:rPr>
          <w:rFonts w:ascii="Courier New" w:cs="Courier New" w:eastAsia="Courier New" w:hAnsi="Courier New"/>
          <w:sz w:val="16"/>
          <w:szCs w:val="16"/>
          <w:color w:val="auto"/>
        </w:rPr>
        <w:t>2</w:t>
      </w:r>
    </w:p>
    <w:p>
      <w:pPr>
        <w:spacing w:after="0"/>
        <w:tabs>
          <w:tab w:leader="dot" w:pos="8100" w:val="left"/>
        </w:tabs>
        <w:rPr>
          <w:sz w:val="20"/>
          <w:szCs w:val="20"/>
          <w:color w:val="auto"/>
        </w:rPr>
      </w:pPr>
      <w:r>
        <w:rPr>
          <w:rFonts w:ascii="Courier New" w:cs="Courier New" w:eastAsia="Courier New" w:hAnsi="Courier New"/>
          <w:sz w:val="18"/>
          <w:szCs w:val="18"/>
          <w:color w:val="auto"/>
        </w:rPr>
        <w:t>Our Company</w:t>
      </w:r>
      <w:r>
        <w:rPr>
          <w:sz w:val="20"/>
          <w:szCs w:val="20"/>
          <w:color w:val="auto"/>
        </w:rPr>
        <w:tab/>
      </w:r>
      <w:r>
        <w:rPr>
          <w:rFonts w:ascii="Courier New" w:cs="Courier New" w:eastAsia="Courier New" w:hAnsi="Courier New"/>
          <w:sz w:val="16"/>
          <w:szCs w:val="16"/>
          <w:color w:val="auto"/>
        </w:rPr>
        <w:t>4</w:t>
      </w:r>
    </w:p>
    <w:p>
      <w:pPr>
        <w:spacing w:after="0"/>
        <w:tabs>
          <w:tab w:leader="dot" w:pos="8100" w:val="left"/>
        </w:tabs>
        <w:rPr>
          <w:sz w:val="20"/>
          <w:szCs w:val="20"/>
          <w:color w:val="auto"/>
        </w:rPr>
      </w:pPr>
      <w:r>
        <w:rPr>
          <w:rFonts w:ascii="Courier New" w:cs="Courier New" w:eastAsia="Courier New" w:hAnsi="Courier New"/>
          <w:sz w:val="18"/>
          <w:szCs w:val="18"/>
          <w:color w:val="auto"/>
        </w:rPr>
        <w:t>Risk Factors</w:t>
      </w:r>
      <w:r>
        <w:rPr>
          <w:sz w:val="20"/>
          <w:szCs w:val="20"/>
          <w:color w:val="auto"/>
        </w:rPr>
        <w:tab/>
      </w:r>
      <w:r>
        <w:rPr>
          <w:rFonts w:ascii="Courier New" w:cs="Courier New" w:eastAsia="Courier New" w:hAnsi="Courier New"/>
          <w:sz w:val="16"/>
          <w:szCs w:val="16"/>
          <w:color w:val="auto"/>
        </w:rPr>
        <w:t>4</w:t>
      </w:r>
    </w:p>
    <w:p>
      <w:pPr>
        <w:spacing w:after="0"/>
        <w:tabs>
          <w:tab w:leader="dot" w:pos="8000" w:val="left"/>
        </w:tabs>
        <w:rPr>
          <w:sz w:val="20"/>
          <w:szCs w:val="20"/>
          <w:color w:val="auto"/>
        </w:rPr>
      </w:pPr>
      <w:r>
        <w:rPr>
          <w:rFonts w:ascii="Courier New" w:cs="Courier New" w:eastAsia="Courier New" w:hAnsi="Courier New"/>
          <w:sz w:val="18"/>
          <w:szCs w:val="18"/>
          <w:color w:val="auto"/>
        </w:rPr>
        <w:t>Special Note Regarding Forward-Looking Statements</w:t>
      </w:r>
      <w:r>
        <w:rPr>
          <w:sz w:val="20"/>
          <w:szCs w:val="20"/>
          <w:color w:val="auto"/>
        </w:rPr>
        <w:tab/>
      </w:r>
      <w:r>
        <w:rPr>
          <w:rFonts w:ascii="Courier New" w:cs="Courier New" w:eastAsia="Courier New" w:hAnsi="Courier New"/>
          <w:sz w:val="16"/>
          <w:szCs w:val="16"/>
          <w:color w:val="auto"/>
        </w:rPr>
        <w:t>11</w:t>
      </w:r>
    </w:p>
    <w:p>
      <w:pPr>
        <w:spacing w:after="0"/>
        <w:tabs>
          <w:tab w:leader="dot" w:pos="8000" w:val="left"/>
        </w:tabs>
        <w:rPr>
          <w:sz w:val="20"/>
          <w:szCs w:val="20"/>
          <w:color w:val="auto"/>
        </w:rPr>
      </w:pPr>
      <w:r>
        <w:rPr>
          <w:rFonts w:ascii="Courier New" w:cs="Courier New" w:eastAsia="Courier New" w:hAnsi="Courier New"/>
          <w:sz w:val="18"/>
          <w:szCs w:val="18"/>
          <w:color w:val="auto"/>
        </w:rPr>
        <w:t>Use of Proceeds</w:t>
      </w:r>
      <w:r>
        <w:rPr>
          <w:sz w:val="20"/>
          <w:szCs w:val="20"/>
          <w:color w:val="auto"/>
        </w:rPr>
        <w:tab/>
      </w:r>
      <w:r>
        <w:rPr>
          <w:rFonts w:ascii="Courier New" w:cs="Courier New" w:eastAsia="Courier New" w:hAnsi="Courier New"/>
          <w:sz w:val="16"/>
          <w:szCs w:val="16"/>
          <w:color w:val="auto"/>
        </w:rPr>
        <w:t>12</w:t>
      </w:r>
    </w:p>
    <w:p>
      <w:pPr>
        <w:spacing w:after="0"/>
        <w:tabs>
          <w:tab w:leader="dot" w:pos="8000" w:val="left"/>
        </w:tabs>
        <w:rPr>
          <w:sz w:val="20"/>
          <w:szCs w:val="20"/>
          <w:color w:val="auto"/>
        </w:rPr>
      </w:pPr>
      <w:r>
        <w:rPr>
          <w:rFonts w:ascii="Courier New" w:cs="Courier New" w:eastAsia="Courier New" w:hAnsi="Courier New"/>
          <w:sz w:val="18"/>
          <w:szCs w:val="18"/>
          <w:color w:val="auto"/>
        </w:rPr>
        <w:t>Ratios of Earnings to Fixed Charges</w:t>
      </w:r>
      <w:r>
        <w:rPr>
          <w:sz w:val="20"/>
          <w:szCs w:val="20"/>
          <w:color w:val="auto"/>
        </w:rPr>
        <w:tab/>
      </w:r>
      <w:r>
        <w:rPr>
          <w:rFonts w:ascii="Courier New" w:cs="Courier New" w:eastAsia="Courier New" w:hAnsi="Courier New"/>
          <w:sz w:val="16"/>
          <w:szCs w:val="16"/>
          <w:color w:val="auto"/>
        </w:rPr>
        <w:t>12</w:t>
      </w:r>
    </w:p>
    <w:p>
      <w:pPr>
        <w:spacing w:after="0"/>
        <w:tabs>
          <w:tab w:leader="dot" w:pos="8000" w:val="left"/>
        </w:tabs>
        <w:rPr>
          <w:sz w:val="20"/>
          <w:szCs w:val="20"/>
          <w:color w:val="auto"/>
        </w:rPr>
      </w:pPr>
      <w:r>
        <w:rPr>
          <w:rFonts w:ascii="Courier New" w:cs="Courier New" w:eastAsia="Courier New" w:hAnsi="Courier New"/>
          <w:sz w:val="18"/>
          <w:szCs w:val="18"/>
          <w:color w:val="auto"/>
        </w:rPr>
        <w:t>Description of Debt Securities</w:t>
      </w:r>
      <w:r>
        <w:rPr>
          <w:sz w:val="20"/>
          <w:szCs w:val="20"/>
          <w:color w:val="auto"/>
        </w:rPr>
        <w:tab/>
      </w:r>
      <w:r>
        <w:rPr>
          <w:rFonts w:ascii="Courier New" w:cs="Courier New" w:eastAsia="Courier New" w:hAnsi="Courier New"/>
          <w:sz w:val="16"/>
          <w:szCs w:val="16"/>
          <w:color w:val="auto"/>
        </w:rPr>
        <w:t>13</w:t>
      </w:r>
    </w:p>
    <w:p>
      <w:pPr>
        <w:spacing w:after="0"/>
        <w:tabs>
          <w:tab w:leader="dot" w:pos="8000" w:val="left"/>
        </w:tabs>
        <w:rPr>
          <w:sz w:val="20"/>
          <w:szCs w:val="20"/>
          <w:color w:val="auto"/>
        </w:rPr>
      </w:pPr>
      <w:r>
        <w:rPr>
          <w:rFonts w:ascii="Courier New" w:cs="Courier New" w:eastAsia="Courier New" w:hAnsi="Courier New"/>
          <w:sz w:val="18"/>
          <w:szCs w:val="18"/>
          <w:color w:val="auto"/>
        </w:rPr>
        <w:t>Description of Capital Stock</w:t>
      </w:r>
      <w:r>
        <w:rPr>
          <w:sz w:val="20"/>
          <w:szCs w:val="20"/>
          <w:color w:val="auto"/>
        </w:rPr>
        <w:tab/>
      </w:r>
      <w:r>
        <w:rPr>
          <w:rFonts w:ascii="Courier New" w:cs="Courier New" w:eastAsia="Courier New" w:hAnsi="Courier New"/>
          <w:sz w:val="16"/>
          <w:szCs w:val="16"/>
          <w:color w:val="auto"/>
        </w:rPr>
        <w:t>41</w:t>
      </w:r>
    </w:p>
    <w:p>
      <w:pPr>
        <w:spacing w:after="0"/>
        <w:tabs>
          <w:tab w:leader="dot" w:pos="8000" w:val="left"/>
        </w:tabs>
        <w:rPr>
          <w:sz w:val="20"/>
          <w:szCs w:val="20"/>
          <w:color w:val="auto"/>
        </w:rPr>
      </w:pPr>
      <w:r>
        <w:rPr>
          <w:rFonts w:ascii="Courier New" w:cs="Courier New" w:eastAsia="Courier New" w:hAnsi="Courier New"/>
          <w:sz w:val="18"/>
          <w:szCs w:val="18"/>
          <w:color w:val="auto"/>
        </w:rPr>
        <w:t>Plan of Distribution</w:t>
      </w:r>
      <w:r>
        <w:rPr>
          <w:sz w:val="20"/>
          <w:szCs w:val="20"/>
          <w:color w:val="auto"/>
        </w:rPr>
        <w:tab/>
      </w:r>
      <w:r>
        <w:rPr>
          <w:rFonts w:ascii="Courier New" w:cs="Courier New" w:eastAsia="Courier New" w:hAnsi="Courier New"/>
          <w:sz w:val="16"/>
          <w:szCs w:val="16"/>
          <w:color w:val="auto"/>
        </w:rPr>
        <w:t>43</w:t>
      </w:r>
    </w:p>
    <w:p>
      <w:pPr>
        <w:spacing w:after="0"/>
        <w:tabs>
          <w:tab w:leader="dot" w:pos="8000" w:val="left"/>
        </w:tabs>
        <w:rPr>
          <w:sz w:val="20"/>
          <w:szCs w:val="20"/>
          <w:color w:val="auto"/>
        </w:rPr>
      </w:pPr>
      <w:r>
        <w:rPr>
          <w:rFonts w:ascii="Courier New" w:cs="Courier New" w:eastAsia="Courier New" w:hAnsi="Courier New"/>
          <w:sz w:val="18"/>
          <w:szCs w:val="18"/>
          <w:color w:val="auto"/>
        </w:rPr>
        <w:t>Validity of Securities</w:t>
      </w:r>
      <w:r>
        <w:rPr>
          <w:sz w:val="20"/>
          <w:szCs w:val="20"/>
          <w:color w:val="auto"/>
        </w:rPr>
        <w:tab/>
      </w:r>
      <w:r>
        <w:rPr>
          <w:rFonts w:ascii="Courier New" w:cs="Courier New" w:eastAsia="Courier New" w:hAnsi="Courier New"/>
          <w:sz w:val="16"/>
          <w:szCs w:val="16"/>
          <w:color w:val="auto"/>
        </w:rPr>
        <w:t>44</w:t>
      </w:r>
    </w:p>
    <w:p>
      <w:pPr>
        <w:spacing w:after="0"/>
        <w:tabs>
          <w:tab w:leader="dot" w:pos="8000" w:val="left"/>
        </w:tabs>
        <w:rPr>
          <w:sz w:val="20"/>
          <w:szCs w:val="20"/>
          <w:color w:val="auto"/>
        </w:rPr>
      </w:pPr>
      <w:r>
        <w:rPr>
          <w:rFonts w:ascii="Courier New" w:cs="Courier New" w:eastAsia="Courier New" w:hAnsi="Courier New"/>
          <w:sz w:val="18"/>
          <w:szCs w:val="18"/>
          <w:color w:val="auto"/>
        </w:rPr>
        <w:t>Experts</w:t>
      </w:r>
      <w:r>
        <w:rPr>
          <w:sz w:val="20"/>
          <w:szCs w:val="20"/>
          <w:color w:val="auto"/>
        </w:rPr>
        <w:tab/>
      </w:r>
      <w:r>
        <w:rPr>
          <w:rFonts w:ascii="Courier New" w:cs="Courier New" w:eastAsia="Courier New" w:hAnsi="Courier New"/>
          <w:sz w:val="16"/>
          <w:szCs w:val="16"/>
          <w:color w:val="auto"/>
        </w:rPr>
        <w:t>44</w:t>
      </w:r>
    </w:p>
    <w:p>
      <w:pPr>
        <w:spacing w:after="0" w:line="200" w:lineRule="exact"/>
        <w:rPr>
          <w:sz w:val="20"/>
          <w:szCs w:val="20"/>
          <w:color w:val="auto"/>
        </w:rPr>
      </w:pPr>
    </w:p>
    <w:p>
      <w:pPr>
        <w:spacing w:after="0" w:line="204" w:lineRule="exact"/>
        <w:rPr>
          <w:sz w:val="20"/>
          <w:szCs w:val="20"/>
          <w:color w:val="auto"/>
        </w:rPr>
      </w:pPr>
    </w:p>
    <w:p>
      <w:pPr>
        <w:ind w:left="2420"/>
        <w:spacing w:after="0"/>
        <w:rPr>
          <w:sz w:val="20"/>
          <w:szCs w:val="20"/>
          <w:color w:val="auto"/>
        </w:rPr>
      </w:pPr>
      <w:r>
        <w:rPr>
          <w:rFonts w:ascii="Courier New" w:cs="Courier New" w:eastAsia="Courier New" w:hAnsi="Courier New"/>
          <w:sz w:val="18"/>
          <w:szCs w:val="18"/>
          <w:color w:val="auto"/>
        </w:rPr>
        <w:t>WHERE TO FIND MORE INFORMATION</w:t>
      </w:r>
    </w:p>
    <w:p>
      <w:pPr>
        <w:spacing w:after="0" w:line="207" w:lineRule="exact"/>
        <w:rPr>
          <w:sz w:val="20"/>
          <w:szCs w:val="20"/>
          <w:color w:val="auto"/>
        </w:rPr>
      </w:pPr>
    </w:p>
    <w:p>
      <w:pPr>
        <w:ind w:right="2239" w:firstLine="632"/>
        <w:spacing w:after="0" w:line="238" w:lineRule="auto"/>
        <w:rPr>
          <w:sz w:val="20"/>
          <w:szCs w:val="20"/>
          <w:color w:val="auto"/>
        </w:rPr>
      </w:pPr>
      <w:r>
        <w:rPr>
          <w:rFonts w:ascii="Courier New" w:cs="Courier New" w:eastAsia="Courier New" w:hAnsi="Courier New"/>
          <w:sz w:val="18"/>
          <w:szCs w:val="18"/>
          <w:color w:val="auto"/>
        </w:rPr>
        <w:t>We have filed with the Securities and Exchange Commission a registration statement on Form S-3 (Reg. No. 333-80063) with respect to the securities we are offering. This prospectus does not contain all the information contained in the registration statement, including its exhibits and schedules. You should refer to the registration statement, including the exhibits and schedules, for further information about us and the securities we are offering. Statements we make in this prospectus about certain contracts or other documents are not necessarily complete. When we make such statements, we refer you to the copies of the contracts or documents that are filed as exhibits to the registration statement, because those statements are qualified in all respects by reference to those exhibits. The registration statement, including exhibits and schedules, is on file at the offices of the Commission and may be inspected without charge. We file annual, quarterly and current reports, proxy statements and other information with the Commission. Our Commission filings, including the registration statement, are available to the public over the Internet at the SEC's web site at http://www.sec.gov. You can also read and copy any document we file at:</w:t>
      </w:r>
    </w:p>
    <w:p>
      <w:pPr>
        <w:spacing w:after="0" w:line="208" w:lineRule="exact"/>
        <w:rPr>
          <w:sz w:val="20"/>
          <w:szCs w:val="20"/>
          <w:color w:val="auto"/>
        </w:rPr>
      </w:pPr>
    </w:p>
    <w:p>
      <w:pPr>
        <w:ind w:left="1280" w:right="2239" w:hanging="746"/>
        <w:spacing w:after="0" w:line="235" w:lineRule="auto"/>
        <w:tabs>
          <w:tab w:leader="none" w:pos="12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public reference facilities maintained by the Commission at 450 Fifth Street, N.W., Washington, D.C. 20549, and</w:t>
      </w:r>
    </w:p>
    <w:p>
      <w:pPr>
        <w:spacing w:after="0" w:line="202" w:lineRule="exact"/>
        <w:rPr>
          <w:rFonts w:ascii="Courier New" w:cs="Courier New" w:eastAsia="Courier New" w:hAnsi="Courier New"/>
          <w:sz w:val="18"/>
          <w:szCs w:val="18"/>
          <w:color w:val="auto"/>
        </w:rPr>
      </w:pPr>
    </w:p>
    <w:p>
      <w:pPr>
        <w:ind w:left="1280" w:hanging="746"/>
        <w:spacing w:after="0"/>
        <w:tabs>
          <w:tab w:leader="none" w:pos="12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regional offices of the Commission located at:</w:t>
      </w:r>
    </w:p>
    <w:p>
      <w:pPr>
        <w:spacing w:after="0" w:line="207" w:lineRule="exact"/>
        <w:rPr>
          <w:sz w:val="20"/>
          <w:szCs w:val="20"/>
          <w:color w:val="auto"/>
        </w:rPr>
      </w:pPr>
    </w:p>
    <w:p>
      <w:pPr>
        <w:ind w:left="2000" w:right="2439" w:hanging="728"/>
        <w:spacing w:after="0" w:line="235" w:lineRule="auto"/>
        <w:tabs>
          <w:tab w:leader="none" w:pos="20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500 West Madison Street, Suite 1400, Chicago, Illinois 60661, and</w:t>
      </w:r>
    </w:p>
    <w:p>
      <w:pPr>
        <w:spacing w:after="0" w:line="208" w:lineRule="exact"/>
        <w:rPr>
          <w:rFonts w:ascii="Courier New" w:cs="Courier New" w:eastAsia="Courier New" w:hAnsi="Courier New"/>
          <w:sz w:val="18"/>
          <w:szCs w:val="18"/>
          <w:color w:val="auto"/>
        </w:rPr>
      </w:pPr>
    </w:p>
    <w:p>
      <w:pPr>
        <w:ind w:left="2000" w:hanging="728"/>
        <w:spacing w:after="0"/>
        <w:tabs>
          <w:tab w:leader="none" w:pos="200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7 World Trade Center, Suite 1300, New York, New York 10048.</w:t>
      </w:r>
    </w:p>
    <w:p>
      <w:pPr>
        <w:spacing w:after="0" w:line="224" w:lineRule="exact"/>
        <w:rPr>
          <w:sz w:val="20"/>
          <w:szCs w:val="20"/>
          <w:color w:val="auto"/>
        </w:rPr>
      </w:pPr>
    </w:p>
    <w:p>
      <w:pPr>
        <w:ind w:right="2659" w:firstLine="632"/>
        <w:spacing w:after="0" w:line="235" w:lineRule="auto"/>
        <w:rPr>
          <w:sz w:val="20"/>
          <w:szCs w:val="20"/>
          <w:color w:val="auto"/>
        </w:rPr>
      </w:pPr>
      <w:r>
        <w:rPr>
          <w:rFonts w:ascii="Courier New" w:cs="Courier New" w:eastAsia="Courier New" w:hAnsi="Courier New"/>
          <w:sz w:val="18"/>
          <w:szCs w:val="18"/>
          <w:color w:val="auto"/>
        </w:rPr>
        <w:t>Please call the Commission at 1-800-SEC-0330 for more information about the public reference facilities.</w:t>
      </w:r>
    </w:p>
    <w:p>
      <w:pPr>
        <w:spacing w:after="0" w:line="208" w:lineRule="exact"/>
        <w:rPr>
          <w:sz w:val="20"/>
          <w:szCs w:val="20"/>
          <w:color w:val="auto"/>
        </w:rPr>
      </w:pPr>
    </w:p>
    <w:p>
      <w:pPr>
        <w:jc w:val="both"/>
        <w:ind w:right="2439" w:firstLine="632"/>
        <w:spacing w:after="0" w:line="236" w:lineRule="auto"/>
        <w:rPr>
          <w:sz w:val="20"/>
          <w:szCs w:val="20"/>
          <w:color w:val="auto"/>
        </w:rPr>
      </w:pPr>
      <w:r>
        <w:rPr>
          <w:rFonts w:ascii="Courier New" w:cs="Courier New" w:eastAsia="Courier New" w:hAnsi="Courier New"/>
          <w:sz w:val="18"/>
          <w:szCs w:val="18"/>
          <w:color w:val="auto"/>
        </w:rPr>
        <w:t>You can also inspect material filed by us at the offices of the New York Stock Exchange, 20 Broad Street, New York, New York 10005, on which shares of our common stock are listed.</w:t>
      </w:r>
    </w:p>
    <w:p>
      <w:pPr>
        <w:spacing w:after="0" w:line="208" w:lineRule="exact"/>
        <w:rPr>
          <w:sz w:val="20"/>
          <w:szCs w:val="20"/>
          <w:color w:val="auto"/>
        </w:rPr>
      </w:pPr>
    </w:p>
    <w:p>
      <w:pPr>
        <w:ind w:right="2239" w:firstLine="632"/>
        <w:spacing w:after="0" w:line="268" w:lineRule="auto"/>
        <w:rPr>
          <w:sz w:val="20"/>
          <w:szCs w:val="20"/>
          <w:color w:val="auto"/>
        </w:rPr>
      </w:pPr>
      <w:r>
        <w:rPr>
          <w:rFonts w:ascii="Courier New" w:cs="Courier New" w:eastAsia="Courier New" w:hAnsi="Courier New"/>
          <w:sz w:val="16"/>
          <w:szCs w:val="16"/>
          <w:color w:val="auto"/>
        </w:rPr>
        <w:t>We are incorporating by reference in this prospectus some information we file with the Commission. This means that we are disclosing important</w:t>
      </w:r>
    </w:p>
    <w:tbl>
      <w:tblPr>
        <w:tblLayout w:type="fixed"/>
        <w:tblInd w:w="0" w:type="dxa"/>
        <w:tblCellMar>
          <w:top w:w="0" w:type="dxa"/>
          <w:left w:w="0" w:type="dxa"/>
          <w:bottom w:w="0" w:type="dxa"/>
          <w:right w:w="0" w:type="dxa"/>
        </w:tblCellMar>
      </w:tblPr>
      <w:tr>
        <w:trPr>
          <w:trHeight w:val="198"/>
        </w:trPr>
        <w:tc>
          <w:tcPr>
            <w:tcW w:w="2280" w:type="dxa"/>
            <w:vAlign w:val="bottom"/>
            <w:gridSpan w:val="2"/>
          </w:tcPr>
          <w:p>
            <w:pPr>
              <w:spacing w:after="0" w:line="198" w:lineRule="exact"/>
              <w:rPr>
                <w:sz w:val="20"/>
                <w:szCs w:val="20"/>
                <w:color w:val="auto"/>
              </w:rPr>
            </w:pPr>
            <w:r>
              <w:rPr>
                <w:rFonts w:ascii="Courier New" w:cs="Courier New" w:eastAsia="Courier New" w:hAnsi="Courier New"/>
                <w:sz w:val="18"/>
                <w:szCs w:val="18"/>
                <w:color w:val="auto"/>
                <w:w w:val="99"/>
              </w:rPr>
              <w:t>information to you by</w:t>
            </w:r>
          </w:p>
        </w:tc>
        <w:tc>
          <w:tcPr>
            <w:tcW w:w="1840" w:type="dxa"/>
            <w:vAlign w:val="bottom"/>
          </w:tcPr>
          <w:p>
            <w:pPr>
              <w:ind w:left="40"/>
              <w:spacing w:after="0" w:line="198" w:lineRule="exact"/>
              <w:rPr>
                <w:sz w:val="20"/>
                <w:szCs w:val="20"/>
                <w:color w:val="auto"/>
              </w:rPr>
            </w:pPr>
            <w:r>
              <w:rPr>
                <w:rFonts w:ascii="Courier New" w:cs="Courier New" w:eastAsia="Courier New" w:hAnsi="Courier New"/>
                <w:sz w:val="18"/>
                <w:szCs w:val="18"/>
                <w:color w:val="auto"/>
              </w:rPr>
              <w:t>referring you to</w:t>
            </w:r>
          </w:p>
        </w:tc>
        <w:tc>
          <w:tcPr>
            <w:tcW w:w="3680" w:type="dxa"/>
            <w:vAlign w:val="bottom"/>
          </w:tcPr>
          <w:p>
            <w:pPr>
              <w:spacing w:after="0" w:line="198" w:lineRule="exact"/>
              <w:rPr>
                <w:sz w:val="20"/>
                <w:szCs w:val="20"/>
                <w:color w:val="auto"/>
              </w:rPr>
            </w:pPr>
            <w:r>
              <w:rPr>
                <w:rFonts w:ascii="Courier New" w:cs="Courier New" w:eastAsia="Courier New" w:hAnsi="Courier New"/>
                <w:sz w:val="18"/>
                <w:szCs w:val="18"/>
                <w:color w:val="auto"/>
              </w:rPr>
              <w:t>those documents. Specifically, we</w:t>
            </w:r>
          </w:p>
        </w:tc>
      </w:tr>
      <w:tr>
        <w:trPr>
          <w:trHeight w:val="203"/>
        </w:trPr>
        <w:tc>
          <w:tcPr>
            <w:tcW w:w="780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incorporate by reference the documents set forth below that we have</w:t>
            </w:r>
          </w:p>
        </w:tc>
      </w:tr>
      <w:tr>
        <w:trPr>
          <w:trHeight w:val="203"/>
        </w:trPr>
        <w:tc>
          <w:tcPr>
            <w:tcW w:w="22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previously filed with</w:t>
            </w:r>
          </w:p>
        </w:tc>
        <w:tc>
          <w:tcPr>
            <w:tcW w:w="1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Commission:</w:t>
            </w:r>
          </w:p>
        </w:tc>
        <w:tc>
          <w:tcPr>
            <w:tcW w:w="3680" w:type="dxa"/>
            <w:vAlign w:val="bottom"/>
          </w:tcPr>
          <w:p>
            <w:pPr>
              <w:spacing w:after="0"/>
              <w:rPr>
                <w:sz w:val="17"/>
                <w:szCs w:val="17"/>
                <w:color w:val="auto"/>
              </w:rPr>
            </w:pPr>
          </w:p>
        </w:tc>
      </w:tr>
      <w:tr>
        <w:trPr>
          <w:trHeight w:val="607"/>
        </w:trPr>
        <w:tc>
          <w:tcPr>
            <w:tcW w:w="4120" w:type="dxa"/>
            <w:vAlign w:val="bottom"/>
            <w:gridSpan w:val="3"/>
          </w:tcPr>
          <w:p>
            <w:pPr>
              <w:spacing w:after="0"/>
              <w:rPr>
                <w:sz w:val="20"/>
                <w:szCs w:val="20"/>
                <w:color w:val="auto"/>
              </w:rPr>
            </w:pPr>
            <w:r>
              <w:rPr>
                <w:rFonts w:ascii="Courier New" w:cs="Courier New" w:eastAsia="Courier New" w:hAnsi="Courier New"/>
                <w:sz w:val="18"/>
                <w:szCs w:val="18"/>
                <w:color w:val="auto"/>
              </w:rPr>
              <w:t>COMMISSION FILINGS (FILE NO. 1-12154)</w:t>
            </w:r>
          </w:p>
        </w:tc>
        <w:tc>
          <w:tcPr>
            <w:tcW w:w="3680" w:type="dxa"/>
            <w:vAlign w:val="bottom"/>
          </w:tcPr>
          <w:p>
            <w:pPr>
              <w:spacing w:after="0"/>
              <w:rPr>
                <w:sz w:val="20"/>
                <w:szCs w:val="20"/>
                <w:color w:val="auto"/>
              </w:rPr>
            </w:pPr>
            <w:r>
              <w:rPr>
                <w:rFonts w:ascii="Courier New" w:cs="Courier New" w:eastAsia="Courier New" w:hAnsi="Courier New"/>
                <w:sz w:val="18"/>
                <w:szCs w:val="18"/>
                <w:color w:val="auto"/>
              </w:rPr>
              <w:t>PERIOD/DATE</w:t>
            </w:r>
          </w:p>
        </w:tc>
      </w:tr>
      <w:tr>
        <w:trPr>
          <w:trHeight w:val="203"/>
        </w:trPr>
        <w:tc>
          <w:tcPr>
            <w:tcW w:w="412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7"/>
              </w:rPr>
              <w:t>- -------------------------------------</w:t>
            </w:r>
          </w:p>
        </w:tc>
        <w:tc>
          <w:tcPr>
            <w:tcW w:w="36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20" w:type="dxa"/>
            <w:vAlign w:val="bottom"/>
          </w:tcPr>
          <w:p>
            <w:pPr>
              <w:spacing w:after="0" w:line="203" w:lineRule="exact"/>
              <w:rPr>
                <w:sz w:val="20"/>
                <w:szCs w:val="20"/>
                <w:color w:val="auto"/>
              </w:rPr>
            </w:pPr>
            <w:r>
              <w:rPr>
                <w:rFonts w:ascii="Courier New" w:cs="Courier New" w:eastAsia="Courier New" w:hAnsi="Courier New"/>
                <w:sz w:val="18"/>
                <w:szCs w:val="18"/>
                <w:color w:val="auto"/>
              </w:rPr>
              <w:t>o</w:t>
            </w:r>
          </w:p>
        </w:tc>
        <w:tc>
          <w:tcPr>
            <w:tcW w:w="1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Annual Report on</w:t>
            </w:r>
          </w:p>
        </w:tc>
        <w:tc>
          <w:tcPr>
            <w:tcW w:w="1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Form 10-K</w:t>
            </w:r>
          </w:p>
        </w:tc>
        <w:tc>
          <w:tcPr>
            <w:tcW w:w="3680" w:type="dxa"/>
            <w:vAlign w:val="bottom"/>
          </w:tcPr>
          <w:p>
            <w:pPr>
              <w:spacing w:after="0" w:line="203" w:lineRule="exact"/>
              <w:rPr>
                <w:sz w:val="20"/>
                <w:szCs w:val="20"/>
                <w:color w:val="auto"/>
              </w:rPr>
            </w:pPr>
            <w:r>
              <w:rPr>
                <w:rFonts w:ascii="Courier New" w:cs="Courier New" w:eastAsia="Courier New" w:hAnsi="Courier New"/>
                <w:sz w:val="18"/>
                <w:szCs w:val="18"/>
                <w:color w:val="auto"/>
              </w:rPr>
              <w:t>Year ended December 31, 1998</w:t>
            </w:r>
          </w:p>
        </w:tc>
      </w:tr>
      <w:tr>
        <w:trPr>
          <w:trHeight w:val="405"/>
        </w:trPr>
        <w:tc>
          <w:tcPr>
            <w:tcW w:w="320" w:type="dxa"/>
            <w:vAlign w:val="bottom"/>
          </w:tcPr>
          <w:p>
            <w:pPr>
              <w:spacing w:after="0"/>
              <w:rPr>
                <w:sz w:val="20"/>
                <w:szCs w:val="20"/>
                <w:color w:val="auto"/>
              </w:rPr>
            </w:pPr>
            <w:r>
              <w:rPr>
                <w:rFonts w:ascii="Courier New" w:cs="Courier New" w:eastAsia="Courier New" w:hAnsi="Courier New"/>
                <w:sz w:val="18"/>
                <w:szCs w:val="18"/>
                <w:color w:val="auto"/>
              </w:rPr>
              <w:t>o</w:t>
            </w:r>
          </w:p>
        </w:tc>
        <w:tc>
          <w:tcPr>
            <w:tcW w:w="1960" w:type="dxa"/>
            <w:vAlign w:val="bottom"/>
          </w:tcPr>
          <w:p>
            <w:pPr>
              <w:ind w:left="220"/>
              <w:spacing w:after="0"/>
              <w:rPr>
                <w:sz w:val="20"/>
                <w:szCs w:val="20"/>
                <w:color w:val="auto"/>
              </w:rPr>
            </w:pPr>
            <w:r>
              <w:rPr>
                <w:rFonts w:ascii="Courier New" w:cs="Courier New" w:eastAsia="Courier New" w:hAnsi="Courier New"/>
                <w:sz w:val="18"/>
                <w:szCs w:val="18"/>
                <w:color w:val="auto"/>
                <w:w w:val="99"/>
              </w:rPr>
              <w:t>Quarterly Report</w:t>
            </w:r>
          </w:p>
        </w:tc>
        <w:tc>
          <w:tcPr>
            <w:tcW w:w="1840" w:type="dxa"/>
            <w:vAlign w:val="bottom"/>
          </w:tcPr>
          <w:p>
            <w:pPr>
              <w:ind w:left="40"/>
              <w:spacing w:after="0"/>
              <w:rPr>
                <w:sz w:val="20"/>
                <w:szCs w:val="20"/>
                <w:color w:val="auto"/>
              </w:rPr>
            </w:pPr>
            <w:r>
              <w:rPr>
                <w:rFonts w:ascii="Courier New" w:cs="Courier New" w:eastAsia="Courier New" w:hAnsi="Courier New"/>
                <w:sz w:val="18"/>
                <w:szCs w:val="18"/>
                <w:color w:val="auto"/>
              </w:rPr>
              <w:t>on Form 10-Q</w:t>
            </w:r>
          </w:p>
        </w:tc>
        <w:tc>
          <w:tcPr>
            <w:tcW w:w="3680" w:type="dxa"/>
            <w:vAlign w:val="bottom"/>
          </w:tcPr>
          <w:p>
            <w:pPr>
              <w:spacing w:after="0"/>
              <w:rPr>
                <w:sz w:val="20"/>
                <w:szCs w:val="20"/>
                <w:color w:val="auto"/>
              </w:rPr>
            </w:pPr>
            <w:r>
              <w:rPr>
                <w:rFonts w:ascii="Courier New" w:cs="Courier New" w:eastAsia="Courier New" w:hAnsi="Courier New"/>
                <w:sz w:val="18"/>
                <w:szCs w:val="18"/>
                <w:color w:val="auto"/>
              </w:rPr>
              <w:t>Quarter ended March 31, 1999</w:t>
            </w:r>
          </w:p>
        </w:tc>
      </w:tr>
      <w:tr>
        <w:trPr>
          <w:trHeight w:val="202"/>
        </w:trPr>
        <w:tc>
          <w:tcPr>
            <w:tcW w:w="3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3680" w:type="dxa"/>
            <w:vAlign w:val="bottom"/>
          </w:tcPr>
          <w:p>
            <w:pPr>
              <w:spacing w:after="0" w:line="203" w:lineRule="exact"/>
              <w:rPr>
                <w:sz w:val="20"/>
                <w:szCs w:val="20"/>
                <w:color w:val="auto"/>
              </w:rPr>
            </w:pPr>
            <w:r>
              <w:rPr>
                <w:rFonts w:ascii="Courier New" w:cs="Courier New" w:eastAsia="Courier New" w:hAnsi="Courier New"/>
                <w:sz w:val="18"/>
                <w:szCs w:val="18"/>
                <w:color w:val="auto"/>
              </w:rPr>
              <w:t>(certain items in financial</w:t>
            </w:r>
          </w:p>
        </w:tc>
      </w:tr>
      <w:tr>
        <w:trPr>
          <w:trHeight w:val="203"/>
        </w:trPr>
        <w:tc>
          <w:tcPr>
            <w:tcW w:w="3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368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statements were revised in June 30,</w:t>
            </w:r>
          </w:p>
        </w:tc>
      </w:tr>
      <w:tr>
        <w:trPr>
          <w:trHeight w:val="203"/>
        </w:trPr>
        <w:tc>
          <w:tcPr>
            <w:tcW w:w="3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3680" w:type="dxa"/>
            <w:vAlign w:val="bottom"/>
          </w:tcPr>
          <w:p>
            <w:pPr>
              <w:spacing w:after="0" w:line="203" w:lineRule="exact"/>
              <w:rPr>
                <w:sz w:val="20"/>
                <w:szCs w:val="20"/>
                <w:color w:val="auto"/>
              </w:rPr>
            </w:pPr>
            <w:r>
              <w:rPr>
                <w:rFonts w:ascii="Courier New" w:cs="Courier New" w:eastAsia="Courier New" w:hAnsi="Courier New"/>
                <w:sz w:val="18"/>
                <w:szCs w:val="18"/>
                <w:color w:val="auto"/>
              </w:rPr>
              <w:t>1999 Form 10-Q)</w:t>
            </w:r>
          </w:p>
        </w:tc>
      </w:tr>
      <w:tr>
        <w:trPr>
          <w:trHeight w:val="405"/>
        </w:trPr>
        <w:tc>
          <w:tcPr>
            <w:tcW w:w="320" w:type="dxa"/>
            <w:vAlign w:val="bottom"/>
          </w:tcPr>
          <w:p>
            <w:pPr>
              <w:spacing w:after="0"/>
              <w:rPr>
                <w:sz w:val="20"/>
                <w:szCs w:val="20"/>
                <w:color w:val="auto"/>
              </w:rPr>
            </w:pPr>
            <w:r>
              <w:rPr>
                <w:rFonts w:ascii="Courier New" w:cs="Courier New" w:eastAsia="Courier New" w:hAnsi="Courier New"/>
                <w:sz w:val="18"/>
                <w:szCs w:val="18"/>
                <w:color w:val="auto"/>
              </w:rPr>
              <w:t>o</w:t>
            </w:r>
          </w:p>
        </w:tc>
        <w:tc>
          <w:tcPr>
            <w:tcW w:w="1960" w:type="dxa"/>
            <w:vAlign w:val="bottom"/>
          </w:tcPr>
          <w:p>
            <w:pPr>
              <w:ind w:left="220"/>
              <w:spacing w:after="0"/>
              <w:rPr>
                <w:sz w:val="20"/>
                <w:szCs w:val="20"/>
                <w:color w:val="auto"/>
              </w:rPr>
            </w:pPr>
            <w:r>
              <w:rPr>
                <w:rFonts w:ascii="Courier New" w:cs="Courier New" w:eastAsia="Courier New" w:hAnsi="Courier New"/>
                <w:sz w:val="18"/>
                <w:szCs w:val="18"/>
                <w:color w:val="auto"/>
                <w:w w:val="99"/>
              </w:rPr>
              <w:t>Quarterly Report</w:t>
            </w:r>
          </w:p>
        </w:tc>
        <w:tc>
          <w:tcPr>
            <w:tcW w:w="1840" w:type="dxa"/>
            <w:vAlign w:val="bottom"/>
          </w:tcPr>
          <w:p>
            <w:pPr>
              <w:ind w:left="40"/>
              <w:spacing w:after="0"/>
              <w:rPr>
                <w:sz w:val="20"/>
                <w:szCs w:val="20"/>
                <w:color w:val="auto"/>
              </w:rPr>
            </w:pPr>
            <w:r>
              <w:rPr>
                <w:rFonts w:ascii="Courier New" w:cs="Courier New" w:eastAsia="Courier New" w:hAnsi="Courier New"/>
                <w:sz w:val="18"/>
                <w:szCs w:val="18"/>
                <w:color w:val="auto"/>
              </w:rPr>
              <w:t>on Form 10-Q</w:t>
            </w:r>
          </w:p>
        </w:tc>
        <w:tc>
          <w:tcPr>
            <w:tcW w:w="3680" w:type="dxa"/>
            <w:vAlign w:val="bottom"/>
          </w:tcPr>
          <w:p>
            <w:pPr>
              <w:spacing w:after="0"/>
              <w:rPr>
                <w:sz w:val="20"/>
                <w:szCs w:val="20"/>
                <w:color w:val="auto"/>
              </w:rPr>
            </w:pPr>
            <w:r>
              <w:rPr>
                <w:rFonts w:ascii="Courier New" w:cs="Courier New" w:eastAsia="Courier New" w:hAnsi="Courier New"/>
                <w:sz w:val="18"/>
                <w:szCs w:val="18"/>
                <w:color w:val="auto"/>
              </w:rPr>
              <w:t>Quarter ended June 30, 1999</w:t>
            </w:r>
          </w:p>
        </w:tc>
      </w:tr>
      <w:tr>
        <w:trPr>
          <w:trHeight w:val="405"/>
        </w:trPr>
        <w:tc>
          <w:tcPr>
            <w:tcW w:w="320" w:type="dxa"/>
            <w:vAlign w:val="bottom"/>
          </w:tcPr>
          <w:p>
            <w:pPr>
              <w:spacing w:after="0"/>
              <w:rPr>
                <w:sz w:val="20"/>
                <w:szCs w:val="20"/>
                <w:color w:val="auto"/>
              </w:rPr>
            </w:pPr>
            <w:r>
              <w:rPr>
                <w:rFonts w:ascii="Courier New" w:cs="Courier New" w:eastAsia="Courier New" w:hAnsi="Courier New"/>
                <w:sz w:val="18"/>
                <w:szCs w:val="18"/>
                <w:color w:val="auto"/>
              </w:rPr>
              <w:t>o</w:t>
            </w:r>
          </w:p>
        </w:tc>
        <w:tc>
          <w:tcPr>
            <w:tcW w:w="1960" w:type="dxa"/>
            <w:vAlign w:val="bottom"/>
          </w:tcPr>
          <w:p>
            <w:pPr>
              <w:ind w:left="220"/>
              <w:spacing w:after="0"/>
              <w:rPr>
                <w:sz w:val="20"/>
                <w:szCs w:val="20"/>
                <w:color w:val="auto"/>
              </w:rPr>
            </w:pPr>
            <w:r>
              <w:rPr>
                <w:rFonts w:ascii="Courier New" w:cs="Courier New" w:eastAsia="Courier New" w:hAnsi="Courier New"/>
                <w:sz w:val="18"/>
                <w:szCs w:val="18"/>
                <w:color w:val="auto"/>
                <w:w w:val="99"/>
              </w:rPr>
              <w:t>Quarterly Report</w:t>
            </w:r>
          </w:p>
        </w:tc>
        <w:tc>
          <w:tcPr>
            <w:tcW w:w="1840" w:type="dxa"/>
            <w:vAlign w:val="bottom"/>
          </w:tcPr>
          <w:p>
            <w:pPr>
              <w:ind w:left="40"/>
              <w:spacing w:after="0"/>
              <w:rPr>
                <w:sz w:val="20"/>
                <w:szCs w:val="20"/>
                <w:color w:val="auto"/>
              </w:rPr>
            </w:pPr>
            <w:r>
              <w:rPr>
                <w:rFonts w:ascii="Courier New" w:cs="Courier New" w:eastAsia="Courier New" w:hAnsi="Courier New"/>
                <w:sz w:val="18"/>
                <w:szCs w:val="18"/>
                <w:color w:val="auto"/>
              </w:rPr>
              <w:t>on Form 10-Q</w:t>
            </w:r>
          </w:p>
        </w:tc>
        <w:tc>
          <w:tcPr>
            <w:tcW w:w="3680" w:type="dxa"/>
            <w:vAlign w:val="bottom"/>
          </w:tcPr>
          <w:p>
            <w:pPr>
              <w:spacing w:after="0"/>
              <w:rPr>
                <w:sz w:val="20"/>
                <w:szCs w:val="20"/>
                <w:color w:val="auto"/>
              </w:rPr>
            </w:pPr>
            <w:r>
              <w:rPr>
                <w:rFonts w:ascii="Courier New" w:cs="Courier New" w:eastAsia="Courier New" w:hAnsi="Courier New"/>
                <w:sz w:val="18"/>
                <w:szCs w:val="18"/>
                <w:color w:val="auto"/>
              </w:rPr>
              <w:t>Quarter ended September 30, 1999</w:t>
            </w:r>
          </w:p>
        </w:tc>
      </w:tr>
      <w:tr>
        <w:trPr>
          <w:trHeight w:val="203"/>
        </w:trPr>
        <w:tc>
          <w:tcPr>
            <w:tcW w:w="320" w:type="dxa"/>
            <w:vAlign w:val="bottom"/>
          </w:tcPr>
          <w:p>
            <w:pPr>
              <w:spacing w:after="0"/>
              <w:rPr>
                <w:sz w:val="17"/>
                <w:szCs w:val="17"/>
                <w:color w:val="auto"/>
              </w:rPr>
            </w:pPr>
          </w:p>
        </w:tc>
        <w:tc>
          <w:tcPr>
            <w:tcW w:w="38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(as amended on Form 10-Q/A)</w:t>
            </w:r>
          </w:p>
        </w:tc>
        <w:tc>
          <w:tcPr>
            <w:tcW w:w="3680" w:type="dxa"/>
            <w:vAlign w:val="bottom"/>
          </w:tcPr>
          <w:p>
            <w:pPr>
              <w:spacing w:after="0"/>
              <w:rPr>
                <w:sz w:val="17"/>
                <w:szCs w:val="17"/>
                <w:color w:val="auto"/>
              </w:rPr>
            </w:pPr>
          </w:p>
        </w:tc>
      </w:tr>
      <w:tr>
        <w:trPr>
          <w:trHeight w:val="607"/>
        </w:trPr>
        <w:tc>
          <w:tcPr>
            <w:tcW w:w="320" w:type="dxa"/>
            <w:vAlign w:val="bottom"/>
          </w:tcPr>
          <w:p>
            <w:pPr>
              <w:spacing w:after="0"/>
              <w:rPr>
                <w:sz w:val="20"/>
                <w:szCs w:val="20"/>
                <w:color w:val="auto"/>
              </w:rPr>
            </w:pPr>
            <w:r>
              <w:rPr>
                <w:rFonts w:ascii="Courier New" w:cs="Courier New" w:eastAsia="Courier New" w:hAnsi="Courier New"/>
                <w:sz w:val="18"/>
                <w:szCs w:val="18"/>
                <w:color w:val="auto"/>
              </w:rPr>
              <w:t>o</w:t>
            </w:r>
          </w:p>
        </w:tc>
        <w:tc>
          <w:tcPr>
            <w:tcW w:w="380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Current Report on Form 8-K</w:t>
            </w:r>
          </w:p>
        </w:tc>
        <w:tc>
          <w:tcPr>
            <w:tcW w:w="3680" w:type="dxa"/>
            <w:vAlign w:val="bottom"/>
          </w:tcPr>
          <w:p>
            <w:pPr>
              <w:spacing w:after="0"/>
              <w:rPr>
                <w:sz w:val="20"/>
                <w:szCs w:val="20"/>
                <w:color w:val="auto"/>
              </w:rPr>
            </w:pPr>
            <w:r>
              <w:rPr>
                <w:rFonts w:ascii="Courier New" w:cs="Courier New" w:eastAsia="Courier New" w:hAnsi="Courier New"/>
                <w:sz w:val="18"/>
                <w:szCs w:val="18"/>
                <w:color w:val="auto"/>
              </w:rPr>
              <w:t>August 13, 1999</w:t>
            </w:r>
          </w:p>
        </w:tc>
      </w:tr>
      <w:tr>
        <w:trPr>
          <w:trHeight w:val="405"/>
        </w:trPr>
        <w:tc>
          <w:tcPr>
            <w:tcW w:w="320" w:type="dxa"/>
            <w:vAlign w:val="bottom"/>
          </w:tcPr>
          <w:p>
            <w:pPr>
              <w:spacing w:after="0"/>
              <w:rPr>
                <w:sz w:val="20"/>
                <w:szCs w:val="20"/>
                <w:color w:val="auto"/>
              </w:rPr>
            </w:pPr>
            <w:r>
              <w:rPr>
                <w:rFonts w:ascii="Courier New" w:cs="Courier New" w:eastAsia="Courier New" w:hAnsi="Courier New"/>
                <w:sz w:val="18"/>
                <w:szCs w:val="18"/>
                <w:color w:val="auto"/>
              </w:rPr>
              <w:t>o</w:t>
            </w:r>
          </w:p>
        </w:tc>
        <w:tc>
          <w:tcPr>
            <w:tcW w:w="380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Current Report on Form 8-K</w:t>
            </w:r>
          </w:p>
        </w:tc>
        <w:tc>
          <w:tcPr>
            <w:tcW w:w="3680" w:type="dxa"/>
            <w:vAlign w:val="bottom"/>
          </w:tcPr>
          <w:p>
            <w:pPr>
              <w:spacing w:after="0"/>
              <w:rPr>
                <w:sz w:val="20"/>
                <w:szCs w:val="20"/>
                <w:color w:val="auto"/>
              </w:rPr>
            </w:pPr>
            <w:r>
              <w:rPr>
                <w:rFonts w:ascii="Courier New" w:cs="Courier New" w:eastAsia="Courier New" w:hAnsi="Courier New"/>
                <w:sz w:val="18"/>
                <w:szCs w:val="18"/>
                <w:color w:val="auto"/>
              </w:rPr>
              <w:t>September 16, 1999</w:t>
            </w:r>
          </w:p>
        </w:tc>
      </w:tr>
    </w:tbl>
    <w:p>
      <w:pPr>
        <w:sectPr>
          <w:pgSz w:w="11900" w:h="16916" w:orient="portrait"/>
          <w:cols w:equalWidth="0" w:num="1">
            <w:col w:w="10139"/>
          </w:cols>
          <w:pgMar w:left="320" w:top="919" w:right="1440" w:bottom="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0" w:type="dxa"/>
            <w:vAlign w:val="bottom"/>
          </w:tcPr>
          <w:p>
            <w:pPr>
              <w:spacing w:after="0"/>
              <w:rPr>
                <w:sz w:val="20"/>
                <w:szCs w:val="20"/>
                <w:color w:val="auto"/>
              </w:rPr>
            </w:pPr>
            <w:r>
              <w:rPr>
                <w:rFonts w:ascii="Courier New" w:cs="Courier New" w:eastAsia="Courier New" w:hAnsi="Courier New"/>
                <w:sz w:val="18"/>
                <w:szCs w:val="18"/>
                <w:color w:val="auto"/>
              </w:rPr>
              <w:t>o</w:t>
            </w:r>
          </w:p>
        </w:tc>
        <w:tc>
          <w:tcPr>
            <w:tcW w:w="1740" w:type="dxa"/>
            <w:vAlign w:val="bottom"/>
          </w:tcPr>
          <w:p>
            <w:pPr>
              <w:ind w:left="220"/>
              <w:spacing w:after="0"/>
              <w:rPr>
                <w:sz w:val="20"/>
                <w:szCs w:val="20"/>
                <w:color w:val="auto"/>
              </w:rPr>
            </w:pPr>
            <w:r>
              <w:rPr>
                <w:rFonts w:ascii="Courier New" w:cs="Courier New" w:eastAsia="Courier New" w:hAnsi="Courier New"/>
                <w:sz w:val="18"/>
                <w:szCs w:val="18"/>
                <w:color w:val="auto"/>
                <w:w w:val="99"/>
              </w:rPr>
              <w:t>Current Report</w:t>
            </w:r>
          </w:p>
        </w:tc>
        <w:tc>
          <w:tcPr>
            <w:tcW w:w="1840" w:type="dxa"/>
            <w:vAlign w:val="bottom"/>
          </w:tcPr>
          <w:p>
            <w:pPr>
              <w:ind w:left="60"/>
              <w:spacing w:after="0"/>
              <w:rPr>
                <w:sz w:val="20"/>
                <w:szCs w:val="20"/>
                <w:color w:val="auto"/>
              </w:rPr>
            </w:pPr>
            <w:r>
              <w:rPr>
                <w:rFonts w:ascii="Courier New" w:cs="Courier New" w:eastAsia="Courier New" w:hAnsi="Courier New"/>
                <w:sz w:val="18"/>
                <w:szCs w:val="18"/>
                <w:color w:val="auto"/>
              </w:rPr>
              <w:t>on Form 8-K</w:t>
            </w:r>
          </w:p>
        </w:tc>
        <w:tc>
          <w:tcPr>
            <w:tcW w:w="1100" w:type="dxa"/>
            <w:vAlign w:val="bottom"/>
          </w:tcPr>
          <w:p>
            <w:pPr>
              <w:ind w:left="220"/>
              <w:spacing w:after="0"/>
              <w:rPr>
                <w:sz w:val="20"/>
                <w:szCs w:val="20"/>
                <w:color w:val="auto"/>
              </w:rPr>
            </w:pPr>
            <w:r>
              <w:rPr>
                <w:rFonts w:ascii="Courier New" w:cs="Courier New" w:eastAsia="Courier New" w:hAnsi="Courier New"/>
                <w:sz w:val="18"/>
                <w:szCs w:val="18"/>
                <w:color w:val="auto"/>
                <w:w w:val="99"/>
              </w:rPr>
              <w:t>February</w:t>
            </w:r>
          </w:p>
        </w:tc>
        <w:tc>
          <w:tcPr>
            <w:tcW w:w="900" w:type="dxa"/>
            <w:vAlign w:val="bottom"/>
          </w:tcPr>
          <w:p>
            <w:pPr>
              <w:ind w:left="60"/>
              <w:spacing w:after="0"/>
              <w:rPr>
                <w:sz w:val="20"/>
                <w:szCs w:val="20"/>
                <w:color w:val="auto"/>
              </w:rPr>
            </w:pPr>
            <w:r>
              <w:rPr>
                <w:rFonts w:ascii="Courier New" w:cs="Courier New" w:eastAsia="Courier New" w:hAnsi="Courier New"/>
                <w:sz w:val="18"/>
                <w:szCs w:val="18"/>
                <w:color w:val="auto"/>
                <w:w w:val="94"/>
              </w:rPr>
              <w:t>10, 2000</w:t>
            </w:r>
          </w:p>
        </w:tc>
      </w:tr>
      <w:tr>
        <w:trPr>
          <w:trHeight w:val="405"/>
        </w:trPr>
        <w:tc>
          <w:tcPr>
            <w:tcW w:w="320" w:type="dxa"/>
            <w:vAlign w:val="bottom"/>
          </w:tcPr>
          <w:p>
            <w:pPr>
              <w:spacing w:after="0"/>
              <w:rPr>
                <w:sz w:val="20"/>
                <w:szCs w:val="20"/>
                <w:color w:val="auto"/>
              </w:rPr>
            </w:pPr>
            <w:r>
              <w:rPr>
                <w:rFonts w:ascii="Courier New" w:cs="Courier New" w:eastAsia="Courier New" w:hAnsi="Courier New"/>
                <w:sz w:val="18"/>
                <w:szCs w:val="18"/>
                <w:color w:val="auto"/>
              </w:rPr>
              <w:t>o</w:t>
            </w:r>
          </w:p>
        </w:tc>
        <w:tc>
          <w:tcPr>
            <w:tcW w:w="358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Proxy Statement for the 1999</w:t>
            </w:r>
          </w:p>
        </w:tc>
        <w:tc>
          <w:tcPr>
            <w:tcW w:w="1100" w:type="dxa"/>
            <w:vAlign w:val="bottom"/>
          </w:tcPr>
          <w:p>
            <w:pPr>
              <w:ind w:left="220"/>
              <w:spacing w:after="0"/>
              <w:rPr>
                <w:sz w:val="20"/>
                <w:szCs w:val="20"/>
                <w:color w:val="auto"/>
              </w:rPr>
            </w:pPr>
            <w:r>
              <w:rPr>
                <w:rFonts w:ascii="Courier New" w:cs="Courier New" w:eastAsia="Courier New" w:hAnsi="Courier New"/>
                <w:sz w:val="18"/>
                <w:szCs w:val="18"/>
                <w:color w:val="auto"/>
                <w:w w:val="99"/>
              </w:rPr>
              <w:t>April 5,</w:t>
            </w:r>
          </w:p>
        </w:tc>
        <w:tc>
          <w:tcPr>
            <w:tcW w:w="900" w:type="dxa"/>
            <w:vAlign w:val="bottom"/>
          </w:tcPr>
          <w:p>
            <w:pPr>
              <w:ind w:left="60"/>
              <w:spacing w:after="0"/>
              <w:rPr>
                <w:sz w:val="20"/>
                <w:szCs w:val="20"/>
                <w:color w:val="auto"/>
              </w:rPr>
            </w:pPr>
            <w:r>
              <w:rPr>
                <w:rFonts w:ascii="Courier New" w:cs="Courier New" w:eastAsia="Courier New" w:hAnsi="Courier New"/>
                <w:sz w:val="18"/>
                <w:szCs w:val="18"/>
                <w:color w:val="auto"/>
              </w:rPr>
              <w:t>1999</w:t>
            </w:r>
          </w:p>
        </w:tc>
      </w:tr>
      <w:tr>
        <w:trPr>
          <w:trHeight w:val="203"/>
        </w:trPr>
        <w:tc>
          <w:tcPr>
            <w:tcW w:w="320" w:type="dxa"/>
            <w:vAlign w:val="bottom"/>
          </w:tcPr>
          <w:p>
            <w:pPr>
              <w:spacing w:after="0"/>
              <w:rPr>
                <w:sz w:val="17"/>
                <w:szCs w:val="17"/>
                <w:color w:val="auto"/>
              </w:rPr>
            </w:pPr>
          </w:p>
        </w:tc>
        <w:tc>
          <w:tcPr>
            <w:tcW w:w="1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Annual Meeting</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of Stockholders</w:t>
            </w:r>
          </w:p>
        </w:tc>
        <w:tc>
          <w:tcPr>
            <w:tcW w:w="1100" w:type="dxa"/>
            <w:vAlign w:val="bottom"/>
          </w:tcPr>
          <w:p>
            <w:pPr>
              <w:spacing w:after="0"/>
              <w:rPr>
                <w:sz w:val="17"/>
                <w:szCs w:val="17"/>
                <w:color w:val="auto"/>
              </w:rPr>
            </w:pPr>
          </w:p>
        </w:tc>
        <w:tc>
          <w:tcPr>
            <w:tcW w:w="900" w:type="dxa"/>
            <w:vAlign w:val="bottom"/>
          </w:tcPr>
          <w:p>
            <w:pPr>
              <w:spacing w:after="0"/>
              <w:rPr>
                <w:sz w:val="17"/>
                <w:szCs w:val="17"/>
                <w:color w:val="auto"/>
              </w:rPr>
            </w:pPr>
          </w:p>
        </w:tc>
      </w:tr>
    </w:tbl>
    <w:p>
      <w:pPr>
        <w:spacing w:after="0" w:line="207" w:lineRule="exact"/>
        <w:rPr>
          <w:sz w:val="20"/>
          <w:szCs w:val="20"/>
          <w:color w:val="auto"/>
        </w:rPr>
      </w:pPr>
    </w:p>
    <w:p>
      <w:pPr>
        <w:ind w:right="2339" w:firstLine="632"/>
        <w:spacing w:after="0" w:line="237" w:lineRule="auto"/>
        <w:rPr>
          <w:sz w:val="20"/>
          <w:szCs w:val="20"/>
          <w:color w:val="auto"/>
        </w:rPr>
      </w:pPr>
      <w:r>
        <w:rPr>
          <w:rFonts w:ascii="Courier New" w:cs="Courier New" w:eastAsia="Courier New" w:hAnsi="Courier New"/>
          <w:sz w:val="18"/>
          <w:szCs w:val="18"/>
          <w:color w:val="auto"/>
        </w:rPr>
        <w:t>We also incorporate by reference the information contained in any future filings made with the Commission under Sections 13(a), 13(c), 14 or 15(d) of the Securities Exchange Act until we sell all of the securities covered by this prospectus, which information will be deemed to automatically update and supersede this information.</w:t>
      </w:r>
    </w:p>
    <w:p>
      <w:pPr>
        <w:spacing w:after="0" w:line="208" w:lineRule="exact"/>
        <w:rPr>
          <w:sz w:val="20"/>
          <w:szCs w:val="20"/>
          <w:color w:val="auto"/>
        </w:rPr>
      </w:pPr>
    </w:p>
    <w:p>
      <w:pPr>
        <w:ind w:right="2659" w:firstLine="632"/>
        <w:spacing w:after="0" w:line="235" w:lineRule="auto"/>
        <w:rPr>
          <w:sz w:val="20"/>
          <w:szCs w:val="20"/>
          <w:color w:val="auto"/>
        </w:rPr>
      </w:pPr>
      <w:r>
        <w:rPr>
          <w:rFonts w:ascii="Courier New" w:cs="Courier New" w:eastAsia="Courier New" w:hAnsi="Courier New"/>
          <w:sz w:val="18"/>
          <w:szCs w:val="18"/>
          <w:color w:val="auto"/>
        </w:rPr>
        <w:t>YOU MAY REQUEST A COPY OF THESE FILINGS AT NO COST, BY WRITING OR TELEPHONING US AT THE FOLLOWING ADDRESS:</w:t>
      </w:r>
    </w:p>
    <w:p>
      <w:pPr>
        <w:spacing w:after="0" w:line="202" w:lineRule="exact"/>
        <w:rPr>
          <w:sz w:val="20"/>
          <w:szCs w:val="20"/>
          <w:color w:val="auto"/>
        </w:rPr>
      </w:pPr>
    </w:p>
    <w:p>
      <w:pPr>
        <w:jc w:val="center"/>
        <w:ind w:right="1919"/>
        <w:spacing w:after="0"/>
        <w:rPr>
          <w:sz w:val="20"/>
          <w:szCs w:val="20"/>
          <w:color w:val="auto"/>
        </w:rPr>
      </w:pPr>
      <w:r>
        <w:rPr>
          <w:rFonts w:ascii="Courier New" w:cs="Courier New" w:eastAsia="Courier New" w:hAnsi="Courier New"/>
          <w:sz w:val="18"/>
          <w:szCs w:val="18"/>
          <w:color w:val="auto"/>
        </w:rPr>
        <w:t>WASTE MANAGEMENT, INC.</w:t>
      </w:r>
    </w:p>
    <w:p>
      <w:pPr>
        <w:jc w:val="center"/>
        <w:ind w:right="1919"/>
        <w:spacing w:after="0" w:line="238" w:lineRule="auto"/>
        <w:rPr>
          <w:sz w:val="20"/>
          <w:szCs w:val="20"/>
          <w:color w:val="auto"/>
        </w:rPr>
      </w:pPr>
      <w:r>
        <w:rPr>
          <w:rFonts w:ascii="Courier New" w:cs="Courier New" w:eastAsia="Courier New" w:hAnsi="Courier New"/>
          <w:sz w:val="18"/>
          <w:szCs w:val="18"/>
          <w:color w:val="auto"/>
        </w:rPr>
        <w:t>1001 FANNIN STREET, SUITE 4000</w:t>
      </w:r>
    </w:p>
    <w:p>
      <w:pPr>
        <w:jc w:val="center"/>
        <w:ind w:right="1919"/>
        <w:spacing w:after="0" w:line="238" w:lineRule="auto"/>
        <w:rPr>
          <w:sz w:val="20"/>
          <w:szCs w:val="20"/>
          <w:color w:val="auto"/>
        </w:rPr>
      </w:pPr>
      <w:r>
        <w:rPr>
          <w:rFonts w:ascii="Courier New" w:cs="Courier New" w:eastAsia="Courier New" w:hAnsi="Courier New"/>
          <w:sz w:val="18"/>
          <w:szCs w:val="18"/>
          <w:color w:val="auto"/>
        </w:rPr>
        <w:t>HOUSTON, TEXAS 77002</w:t>
      </w:r>
    </w:p>
    <w:p>
      <w:pPr>
        <w:ind w:left="3900" w:hanging="628"/>
        <w:spacing w:after="0"/>
        <w:tabs>
          <w:tab w:leader="none" w:pos="39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512-6200</w:t>
      </w:r>
    </w:p>
    <w:p>
      <w:pPr>
        <w:ind w:left="3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ATTN: SECRETARY</w:t>
      </w:r>
    </w:p>
    <w:p>
      <w:pPr>
        <w:sectPr>
          <w:pgSz w:w="11900" w:h="16838" w:orient="portrait"/>
          <w:cols w:equalWidth="0" w:num="1">
            <w:col w:w="10139"/>
          </w:cols>
          <w:pgMar w:left="320" w:top="339" w:right="1440" w:bottom="1440" w:gutter="0" w:footer="0" w:header="0"/>
        </w:sectPr>
      </w:pPr>
    </w:p>
    <w:bookmarkStart w:id="8" w:name="page9"/>
    <w:bookmarkEnd w:id="8"/>
    <w:p>
      <w:pPr>
        <w:spacing w:after="0" w:line="99" w:lineRule="exact"/>
        <w:rPr>
          <w:sz w:val="20"/>
          <w:szCs w:val="20"/>
          <w:color w:val="auto"/>
        </w:rPr>
      </w:pPr>
    </w:p>
    <w:p>
      <w:pPr>
        <w:jc w:val="center"/>
        <w:ind w:right="2239"/>
        <w:spacing w:after="0"/>
        <w:rPr>
          <w:sz w:val="20"/>
          <w:szCs w:val="20"/>
          <w:color w:val="auto"/>
        </w:rPr>
      </w:pPr>
      <w:r>
        <w:rPr>
          <w:rFonts w:ascii="Courier New" w:cs="Courier New" w:eastAsia="Courier New" w:hAnsi="Courier New"/>
          <w:sz w:val="18"/>
          <w:szCs w:val="18"/>
          <w:color w:val="auto"/>
        </w:rPr>
        <w:t>OUR COMPANY</w:t>
      </w:r>
    </w:p>
    <w:p>
      <w:pPr>
        <w:spacing w:after="0" w:line="207" w:lineRule="exact"/>
        <w:rPr>
          <w:sz w:val="20"/>
          <w:szCs w:val="20"/>
          <w:color w:val="auto"/>
        </w:rPr>
      </w:pPr>
    </w:p>
    <w:p>
      <w:pPr>
        <w:ind w:right="2859" w:firstLine="632"/>
        <w:spacing w:after="0" w:line="235" w:lineRule="auto"/>
        <w:rPr>
          <w:sz w:val="20"/>
          <w:szCs w:val="20"/>
          <w:color w:val="auto"/>
        </w:rPr>
      </w:pPr>
      <w:r>
        <w:rPr>
          <w:rFonts w:ascii="Courier New" w:cs="Courier New" w:eastAsia="Courier New" w:hAnsi="Courier New"/>
          <w:sz w:val="18"/>
          <w:szCs w:val="18"/>
          <w:color w:val="auto"/>
        </w:rPr>
        <w:t>We are a global leader in providing integrated waste management services.</w:t>
      </w:r>
    </w:p>
    <w:p>
      <w:pPr>
        <w:spacing w:after="0" w:line="208" w:lineRule="exact"/>
        <w:rPr>
          <w:sz w:val="20"/>
          <w:szCs w:val="20"/>
          <w:color w:val="auto"/>
        </w:rPr>
      </w:pPr>
    </w:p>
    <w:p>
      <w:pPr>
        <w:ind w:right="2239" w:firstLine="632"/>
        <w:spacing w:after="0" w:line="237" w:lineRule="auto"/>
        <w:rPr>
          <w:sz w:val="20"/>
          <w:szCs w:val="20"/>
          <w:color w:val="auto"/>
        </w:rPr>
      </w:pPr>
      <w:r>
        <w:rPr>
          <w:rFonts w:ascii="Courier New" w:cs="Courier New" w:eastAsia="Courier New" w:hAnsi="Courier New"/>
          <w:sz w:val="18"/>
          <w:szCs w:val="18"/>
          <w:color w:val="auto"/>
        </w:rPr>
        <w:t>In North America, where we have our principal operations, we provide solid waste collection, transfer, recycling, resource recovery and disposal services. We also are a leading operator and owner of waste-to-energy and waste-fuel powered independent power facilities in the United States. We conduct other operations in North America, including landfill disposal of hazardous wastes, additional hazardous waste management services and low-level and other radioactive waste services.</w:t>
      </w:r>
    </w:p>
    <w:p>
      <w:pPr>
        <w:spacing w:after="0" w:line="210" w:lineRule="exact"/>
        <w:rPr>
          <w:sz w:val="20"/>
          <w:szCs w:val="20"/>
          <w:color w:val="auto"/>
        </w:rPr>
      </w:pPr>
    </w:p>
    <w:p>
      <w:pPr>
        <w:ind w:right="2239" w:firstLine="632"/>
        <w:spacing w:after="0" w:line="237" w:lineRule="auto"/>
        <w:rPr>
          <w:sz w:val="20"/>
          <w:szCs w:val="20"/>
          <w:color w:val="auto"/>
        </w:rPr>
      </w:pPr>
      <w:r>
        <w:rPr>
          <w:rFonts w:ascii="Courier New" w:cs="Courier New" w:eastAsia="Courier New" w:hAnsi="Courier New"/>
          <w:sz w:val="18"/>
          <w:szCs w:val="18"/>
          <w:color w:val="auto"/>
        </w:rPr>
        <w:t>Outside of North America, we operate in Europe, the Pacific Rim, South America and other select international markets, where we provide collection and transportation services for solid, hazardous and medical wastes and collection, treatment and disposal services for recyclable materials. We also operate solid and hazardous waste landfills, municipal and hazardous waste incinerators, waste and wastewater treatment facilities and hazardous waste treatment facilities, as well as construct waste treatment or disposal facilities for third parties.</w:t>
      </w:r>
    </w:p>
    <w:p>
      <w:pPr>
        <w:spacing w:after="0" w:line="212" w:lineRule="exact"/>
        <w:rPr>
          <w:sz w:val="20"/>
          <w:szCs w:val="20"/>
          <w:color w:val="auto"/>
        </w:rPr>
      </w:pPr>
    </w:p>
    <w:p>
      <w:pPr>
        <w:ind w:right="2759" w:firstLine="632"/>
        <w:spacing w:after="0" w:line="236" w:lineRule="auto"/>
        <w:rPr>
          <w:sz w:val="20"/>
          <w:szCs w:val="20"/>
          <w:color w:val="auto"/>
        </w:rPr>
      </w:pPr>
      <w:r>
        <w:rPr>
          <w:rFonts w:ascii="Courier New" w:cs="Courier New" w:eastAsia="Courier New" w:hAnsi="Courier New"/>
          <w:sz w:val="18"/>
          <w:szCs w:val="18"/>
          <w:color w:val="auto"/>
        </w:rPr>
        <w:t>Our diversified customer base includes commercial, industrial, municipal and residential customers, other waste management companies, governmental entities and independent power markets.</w:t>
      </w:r>
    </w:p>
    <w:p>
      <w:pPr>
        <w:spacing w:after="0" w:line="208" w:lineRule="exact"/>
        <w:rPr>
          <w:sz w:val="20"/>
          <w:szCs w:val="20"/>
          <w:color w:val="auto"/>
        </w:rPr>
      </w:pPr>
    </w:p>
    <w:p>
      <w:pPr>
        <w:ind w:right="2239" w:firstLine="632"/>
        <w:spacing w:after="0" w:line="237" w:lineRule="auto"/>
        <w:rPr>
          <w:sz w:val="20"/>
          <w:szCs w:val="20"/>
          <w:color w:val="auto"/>
        </w:rPr>
      </w:pPr>
      <w:r>
        <w:rPr>
          <w:rFonts w:ascii="Courier New" w:cs="Courier New" w:eastAsia="Courier New" w:hAnsi="Courier New"/>
          <w:sz w:val="18"/>
          <w:szCs w:val="18"/>
          <w:color w:val="auto"/>
        </w:rPr>
        <w:t>On July 16, 1998, we changed our name to "Waste Management, Inc.," from "USA Waste Services, Inc." On that date, we acquired all of the shares of Waste Management Holdings, Inc., which at the time was the largest publicly traded waste management services company in North America and which operated under the "Waste Management" name.</w:t>
      </w:r>
    </w:p>
    <w:p>
      <w:pPr>
        <w:spacing w:after="0" w:line="208" w:lineRule="exact"/>
        <w:rPr>
          <w:sz w:val="20"/>
          <w:szCs w:val="20"/>
          <w:color w:val="auto"/>
        </w:rPr>
      </w:pPr>
    </w:p>
    <w:p>
      <w:pPr>
        <w:ind w:right="2339" w:firstLine="632"/>
        <w:spacing w:after="0" w:line="235" w:lineRule="auto"/>
        <w:rPr>
          <w:sz w:val="20"/>
          <w:szCs w:val="20"/>
          <w:color w:val="auto"/>
        </w:rPr>
      </w:pPr>
      <w:r>
        <w:rPr>
          <w:rFonts w:ascii="Courier New" w:cs="Courier New" w:eastAsia="Courier New" w:hAnsi="Courier New"/>
          <w:sz w:val="18"/>
          <w:szCs w:val="18"/>
          <w:color w:val="auto"/>
        </w:rPr>
        <w:t>Our executive offices are located at 1001 Fannin Street, Suite 4000, Houston, Texas 77002, and our telephone number is (713) 512-6200.</w:t>
      </w:r>
    </w:p>
    <w:p>
      <w:pPr>
        <w:spacing w:after="0" w:line="200" w:lineRule="exact"/>
        <w:rPr>
          <w:sz w:val="20"/>
          <w:szCs w:val="20"/>
          <w:color w:val="auto"/>
        </w:rPr>
      </w:pPr>
    </w:p>
    <w:p>
      <w:pPr>
        <w:spacing w:after="0" w:line="205" w:lineRule="exact"/>
        <w:rPr>
          <w:sz w:val="20"/>
          <w:szCs w:val="20"/>
          <w:color w:val="auto"/>
        </w:rPr>
      </w:pPr>
    </w:p>
    <w:p>
      <w:pPr>
        <w:jc w:val="center"/>
        <w:ind w:right="2119"/>
        <w:spacing w:after="0"/>
        <w:rPr>
          <w:sz w:val="20"/>
          <w:szCs w:val="20"/>
          <w:color w:val="auto"/>
        </w:rPr>
      </w:pPr>
      <w:r>
        <w:rPr>
          <w:rFonts w:ascii="Courier New" w:cs="Courier New" w:eastAsia="Courier New" w:hAnsi="Courier New"/>
          <w:sz w:val="18"/>
          <w:szCs w:val="18"/>
          <w:color w:val="auto"/>
        </w:rPr>
        <w:t>RISK FACTORS</w:t>
      </w:r>
    </w:p>
    <w:p>
      <w:pPr>
        <w:spacing w:after="0" w:line="207" w:lineRule="exact"/>
        <w:rPr>
          <w:sz w:val="20"/>
          <w:szCs w:val="20"/>
          <w:color w:val="auto"/>
        </w:rPr>
      </w:pPr>
    </w:p>
    <w:p>
      <w:pPr>
        <w:ind w:right="2239" w:firstLine="632"/>
        <w:spacing w:after="0" w:line="237" w:lineRule="auto"/>
        <w:rPr>
          <w:sz w:val="20"/>
          <w:szCs w:val="20"/>
          <w:color w:val="auto"/>
        </w:rPr>
      </w:pPr>
      <w:r>
        <w:rPr>
          <w:rFonts w:ascii="Courier New" w:cs="Courier New" w:eastAsia="Courier New" w:hAnsi="Courier New"/>
          <w:sz w:val="18"/>
          <w:szCs w:val="18"/>
          <w:color w:val="auto"/>
        </w:rPr>
        <w:t>In addition to the information set forth in this prospectus, you should carefully consider the risks described below before making an investment in the securities offered. The risks described below are not the only ones facing us. There may be additional risks not presently known to us or that we currently deem immaterial which may also impair our business operations.</w:t>
      </w:r>
    </w:p>
    <w:p>
      <w:pPr>
        <w:spacing w:after="0" w:line="209" w:lineRule="exact"/>
        <w:rPr>
          <w:sz w:val="20"/>
          <w:szCs w:val="20"/>
          <w:color w:val="auto"/>
        </w:rPr>
      </w:pPr>
    </w:p>
    <w:p>
      <w:pPr>
        <w:ind w:right="2339"/>
        <w:spacing w:after="0" w:line="236" w:lineRule="auto"/>
        <w:rPr>
          <w:sz w:val="20"/>
          <w:szCs w:val="20"/>
          <w:color w:val="auto"/>
        </w:rPr>
      </w:pPr>
      <w:r>
        <w:rPr>
          <w:rFonts w:ascii="Courier New" w:cs="Courier New" w:eastAsia="Courier New" w:hAnsi="Courier New"/>
          <w:sz w:val="18"/>
          <w:szCs w:val="18"/>
          <w:color w:val="auto"/>
        </w:rPr>
        <w:t>ACCOUNTING CHARGES HAVE NEGATIVELY IMPACTED REPORTED FINANCIAL RESULTS, RESULTED IN THE IMPAIRMENT OF THE VALUE OF CERTAIN ASSETS AND MAY DECREASE OUR FUTURE CASH FLOWS</w:t>
      </w:r>
    </w:p>
    <w:p>
      <w:pPr>
        <w:spacing w:after="0" w:line="208" w:lineRule="exact"/>
        <w:rPr>
          <w:sz w:val="20"/>
          <w:szCs w:val="20"/>
          <w:color w:val="auto"/>
        </w:rPr>
      </w:pPr>
    </w:p>
    <w:p>
      <w:pPr>
        <w:ind w:right="2239" w:firstLine="632"/>
        <w:spacing w:after="0" w:line="237" w:lineRule="auto"/>
        <w:rPr>
          <w:sz w:val="20"/>
          <w:szCs w:val="20"/>
          <w:color w:val="auto"/>
        </w:rPr>
      </w:pPr>
      <w:r>
        <w:rPr>
          <w:rFonts w:ascii="Courier New" w:cs="Courier New" w:eastAsia="Courier New" w:hAnsi="Courier New"/>
          <w:sz w:val="18"/>
          <w:szCs w:val="18"/>
          <w:color w:val="auto"/>
        </w:rPr>
        <w:t>During the third quarter of 1999, we initiated a comprehensive review of our accounting records, systems, processes and controls at the direction of our Board of Directors, which was completed in November 1999. As a result of this review, we recorded certain charges and adjustments in the quarter ended September 30, 1999 totaling $1.23 billion after tax. Because of the size of the charges, generally accepted accounting principles require us to attempt to determine whether portions of the charges apply to prior periods. While we believe that certain of these charges may relate to prior periods, we do not currently have sufficient information to identify all specific charges attributable to prior periods. Producing the information required to identify these charges would be cost prohibitive and disruptive to our operations.</w:t>
      </w:r>
    </w:p>
    <w:p>
      <w:pPr>
        <w:spacing w:after="0" w:line="216" w:lineRule="exact"/>
        <w:rPr>
          <w:sz w:val="20"/>
          <w:szCs w:val="20"/>
          <w:color w:val="auto"/>
        </w:rPr>
      </w:pPr>
    </w:p>
    <w:p>
      <w:pPr>
        <w:ind w:right="2339" w:firstLine="632"/>
        <w:spacing w:after="0" w:line="271" w:lineRule="auto"/>
        <w:rPr>
          <w:sz w:val="20"/>
          <w:szCs w:val="20"/>
          <w:color w:val="auto"/>
        </w:rPr>
      </w:pPr>
      <w:r>
        <w:rPr>
          <w:rFonts w:ascii="Courier New" w:cs="Courier New" w:eastAsia="Courier New" w:hAnsi="Courier New"/>
          <w:sz w:val="16"/>
          <w:szCs w:val="16"/>
          <w:color w:val="auto"/>
        </w:rPr>
        <w:t>Some of the charges and adjustments we recorded in the third quarter 1999, such as certain increases in insurance reserves, environmental reserves, loss contract provisions and adjustments resulting from completing account reconciliations, are recurring in nature, and should therefore be expected to occur in future periods. Additionally, certain of these charges and adjustments, including receivables-related adjustments and insurance reserves, could have an impact on our future cash flows.</w:t>
      </w:r>
    </w:p>
    <w:p>
      <w:pPr>
        <w:spacing w:after="0" w:line="187" w:lineRule="exact"/>
        <w:rPr>
          <w:sz w:val="20"/>
          <w:szCs w:val="20"/>
          <w:color w:val="auto"/>
        </w:rPr>
      </w:pPr>
    </w:p>
    <w:p>
      <w:pPr>
        <w:ind w:right="2239" w:firstLine="632"/>
        <w:spacing w:after="0" w:line="271" w:lineRule="auto"/>
        <w:rPr>
          <w:sz w:val="20"/>
          <w:szCs w:val="20"/>
          <w:color w:val="auto"/>
        </w:rPr>
      </w:pPr>
      <w:r>
        <w:rPr>
          <w:rFonts w:ascii="Courier New" w:cs="Courier New" w:eastAsia="Courier New" w:hAnsi="Courier New"/>
          <w:sz w:val="16"/>
          <w:szCs w:val="16"/>
          <w:color w:val="auto"/>
        </w:rPr>
        <w:t>Because some of the charges discussed above affect account balances applicable to periods prior to the quarter ended September 30, 1999, we concluded, after consultation with our independent public accountants, that our internal controls for the preparation of interim financial information did not provide an adequate basis for them to complete reviews of the quarterly data for the quarters in the nine months ended September 30, 1999. The review was completed in November 1999, and we do not anticipate any additional material adjustments to our financial statements based on</w:t>
      </w:r>
    </w:p>
    <w:p>
      <w:pPr>
        <w:sectPr>
          <w:pgSz w:w="11900" w:h="16938" w:orient="portrait"/>
          <w:cols w:equalWidth="0" w:num="1">
            <w:col w:w="10139"/>
          </w:cols>
          <w:pgMar w:left="320" w:top="919" w:right="1440" w:bottom="0" w:gutter="0" w:footer="0" w:header="0"/>
        </w:sectPr>
      </w:pPr>
    </w:p>
    <w:bookmarkStart w:id="9" w:name="page10"/>
    <w:bookmarkEnd w:id="9"/>
    <w:p>
      <w:pPr>
        <w:ind w:right="2239"/>
        <w:spacing w:after="0" w:line="237" w:lineRule="auto"/>
        <w:rPr>
          <w:sz w:val="20"/>
          <w:szCs w:val="20"/>
          <w:color w:val="auto"/>
        </w:rPr>
      </w:pPr>
      <w:r>
        <w:rPr>
          <w:rFonts w:ascii="Courier New" w:cs="Courier New" w:eastAsia="Courier New" w:hAnsi="Courier New"/>
          <w:sz w:val="18"/>
          <w:szCs w:val="18"/>
          <w:color w:val="auto"/>
        </w:rPr>
        <w:t>the review. However, we may not be able to successfully stabilize our accounting systems and procedures, and close our accounting records and report our 1999 annual results in accordance with year end audit procedures. Any failure to stabilize our accounting systems could result in additional material charges and adjustments in the future.</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WE MAY ENCOUNTER DIFFICULTIES IN IMPLEMENTING OUR PROPOSED STRATEGIC INITIATIVE</w:t>
      </w:r>
    </w:p>
    <w:p>
      <w:pPr>
        <w:spacing w:after="0" w:line="224" w:lineRule="exact"/>
        <w:rPr>
          <w:sz w:val="20"/>
          <w:szCs w:val="20"/>
          <w:color w:val="auto"/>
        </w:rPr>
      </w:pPr>
    </w:p>
    <w:p>
      <w:pPr>
        <w:ind w:right="2339" w:firstLine="632"/>
        <w:spacing w:after="0" w:line="270" w:lineRule="auto"/>
        <w:rPr>
          <w:sz w:val="20"/>
          <w:szCs w:val="20"/>
          <w:color w:val="auto"/>
        </w:rPr>
      </w:pPr>
      <w:r>
        <w:rPr>
          <w:rFonts w:ascii="Courier New" w:cs="Courier New" w:eastAsia="Courier New" w:hAnsi="Courier New"/>
          <w:sz w:val="16"/>
          <w:szCs w:val="16"/>
          <w:color w:val="auto"/>
        </w:rPr>
        <w:t>Our ability to successfully implement our proposed strategic initiative may be affected by the willingness of prospective purchasers to purchase the assets we identify as divestiture candidates on terms we find acceptable, the timing and terms on which such assets may be sold, uncertainties relating to regulatory approvals and other factors affecting the ability of prospective purchasers to consummate such transactions. The success of our strategic initiative could also be affected by the availability of financing, and uncertainties relating to the impact of the proposed strategic initiative on our credit ratings and, consequently, the availability and cost of debt and equity financing to us.</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WE ARE UNDERGOING CHANGES IN MANAGEMENT</w:t>
      </w:r>
    </w:p>
    <w:p>
      <w:pPr>
        <w:spacing w:after="0" w:line="207" w:lineRule="exact"/>
        <w:rPr>
          <w:sz w:val="20"/>
          <w:szCs w:val="20"/>
          <w:color w:val="auto"/>
        </w:rPr>
      </w:pPr>
    </w:p>
    <w:p>
      <w:pPr>
        <w:ind w:right="2659" w:firstLine="632"/>
        <w:spacing w:after="0" w:line="235" w:lineRule="auto"/>
        <w:rPr>
          <w:sz w:val="20"/>
          <w:szCs w:val="20"/>
          <w:color w:val="auto"/>
        </w:rPr>
      </w:pPr>
      <w:r>
        <w:rPr>
          <w:rFonts w:ascii="Courier New" w:cs="Courier New" w:eastAsia="Courier New" w:hAnsi="Courier New"/>
          <w:sz w:val="18"/>
          <w:szCs w:val="18"/>
          <w:color w:val="auto"/>
        </w:rPr>
        <w:t>Our business may be affected by our ability to attract and retain qualified individuals to serve in senior management positions.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WE FACE UNCERTAINTIES RELATING TO PENDING LITIGATION AND INVESTIGATIONS</w:t>
      </w:r>
    </w:p>
    <w:p>
      <w:pPr>
        <w:spacing w:after="0" w:line="207" w:lineRule="exact"/>
        <w:rPr>
          <w:sz w:val="20"/>
          <w:szCs w:val="20"/>
          <w:color w:val="auto"/>
        </w:rPr>
      </w:pPr>
    </w:p>
    <w:p>
      <w:pPr>
        <w:ind w:right="2559" w:firstLine="632"/>
        <w:spacing w:after="0" w:line="237" w:lineRule="auto"/>
        <w:rPr>
          <w:sz w:val="20"/>
          <w:szCs w:val="20"/>
          <w:color w:val="auto"/>
        </w:rPr>
      </w:pPr>
      <w:r>
        <w:rPr>
          <w:rFonts w:ascii="Courier New" w:cs="Courier New" w:eastAsia="Courier New" w:hAnsi="Courier New"/>
          <w:sz w:val="18"/>
          <w:szCs w:val="18"/>
          <w:color w:val="auto"/>
        </w:rPr>
        <w:t>We face uncertainties relating to pending litigation and investigations. We are unable to predict the outcome or impact of these matters and there can be no assurance that they will not have a material adverse effect on us and our business.</w:t>
      </w:r>
    </w:p>
    <w:p>
      <w:pPr>
        <w:spacing w:after="0" w:line="207" w:lineRule="exact"/>
        <w:rPr>
          <w:sz w:val="20"/>
          <w:szCs w:val="20"/>
          <w:color w:val="auto"/>
        </w:rPr>
      </w:pPr>
    </w:p>
    <w:p>
      <w:pPr>
        <w:jc w:val="center"/>
        <w:ind w:right="2119"/>
        <w:spacing w:after="0"/>
        <w:rPr>
          <w:sz w:val="20"/>
          <w:szCs w:val="20"/>
          <w:color w:val="auto"/>
        </w:rPr>
      </w:pPr>
      <w:r>
        <w:rPr>
          <w:rFonts w:ascii="Courier New" w:cs="Courier New" w:eastAsia="Courier New" w:hAnsi="Courier New"/>
          <w:sz w:val="16"/>
          <w:szCs w:val="16"/>
          <w:color w:val="auto"/>
        </w:rPr>
        <w:t>WE FACE POTENTIAL DIFFICULTIES IN CONTINUING TO EXPAND AND MANAGE OUR GROWTH</w:t>
      </w:r>
    </w:p>
    <w:p>
      <w:pPr>
        <w:spacing w:after="0" w:line="224" w:lineRule="exact"/>
        <w:rPr>
          <w:sz w:val="20"/>
          <w:szCs w:val="20"/>
          <w:color w:val="auto"/>
        </w:rPr>
      </w:pPr>
    </w:p>
    <w:p>
      <w:pPr>
        <w:ind w:right="2439" w:firstLine="632"/>
        <w:spacing w:after="0" w:line="270" w:lineRule="auto"/>
        <w:rPr>
          <w:sz w:val="20"/>
          <w:szCs w:val="20"/>
          <w:color w:val="auto"/>
        </w:rPr>
      </w:pPr>
      <w:r>
        <w:rPr>
          <w:rFonts w:ascii="Courier New" w:cs="Courier New" w:eastAsia="Courier New" w:hAnsi="Courier New"/>
          <w:sz w:val="16"/>
          <w:szCs w:val="16"/>
          <w:color w:val="auto"/>
        </w:rPr>
        <w:t>We have grown rapidly, primarily through acquisitions. We cannot guarantee that we will be able to continue to expand and successfully manage our growth. We also cannot guarantee that our existing or acquired operations will not be adversely affected by the pace of our growth. Improving the productivity of our acquired operations and using our asset base and strategic position to operate more efficiently is very important to our financial results and prospects. In particular, whether we will ultimately achieve the anticipated benefits of acquired operations will depend on a number of factors, including our ability to effect:</w:t>
      </w:r>
    </w:p>
    <w:p>
      <w:pPr>
        <w:spacing w:after="0" w:line="184" w:lineRule="exact"/>
        <w:rPr>
          <w:sz w:val="20"/>
          <w:szCs w:val="20"/>
          <w:color w:val="auto"/>
        </w:rPr>
      </w:pPr>
    </w:p>
    <w:p>
      <w:pPr>
        <w:ind w:left="1280" w:hanging="746"/>
        <w:spacing w:after="0"/>
        <w:tabs>
          <w:tab w:leader="none" w:pos="12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administrative costs savings;</w:t>
      </w:r>
    </w:p>
    <w:p>
      <w:pPr>
        <w:spacing w:after="0" w:line="201" w:lineRule="exact"/>
        <w:rPr>
          <w:rFonts w:ascii="Courier New" w:cs="Courier New" w:eastAsia="Courier New" w:hAnsi="Courier New"/>
          <w:sz w:val="18"/>
          <w:szCs w:val="18"/>
          <w:color w:val="auto"/>
        </w:rPr>
      </w:pPr>
    </w:p>
    <w:p>
      <w:pPr>
        <w:ind w:left="1280" w:hanging="746"/>
        <w:spacing w:after="0"/>
        <w:tabs>
          <w:tab w:leader="none" w:pos="12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rationalization of collection routes;</w:t>
      </w:r>
    </w:p>
    <w:p>
      <w:pPr>
        <w:spacing w:after="0" w:line="201" w:lineRule="exact"/>
        <w:rPr>
          <w:rFonts w:ascii="Courier New" w:cs="Courier New" w:eastAsia="Courier New" w:hAnsi="Courier New"/>
          <w:sz w:val="18"/>
          <w:szCs w:val="18"/>
          <w:color w:val="auto"/>
        </w:rPr>
      </w:pPr>
    </w:p>
    <w:p>
      <w:pPr>
        <w:ind w:left="1280" w:hanging="746"/>
        <w:spacing w:after="0"/>
        <w:tabs>
          <w:tab w:leader="none" w:pos="12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insurance and bonding cost reductions; and</w:t>
      </w:r>
    </w:p>
    <w:p>
      <w:pPr>
        <w:spacing w:after="0" w:line="201" w:lineRule="exact"/>
        <w:rPr>
          <w:rFonts w:ascii="Courier New" w:cs="Courier New" w:eastAsia="Courier New" w:hAnsi="Courier New"/>
          <w:sz w:val="18"/>
          <w:szCs w:val="18"/>
          <w:color w:val="auto"/>
        </w:rPr>
      </w:pPr>
    </w:p>
    <w:p>
      <w:pPr>
        <w:ind w:left="1280" w:hanging="746"/>
        <w:spacing w:after="0"/>
        <w:tabs>
          <w:tab w:leader="none" w:pos="12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general economies of scale.</w:t>
      </w:r>
    </w:p>
    <w:p>
      <w:pPr>
        <w:spacing w:after="0" w:line="207" w:lineRule="exact"/>
        <w:rPr>
          <w:sz w:val="20"/>
          <w:szCs w:val="20"/>
          <w:color w:val="auto"/>
        </w:rPr>
      </w:pPr>
    </w:p>
    <w:p>
      <w:pPr>
        <w:ind w:right="2979"/>
        <w:spacing w:after="0" w:line="235" w:lineRule="auto"/>
        <w:rPr>
          <w:sz w:val="20"/>
          <w:szCs w:val="20"/>
          <w:color w:val="auto"/>
        </w:rPr>
      </w:pPr>
      <w:r>
        <w:rPr>
          <w:rFonts w:ascii="Courier New" w:cs="Courier New" w:eastAsia="Courier New" w:hAnsi="Courier New"/>
          <w:sz w:val="18"/>
          <w:szCs w:val="18"/>
          <w:color w:val="auto"/>
        </w:rPr>
        <w:t>Moreover, our ability to continue to grow will depend on a number of factors, including:</w:t>
      </w:r>
    </w:p>
    <w:p>
      <w:pPr>
        <w:spacing w:after="0" w:line="202" w:lineRule="exact"/>
        <w:rPr>
          <w:sz w:val="20"/>
          <w:szCs w:val="20"/>
          <w:color w:val="auto"/>
        </w:rPr>
      </w:pPr>
    </w:p>
    <w:p>
      <w:pPr>
        <w:ind w:left="1280" w:hanging="746"/>
        <w:spacing w:after="0"/>
        <w:tabs>
          <w:tab w:leader="none" w:pos="12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competition from other waste management companies;</w:t>
      </w:r>
    </w:p>
    <w:p>
      <w:pPr>
        <w:spacing w:after="0" w:line="201" w:lineRule="exact"/>
        <w:rPr>
          <w:rFonts w:ascii="Courier New" w:cs="Courier New" w:eastAsia="Courier New" w:hAnsi="Courier New"/>
          <w:sz w:val="18"/>
          <w:szCs w:val="18"/>
          <w:color w:val="auto"/>
        </w:rPr>
      </w:pPr>
    </w:p>
    <w:p>
      <w:pPr>
        <w:ind w:left="1280" w:hanging="746"/>
        <w:spacing w:after="0"/>
        <w:tabs>
          <w:tab w:leader="none" w:pos="12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availability of attractive acquisition opportunities;</w:t>
      </w:r>
    </w:p>
    <w:p>
      <w:pPr>
        <w:spacing w:after="0" w:line="206" w:lineRule="exact"/>
        <w:rPr>
          <w:rFonts w:ascii="Courier New" w:cs="Courier New" w:eastAsia="Courier New" w:hAnsi="Courier New"/>
          <w:sz w:val="18"/>
          <w:szCs w:val="18"/>
          <w:color w:val="auto"/>
        </w:rPr>
      </w:pPr>
    </w:p>
    <w:p>
      <w:pPr>
        <w:ind w:left="1280" w:right="1919" w:hanging="746"/>
        <w:spacing w:after="0" w:line="235" w:lineRule="auto"/>
        <w:tabs>
          <w:tab w:leader="none" w:pos="12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ability to mitigate antitrust concerns related to acquisitions in several markets;</w:t>
      </w:r>
    </w:p>
    <w:p>
      <w:pPr>
        <w:spacing w:after="0" w:line="202" w:lineRule="exact"/>
        <w:rPr>
          <w:rFonts w:ascii="Courier New" w:cs="Courier New" w:eastAsia="Courier New" w:hAnsi="Courier New"/>
          <w:sz w:val="18"/>
          <w:szCs w:val="18"/>
          <w:color w:val="auto"/>
        </w:rPr>
      </w:pPr>
    </w:p>
    <w:p>
      <w:pPr>
        <w:ind w:left="1280" w:hanging="746"/>
        <w:spacing w:after="0"/>
        <w:tabs>
          <w:tab w:leader="none" w:pos="12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availability of working capital;</w:t>
      </w:r>
    </w:p>
    <w:p>
      <w:pPr>
        <w:spacing w:after="0" w:line="206" w:lineRule="exact"/>
        <w:rPr>
          <w:rFonts w:ascii="Courier New" w:cs="Courier New" w:eastAsia="Courier New" w:hAnsi="Courier New"/>
          <w:sz w:val="18"/>
          <w:szCs w:val="18"/>
          <w:color w:val="auto"/>
        </w:rPr>
      </w:pPr>
    </w:p>
    <w:p>
      <w:pPr>
        <w:ind w:left="1280" w:right="1819" w:hanging="746"/>
        <w:spacing w:after="0" w:line="235" w:lineRule="auto"/>
        <w:tabs>
          <w:tab w:leader="none" w:pos="12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ability to maintain margins on existing or acquired operations; and</w:t>
      </w:r>
    </w:p>
    <w:p>
      <w:pPr>
        <w:spacing w:after="0" w:line="202" w:lineRule="exact"/>
        <w:rPr>
          <w:rFonts w:ascii="Courier New" w:cs="Courier New" w:eastAsia="Courier New" w:hAnsi="Courier New"/>
          <w:sz w:val="18"/>
          <w:szCs w:val="18"/>
          <w:color w:val="auto"/>
        </w:rPr>
      </w:pPr>
    </w:p>
    <w:p>
      <w:pPr>
        <w:ind w:left="1280" w:hanging="746"/>
        <w:spacing w:after="0"/>
        <w:tabs>
          <w:tab w:leader="none" w:pos="12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ability to manage costs in a changing regulatory environment.</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OUR ACQUISITION STRATEGY INVOLVES POTENTIAL RISKS</w:t>
      </w:r>
    </w:p>
    <w:p>
      <w:pPr>
        <w:spacing w:after="0" w:line="207" w:lineRule="exact"/>
        <w:rPr>
          <w:sz w:val="20"/>
          <w:szCs w:val="20"/>
          <w:color w:val="auto"/>
        </w:rPr>
      </w:pPr>
    </w:p>
    <w:p>
      <w:pPr>
        <w:ind w:right="2239" w:firstLine="632"/>
        <w:spacing w:after="0" w:line="237" w:lineRule="auto"/>
        <w:rPr>
          <w:sz w:val="20"/>
          <w:szCs w:val="20"/>
          <w:color w:val="auto"/>
        </w:rPr>
      </w:pPr>
      <w:r>
        <w:rPr>
          <w:rFonts w:ascii="Courier New" w:cs="Courier New" w:eastAsia="Courier New" w:hAnsi="Courier New"/>
          <w:sz w:val="18"/>
          <w:szCs w:val="18"/>
          <w:color w:val="auto"/>
        </w:rPr>
        <w:t>We regularly pursue opportunities to expand by acquiring additional waste management businesses and operations that can be effectively integrated with our existing operations. In addition, we regularly pursue mergers and acquisition transactions, some of which are significant, in new markets where we believe that we can successfully become a provider of integrated waste management services. As one of the leading industry consolidators, we could announce transactions with either publicly or privately owned businesses at any time.</w:t>
      </w:r>
    </w:p>
    <w:p>
      <w:pPr>
        <w:spacing w:after="0" w:line="212" w:lineRule="exact"/>
        <w:rPr>
          <w:sz w:val="20"/>
          <w:szCs w:val="20"/>
          <w:color w:val="auto"/>
        </w:rPr>
      </w:pPr>
    </w:p>
    <w:p>
      <w:pPr>
        <w:ind w:right="2979" w:firstLine="632"/>
        <w:spacing w:after="0" w:line="235" w:lineRule="auto"/>
        <w:rPr>
          <w:sz w:val="20"/>
          <w:szCs w:val="20"/>
          <w:color w:val="auto"/>
        </w:rPr>
      </w:pPr>
      <w:r>
        <w:rPr>
          <w:rFonts w:ascii="Courier New" w:cs="Courier New" w:eastAsia="Courier New" w:hAnsi="Courier New"/>
          <w:sz w:val="18"/>
          <w:szCs w:val="18"/>
          <w:color w:val="auto"/>
        </w:rPr>
        <w:t>Our acquisition strategy involves potential risks. These risks include:</w:t>
      </w:r>
    </w:p>
    <w:p>
      <w:pPr>
        <w:sectPr>
          <w:pgSz w:w="11900" w:h="16838" w:orient="portrait"/>
          <w:cols w:equalWidth="0" w:num="1">
            <w:col w:w="10139"/>
          </w:cols>
          <w:pgMar w:left="320" w:top="142" w:right="1440" w:bottom="0" w:gutter="0" w:footer="0" w:header="0"/>
        </w:sectPr>
      </w:pPr>
    </w:p>
    <w:bookmarkStart w:id="10" w:name="page11"/>
    <w:bookmarkEnd w:id="10"/>
    <w:p>
      <w:pPr>
        <w:ind w:left="1280" w:right="2979" w:hanging="746"/>
        <w:spacing w:after="0" w:line="235" w:lineRule="auto"/>
        <w:tabs>
          <w:tab w:leader="none" w:pos="128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failure to accurately assess all of the pre-existing liabilities of acquired companies;</w:t>
      </w:r>
    </w:p>
    <w:p>
      <w:pPr>
        <w:spacing w:after="0" w:line="208" w:lineRule="exact"/>
        <w:rPr>
          <w:rFonts w:ascii="Courier New" w:cs="Courier New" w:eastAsia="Courier New" w:hAnsi="Courier New"/>
          <w:sz w:val="18"/>
          <w:szCs w:val="18"/>
          <w:color w:val="auto"/>
        </w:rPr>
      </w:pPr>
    </w:p>
    <w:p>
      <w:pPr>
        <w:ind w:left="1280" w:right="1919" w:hanging="746"/>
        <w:spacing w:after="0" w:line="235" w:lineRule="auto"/>
        <w:tabs>
          <w:tab w:leader="none" w:pos="128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unexpected difficulties in successfully integrating the operations of acquired companies with our existing operations;</w:t>
      </w:r>
    </w:p>
    <w:p>
      <w:pPr>
        <w:spacing w:after="0" w:line="202" w:lineRule="exact"/>
        <w:rPr>
          <w:rFonts w:ascii="Courier New" w:cs="Courier New" w:eastAsia="Courier New" w:hAnsi="Courier New"/>
          <w:sz w:val="18"/>
          <w:szCs w:val="18"/>
          <w:color w:val="auto"/>
        </w:rPr>
      </w:pPr>
    </w:p>
    <w:p>
      <w:pPr>
        <w:ind w:left="1280" w:hanging="746"/>
        <w:spacing w:after="0"/>
        <w:tabs>
          <w:tab w:leader="none" w:pos="128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lack of attractive acquisition opportunities;</w:t>
      </w:r>
    </w:p>
    <w:p>
      <w:pPr>
        <w:spacing w:after="0" w:line="206" w:lineRule="exact"/>
        <w:rPr>
          <w:rFonts w:ascii="Courier New" w:cs="Courier New" w:eastAsia="Courier New" w:hAnsi="Courier New"/>
          <w:sz w:val="18"/>
          <w:szCs w:val="18"/>
          <w:color w:val="auto"/>
        </w:rPr>
      </w:pPr>
    </w:p>
    <w:p>
      <w:pPr>
        <w:ind w:left="1280" w:right="2019" w:hanging="746"/>
        <w:spacing w:after="0" w:line="235" w:lineRule="auto"/>
        <w:tabs>
          <w:tab w:leader="none" w:pos="128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inability to obtain the capital required to finance potential acquisitions on satisfactory terms;</w:t>
      </w:r>
    </w:p>
    <w:p>
      <w:pPr>
        <w:spacing w:after="0" w:line="202" w:lineRule="exact"/>
        <w:rPr>
          <w:rFonts w:ascii="Courier New" w:cs="Courier New" w:eastAsia="Courier New" w:hAnsi="Courier New"/>
          <w:sz w:val="18"/>
          <w:szCs w:val="18"/>
          <w:color w:val="auto"/>
        </w:rPr>
      </w:pPr>
    </w:p>
    <w:p>
      <w:pPr>
        <w:ind w:left="1280" w:hanging="746"/>
        <w:spacing w:after="0"/>
        <w:tabs>
          <w:tab w:leader="none" w:pos="128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businesses we acquire not proving profitable; and</w:t>
      </w:r>
    </w:p>
    <w:p>
      <w:pPr>
        <w:spacing w:after="0" w:line="206" w:lineRule="exact"/>
        <w:rPr>
          <w:rFonts w:ascii="Courier New" w:cs="Courier New" w:eastAsia="Courier New" w:hAnsi="Courier New"/>
          <w:sz w:val="18"/>
          <w:szCs w:val="18"/>
          <w:color w:val="auto"/>
        </w:rPr>
      </w:pPr>
    </w:p>
    <w:p>
      <w:pPr>
        <w:ind w:left="1280" w:right="2659" w:hanging="746"/>
        <w:spacing w:after="0" w:line="290" w:lineRule="auto"/>
        <w:tabs>
          <w:tab w:leader="none" w:pos="128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our incurring additional indebtedness or issuing additional equity securities as a result of future acquisitions.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WE MAY NEED ADDITIONAL CAPITAL IF OUR CASH FLOW IS LESS THAN EXPECTED</w:t>
      </w:r>
    </w:p>
    <w:p>
      <w:pPr>
        <w:spacing w:after="0" w:line="207" w:lineRule="exact"/>
        <w:rPr>
          <w:sz w:val="20"/>
          <w:szCs w:val="20"/>
          <w:color w:val="auto"/>
        </w:rPr>
      </w:pPr>
    </w:p>
    <w:p>
      <w:pPr>
        <w:ind w:right="2239" w:firstLine="632"/>
        <w:spacing w:after="0" w:line="237" w:lineRule="auto"/>
        <w:rPr>
          <w:sz w:val="20"/>
          <w:szCs w:val="20"/>
          <w:color w:val="auto"/>
        </w:rPr>
      </w:pPr>
      <w:r>
        <w:rPr>
          <w:rFonts w:ascii="Courier New" w:cs="Courier New" w:eastAsia="Courier New" w:hAnsi="Courier New"/>
          <w:sz w:val="18"/>
          <w:szCs w:val="18"/>
          <w:color w:val="auto"/>
        </w:rPr>
        <w:t>We expect to generate sufficient cash flow from our operations in 1999 to cover our anticipated cash needs for capital expenditures and acquisitions. If our cash flow from operations during 1999 is less than currently expected, or our capital requirements increase, either due to strategic decisions or otherwise, we may elect to incur indebtedness or issue equity securities to cover any additional capital needs. However, we cannot guarantee that we will be successful in obtaining additional capital in this manner on acceptable terms.</w:t>
      </w:r>
    </w:p>
    <w:p>
      <w:pPr>
        <w:spacing w:after="0" w:line="212" w:lineRule="exact"/>
        <w:rPr>
          <w:sz w:val="20"/>
          <w:szCs w:val="20"/>
          <w:color w:val="auto"/>
        </w:rPr>
      </w:pPr>
    </w:p>
    <w:p>
      <w:pPr>
        <w:ind w:right="2439" w:firstLine="632"/>
        <w:spacing w:after="0" w:line="237" w:lineRule="auto"/>
        <w:rPr>
          <w:sz w:val="20"/>
          <w:szCs w:val="20"/>
          <w:color w:val="auto"/>
        </w:rPr>
      </w:pPr>
      <w:r>
        <w:rPr>
          <w:rFonts w:ascii="Courier New" w:cs="Courier New" w:eastAsia="Courier New" w:hAnsi="Courier New"/>
          <w:sz w:val="18"/>
          <w:szCs w:val="18"/>
          <w:color w:val="auto"/>
        </w:rPr>
        <w:t>We also cannot guarantee that we will be successful in renewing our existing credit facilities, or that we will be able to renew the credit facilities on terms acceptable to us. If we are unable to renew our existing credit facilities, or to obtain other financing sources, our business and operating results could be affected adversely to a material extent.</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FLUCTUATING INTEREST RATES COULD AFFECT US</w:t>
      </w:r>
    </w:p>
    <w:p>
      <w:pPr>
        <w:spacing w:after="0" w:line="207" w:lineRule="exact"/>
        <w:rPr>
          <w:sz w:val="20"/>
          <w:szCs w:val="20"/>
          <w:color w:val="auto"/>
        </w:rPr>
      </w:pPr>
    </w:p>
    <w:p>
      <w:pPr>
        <w:ind w:right="2439" w:firstLine="632"/>
        <w:spacing w:after="0" w:line="237" w:lineRule="auto"/>
        <w:rPr>
          <w:sz w:val="20"/>
          <w:szCs w:val="20"/>
          <w:color w:val="auto"/>
        </w:rPr>
      </w:pPr>
      <w:r>
        <w:rPr>
          <w:rFonts w:ascii="Courier New" w:cs="Courier New" w:eastAsia="Courier New" w:hAnsi="Courier New"/>
          <w:sz w:val="18"/>
          <w:szCs w:val="18"/>
          <w:color w:val="auto"/>
        </w:rPr>
        <w:t>In the past, we have used variable rate debt under revolving bank credit arrangements as one method of financing our rapid growth. Although our recent financings have reduced the amount of variable rate debt as a percentage of total indebtedness outstanding, issuing variable rate debt will continue to be an alternative for us. Fluctuations in variable interest rates, which may occur as general interest rates change, could have a material adverse effect on us.</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INTENSE COMPETITION COULD REDUCE OUR PROFITABILITY</w:t>
      </w:r>
    </w:p>
    <w:p>
      <w:pPr>
        <w:spacing w:after="0" w:line="207" w:lineRule="exact"/>
        <w:rPr>
          <w:sz w:val="20"/>
          <w:szCs w:val="20"/>
          <w:color w:val="auto"/>
        </w:rPr>
      </w:pPr>
    </w:p>
    <w:p>
      <w:pPr>
        <w:ind w:right="2559" w:firstLine="632"/>
        <w:spacing w:after="0" w:line="235" w:lineRule="auto"/>
        <w:rPr>
          <w:sz w:val="20"/>
          <w:szCs w:val="20"/>
          <w:color w:val="auto"/>
        </w:rPr>
      </w:pPr>
      <w:r>
        <w:rPr>
          <w:rFonts w:ascii="Courier New" w:cs="Courier New" w:eastAsia="Courier New" w:hAnsi="Courier New"/>
          <w:sz w:val="18"/>
          <w:szCs w:val="18"/>
          <w:color w:val="auto"/>
        </w:rPr>
        <w:t>We encounter intense competition from governmental, quasi-governmental and private sources in all aspects of our operations.</w:t>
      </w:r>
    </w:p>
    <w:p>
      <w:pPr>
        <w:spacing w:after="0" w:line="208" w:lineRule="exact"/>
        <w:rPr>
          <w:sz w:val="20"/>
          <w:szCs w:val="20"/>
          <w:color w:val="auto"/>
        </w:rPr>
      </w:pPr>
    </w:p>
    <w:p>
      <w:pPr>
        <w:ind w:right="2239" w:firstLine="632"/>
        <w:spacing w:after="0" w:line="237" w:lineRule="auto"/>
        <w:rPr>
          <w:sz w:val="20"/>
          <w:szCs w:val="20"/>
          <w:color w:val="auto"/>
        </w:rPr>
      </w:pPr>
      <w:r>
        <w:rPr>
          <w:rFonts w:ascii="Courier New" w:cs="Courier New" w:eastAsia="Courier New" w:hAnsi="Courier New"/>
          <w:sz w:val="18"/>
          <w:szCs w:val="18"/>
          <w:color w:val="auto"/>
        </w:rPr>
        <w:t>In North America, the waste management services industry consists of large national companies and local and regional companies of varying sizes and financial resources. We compete with numerous waste management companies as well as with counties and municipalities that maintain their own waste collection and disposal operations. These counties and municipalities may have financial competitive advantages because tax revenues and tax-exempt financing are available to them. In addition, competitors may reduce their prices to expand sales volume or to win competitively bid municipal contracts. Profitability may decline because of the national emphasis on recycling, composting, and other waste reduction programs that could reduce the volume of solid waste collected or deposited in disposal facilities.</w:t>
      </w:r>
    </w:p>
    <w:p>
      <w:pPr>
        <w:spacing w:after="0" w:line="216" w:lineRule="exact"/>
        <w:rPr>
          <w:sz w:val="20"/>
          <w:szCs w:val="20"/>
          <w:color w:val="auto"/>
        </w:rPr>
      </w:pPr>
    </w:p>
    <w:p>
      <w:pPr>
        <w:ind w:right="2239" w:firstLine="632"/>
        <w:spacing w:after="0" w:line="237" w:lineRule="auto"/>
        <w:rPr>
          <w:sz w:val="20"/>
          <w:szCs w:val="20"/>
          <w:color w:val="auto"/>
        </w:rPr>
      </w:pPr>
      <w:r>
        <w:rPr>
          <w:rFonts w:ascii="Courier New" w:cs="Courier New" w:eastAsia="Courier New" w:hAnsi="Courier New"/>
          <w:sz w:val="18"/>
          <w:szCs w:val="18"/>
          <w:color w:val="auto"/>
        </w:rPr>
        <w:t>Outside of North America, the waste management services industry is very decentralized and highly fragmented. In some markets, however, we compete with substantial companies that hold significant market shares, particularly in Finland, Germany, the Netherlands, Sweden and the United Kingdom. Some of our international competitors may have greater financial resources and greater technical resources than we do with respect to specific matters. Especially in the case of larger contracts, we may be required to commit substantial resources over a long period of time during the proposal phase without any assurance that the contract will be awarded to us. Examples include contracts for city- cleaning services, contracts or bids with respect to the construction or development of water and wastewater facilities, or permitting and development of a new treatment facility, waste-to-energy facility, incinerator or landfill.</w:t>
      </w:r>
    </w:p>
    <w:p>
      <w:pPr>
        <w:spacing w:after="0" w:line="217" w:lineRule="exact"/>
        <w:rPr>
          <w:sz w:val="20"/>
          <w:szCs w:val="20"/>
          <w:color w:val="auto"/>
        </w:rPr>
      </w:pPr>
    </w:p>
    <w:p>
      <w:pPr>
        <w:ind w:right="2019"/>
        <w:spacing w:after="0" w:line="235" w:lineRule="auto"/>
        <w:rPr>
          <w:sz w:val="20"/>
          <w:szCs w:val="20"/>
          <w:color w:val="auto"/>
        </w:rPr>
      </w:pPr>
      <w:r>
        <w:rPr>
          <w:rFonts w:ascii="Courier New" w:cs="Courier New" w:eastAsia="Courier New" w:hAnsi="Courier New"/>
          <w:sz w:val="18"/>
          <w:szCs w:val="18"/>
          <w:color w:val="auto"/>
        </w:rPr>
        <w:t>OUR ACCOUNTING POLICIES CONCERNING UNAMORTIZED CAPITALIZED EXPENDITURES COULD RESULT IN A MATERIAL CHARGE AGAINST OUR EARNINGS</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In accordance with generally accepted accounting principles, we</w:t>
      </w:r>
    </w:p>
    <w:p>
      <w:pPr>
        <w:sectPr>
          <w:pgSz w:w="11900" w:h="16838" w:orient="portrait"/>
          <w:cols w:equalWidth="0" w:num="1">
            <w:col w:w="10139"/>
          </w:cols>
          <w:pgMar w:left="320" w:top="344" w:right="1440" w:bottom="0" w:gutter="0" w:footer="0" w:header="0"/>
        </w:sectPr>
      </w:pPr>
    </w:p>
    <w:bookmarkStart w:id="11" w:name="page12"/>
    <w:bookmarkEnd w:id="11"/>
    <w:p>
      <w:pPr>
        <w:ind w:right="2239"/>
        <w:spacing w:after="0" w:line="270" w:lineRule="auto"/>
        <w:rPr>
          <w:sz w:val="20"/>
          <w:szCs w:val="20"/>
          <w:color w:val="auto"/>
        </w:rPr>
      </w:pPr>
      <w:r>
        <w:rPr>
          <w:rFonts w:ascii="Courier New" w:cs="Courier New" w:eastAsia="Courier New" w:hAnsi="Courier New"/>
          <w:sz w:val="16"/>
          <w:szCs w:val="16"/>
          <w:color w:val="auto"/>
        </w:rPr>
        <w:t>capitalize certain expenditures and advances relating to acquisitions, pending acquisitions, and disposal site development and expansion projects. We expense indirect acquisition costs, such as executive salaries, general corporate overhead, public affairs and other corporate services, as incurred. Our policy is to charge against earnings any unamortized capitalized expenditures and advances relating to any facility or operation that is permanently shut down, any pending acquisition that is not consummated, and any disposal site development or expansion project that is not completed. The charge against earnings is reduced by any portion of the capitalized expenditure and advances that we estimate will be recoverable, through sale or otherwise. In future periods, we may be required to incur a charge against earnings in accordance with our policy. Depending on its magnitude, any such charge could have a material adverse effect on our consolidated financial statements.</w:t>
      </w:r>
    </w:p>
    <w:p>
      <w:pPr>
        <w:spacing w:after="0" w:line="387" w:lineRule="exact"/>
        <w:rPr>
          <w:sz w:val="20"/>
          <w:szCs w:val="20"/>
          <w:color w:val="auto"/>
        </w:rPr>
      </w:pPr>
    </w:p>
    <w:p>
      <w:pPr>
        <w:ind w:right="2019"/>
        <w:spacing w:after="0" w:line="235" w:lineRule="auto"/>
        <w:rPr>
          <w:sz w:val="20"/>
          <w:szCs w:val="20"/>
          <w:color w:val="auto"/>
        </w:rPr>
      </w:pPr>
      <w:r>
        <w:rPr>
          <w:rFonts w:ascii="Courier New" w:cs="Courier New" w:eastAsia="Courier New" w:hAnsi="Courier New"/>
          <w:sz w:val="18"/>
          <w:szCs w:val="18"/>
          <w:color w:val="auto"/>
        </w:rPr>
        <w:t>GOVERNMENTAL REGULATIONS MAY RESTRICT OUR OPERATIONS OR INCREASE THE LEVEL OF COSTS OF OUR OPERATIONS</w:t>
      </w:r>
    </w:p>
    <w:p>
      <w:pPr>
        <w:spacing w:after="0" w:line="208" w:lineRule="exact"/>
        <w:rPr>
          <w:sz w:val="20"/>
          <w:szCs w:val="20"/>
          <w:color w:val="auto"/>
        </w:rPr>
      </w:pPr>
    </w:p>
    <w:p>
      <w:pPr>
        <w:ind w:right="2239" w:firstLine="632"/>
        <w:spacing w:after="0" w:line="237" w:lineRule="auto"/>
        <w:rPr>
          <w:sz w:val="20"/>
          <w:szCs w:val="20"/>
          <w:color w:val="auto"/>
        </w:rPr>
      </w:pPr>
      <w:r>
        <w:rPr>
          <w:rFonts w:ascii="Courier New" w:cs="Courier New" w:eastAsia="Courier New" w:hAnsi="Courier New"/>
          <w:sz w:val="18"/>
          <w:szCs w:val="18"/>
          <w:color w:val="auto"/>
        </w:rPr>
        <w:t>Stringent government regulations at the federal, state and local level in the United States and in other countries have a substantial impact on our operations. A large number of complex laws, rules, orders and interpretations govern environmental protection, health and safety, land use, zoning and related matters. Among other things, they may restrict our operations and adversely affect our operating results and financial condition by imposing conditions such as:</w:t>
      </w:r>
    </w:p>
    <w:p>
      <w:pPr>
        <w:spacing w:after="0" w:line="210" w:lineRule="exact"/>
        <w:rPr>
          <w:sz w:val="20"/>
          <w:szCs w:val="20"/>
          <w:color w:val="auto"/>
        </w:rPr>
      </w:pPr>
    </w:p>
    <w:p>
      <w:pPr>
        <w:ind w:left="1280" w:right="2019" w:hanging="746"/>
        <w:spacing w:after="0" w:line="236" w:lineRule="auto"/>
        <w:tabs>
          <w:tab w:leader="none" w:pos="128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limitations on the siting and construction of new waste disposal, transfer or processing facilities or the expansion of existing facilities;</w:t>
      </w:r>
    </w:p>
    <w:p>
      <w:pPr>
        <w:spacing w:after="0" w:line="208" w:lineRule="exact"/>
        <w:rPr>
          <w:rFonts w:ascii="Courier New" w:cs="Courier New" w:eastAsia="Courier New" w:hAnsi="Courier New"/>
          <w:sz w:val="18"/>
          <w:szCs w:val="18"/>
          <w:color w:val="auto"/>
        </w:rPr>
      </w:pPr>
    </w:p>
    <w:p>
      <w:pPr>
        <w:ind w:left="1280" w:right="2119" w:hanging="746"/>
        <w:spacing w:after="0" w:line="235" w:lineRule="auto"/>
        <w:tabs>
          <w:tab w:leader="none" w:pos="128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limitations or bans on disposal of out-of-state waste or certain categories of waste; or</w:t>
      </w:r>
    </w:p>
    <w:p>
      <w:pPr>
        <w:spacing w:after="0" w:line="202" w:lineRule="exact"/>
        <w:rPr>
          <w:rFonts w:ascii="Courier New" w:cs="Courier New" w:eastAsia="Courier New" w:hAnsi="Courier New"/>
          <w:sz w:val="18"/>
          <w:szCs w:val="18"/>
          <w:color w:val="auto"/>
        </w:rPr>
      </w:pPr>
    </w:p>
    <w:p>
      <w:pPr>
        <w:ind w:left="1280" w:hanging="746"/>
        <w:spacing w:after="0"/>
        <w:tabs>
          <w:tab w:leader="none" w:pos="128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mandates regarding the disposal of solid waste.</w:t>
      </w:r>
    </w:p>
    <w:p>
      <w:pPr>
        <w:spacing w:after="0" w:line="207" w:lineRule="exact"/>
        <w:rPr>
          <w:sz w:val="20"/>
          <w:szCs w:val="20"/>
          <w:color w:val="auto"/>
        </w:rPr>
      </w:pPr>
    </w:p>
    <w:p>
      <w:pPr>
        <w:ind w:right="2439" w:firstLine="632"/>
        <w:spacing w:after="0" w:line="237" w:lineRule="auto"/>
        <w:rPr>
          <w:sz w:val="20"/>
          <w:szCs w:val="20"/>
          <w:color w:val="auto"/>
        </w:rPr>
      </w:pPr>
      <w:r>
        <w:rPr>
          <w:rFonts w:ascii="Courier New" w:cs="Courier New" w:eastAsia="Courier New" w:hAnsi="Courier New"/>
          <w:sz w:val="18"/>
          <w:szCs w:val="18"/>
          <w:color w:val="auto"/>
        </w:rPr>
        <w:t>Regulations also affect the siting, design and closure of landfills and could require us to undertake investigatory or remedial activities, curtail operations or close a landfill temporarily or permanently. Future changes in these regulations may require us to modify, supplement or replace equipment or facilities. The costs of complying with these regulations could be substantial.</w:t>
      </w:r>
    </w:p>
    <w:p>
      <w:pPr>
        <w:spacing w:after="0" w:line="209" w:lineRule="exact"/>
        <w:rPr>
          <w:sz w:val="20"/>
          <w:szCs w:val="20"/>
          <w:color w:val="auto"/>
        </w:rPr>
      </w:pPr>
    </w:p>
    <w:p>
      <w:pPr>
        <w:ind w:right="2239" w:firstLine="632"/>
        <w:spacing w:after="0" w:line="237" w:lineRule="auto"/>
        <w:rPr>
          <w:sz w:val="20"/>
          <w:szCs w:val="20"/>
          <w:color w:val="auto"/>
        </w:rPr>
      </w:pPr>
      <w:r>
        <w:rPr>
          <w:rFonts w:ascii="Courier New" w:cs="Courier New" w:eastAsia="Courier New" w:hAnsi="Courier New"/>
          <w:sz w:val="18"/>
          <w:szCs w:val="18"/>
          <w:color w:val="auto"/>
        </w:rPr>
        <w:t>In order to develop, expand or operate a landfill or other waste management facility, we must have various facility permits and other governmental approvals, including those relating to zoning, environmental protection and land use. These permits and approvals are difficult, time consuming and costly to obtain, in part because of possible opposition by governmental officials or citizens. In addition, these permits and approvals may contain conditions that limit operations and our ability to change the facility or are otherwise difficult to comply with. We cannot guarantee that we will be successful in obtaining and maintaining in effect permits and approvals required for the successful operation and growth of our business, including permits and approvals for the development of additional disposal capacity needed to replace existing capacity that is exhausted.</w:t>
      </w:r>
    </w:p>
    <w:p>
      <w:pPr>
        <w:spacing w:after="0" w:line="217" w:lineRule="exact"/>
        <w:rPr>
          <w:sz w:val="20"/>
          <w:szCs w:val="20"/>
          <w:color w:val="auto"/>
        </w:rPr>
      </w:pPr>
    </w:p>
    <w:p>
      <w:pPr>
        <w:ind w:right="2239" w:firstLine="632"/>
        <w:spacing w:after="0" w:line="237" w:lineRule="auto"/>
        <w:rPr>
          <w:sz w:val="20"/>
          <w:szCs w:val="20"/>
          <w:color w:val="auto"/>
        </w:rPr>
      </w:pPr>
      <w:r>
        <w:rPr>
          <w:rFonts w:ascii="Courier New" w:cs="Courier New" w:eastAsia="Courier New" w:hAnsi="Courier New"/>
          <w:sz w:val="18"/>
          <w:szCs w:val="18"/>
          <w:color w:val="auto"/>
        </w:rPr>
        <w:t>Courts in the United States, basing their decisions on constitutional law, have ruled that state and local governments may not use regulatory flow control laws to restrict the free movement of waste in interstate commerce. We cannot predict what impact, if any, these decisions will have on our disposal facilities.</w:t>
      </w:r>
    </w:p>
    <w:p>
      <w:pPr>
        <w:spacing w:after="0" w:line="208" w:lineRule="exact"/>
        <w:rPr>
          <w:sz w:val="20"/>
          <w:szCs w:val="20"/>
          <w:color w:val="auto"/>
        </w:rPr>
      </w:pPr>
    </w:p>
    <w:p>
      <w:pPr>
        <w:ind w:right="2559"/>
        <w:spacing w:after="0" w:line="235" w:lineRule="auto"/>
        <w:rPr>
          <w:sz w:val="20"/>
          <w:szCs w:val="20"/>
          <w:color w:val="auto"/>
        </w:rPr>
      </w:pPr>
      <w:r>
        <w:rPr>
          <w:rFonts w:ascii="Courier New" w:cs="Courier New" w:eastAsia="Courier New" w:hAnsi="Courier New"/>
          <w:sz w:val="18"/>
          <w:szCs w:val="18"/>
          <w:color w:val="auto"/>
        </w:rPr>
        <w:t>WE COULD BE LIABLE FOR ENVIRONMENTAL DAMAGES RESULTING FROM OUR DISPOSAL FACILITIES AND COLLECTION OPERATIONS</w:t>
      </w:r>
    </w:p>
    <w:p>
      <w:pPr>
        <w:spacing w:after="0" w:line="208" w:lineRule="exact"/>
        <w:rPr>
          <w:sz w:val="20"/>
          <w:szCs w:val="20"/>
          <w:color w:val="auto"/>
        </w:rPr>
      </w:pPr>
    </w:p>
    <w:p>
      <w:pPr>
        <w:ind w:right="2239" w:firstLine="632"/>
        <w:spacing w:after="0" w:line="270" w:lineRule="auto"/>
        <w:rPr>
          <w:sz w:val="20"/>
          <w:szCs w:val="20"/>
          <w:color w:val="auto"/>
        </w:rPr>
      </w:pPr>
      <w:r>
        <w:rPr>
          <w:rFonts w:ascii="Courier New" w:cs="Courier New" w:eastAsia="Courier New" w:hAnsi="Courier New"/>
          <w:sz w:val="16"/>
          <w:szCs w:val="16"/>
          <w:color w:val="auto"/>
        </w:rPr>
        <w:t>We could be liable if our disposal facilities or collection operations cause environmental damage to our properties or to nearby landowners, particularly as a result of the contamination of drinking water sources or soil. Under current law, we could even be held liable for damage caused by conditions that existed before we acquired the assets or operations involved. Also, we could be liable if we arrange for the transportation, disposal or treatment of hazardous substances that cause environmental contamination, or if a predecessor owner made such arrangements and under applicable law we are treated as a successor to the prior owner. Any substantial liability for environmental damage could have a material adverse effect on our operating results and financial condition.</w:t>
      </w:r>
    </w:p>
    <w:p>
      <w:pPr>
        <w:spacing w:after="0" w:line="391" w:lineRule="exact"/>
        <w:rPr>
          <w:sz w:val="20"/>
          <w:szCs w:val="20"/>
          <w:color w:val="auto"/>
        </w:rPr>
      </w:pPr>
    </w:p>
    <w:p>
      <w:pPr>
        <w:ind w:right="2239" w:firstLine="632"/>
        <w:spacing w:after="0" w:line="279" w:lineRule="auto"/>
        <w:rPr>
          <w:sz w:val="20"/>
          <w:szCs w:val="20"/>
          <w:color w:val="auto"/>
        </w:rPr>
      </w:pPr>
      <w:r>
        <w:rPr>
          <w:rFonts w:ascii="Courier New" w:cs="Courier New" w:eastAsia="Courier New" w:hAnsi="Courier New"/>
          <w:sz w:val="16"/>
          <w:szCs w:val="16"/>
          <w:color w:val="auto"/>
        </w:rPr>
        <w:t>In the ordinary course of our business, we may become involved in a variety of legal and administrative proceedings relating to land use and environmental laws and regulations. These may include proceedings in which:</w:t>
      </w:r>
    </w:p>
    <w:p>
      <w:pPr>
        <w:sectPr>
          <w:pgSz w:w="11900" w:h="16838" w:orient="portrait"/>
          <w:cols w:equalWidth="0" w:num="1">
            <w:col w:w="10139"/>
          </w:cols>
          <w:pgMar w:left="320" w:top="142" w:right="1440" w:bottom="0" w:gutter="0" w:footer="0" w:header="0"/>
        </w:sectPr>
      </w:pPr>
    </w:p>
    <w:bookmarkStart w:id="12" w:name="page13"/>
    <w:bookmarkEnd w:id="12"/>
    <w:p>
      <w:pPr>
        <w:ind w:left="1280" w:right="2339" w:hanging="640"/>
        <w:spacing w:after="0" w:line="275" w:lineRule="auto"/>
        <w:tabs>
          <w:tab w:leader="none" w:pos="128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agencies of federal, state, local or foreign governments seek to impose liability on us under applicable statutes, sometimes involving civil or criminal penalties for violations, or to revoke or deny renewal of a permit we need; and</w:t>
      </w:r>
    </w:p>
    <w:p>
      <w:pPr>
        <w:spacing w:after="0" w:line="181" w:lineRule="exact"/>
        <w:rPr>
          <w:rFonts w:ascii="Courier New" w:cs="Courier New" w:eastAsia="Courier New" w:hAnsi="Courier New"/>
          <w:sz w:val="16"/>
          <w:szCs w:val="16"/>
          <w:color w:val="auto"/>
        </w:rPr>
      </w:pPr>
    </w:p>
    <w:p>
      <w:pPr>
        <w:ind w:left="1280" w:right="2559" w:hanging="640"/>
        <w:spacing w:after="0" w:line="237" w:lineRule="auto"/>
        <w:tabs>
          <w:tab w:leader="none" w:pos="128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 groups, adjacent landowners or governmental agencies oppose the issuance of a permit or approval we need, allege violations of the permits under which we operate or laws or regulations to which we are subject, or seek to impose liability on us for environmental damage for which we may be responsible.</w:t>
      </w:r>
    </w:p>
    <w:p>
      <w:pPr>
        <w:spacing w:after="0" w:line="209" w:lineRule="exact"/>
        <w:rPr>
          <w:sz w:val="20"/>
          <w:szCs w:val="20"/>
          <w:color w:val="auto"/>
        </w:rPr>
      </w:pPr>
    </w:p>
    <w:p>
      <w:pPr>
        <w:jc w:val="both"/>
        <w:ind w:right="2239" w:firstLine="632"/>
        <w:spacing w:after="0" w:line="236" w:lineRule="auto"/>
        <w:rPr>
          <w:sz w:val="20"/>
          <w:szCs w:val="20"/>
          <w:color w:val="auto"/>
        </w:rPr>
      </w:pPr>
      <w:r>
        <w:rPr>
          <w:rFonts w:ascii="Courier New" w:cs="Courier New" w:eastAsia="Courier New" w:hAnsi="Courier New"/>
          <w:sz w:val="18"/>
          <w:szCs w:val="18"/>
          <w:color w:val="auto"/>
        </w:rPr>
        <w:t>The adverse outcome of one or more of these proceedings could have a material adverse effect on our financial position, results of operations or cash flows.</w:t>
      </w:r>
    </w:p>
    <w:p>
      <w:pPr>
        <w:spacing w:after="0" w:line="208" w:lineRule="exact"/>
        <w:rPr>
          <w:sz w:val="20"/>
          <w:szCs w:val="20"/>
          <w:color w:val="auto"/>
        </w:rPr>
      </w:pPr>
    </w:p>
    <w:p>
      <w:pPr>
        <w:ind w:right="2239" w:firstLine="632"/>
        <w:spacing w:after="0" w:line="271" w:lineRule="auto"/>
        <w:rPr>
          <w:sz w:val="20"/>
          <w:szCs w:val="20"/>
          <w:color w:val="auto"/>
        </w:rPr>
      </w:pPr>
      <w:r>
        <w:rPr>
          <w:rFonts w:ascii="Courier New" w:cs="Courier New" w:eastAsia="Courier New" w:hAnsi="Courier New"/>
          <w:sz w:val="16"/>
          <w:szCs w:val="16"/>
          <w:color w:val="auto"/>
        </w:rPr>
        <w:t>From time to time we have received citations or notices from governmental authorities that our operations are not in compliance with our permits or certain applicable environmental or land use laws and regulations. In the future we may receive additional citations or notices. We generally seek to work with the authorities to resolve the issues raised by such citations or notices. However, we cannot guarantee that we will always be successful in this regard. Where we are not, we may incur fines, penalties or other sanctions that could have a material adverse effect on our financial position, results of operations or cash flows.</w:t>
      </w:r>
    </w:p>
    <w:p>
      <w:pPr>
        <w:spacing w:after="0" w:line="388" w:lineRule="exact"/>
        <w:rPr>
          <w:sz w:val="20"/>
          <w:szCs w:val="20"/>
          <w:color w:val="auto"/>
        </w:rPr>
      </w:pPr>
    </w:p>
    <w:p>
      <w:pPr>
        <w:ind w:right="2239" w:firstLine="632"/>
        <w:spacing w:after="0" w:line="237" w:lineRule="auto"/>
        <w:rPr>
          <w:sz w:val="20"/>
          <w:szCs w:val="20"/>
          <w:color w:val="auto"/>
        </w:rPr>
      </w:pPr>
      <w:r>
        <w:rPr>
          <w:rFonts w:ascii="Courier New" w:cs="Courier New" w:eastAsia="Courier New" w:hAnsi="Courier New"/>
          <w:sz w:val="18"/>
          <w:szCs w:val="18"/>
          <w:color w:val="auto"/>
        </w:rPr>
        <w:t>Our insurance for environmental liability meets or exceeds statutory requirements. However, because we believe that the cost for such insurance is high relative to the coverage it would provide, our coverages are generally maintained at statutorily required levels. Due to the limited nature of such insurance coverage for environmental liability, if we were to incur liability for environmental damage, such liability could have a material adverse effect on our financial position, results of operations or cash flows.</w:t>
      </w:r>
    </w:p>
    <w:p>
      <w:pPr>
        <w:spacing w:after="0" w:line="212" w:lineRule="exact"/>
        <w:rPr>
          <w:sz w:val="20"/>
          <w:szCs w:val="20"/>
          <w:color w:val="auto"/>
        </w:rPr>
      </w:pPr>
    </w:p>
    <w:p>
      <w:pPr>
        <w:jc w:val="both"/>
        <w:ind w:right="2659"/>
        <w:spacing w:after="0" w:line="236" w:lineRule="auto"/>
        <w:rPr>
          <w:sz w:val="20"/>
          <w:szCs w:val="20"/>
          <w:color w:val="auto"/>
        </w:rPr>
      </w:pPr>
      <w:r>
        <w:rPr>
          <w:rFonts w:ascii="Courier New" w:cs="Courier New" w:eastAsia="Courier New" w:hAnsi="Courier New"/>
          <w:sz w:val="18"/>
          <w:szCs w:val="18"/>
          <w:color w:val="auto"/>
        </w:rPr>
        <w:t>THE DEVELOPMENT AND ACCEPTANCE OF ALTERNATIVES TO LANDFILL DISPOSAL AND WASTE-TO-ENERGY FACILITIES COULD REDUCE OUR ABILITY TO OPERATE AT FULL CAPACITY</w:t>
      </w:r>
    </w:p>
    <w:p>
      <w:pPr>
        <w:spacing w:after="0" w:line="208" w:lineRule="exact"/>
        <w:rPr>
          <w:sz w:val="20"/>
          <w:szCs w:val="20"/>
          <w:color w:val="auto"/>
        </w:rPr>
      </w:pPr>
    </w:p>
    <w:p>
      <w:pPr>
        <w:ind w:right="2239" w:firstLine="632"/>
        <w:spacing w:after="0" w:line="237" w:lineRule="auto"/>
        <w:rPr>
          <w:sz w:val="20"/>
          <w:szCs w:val="20"/>
          <w:color w:val="auto"/>
        </w:rPr>
      </w:pPr>
      <w:r>
        <w:rPr>
          <w:rFonts w:ascii="Courier New" w:cs="Courier New" w:eastAsia="Courier New" w:hAnsi="Courier New"/>
          <w:sz w:val="18"/>
          <w:szCs w:val="18"/>
          <w:color w:val="auto"/>
        </w:rPr>
        <w:t>Our customers are increasingly using alternatives to landfill disposal, such as recycling and composting. In addition, state and local governments are increasingly mandating recycling and waste reduction at the source and prohibiting the disposal of certain types of wastes, such as yard wastes, at landfills or waste-to-energy facilities. These developments could reduce the volume of waste going to landfills and waste-to-energy facilities in certain areas, which may affect our ability to operate our landfills and waste-to-energy facilities at full capacity as well as the prices that we can charge for landfill disposal and waste-to-energy services.</w:t>
      </w: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FLUCTUATIONS IN THE PRICE OF RECYCLABLE MATERIALS AFFECT OUR OPERATING REVENUES</w:t>
      </w:r>
    </w:p>
    <w:p>
      <w:pPr>
        <w:spacing w:after="0" w:line="224" w:lineRule="exact"/>
        <w:rPr>
          <w:sz w:val="20"/>
          <w:szCs w:val="20"/>
          <w:color w:val="auto"/>
        </w:rPr>
      </w:pPr>
    </w:p>
    <w:p>
      <w:pPr>
        <w:ind w:right="2339" w:firstLine="632"/>
        <w:spacing w:after="0" w:line="237" w:lineRule="auto"/>
        <w:rPr>
          <w:sz w:val="20"/>
          <w:szCs w:val="20"/>
          <w:color w:val="auto"/>
        </w:rPr>
      </w:pPr>
      <w:r>
        <w:rPr>
          <w:rFonts w:ascii="Courier New" w:cs="Courier New" w:eastAsia="Courier New" w:hAnsi="Courier New"/>
          <w:sz w:val="18"/>
          <w:szCs w:val="18"/>
          <w:color w:val="auto"/>
        </w:rPr>
        <w:t>Recyclable materials that we process for sale, including paper, plastics, aluminum and other commodities, are subject to significant price fluctuations. These fluctuations will affect our future operating revenues and income.</w:t>
      </w:r>
    </w:p>
    <w:p>
      <w:pPr>
        <w:spacing w:after="0" w:line="200" w:lineRule="exact"/>
        <w:rPr>
          <w:sz w:val="20"/>
          <w:szCs w:val="20"/>
          <w:color w:val="auto"/>
        </w:rPr>
      </w:pPr>
    </w:p>
    <w:p>
      <w:pPr>
        <w:spacing w:after="0" w:line="210" w:lineRule="exact"/>
        <w:rPr>
          <w:sz w:val="20"/>
          <w:szCs w:val="20"/>
          <w:color w:val="auto"/>
        </w:rPr>
      </w:pPr>
    </w:p>
    <w:p>
      <w:pPr>
        <w:ind w:right="2119"/>
        <w:spacing w:after="0" w:line="235" w:lineRule="auto"/>
        <w:rPr>
          <w:sz w:val="20"/>
          <w:szCs w:val="20"/>
          <w:color w:val="auto"/>
        </w:rPr>
      </w:pPr>
      <w:r>
        <w:rPr>
          <w:rFonts w:ascii="Courier New" w:cs="Courier New" w:eastAsia="Courier New" w:hAnsi="Courier New"/>
          <w:sz w:val="18"/>
          <w:szCs w:val="18"/>
          <w:color w:val="auto"/>
        </w:rPr>
        <w:t>THE COMMISSION IS INVESTIGATING THE ACCOUNTING PRACTICES OF WASTE MANAGEMENT HOLDINGS</w:t>
      </w:r>
    </w:p>
    <w:p>
      <w:pPr>
        <w:spacing w:after="0" w:line="208" w:lineRule="exact"/>
        <w:rPr>
          <w:sz w:val="20"/>
          <w:szCs w:val="20"/>
          <w:color w:val="auto"/>
        </w:rPr>
      </w:pPr>
    </w:p>
    <w:p>
      <w:pPr>
        <w:ind w:right="2339" w:firstLine="632"/>
        <w:spacing w:after="0" w:line="237" w:lineRule="auto"/>
        <w:rPr>
          <w:sz w:val="20"/>
          <w:szCs w:val="20"/>
          <w:color w:val="auto"/>
        </w:rPr>
      </w:pPr>
      <w:r>
        <w:rPr>
          <w:rFonts w:ascii="Courier New" w:cs="Courier New" w:eastAsia="Courier New" w:hAnsi="Courier New"/>
          <w:sz w:val="18"/>
          <w:szCs w:val="18"/>
          <w:color w:val="auto"/>
        </w:rPr>
        <w:t>The Commission has commenced a formal investigation with respect to the previously filed financial statements (which were subsequently restated) and the related accounting policies, procedures and system of internal controls of Waste Management Holdings, Inc., or "WM Holdings," which we acquired through a merger in July 1998. Several lawsuits and claims have been filed against WM Holdings and some of its former officers and directors in connection with the restatement of WM Holdings' financial statements. We are unable to predict the outcome or impact of the investigation or any previously filed or future lawsuits or claims arising out of the restatement. However, it is reasonably possible that they could have a material adverse impact on our financial condition or results of operations in one or more future periods.</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OUR INTERNATIONAL OPERATIONS ENCOUNTER SOCIAL, POLITICAL AND ECONOMIC RISKS</w:t>
      </w:r>
    </w:p>
    <w:p>
      <w:pPr>
        <w:spacing w:after="0" w:line="207" w:lineRule="exact"/>
        <w:rPr>
          <w:sz w:val="20"/>
          <w:szCs w:val="20"/>
          <w:color w:val="auto"/>
        </w:rPr>
      </w:pPr>
    </w:p>
    <w:p>
      <w:pPr>
        <w:ind w:right="2239" w:firstLine="632"/>
        <w:spacing w:after="0" w:line="236" w:lineRule="auto"/>
        <w:rPr>
          <w:sz w:val="20"/>
          <w:szCs w:val="20"/>
          <w:color w:val="auto"/>
        </w:rPr>
      </w:pPr>
      <w:r>
        <w:rPr>
          <w:rFonts w:ascii="Courier New" w:cs="Courier New" w:eastAsia="Courier New" w:hAnsi="Courier New"/>
          <w:sz w:val="18"/>
          <w:szCs w:val="18"/>
          <w:color w:val="auto"/>
        </w:rPr>
        <w:t>Our operations in foreign countries generally are subject to a number of risks inherent in any business operating in foreign countries, all of which are beyond our control. These risks include:</w:t>
      </w:r>
    </w:p>
    <w:p>
      <w:pPr>
        <w:spacing w:after="0" w:line="203" w:lineRule="exact"/>
        <w:rPr>
          <w:sz w:val="20"/>
          <w:szCs w:val="20"/>
          <w:color w:val="auto"/>
        </w:rPr>
      </w:pPr>
    </w:p>
    <w:p>
      <w:pPr>
        <w:ind w:left="540"/>
        <w:spacing w:after="0"/>
        <w:tabs>
          <w:tab w:leader="none" w:pos="1260" w:val="left"/>
        </w:tabs>
        <w:rPr>
          <w:sz w:val="20"/>
          <w:szCs w:val="20"/>
          <w:color w:val="auto"/>
        </w:rPr>
      </w:pPr>
      <w:r>
        <w:rPr>
          <w:rFonts w:ascii="Courier New" w:cs="Courier New" w:eastAsia="Courier New" w:hAnsi="Courier New"/>
          <w:sz w:val="18"/>
          <w:szCs w:val="18"/>
          <w:color w:val="auto"/>
        </w:rPr>
        <w:t>o</w:t>
      </w:r>
      <w:r>
        <w:rPr>
          <w:sz w:val="20"/>
          <w:szCs w:val="20"/>
          <w:color w:val="auto"/>
        </w:rPr>
        <w:tab/>
      </w:r>
      <w:r>
        <w:rPr>
          <w:rFonts w:ascii="Courier New" w:cs="Courier New" w:eastAsia="Courier New" w:hAnsi="Courier New"/>
          <w:sz w:val="18"/>
          <w:szCs w:val="18"/>
          <w:color w:val="auto"/>
        </w:rPr>
        <w:t>political, social and economic instability;</w:t>
      </w:r>
    </w:p>
    <w:p>
      <w:pPr>
        <w:sectPr>
          <w:pgSz w:w="11900" w:h="16838" w:orient="portrait"/>
          <w:cols w:equalWidth="0" w:num="1">
            <w:col w:w="10139"/>
          </w:cols>
          <w:pgMar w:left="320" w:top="142" w:right="1440" w:bottom="0" w:gutter="0" w:footer="0" w:header="0"/>
        </w:sectPr>
      </w:pPr>
    </w:p>
    <w:bookmarkStart w:id="13" w:name="page14"/>
    <w:bookmarkEnd w:id="13"/>
    <w:p>
      <w:pPr>
        <w:ind w:left="1280" w:hanging="746"/>
        <w:spacing w:after="0"/>
        <w:tabs>
          <w:tab w:leader="none" w:pos="12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inflation;</w:t>
      </w:r>
    </w:p>
    <w:p>
      <w:pPr>
        <w:spacing w:after="0" w:line="201" w:lineRule="exact"/>
        <w:rPr>
          <w:rFonts w:ascii="Courier New" w:cs="Courier New" w:eastAsia="Courier New" w:hAnsi="Courier New"/>
          <w:sz w:val="18"/>
          <w:szCs w:val="18"/>
          <w:color w:val="auto"/>
        </w:rPr>
      </w:pPr>
    </w:p>
    <w:p>
      <w:pPr>
        <w:ind w:left="1280" w:hanging="746"/>
        <w:spacing w:after="0"/>
        <w:tabs>
          <w:tab w:leader="none" w:pos="12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general strikes;</w:t>
      </w:r>
    </w:p>
    <w:p>
      <w:pPr>
        <w:spacing w:after="0" w:line="201" w:lineRule="exact"/>
        <w:rPr>
          <w:rFonts w:ascii="Courier New" w:cs="Courier New" w:eastAsia="Courier New" w:hAnsi="Courier New"/>
          <w:sz w:val="18"/>
          <w:szCs w:val="18"/>
          <w:color w:val="auto"/>
        </w:rPr>
      </w:pPr>
    </w:p>
    <w:p>
      <w:pPr>
        <w:ind w:left="1280" w:hanging="746"/>
        <w:spacing w:after="0"/>
        <w:tabs>
          <w:tab w:leader="none" w:pos="12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nationalization of assets;</w:t>
      </w:r>
    </w:p>
    <w:p>
      <w:pPr>
        <w:spacing w:after="0" w:line="201" w:lineRule="exact"/>
        <w:rPr>
          <w:rFonts w:ascii="Courier New" w:cs="Courier New" w:eastAsia="Courier New" w:hAnsi="Courier New"/>
          <w:sz w:val="18"/>
          <w:szCs w:val="18"/>
          <w:color w:val="auto"/>
        </w:rPr>
      </w:pPr>
    </w:p>
    <w:p>
      <w:pPr>
        <w:ind w:left="1280" w:hanging="746"/>
        <w:spacing w:after="0"/>
        <w:tabs>
          <w:tab w:leader="none" w:pos="12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currency restrictions and exchange rate fluctuations;</w:t>
      </w:r>
    </w:p>
    <w:p>
      <w:pPr>
        <w:spacing w:after="0" w:line="206" w:lineRule="exact"/>
        <w:rPr>
          <w:rFonts w:ascii="Courier New" w:cs="Courier New" w:eastAsia="Courier New" w:hAnsi="Courier New"/>
          <w:sz w:val="18"/>
          <w:szCs w:val="18"/>
          <w:color w:val="auto"/>
        </w:rPr>
      </w:pPr>
    </w:p>
    <w:p>
      <w:pPr>
        <w:ind w:left="1280" w:hanging="746"/>
        <w:spacing w:after="0"/>
        <w:tabs>
          <w:tab w:leader="none" w:pos="128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nullification, modification or renegotiation of contracts; and</w:t>
      </w:r>
    </w:p>
    <w:p>
      <w:pPr>
        <w:spacing w:after="0" w:line="218" w:lineRule="exact"/>
        <w:rPr>
          <w:rFonts w:ascii="Courier New" w:cs="Courier New" w:eastAsia="Courier New" w:hAnsi="Courier New"/>
          <w:sz w:val="16"/>
          <w:szCs w:val="16"/>
          <w:color w:val="auto"/>
        </w:rPr>
      </w:pPr>
    </w:p>
    <w:p>
      <w:pPr>
        <w:ind w:left="1280" w:hanging="746"/>
        <w:spacing w:after="0"/>
        <w:tabs>
          <w:tab w:leader="none" w:pos="12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governmental regulation.</w:t>
      </w:r>
    </w:p>
    <w:p>
      <w:pPr>
        <w:spacing w:after="0" w:line="207" w:lineRule="exact"/>
        <w:rPr>
          <w:sz w:val="20"/>
          <w:szCs w:val="20"/>
          <w:color w:val="auto"/>
        </w:rPr>
      </w:pPr>
    </w:p>
    <w:p>
      <w:pPr>
        <w:ind w:right="2239" w:firstLine="632"/>
        <w:spacing w:after="0" w:line="236" w:lineRule="auto"/>
        <w:rPr>
          <w:sz w:val="20"/>
          <w:szCs w:val="20"/>
          <w:color w:val="auto"/>
        </w:rPr>
      </w:pPr>
      <w:r>
        <w:rPr>
          <w:rFonts w:ascii="Courier New" w:cs="Courier New" w:eastAsia="Courier New" w:hAnsi="Courier New"/>
          <w:sz w:val="18"/>
          <w:szCs w:val="18"/>
          <w:color w:val="auto"/>
        </w:rPr>
        <w:t>We can make no prediction as to how existing or future foreign governmental regulations in any jurisdiction may affect us in particular or the waste management industry in general.</w:t>
      </w:r>
    </w:p>
    <w:p>
      <w:pPr>
        <w:spacing w:after="0" w:line="208" w:lineRule="exact"/>
        <w:rPr>
          <w:sz w:val="20"/>
          <w:szCs w:val="20"/>
          <w:color w:val="auto"/>
        </w:rPr>
      </w:pPr>
    </w:p>
    <w:p>
      <w:pPr>
        <w:ind w:right="2439"/>
        <w:spacing w:after="0" w:line="235" w:lineRule="auto"/>
        <w:rPr>
          <w:sz w:val="20"/>
          <w:szCs w:val="20"/>
          <w:color w:val="auto"/>
        </w:rPr>
      </w:pPr>
      <w:r>
        <w:rPr>
          <w:rFonts w:ascii="Courier New" w:cs="Courier New" w:eastAsia="Courier New" w:hAnsi="Courier New"/>
          <w:sz w:val="18"/>
          <w:szCs w:val="18"/>
          <w:color w:val="auto"/>
        </w:rPr>
        <w:t>OUR BUSINESS IS SEASONAL IN NATURE AND OUR REVENUES AND RESULTS VARY FROM QUARTER TO QUARTER</w:t>
      </w:r>
    </w:p>
    <w:p>
      <w:pPr>
        <w:spacing w:after="0" w:line="208" w:lineRule="exact"/>
        <w:rPr>
          <w:sz w:val="20"/>
          <w:szCs w:val="20"/>
          <w:color w:val="auto"/>
        </w:rPr>
      </w:pPr>
    </w:p>
    <w:p>
      <w:pPr>
        <w:ind w:right="2239" w:firstLine="632"/>
        <w:spacing w:after="0" w:line="272" w:lineRule="auto"/>
        <w:rPr>
          <w:sz w:val="20"/>
          <w:szCs w:val="20"/>
          <w:color w:val="auto"/>
        </w:rPr>
      </w:pPr>
      <w:r>
        <w:rPr>
          <w:rFonts w:ascii="Courier New" w:cs="Courier New" w:eastAsia="Courier New" w:hAnsi="Courier New"/>
          <w:sz w:val="16"/>
          <w:szCs w:val="16"/>
          <w:color w:val="auto"/>
        </w:rPr>
        <w:t>Our operating revenues are usually lower in the winter months, primarily because the volume of waste relating to construction and demolition activities usually increases in the spring and summer months and the volume of industrial and residential waste in certain regions where we operate usually decreases during the winter months. Our first and fourth quarter results of operations typically reflect this seasonality.</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POTENTIAL EFFECT OF CERTAIN ANTI-TAKEOVER PROVISIONS</w:t>
      </w:r>
    </w:p>
    <w:p>
      <w:pPr>
        <w:spacing w:after="0" w:line="207" w:lineRule="exact"/>
        <w:rPr>
          <w:sz w:val="20"/>
          <w:szCs w:val="20"/>
          <w:color w:val="auto"/>
        </w:rPr>
      </w:pPr>
    </w:p>
    <w:p>
      <w:pPr>
        <w:ind w:right="2239" w:firstLine="632"/>
        <w:spacing w:after="0" w:line="238" w:lineRule="auto"/>
        <w:rPr>
          <w:sz w:val="20"/>
          <w:szCs w:val="20"/>
          <w:color w:val="auto"/>
        </w:rPr>
      </w:pPr>
      <w:r>
        <w:rPr>
          <w:rFonts w:ascii="Courier New" w:cs="Courier New" w:eastAsia="Courier New" w:hAnsi="Courier New"/>
          <w:sz w:val="18"/>
          <w:szCs w:val="18"/>
          <w:color w:val="auto"/>
        </w:rPr>
        <w:t>Certain provisions of our Restated Certificate of Incorporation and Bylaws may make it more difficult for a third party to acquire us in a transaction that is not approved by our Board of Directors. For example, our Board of Directors has the power to issue up to 10,000,000 shares of our preferred stock in one or more series, and to fix the rights and preferences of any series, without further authorization by the holders of our common stock. In addition, our Board of Directors is divided into three classes, and each class serves for a staggered three-year term. This makes it more difficult for a third party to gain control of our Board of Directors. Generally, these provisions are designed to permit us to develop our businesses and foster our long-term growth without the disruption caused by the threat of a takeover that our Board of Directors does not think is in our best interests or in the best interests of our stockholders. Also, these provisions may discourage a third party from making a tender offer or otherwise attempting to gain control of us even though the attempt might be beneficial economically to us and our stockholders.</w:t>
      </w:r>
    </w:p>
    <w:p>
      <w:pPr>
        <w:spacing w:after="0" w:line="200" w:lineRule="exact"/>
        <w:rPr>
          <w:sz w:val="20"/>
          <w:szCs w:val="20"/>
          <w:color w:val="auto"/>
        </w:rPr>
      </w:pPr>
    </w:p>
    <w:p>
      <w:pPr>
        <w:spacing w:after="0" w:line="204"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SPECIAL NOTE REGARDING FORWARD-LOOKING STATEMENTS</w:t>
      </w:r>
    </w:p>
    <w:p>
      <w:pPr>
        <w:spacing w:after="0" w:line="207" w:lineRule="exact"/>
        <w:rPr>
          <w:sz w:val="20"/>
          <w:szCs w:val="20"/>
          <w:color w:val="auto"/>
        </w:rPr>
      </w:pPr>
    </w:p>
    <w:p>
      <w:pPr>
        <w:ind w:right="2239" w:firstLine="632"/>
        <w:spacing w:after="0" w:line="269" w:lineRule="auto"/>
        <w:rPr>
          <w:sz w:val="20"/>
          <w:szCs w:val="20"/>
          <w:color w:val="auto"/>
        </w:rPr>
      </w:pPr>
      <w:r>
        <w:rPr>
          <w:rFonts w:ascii="Courier New" w:cs="Courier New" w:eastAsia="Courier New" w:hAnsi="Courier New"/>
          <w:sz w:val="16"/>
          <w:szCs w:val="16"/>
          <w:color w:val="auto"/>
        </w:rPr>
        <w:t>In the normal course of our business, we, in an effort to help keep our stockholders and the public informed about our operations, may from time to time issue or make certain statements, either in writing or orally, that are or contain "forward-looking statements," as that term is defined in the U.S. federal securities laws. Generally, these statements relate to business plans or strategies, projected or anticipated benefits or other consequences of such plans or strategies, projected or anticipated benefits from acquisitions made by or to be made by us, or projections involving anticipated revenues, earnings, or other aspects of operating results. Certain statements contained in this prospectus or in the accompanying prospectus supplement and in the reports and filings with the Commission that we incorporated by reference may be forward-looking statements. The words "may," "expect," "believe," "anticipate," "project," "estimate," their opposites and similar expressions are intended to identify forward-looking statements. We caution readers that such statements are not guarantees of future performance or events and are subject to a number of factors that may tend to influence the accuracy of the statements and the projections upon which the statements are based, including, but not limited to, those discussed above under "Risk Factors." All phases of our operations are subject to a number of uncertainties, risks and other influences, many of which are outside our control, and any one of which, or a combination of which, could materially affect our consolidated financial statements and operations and whether forward- looking statements made by us ultimately prove to be accurate.</w:t>
      </w:r>
    </w:p>
    <w:p>
      <w:pPr>
        <w:spacing w:after="0" w:line="200" w:lineRule="exact"/>
        <w:rPr>
          <w:sz w:val="20"/>
          <w:szCs w:val="20"/>
          <w:color w:val="auto"/>
        </w:rPr>
      </w:pPr>
    </w:p>
    <w:p>
      <w:pPr>
        <w:spacing w:after="0" w:line="393" w:lineRule="exact"/>
        <w:rPr>
          <w:sz w:val="20"/>
          <w:szCs w:val="20"/>
          <w:color w:val="auto"/>
        </w:rPr>
      </w:pPr>
    </w:p>
    <w:p>
      <w:pPr>
        <w:ind w:right="2339" w:firstLine="632"/>
        <w:spacing w:after="0" w:line="237" w:lineRule="auto"/>
        <w:rPr>
          <w:sz w:val="20"/>
          <w:szCs w:val="20"/>
          <w:color w:val="auto"/>
        </w:rPr>
      </w:pPr>
      <w:r>
        <w:rPr>
          <w:rFonts w:ascii="Courier New" w:cs="Courier New" w:eastAsia="Courier New" w:hAnsi="Courier New"/>
          <w:sz w:val="18"/>
          <w:szCs w:val="18"/>
          <w:color w:val="auto"/>
        </w:rPr>
        <w:t>These factors are discussed more completely in our filings with the Commission, including our annual report on Form 10-K for the year ended December 31, 1998, and our quarterly reports on Form 10-Q for the quarters ended March 31, 1999, June 30, 1999 and September 30, 1999, which are incorporated by reference into this prospectus.</w:t>
      </w:r>
    </w:p>
    <w:p>
      <w:pPr>
        <w:sectPr>
          <w:pgSz w:w="11900" w:h="16838" w:orient="portrait"/>
          <w:cols w:equalWidth="0" w:num="1">
            <w:col w:w="10139"/>
          </w:cols>
          <w:pgMar w:left="320" w:top="339" w:right="1440" w:bottom="0" w:gutter="0" w:footer="0" w:header="0"/>
        </w:sectPr>
      </w:pPr>
    </w:p>
    <w:bookmarkStart w:id="14" w:name="page15"/>
    <w:bookmarkEnd w:id="14"/>
    <w:p>
      <w:pPr>
        <w:ind w:left="3160"/>
        <w:spacing w:after="0"/>
        <w:rPr>
          <w:sz w:val="20"/>
          <w:szCs w:val="20"/>
          <w:color w:val="auto"/>
        </w:rPr>
      </w:pPr>
      <w:r>
        <w:rPr>
          <w:rFonts w:ascii="Courier New" w:cs="Courier New" w:eastAsia="Courier New" w:hAnsi="Courier New"/>
          <w:sz w:val="18"/>
          <w:szCs w:val="18"/>
          <w:color w:val="auto"/>
        </w:rPr>
        <w:t>USE OF PROCEEDS</w:t>
      </w:r>
    </w:p>
    <w:p>
      <w:pPr>
        <w:spacing w:after="0" w:line="207" w:lineRule="exact"/>
        <w:rPr>
          <w:sz w:val="20"/>
          <w:szCs w:val="20"/>
          <w:color w:val="auto"/>
        </w:rPr>
      </w:pPr>
    </w:p>
    <w:p>
      <w:pPr>
        <w:ind w:right="2439" w:firstLine="632"/>
        <w:spacing w:after="0" w:line="237" w:lineRule="auto"/>
        <w:rPr>
          <w:sz w:val="20"/>
          <w:szCs w:val="20"/>
          <w:color w:val="auto"/>
        </w:rPr>
      </w:pPr>
      <w:r>
        <w:rPr>
          <w:rFonts w:ascii="Courier New" w:cs="Courier New" w:eastAsia="Courier New" w:hAnsi="Courier New"/>
          <w:sz w:val="18"/>
          <w:szCs w:val="18"/>
          <w:color w:val="auto"/>
        </w:rPr>
        <w:t>Except as otherwise described in any prospectus supplement, we will use the net proceeds from the sale of our debt securities or common stock for general corporate purposes. We will determine any specific allocation of the net proceeds of an offering to a specific purpose at the time of such offering and will describe the specific allocation in the related prospectus supplement.</w:t>
      </w:r>
    </w:p>
    <w:p>
      <w:pPr>
        <w:spacing w:after="0" w:line="209" w:lineRule="exact"/>
        <w:rPr>
          <w:sz w:val="20"/>
          <w:szCs w:val="20"/>
          <w:color w:val="auto"/>
        </w:rPr>
      </w:pPr>
    </w:p>
    <w:p>
      <w:pPr>
        <w:ind w:right="2239" w:firstLine="632"/>
        <w:spacing w:after="0" w:line="237" w:lineRule="auto"/>
        <w:rPr>
          <w:sz w:val="20"/>
          <w:szCs w:val="20"/>
          <w:color w:val="auto"/>
        </w:rPr>
      </w:pPr>
      <w:r>
        <w:rPr>
          <w:rFonts w:ascii="Courier New" w:cs="Courier New" w:eastAsia="Courier New" w:hAnsi="Courier New"/>
          <w:sz w:val="18"/>
          <w:szCs w:val="18"/>
          <w:color w:val="auto"/>
        </w:rPr>
        <w:t>We may also issue shares of our common stock to settle litigation and other claims or to satisfy judgments or arbitration awards. We will not receive any cash proceeds from these issuances but will eliminate an actual or potential liability.</w:t>
      </w:r>
    </w:p>
    <w:p>
      <w:pPr>
        <w:spacing w:after="0" w:line="200" w:lineRule="exact"/>
        <w:rPr>
          <w:sz w:val="20"/>
          <w:szCs w:val="20"/>
          <w:color w:val="auto"/>
        </w:rPr>
      </w:pPr>
    </w:p>
    <w:p>
      <w:pPr>
        <w:spacing w:after="0" w:line="204"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RATIOS OF EARNINGS TO FIXED CHARGES</w:t>
      </w:r>
    </w:p>
    <w:p>
      <w:pPr>
        <w:spacing w:after="0" w:line="207" w:lineRule="exact"/>
        <w:rPr>
          <w:sz w:val="20"/>
          <w:szCs w:val="20"/>
          <w:color w:val="auto"/>
        </w:rPr>
      </w:pPr>
    </w:p>
    <w:p>
      <w:pPr>
        <w:ind w:right="2239" w:firstLine="632"/>
        <w:spacing w:after="0" w:line="235" w:lineRule="auto"/>
        <w:rPr>
          <w:sz w:val="20"/>
          <w:szCs w:val="20"/>
          <w:color w:val="auto"/>
        </w:rPr>
      </w:pPr>
      <w:r>
        <w:rPr>
          <w:rFonts w:ascii="Courier New" w:cs="Courier New" w:eastAsia="Courier New" w:hAnsi="Courier New"/>
          <w:sz w:val="18"/>
          <w:szCs w:val="18"/>
          <w:color w:val="auto"/>
        </w:rPr>
        <w:t>The following table sets forth our consolidated ratios of earnings to fixed charges for the periods as shown: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9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20" w:type="dxa"/>
            <w:vAlign w:val="bottom"/>
            <w:gridSpan w:val="4"/>
          </w:tcPr>
          <w:p>
            <w:pPr>
              <w:spacing w:after="0"/>
              <w:rPr>
                <w:sz w:val="20"/>
                <w:szCs w:val="20"/>
                <w:color w:val="auto"/>
              </w:rPr>
            </w:pPr>
            <w:r>
              <w:rPr>
                <w:rFonts w:ascii="Courier New" w:cs="Courier New" w:eastAsia="Courier New" w:hAnsi="Courier New"/>
                <w:sz w:val="18"/>
                <w:szCs w:val="18"/>
                <w:color w:val="auto"/>
              </w:rPr>
              <w:t>YEAR ENDED DECEMBER 31,</w:t>
            </w:r>
          </w:p>
        </w:tc>
        <w:tc>
          <w:tcPr>
            <w:tcW w:w="2460" w:type="dxa"/>
            <w:vAlign w:val="bottom"/>
          </w:tcPr>
          <w:p>
            <w:pPr>
              <w:jc w:val="right"/>
              <w:spacing w:after="0"/>
              <w:rPr>
                <w:sz w:val="20"/>
                <w:szCs w:val="20"/>
                <w:color w:val="auto"/>
              </w:rPr>
            </w:pPr>
            <w:r>
              <w:rPr>
                <w:rFonts w:ascii="Courier New" w:cs="Courier New" w:eastAsia="Courier New" w:hAnsi="Courier New"/>
                <w:sz w:val="18"/>
                <w:szCs w:val="18"/>
                <w:color w:val="auto"/>
              </w:rPr>
              <w:t>NINE MONTHS ENDED</w:t>
            </w:r>
          </w:p>
        </w:tc>
      </w:tr>
      <w:tr>
        <w:trPr>
          <w:trHeight w:val="203"/>
        </w:trPr>
        <w:tc>
          <w:tcPr>
            <w:tcW w:w="96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1994</w:t>
            </w:r>
          </w:p>
        </w:tc>
        <w:tc>
          <w:tcPr>
            <w:tcW w:w="7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1995</w:t>
            </w: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1996</w:t>
            </w:r>
          </w:p>
        </w:tc>
        <w:tc>
          <w:tcPr>
            <w:tcW w:w="8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1997</w:t>
            </w:r>
          </w:p>
        </w:tc>
        <w:tc>
          <w:tcPr>
            <w:tcW w:w="1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1998</w:t>
            </w:r>
          </w:p>
        </w:tc>
        <w:tc>
          <w:tcPr>
            <w:tcW w:w="2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SEPTEMBER 30, 1999</w:t>
            </w:r>
          </w:p>
        </w:tc>
      </w:tr>
      <w:tr>
        <w:trPr>
          <w:trHeight w:val="203"/>
        </w:trPr>
        <w:tc>
          <w:tcPr>
            <w:tcW w:w="96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t>
            </w:r>
          </w:p>
        </w:tc>
        <w:tc>
          <w:tcPr>
            <w:tcW w:w="2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Actual</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2.7x</w:t>
            </w:r>
          </w:p>
        </w:tc>
        <w:tc>
          <w:tcPr>
            <w:tcW w:w="7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2.6x</w:t>
            </w: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2.1x</w:t>
            </w:r>
          </w:p>
        </w:tc>
        <w:tc>
          <w:tcPr>
            <w:tcW w:w="8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N/A(1)</w:t>
            </w:r>
          </w:p>
        </w:tc>
        <w:tc>
          <w:tcPr>
            <w:tcW w:w="1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N/A(2)</w:t>
            </w:r>
          </w:p>
        </w:tc>
        <w:tc>
          <w:tcPr>
            <w:tcW w:w="246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N/A(3)</w:t>
            </w:r>
          </w:p>
        </w:tc>
      </w:tr>
    </w:tbl>
    <w:p>
      <w:pPr>
        <w:spacing w:after="0" w:line="207" w:lineRule="exact"/>
        <w:rPr>
          <w:sz w:val="20"/>
          <w:szCs w:val="20"/>
          <w:color w:val="auto"/>
        </w:rPr>
      </w:pPr>
    </w:p>
    <w:p>
      <w:pPr>
        <w:ind w:left="540" w:right="2339" w:hanging="532"/>
        <w:spacing w:after="0" w:line="237" w:lineRule="auto"/>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Earnings were insufficient to cover fixed charges in 1997. Additional earnings of $660.4 million were necessary to cover fixed charges for this period. The earnings available for fixed charges were negatively impacted by merger costs of $112.7 million (primarily related to our merger with United Waste Systems, Inc. in August 1997), and asset impairments and unusual items of $1.8 billion. The asset impairments and unusual items primarily related to a comprehensive review performed by Waste Management Holdings of its operating assets and investments.</w:t>
      </w:r>
    </w:p>
    <w:p>
      <w:pPr>
        <w:spacing w:after="0" w:line="212" w:lineRule="exact"/>
        <w:rPr>
          <w:rFonts w:ascii="Courier New" w:cs="Courier New" w:eastAsia="Courier New" w:hAnsi="Courier New"/>
          <w:sz w:val="18"/>
          <w:szCs w:val="18"/>
          <w:color w:val="auto"/>
        </w:rPr>
      </w:pPr>
    </w:p>
    <w:p>
      <w:pPr>
        <w:ind w:left="540" w:right="1819" w:hanging="532"/>
        <w:spacing w:after="0" w:line="271" w:lineRule="auto"/>
        <w:tabs>
          <w:tab w:leader="none" w:pos="54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Earnings were insufficient to fund fixed charges in 1998. Additional earnings of $720.4 million were necessary to cover fixed charges for this period. The earnings available for fixed charges were negatively impacted by merger costs of $1.8 billion and asset impairments and unusual items of $864.1 million related primarily to the mergers between Waste Management, Inc. and Waste Management Holdings in July 1998, and Waste Management, Inc. and Eastern Environmental Services, Inc. in December 1998.</w:t>
      </w:r>
    </w:p>
    <w:p>
      <w:pPr>
        <w:spacing w:after="0" w:line="187" w:lineRule="exact"/>
        <w:rPr>
          <w:rFonts w:ascii="Courier New" w:cs="Courier New" w:eastAsia="Courier New" w:hAnsi="Courier New"/>
          <w:sz w:val="16"/>
          <w:szCs w:val="16"/>
          <w:color w:val="auto"/>
        </w:rPr>
      </w:pPr>
    </w:p>
    <w:p>
      <w:pPr>
        <w:ind w:left="540" w:right="2239" w:hanging="532"/>
        <w:spacing w:after="0" w:line="237" w:lineRule="auto"/>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Earnings were insufficient to fund fixed charges for the nine months ended September 30, 1999. Additional earnings of $155.0 million were necessary to cover fixed charges for this period. The earnings available for fixed charges were negatively impacted by merger costs of $111.3 million related to the merger between Waste Management, Inc. and Waste Management Holdings, Inc. in July 1998 and $700.0 million related to the comprehensive review we performed of our operating assets and investments.</w:t>
      </w:r>
    </w:p>
    <w:p>
      <w:pPr>
        <w:spacing w:after="0" w:line="212" w:lineRule="exact"/>
        <w:rPr>
          <w:sz w:val="20"/>
          <w:szCs w:val="20"/>
          <w:color w:val="auto"/>
        </w:rPr>
      </w:pPr>
    </w:p>
    <w:p>
      <w:pPr>
        <w:ind w:right="2339" w:firstLine="632"/>
        <w:spacing w:after="0" w:line="271" w:lineRule="auto"/>
        <w:rPr>
          <w:sz w:val="20"/>
          <w:szCs w:val="20"/>
          <w:color w:val="auto"/>
        </w:rPr>
      </w:pPr>
      <w:r>
        <w:rPr>
          <w:rFonts w:ascii="Courier New" w:cs="Courier New" w:eastAsia="Courier New" w:hAnsi="Courier New"/>
          <w:sz w:val="16"/>
          <w:szCs w:val="16"/>
          <w:color w:val="auto"/>
        </w:rPr>
        <w:t>We computed our consolidated ratios of earnings to fixed charges by dividing earnings available for fixed charges by fixed charges. For this purpose, earnings available for fixed charges are the sum of income available for fixed charges before income taxes, undistributed earnings from affiliated companies' minority interests, cumulative effect of accounting changes, and fixed charges, excluding capitalized interest. Fixed charges are interest, whether expensed or capitalized, amortization of debt expense and discount on premium relating to indebtedness, and such portion of rental expense that can be demonstrated to be representative of the interest factor in the particular case.</w:t>
      </w:r>
    </w:p>
    <w:p>
      <w:pPr>
        <w:spacing w:after="0" w:line="380" w:lineRule="exact"/>
        <w:rPr>
          <w:sz w:val="20"/>
          <w:szCs w:val="20"/>
          <w:color w:val="auto"/>
        </w:rPr>
      </w:pPr>
    </w:p>
    <w:p>
      <w:pPr>
        <w:ind w:left="2420"/>
        <w:spacing w:after="0"/>
        <w:rPr>
          <w:sz w:val="20"/>
          <w:szCs w:val="20"/>
          <w:color w:val="auto"/>
        </w:rPr>
      </w:pPr>
      <w:r>
        <w:rPr>
          <w:rFonts w:ascii="Courier New" w:cs="Courier New" w:eastAsia="Courier New" w:hAnsi="Courier New"/>
          <w:sz w:val="18"/>
          <w:szCs w:val="18"/>
          <w:color w:val="auto"/>
        </w:rPr>
        <w:t>DESCRIPTION OF DEBT SECURITIES</w:t>
      </w:r>
    </w:p>
    <w:p>
      <w:pPr>
        <w:spacing w:after="0" w:line="207" w:lineRule="exact"/>
        <w:rPr>
          <w:sz w:val="20"/>
          <w:szCs w:val="20"/>
          <w:color w:val="auto"/>
        </w:rPr>
      </w:pPr>
    </w:p>
    <w:p>
      <w:pPr>
        <w:ind w:right="2239" w:firstLine="632"/>
        <w:spacing w:after="0" w:line="237" w:lineRule="auto"/>
        <w:rPr>
          <w:sz w:val="20"/>
          <w:szCs w:val="20"/>
          <w:color w:val="auto"/>
        </w:rPr>
      </w:pPr>
      <w:r>
        <w:rPr>
          <w:rFonts w:ascii="Courier New" w:cs="Courier New" w:eastAsia="Courier New" w:hAnsi="Courier New"/>
          <w:sz w:val="18"/>
          <w:szCs w:val="18"/>
          <w:color w:val="auto"/>
        </w:rPr>
        <w:t>The Debt Securities will constitute either our senior debt, or "Senior Debt Securities," or our subordinated debt, or "Subordinated Debt Securities." Debt Securities may be issued from time to time under one or more indentures, each dated as of a date on or prior to the issuance of the Debt Securities to which it relates. Senior Debt Securities and Subordinated Debt Securities may be issued pursuant to separate indentures, respectively, a "Senior Debt Indenture" and a "Subordinated Debt Indenture," in each case between us and Texas Commerce Bank National Association, now known as Chase Bank of Texas, National Association, or "Chase Bank," and in the form filed as an exhibit to the Registration Statement of which this prospectus is a part, subject to such amendments or supplements as may be adopted from time to time.</w:t>
      </w:r>
    </w:p>
    <w:p>
      <w:pPr>
        <w:spacing w:after="0" w:line="216" w:lineRule="exact"/>
        <w:rPr>
          <w:sz w:val="20"/>
          <w:szCs w:val="20"/>
          <w:color w:val="auto"/>
        </w:rPr>
      </w:pPr>
    </w:p>
    <w:p>
      <w:pPr>
        <w:ind w:right="2439" w:firstLine="632"/>
        <w:spacing w:after="0" w:line="290" w:lineRule="auto"/>
        <w:rPr>
          <w:sz w:val="20"/>
          <w:szCs w:val="20"/>
          <w:color w:val="auto"/>
        </w:rPr>
      </w:pPr>
      <w:r>
        <w:rPr>
          <w:rFonts w:ascii="Courier New" w:cs="Courier New" w:eastAsia="Courier New" w:hAnsi="Courier New"/>
          <w:sz w:val="16"/>
          <w:szCs w:val="16"/>
          <w:color w:val="auto"/>
        </w:rPr>
        <w:t>We have previously entered into a Senior Indenture dated as of September 10, 1997 with Chase Bank in the form filed as an exhibit to our</w:t>
      </w:r>
    </w:p>
    <w:p>
      <w:pPr>
        <w:sectPr>
          <w:pgSz w:w="11900" w:h="16838" w:orient="portrait"/>
          <w:cols w:equalWidth="0" w:num="1">
            <w:col w:w="10139"/>
          </w:cols>
          <w:pgMar w:left="320" w:top="339" w:right="1440" w:bottom="0" w:gutter="0" w:footer="0" w:header="0"/>
        </w:sectPr>
      </w:pPr>
    </w:p>
    <w:bookmarkStart w:id="15" w:name="page16"/>
    <w:bookmarkEnd w:id="15"/>
    <w:p>
      <w:pPr>
        <w:ind w:right="2239"/>
        <w:spacing w:after="0" w:line="269" w:lineRule="auto"/>
        <w:rPr>
          <w:sz w:val="20"/>
          <w:szCs w:val="20"/>
          <w:color w:val="auto"/>
        </w:rPr>
      </w:pPr>
      <w:r>
        <w:rPr>
          <w:rFonts w:ascii="Courier New" w:cs="Courier New" w:eastAsia="Courier New" w:hAnsi="Courier New"/>
          <w:sz w:val="16"/>
          <w:szCs w:val="16"/>
          <w:color w:val="auto"/>
        </w:rPr>
        <w:t>Current Report on Form 8-K (file no. 1-12154) filed with the Commission on September 24, 1997. We have previously entered into a Subordinated Indenture dated as of February 1, 1997 with Chase Bank in the form filed as an exhibit to our Current Report on Form 8-K (file no. 1-12154) filed with the Commission on February 7, 1997. The Senior Debt Indenture and the Subordinated Debt Indenture, as amended or supplemented from time to time, are sometimes hereinafter referred to individually as an "Indenture" and collectively as the "Indentures." Chase Bank (and any successors thereto as trustees under the respective Indentures) is hereafter referred to as the "Trustee." The following summaries of actual or anticipated provisions of the Indentures and the Debt Securities do not purport to be complete and such summaries are subject to the detailed provisions of the applicable Indenture to which reference is hereby made for a full description of such provisions, including the definition of certain terms used herein. Section references in parentheses below are to sections in both Indentures unless otherwise indicated. Wherever particular sections or defined terms of the applicable Indenture are referred to, such sections or defined terms are incorporated herein by reference as part of the statement made, and the statement is qualified in its entirety by such reference. The Indentures are substantially identical, except for certain of our covenants and provisions relating to subordination and conversion.</w:t>
      </w:r>
    </w:p>
    <w:p>
      <w:pPr>
        <w:spacing w:after="0" w:line="392" w:lineRule="exact"/>
        <w:rPr>
          <w:sz w:val="20"/>
          <w:szCs w:val="20"/>
          <w:color w:val="auto"/>
        </w:rPr>
      </w:pPr>
    </w:p>
    <w:p>
      <w:pPr>
        <w:ind w:right="2239" w:firstLine="632"/>
        <w:spacing w:after="0" w:line="237" w:lineRule="auto"/>
        <w:rPr>
          <w:sz w:val="20"/>
          <w:szCs w:val="20"/>
          <w:color w:val="auto"/>
        </w:rPr>
      </w:pPr>
      <w:r>
        <w:rPr>
          <w:rFonts w:ascii="Courier New" w:cs="Courier New" w:eastAsia="Courier New" w:hAnsi="Courier New"/>
          <w:sz w:val="18"/>
          <w:szCs w:val="18"/>
          <w:color w:val="auto"/>
        </w:rPr>
        <w:t>The Debt Securities may be issued from time to time in one or more series. The following description of the Debt Securities sets forth certain general terms and provisions of the Debt Securities of all series. The particular terms of each series of Debt Securities offered by any prospectus supplement will be described therein.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PROVISIONS APPLICABLE TO BOTH SENIOR AND SUBORDINATED DEBT SECURITIES</w:t>
      </w:r>
    </w:p>
    <w:p>
      <w:pPr>
        <w:spacing w:after="0" w:line="207" w:lineRule="exact"/>
        <w:rPr>
          <w:sz w:val="20"/>
          <w:szCs w:val="20"/>
          <w:color w:val="auto"/>
        </w:rPr>
      </w:pPr>
    </w:p>
    <w:p>
      <w:pPr>
        <w:ind w:right="2239" w:firstLine="632"/>
        <w:spacing w:after="0" w:line="270" w:lineRule="auto"/>
        <w:rPr>
          <w:sz w:val="20"/>
          <w:szCs w:val="20"/>
          <w:color w:val="auto"/>
        </w:rPr>
      </w:pPr>
      <w:r>
        <w:rPr>
          <w:rFonts w:ascii="Courier New" w:cs="Courier New" w:eastAsia="Courier New" w:hAnsi="Courier New"/>
          <w:sz w:val="16"/>
          <w:szCs w:val="16"/>
          <w:color w:val="auto"/>
        </w:rPr>
        <w:t>General. The Debt Securities will be our unsecured senior or subordinated obligations and may be issued from time to time in one or more series. The Indentures do not limit the amount of Debt Securities, debentures, notes or other types of indebtedness that we may issue or that any of our subsidiaries may issue. The Indentures do not, other than as may be set forth in any prospectus supplement, restrict transactions between us and our affiliates or the payment of dividends or other distributions by us to our stockholders. The rights of our creditors, including holders of Debt Securities, will be limited to our assets and will not be an obligation of any of our Subsidiaries. In addition, other than as may be set forth in any prospectus supplement, the Indentures do not and the Debt Securities will not contain any covenants or other provisions that are intended to afford holders of the Debt Securities special protection in the event we experience either a change of control or a highly leveraged transaction.</w:t>
      </w:r>
    </w:p>
    <w:p>
      <w:pPr>
        <w:spacing w:after="0" w:line="387" w:lineRule="exact"/>
        <w:rPr>
          <w:sz w:val="20"/>
          <w:szCs w:val="20"/>
          <w:color w:val="auto"/>
        </w:rPr>
      </w:pPr>
    </w:p>
    <w:p>
      <w:pPr>
        <w:jc w:val="both"/>
        <w:ind w:right="2659" w:firstLine="632"/>
        <w:spacing w:after="0" w:line="236" w:lineRule="auto"/>
        <w:rPr>
          <w:sz w:val="20"/>
          <w:szCs w:val="20"/>
          <w:color w:val="auto"/>
        </w:rPr>
      </w:pPr>
      <w:r>
        <w:rPr>
          <w:rFonts w:ascii="Courier New" w:cs="Courier New" w:eastAsia="Courier New" w:hAnsi="Courier New"/>
          <w:sz w:val="18"/>
          <w:szCs w:val="18"/>
          <w:color w:val="auto"/>
        </w:rPr>
        <w:t>Reference is made to the prospectus supplement for the following terms of and information relating to the Debt Securities (to the extent such terms are applicable to such Debt Securities):</w:t>
      </w:r>
    </w:p>
    <w:p>
      <w:pPr>
        <w:spacing w:after="0" w:line="203" w:lineRule="exact"/>
        <w:rPr>
          <w:sz w:val="20"/>
          <w:szCs w:val="20"/>
          <w:color w:val="auto"/>
        </w:rPr>
      </w:pPr>
    </w:p>
    <w:p>
      <w:pPr>
        <w:ind w:left="1060" w:hanging="526"/>
        <w:spacing w:after="0"/>
        <w:tabs>
          <w:tab w:leader="none" w:pos="10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title of the Debt Securities;</w:t>
      </w:r>
    </w:p>
    <w:p>
      <w:pPr>
        <w:spacing w:after="0" w:line="206" w:lineRule="exact"/>
        <w:rPr>
          <w:rFonts w:ascii="Courier New" w:cs="Courier New" w:eastAsia="Courier New" w:hAnsi="Courier New"/>
          <w:sz w:val="18"/>
          <w:szCs w:val="18"/>
          <w:color w:val="auto"/>
        </w:rPr>
      </w:pPr>
    </w:p>
    <w:p>
      <w:pPr>
        <w:ind w:left="1060" w:right="1919" w:hanging="526"/>
        <w:spacing w:after="0" w:line="235" w:lineRule="auto"/>
        <w:tabs>
          <w:tab w:leader="none" w:pos="10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classification as either Senior Debt Securities or Subordinated Debt Securities;</w:t>
      </w:r>
    </w:p>
    <w:p>
      <w:pPr>
        <w:spacing w:after="0" w:line="208" w:lineRule="exact"/>
        <w:rPr>
          <w:rFonts w:ascii="Courier New" w:cs="Courier New" w:eastAsia="Courier New" w:hAnsi="Courier New"/>
          <w:sz w:val="18"/>
          <w:szCs w:val="18"/>
          <w:color w:val="auto"/>
        </w:rPr>
      </w:pPr>
    </w:p>
    <w:p>
      <w:pPr>
        <w:ind w:left="1060" w:right="2239" w:hanging="526"/>
        <w:spacing w:after="0" w:line="271" w:lineRule="auto"/>
        <w:tabs>
          <w:tab w:leader="none" w:pos="106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whether the Debt Securities that constitute Subordinated Debt Securities are convertible into common stock and, if so, the terms and conditions upon which such conversion will be effected, including the initial conversion price or conversion rate and any adjustments thereto in addition to or different from those described herein, the conversion period and other conversion provisions in addition to or in lieu of those described herein;</w:t>
      </w:r>
    </w:p>
    <w:p>
      <w:pPr>
        <w:spacing w:after="0" w:line="187" w:lineRule="exact"/>
        <w:rPr>
          <w:rFonts w:ascii="Courier New" w:cs="Courier New" w:eastAsia="Courier New" w:hAnsi="Courier New"/>
          <w:sz w:val="16"/>
          <w:szCs w:val="16"/>
          <w:color w:val="auto"/>
        </w:rPr>
      </w:pPr>
    </w:p>
    <w:p>
      <w:pPr>
        <w:ind w:left="1060" w:hanging="526"/>
        <w:spacing w:after="0"/>
        <w:tabs>
          <w:tab w:leader="none" w:pos="106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limit on the aggregate principal amount of the Debt Securities;</w:t>
      </w:r>
    </w:p>
    <w:p>
      <w:pPr>
        <w:spacing w:after="0" w:line="223" w:lineRule="exact"/>
        <w:rPr>
          <w:rFonts w:ascii="Courier New" w:cs="Courier New" w:eastAsia="Courier New" w:hAnsi="Courier New"/>
          <w:sz w:val="16"/>
          <w:szCs w:val="16"/>
          <w:color w:val="auto"/>
        </w:rPr>
      </w:pPr>
    </w:p>
    <w:p>
      <w:pPr>
        <w:ind w:left="1060" w:right="2339" w:hanging="526"/>
        <w:spacing w:after="0" w:line="237" w:lineRule="auto"/>
        <w:tabs>
          <w:tab w:leader="none" w:pos="10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whether the Debt Securities are to be issuable as Registered Securities or Bearer Securities or both, whether any of the Debt Securities are to be issuable initially in temporary global form and whether any of the Debt Securities are to be in permanent global form;</w:t>
      </w:r>
    </w:p>
    <w:p>
      <w:pPr>
        <w:spacing w:after="0" w:line="208" w:lineRule="exact"/>
        <w:rPr>
          <w:rFonts w:ascii="Courier New" w:cs="Courier New" w:eastAsia="Courier New" w:hAnsi="Courier New"/>
          <w:sz w:val="18"/>
          <w:szCs w:val="18"/>
          <w:color w:val="auto"/>
        </w:rPr>
      </w:pPr>
    </w:p>
    <w:p>
      <w:pPr>
        <w:ind w:left="1060" w:right="2439" w:hanging="526"/>
        <w:spacing w:after="0" w:line="236" w:lineRule="auto"/>
        <w:tabs>
          <w:tab w:leader="none" w:pos="10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price or prices (expressed as a percentage of the aggregate principal amount thereof) at which the Debt Securities will be issued;</w:t>
      </w:r>
    </w:p>
    <w:p>
      <w:pPr>
        <w:spacing w:after="0" w:line="202" w:lineRule="exact"/>
        <w:rPr>
          <w:rFonts w:ascii="Courier New" w:cs="Courier New" w:eastAsia="Courier New" w:hAnsi="Courier New"/>
          <w:sz w:val="18"/>
          <w:szCs w:val="18"/>
          <w:color w:val="auto"/>
        </w:rPr>
      </w:pPr>
    </w:p>
    <w:p>
      <w:pPr>
        <w:ind w:left="1060" w:hanging="526"/>
        <w:spacing w:after="0"/>
        <w:tabs>
          <w:tab w:leader="none" w:pos="10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date or dates on which the Debt Securities will mature;</w:t>
      </w:r>
    </w:p>
    <w:p>
      <w:pPr>
        <w:spacing w:after="0" w:line="206" w:lineRule="exact"/>
        <w:rPr>
          <w:rFonts w:ascii="Courier New" w:cs="Courier New" w:eastAsia="Courier New" w:hAnsi="Courier New"/>
          <w:sz w:val="18"/>
          <w:szCs w:val="18"/>
          <w:color w:val="auto"/>
        </w:rPr>
      </w:pPr>
    </w:p>
    <w:p>
      <w:pPr>
        <w:ind w:left="1060" w:right="2339" w:hanging="526"/>
        <w:spacing w:after="0" w:line="279" w:lineRule="auto"/>
        <w:tabs>
          <w:tab w:leader="none" w:pos="106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rate or rates per annum (or the method by which such will be determined) at which the Debt Securities will bear interest, if any, and the date from which any such interest will accrue;</w:t>
      </w:r>
    </w:p>
    <w:p>
      <w:pPr>
        <w:spacing w:after="0" w:line="172" w:lineRule="exact"/>
        <w:rPr>
          <w:rFonts w:ascii="Courier New" w:cs="Courier New" w:eastAsia="Courier New" w:hAnsi="Courier New"/>
          <w:sz w:val="16"/>
          <w:szCs w:val="16"/>
          <w:color w:val="auto"/>
        </w:rPr>
      </w:pPr>
    </w:p>
    <w:p>
      <w:pPr>
        <w:ind w:left="1060" w:hanging="526"/>
        <w:spacing w:after="0"/>
        <w:tabs>
          <w:tab w:leader="none" w:pos="10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Interest Payment Dates on which any such interest on the Debt</w:t>
      </w:r>
    </w:p>
    <w:p>
      <w:pPr>
        <w:sectPr>
          <w:pgSz w:w="11900" w:h="16838" w:orient="portrait"/>
          <w:cols w:equalWidth="0" w:num="1">
            <w:col w:w="10139"/>
          </w:cols>
          <w:pgMar w:left="320" w:top="142" w:right="1440" w:bottom="0" w:gutter="0" w:footer="0" w:header="0"/>
        </w:sectPr>
      </w:pPr>
    </w:p>
    <w:bookmarkStart w:id="16" w:name="page17"/>
    <w:bookmarkEnd w:id="16"/>
    <w:p>
      <w:pPr>
        <w:ind w:left="1060" w:right="2339"/>
        <w:spacing w:after="0" w:line="272" w:lineRule="auto"/>
        <w:rPr>
          <w:sz w:val="20"/>
          <w:szCs w:val="20"/>
          <w:color w:val="auto"/>
        </w:rPr>
      </w:pPr>
      <w:r>
        <w:rPr>
          <w:rFonts w:ascii="Courier New" w:cs="Courier New" w:eastAsia="Courier New" w:hAnsi="Courier New"/>
          <w:sz w:val="16"/>
          <w:szCs w:val="16"/>
          <w:color w:val="auto"/>
        </w:rPr>
        <w:t>Securities will be payable, the date on which payment of such interest, if any, will commence and the Regular Record Dates for any interest payable on any Debt Securities which are Registered Securities on any Interest Payment Date and the extent to which, or the manner in which, any interest payable on a temporary global Debt Security on an Interest Payment Date will be paid;</w:t>
      </w:r>
    </w:p>
    <w:p>
      <w:pPr>
        <w:spacing w:after="0" w:line="179" w:lineRule="exact"/>
        <w:rPr>
          <w:sz w:val="20"/>
          <w:szCs w:val="20"/>
          <w:color w:val="auto"/>
        </w:rPr>
      </w:pPr>
    </w:p>
    <w:p>
      <w:pPr>
        <w:ind w:left="1060" w:hanging="526"/>
        <w:spacing w:after="0"/>
        <w:tabs>
          <w:tab w:leader="none" w:pos="10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mandatory or optional sinking fund or analogous provisions;</w:t>
      </w:r>
    </w:p>
    <w:p>
      <w:pPr>
        <w:spacing w:after="0" w:line="206" w:lineRule="exact"/>
        <w:rPr>
          <w:rFonts w:ascii="Courier New" w:cs="Courier New" w:eastAsia="Courier New" w:hAnsi="Courier New"/>
          <w:sz w:val="18"/>
          <w:szCs w:val="18"/>
          <w:color w:val="auto"/>
        </w:rPr>
      </w:pPr>
    </w:p>
    <w:p>
      <w:pPr>
        <w:ind w:left="1060" w:right="2339" w:hanging="526"/>
        <w:spacing w:after="0" w:line="271" w:lineRule="auto"/>
        <w:tabs>
          <w:tab w:leader="none" w:pos="106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office or agency where, subject to the terms of the Indentures as described below under "Payment and Paying Agents," the principal of and any premium and interest on the Debt Securities will be payable and each office or agency where, subject to the terms of the Indentures as described below under "Form, Exchange, Registration and Transfer," the Debt Securities may be presented for registration of transfer or exchange;</w:t>
      </w:r>
    </w:p>
    <w:p>
      <w:pPr>
        <w:spacing w:after="0" w:line="187" w:lineRule="exact"/>
        <w:rPr>
          <w:rFonts w:ascii="Courier New" w:cs="Courier New" w:eastAsia="Courier New" w:hAnsi="Courier New"/>
          <w:sz w:val="16"/>
          <w:szCs w:val="16"/>
          <w:color w:val="auto"/>
        </w:rPr>
      </w:pPr>
    </w:p>
    <w:p>
      <w:pPr>
        <w:ind w:left="1060" w:right="2239" w:hanging="526"/>
        <w:spacing w:after="0" w:line="237" w:lineRule="auto"/>
        <w:tabs>
          <w:tab w:leader="none" w:pos="10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right, if any, or our obligation, if any, to redeem the Debt Securities and the period or periods, if any, within which and the price or prices at which the Debt Securities may, pursuant to any optional or mandatory redemption provisions, be redeemed, in whole or in part, and the other detailed terms and provisions of any such optional or mandatory redemption;</w:t>
      </w:r>
    </w:p>
    <w:p>
      <w:pPr>
        <w:spacing w:after="0" w:line="209" w:lineRule="exact"/>
        <w:rPr>
          <w:rFonts w:ascii="Courier New" w:cs="Courier New" w:eastAsia="Courier New" w:hAnsi="Courier New"/>
          <w:sz w:val="18"/>
          <w:szCs w:val="18"/>
          <w:color w:val="auto"/>
        </w:rPr>
      </w:pPr>
    </w:p>
    <w:p>
      <w:pPr>
        <w:ind w:left="1060" w:right="2439" w:hanging="526"/>
        <w:spacing w:after="0" w:line="237" w:lineRule="auto"/>
        <w:tabs>
          <w:tab w:leader="none" w:pos="10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denominations in which any Debt Securities which are Registered Securities will be issuable, if other than denominations of $1,000 and any integral multiple thereof, and the denomination or denominations in which any Debt Securities which are Bearer Securities will be issuable, if other than the denomination of $5,000;</w:t>
      </w:r>
    </w:p>
    <w:p>
      <w:pPr>
        <w:spacing w:after="0" w:line="209" w:lineRule="exact"/>
        <w:rPr>
          <w:rFonts w:ascii="Courier New" w:cs="Courier New" w:eastAsia="Courier New" w:hAnsi="Courier New"/>
          <w:sz w:val="18"/>
          <w:szCs w:val="18"/>
          <w:color w:val="auto"/>
        </w:rPr>
      </w:pPr>
    </w:p>
    <w:p>
      <w:pPr>
        <w:ind w:left="1060" w:right="2239" w:hanging="526"/>
        <w:spacing w:after="0" w:line="279" w:lineRule="auto"/>
        <w:tabs>
          <w:tab w:leader="none" w:pos="106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currency or currencies (including composite currencies) in which payment of principal of and any premium and interest on the Debt Securities is payable if other than United States dollars;</w:t>
      </w:r>
    </w:p>
    <w:p>
      <w:pPr>
        <w:spacing w:after="0" w:line="177" w:lineRule="exact"/>
        <w:rPr>
          <w:rFonts w:ascii="Courier New" w:cs="Courier New" w:eastAsia="Courier New" w:hAnsi="Courier New"/>
          <w:sz w:val="16"/>
          <w:szCs w:val="16"/>
          <w:color w:val="auto"/>
        </w:rPr>
      </w:pPr>
    </w:p>
    <w:p>
      <w:pPr>
        <w:ind w:left="1060" w:right="2119" w:hanging="526"/>
        <w:spacing w:after="0" w:line="235" w:lineRule="auto"/>
        <w:tabs>
          <w:tab w:leader="none" w:pos="10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index used to determine the amount of payments of principal of and any premium and interest on the Debt Securities;</w:t>
      </w:r>
    </w:p>
    <w:p>
      <w:pPr>
        <w:spacing w:after="0" w:line="202" w:lineRule="exact"/>
        <w:rPr>
          <w:rFonts w:ascii="Courier New" w:cs="Courier New" w:eastAsia="Courier New" w:hAnsi="Courier New"/>
          <w:sz w:val="18"/>
          <w:szCs w:val="18"/>
          <w:color w:val="auto"/>
        </w:rPr>
      </w:pPr>
    </w:p>
    <w:p>
      <w:pPr>
        <w:ind w:left="1060" w:hanging="526"/>
        <w:spacing w:after="0"/>
        <w:tabs>
          <w:tab w:leader="none" w:pos="10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information with respect to book-entry procedures, if any;</w:t>
      </w:r>
    </w:p>
    <w:p>
      <w:pPr>
        <w:spacing w:after="0" w:line="206" w:lineRule="exact"/>
        <w:rPr>
          <w:rFonts w:ascii="Courier New" w:cs="Courier New" w:eastAsia="Courier New" w:hAnsi="Courier New"/>
          <w:sz w:val="18"/>
          <w:szCs w:val="18"/>
          <w:color w:val="auto"/>
        </w:rPr>
      </w:pPr>
    </w:p>
    <w:p>
      <w:pPr>
        <w:ind w:left="1060" w:right="2119" w:hanging="526"/>
        <w:spacing w:after="0" w:line="290" w:lineRule="auto"/>
        <w:tabs>
          <w:tab w:leader="none" w:pos="106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deletions from, modification of or additions to the Events of Default or our covenants with respect to such Debt Securities; and</w:t>
      </w:r>
    </w:p>
    <w:p>
      <w:pPr>
        <w:spacing w:after="0" w:line="169" w:lineRule="exact"/>
        <w:rPr>
          <w:rFonts w:ascii="Courier New" w:cs="Courier New" w:eastAsia="Courier New" w:hAnsi="Courier New"/>
          <w:sz w:val="16"/>
          <w:szCs w:val="16"/>
          <w:color w:val="auto"/>
        </w:rPr>
      </w:pPr>
    </w:p>
    <w:p>
      <w:pPr>
        <w:ind w:left="1060" w:right="2339" w:hanging="526"/>
        <w:spacing w:after="0" w:line="237" w:lineRule="auto"/>
        <w:tabs>
          <w:tab w:leader="none" w:pos="10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other terms of the Debt Securities not inconsistent with the provisions of the Indentures. (Section 301) Any prospectus supplement will also describe any special provisions for the payment of additional amounts with respect to the Debt Securities.</w:t>
      </w:r>
    </w:p>
    <w:p>
      <w:pPr>
        <w:spacing w:after="0" w:line="208" w:lineRule="exact"/>
        <w:rPr>
          <w:sz w:val="20"/>
          <w:szCs w:val="20"/>
          <w:color w:val="auto"/>
        </w:rPr>
      </w:pPr>
    </w:p>
    <w:p>
      <w:pPr>
        <w:ind w:right="2239" w:firstLine="632"/>
        <w:spacing w:after="0" w:line="237" w:lineRule="auto"/>
        <w:rPr>
          <w:sz w:val="20"/>
          <w:szCs w:val="20"/>
          <w:color w:val="auto"/>
        </w:rPr>
      </w:pPr>
      <w:r>
        <w:rPr>
          <w:rFonts w:ascii="Courier New" w:cs="Courier New" w:eastAsia="Courier New" w:hAnsi="Courier New"/>
          <w:sz w:val="18"/>
          <w:szCs w:val="18"/>
          <w:color w:val="auto"/>
        </w:rPr>
        <w:t>Debt Securities may be issued as Original Issue Discount Securities. An Original Issue Discount Security is a Debt Security, including any zero-coupon security, which is issued at a price lower than the amount payable upon the Stated Maturity thereof and which provides that upon redemption or acceleration of the maturity thereof an amount less than the amount payable upon the Stated Maturity thereof and determined in accordance with the terms of such Debt Security shall become due and payable. We will set forth any special United States federal income tax considerations applicable to Debt Securities issued at an original issue discount, including Original Issue Discount Securities, and special United States tax considerations and other terms and restrictions applicable to any Debt Securities which are issued in bearer form, offered exclusively to United States Aliens or denominated in other than United States dollars, in a prospectus supplement.</w:t>
      </w:r>
    </w:p>
    <w:p>
      <w:pPr>
        <w:spacing w:after="0" w:line="218" w:lineRule="exact"/>
        <w:rPr>
          <w:sz w:val="20"/>
          <w:szCs w:val="20"/>
          <w:color w:val="auto"/>
        </w:rPr>
      </w:pPr>
    </w:p>
    <w:p>
      <w:pPr>
        <w:ind w:right="2239" w:firstLine="632"/>
        <w:spacing w:after="0" w:line="237" w:lineRule="auto"/>
        <w:rPr>
          <w:sz w:val="20"/>
          <w:szCs w:val="20"/>
          <w:color w:val="auto"/>
        </w:rPr>
      </w:pPr>
      <w:r>
        <w:rPr>
          <w:rFonts w:ascii="Courier New" w:cs="Courier New" w:eastAsia="Courier New" w:hAnsi="Courier New"/>
          <w:sz w:val="18"/>
          <w:szCs w:val="18"/>
          <w:color w:val="auto"/>
        </w:rPr>
        <w:t>Form, Exchange, Registration and Transfer. Debt Securities of a series may be issuable in definitive form solely as Registered Securities, solely as Bearer Securities or as both Registered Securities and Bearer Securities. Unless otherwise indicated in an applicable prospectus supplement, Bearer Securities will have interest coupons attached. The Indentures also provide that Debt Securities of a series may be issuable in temporary or permanent global form. (Section 201)</w:t>
      </w:r>
    </w:p>
    <w:p>
      <w:pPr>
        <w:spacing w:after="0" w:line="210" w:lineRule="exact"/>
        <w:rPr>
          <w:sz w:val="20"/>
          <w:szCs w:val="20"/>
          <w:color w:val="auto"/>
        </w:rPr>
      </w:pPr>
    </w:p>
    <w:p>
      <w:pPr>
        <w:ind w:right="2239" w:firstLine="632"/>
        <w:spacing w:after="0" w:line="270" w:lineRule="auto"/>
        <w:rPr>
          <w:sz w:val="20"/>
          <w:szCs w:val="20"/>
          <w:color w:val="auto"/>
        </w:rPr>
      </w:pPr>
      <w:r>
        <w:rPr>
          <w:rFonts w:ascii="Courier New" w:cs="Courier New" w:eastAsia="Courier New" w:hAnsi="Courier New"/>
          <w:sz w:val="16"/>
          <w:szCs w:val="16"/>
          <w:color w:val="auto"/>
        </w:rPr>
        <w:t>Registered Securities of any series will be exchangeable for other Registered Securities of the same series of any authorized denominations and of a like aggregate principal amount and tenor. In addition, if Debt Securities of any series are issuable as both Registered Securities and Bearer Securities, at the option of the Holder, and subject to the terms of the applicable Indenture, Bearer Securities (with all unmatured coupons, except as provided below, and all matured coupons in default) of such series will be exchangeable for Registered Securities of the same series of any authorized denominations and of a like aggregate principal amount and</w:t>
      </w:r>
    </w:p>
    <w:p>
      <w:pPr>
        <w:sectPr>
          <w:pgSz w:w="11900" w:h="16838" w:orient="portrait"/>
          <w:cols w:equalWidth="0" w:num="1">
            <w:col w:w="10139"/>
          </w:cols>
          <w:pgMar w:left="320" w:top="142" w:right="1440" w:bottom="0" w:gutter="0" w:footer="0" w:header="0"/>
        </w:sectPr>
      </w:pPr>
    </w:p>
    <w:bookmarkStart w:id="17" w:name="page18"/>
    <w:bookmarkEnd w:id="17"/>
    <w:p>
      <w:pPr>
        <w:ind w:right="2239"/>
        <w:spacing w:after="0" w:line="271" w:lineRule="auto"/>
        <w:rPr>
          <w:sz w:val="20"/>
          <w:szCs w:val="20"/>
          <w:color w:val="auto"/>
        </w:rPr>
      </w:pPr>
      <w:r>
        <w:rPr>
          <w:rFonts w:ascii="Courier New" w:cs="Courier New" w:eastAsia="Courier New" w:hAnsi="Courier New"/>
          <w:sz w:val="16"/>
          <w:szCs w:val="16"/>
          <w:color w:val="auto"/>
        </w:rPr>
        <w:t>tenor. Bearer Securities surrendered in exchange for Registered Securities between a Regular Record Date or a Special Record Date and the relevant date for payment of interest shall be surrendered without the coupon relating to such date for payment of interest, and interest accrued as of such date for payment of interest will not be payable in respect of the Registered Security issued in exchange for such Bearer Security, but will be payable only to the Holder of such coupon when due in accordance with the terms of the applicable Indenture. Bearer Securities will not be issued in exchange for Registered Securities. (Section 305)</w:t>
      </w:r>
    </w:p>
    <w:p>
      <w:pPr>
        <w:spacing w:after="0" w:line="388" w:lineRule="exact"/>
        <w:rPr>
          <w:sz w:val="20"/>
          <w:szCs w:val="20"/>
          <w:color w:val="auto"/>
        </w:rPr>
      </w:pPr>
    </w:p>
    <w:p>
      <w:pPr>
        <w:ind w:right="2239" w:firstLine="632"/>
        <w:spacing w:after="0" w:line="268" w:lineRule="auto"/>
        <w:rPr>
          <w:sz w:val="20"/>
          <w:szCs w:val="20"/>
          <w:color w:val="auto"/>
        </w:rPr>
      </w:pPr>
      <w:r>
        <w:rPr>
          <w:rFonts w:ascii="Courier New" w:cs="Courier New" w:eastAsia="Courier New" w:hAnsi="Courier New"/>
          <w:sz w:val="16"/>
          <w:szCs w:val="16"/>
          <w:color w:val="auto"/>
        </w:rPr>
        <w:t>Debt Securities may be presented for exchange as provided above, and Registered Securities may be presented for registration of transfer (with the form of transfer endorsed thereon duly executed), at the office of the Security Registrar or at the office of any transfer agent designated by us for such purpose with respect to any series of Debt Securities and referred to in an applicable prospectus supplement, without service charge and upon payment of any taxes and other governmental charges as described in the Indentures. Such transfer or exchange will be effected upon the Security Registrar or such transfer agent, as the case may be, being satisfied with the documents of title and identity of the person making the request. Unless otherwise indicated in any prospectus supplement, the Trustee for the series of Debt Securities will serve as Security Registrar. (Section</w:t>
      </w:r>
    </w:p>
    <w:p>
      <w:pPr>
        <w:spacing w:after="0" w:line="1" w:lineRule="exact"/>
        <w:rPr>
          <w:sz w:val="20"/>
          <w:szCs w:val="20"/>
          <w:color w:val="auto"/>
        </w:rPr>
      </w:pPr>
    </w:p>
    <w:p>
      <w:pPr>
        <w:ind w:right="2239" w:firstLine="8"/>
        <w:spacing w:after="0" w:line="270" w:lineRule="auto"/>
        <w:tabs>
          <w:tab w:leader="none" w:pos="526"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 prospectus supplement refers to any transfer agents (in addition to the Security Registrar) initially designated by us with respect to any series of Debt Securities, we may at any time rescind the designation of any such transfer agent or approve a change in the location through which any such transfer agent acts, except that, if Debt Securities of a series are issuable solely as Registered Securities, we will be required to maintain a transfer agent in each Place of Payment for such series and, if Debt Securities of a series are also issuable as Bearer Securities, we will be required to maintain (in addition to the Security Registrar) a transfer agent in a Place of Payment for such series located outside the United States. We may at any time designate additional transfer agents with respect to any series of Debt Securities. (Section 1002)</w:t>
      </w:r>
    </w:p>
    <w:p>
      <w:pPr>
        <w:spacing w:after="0" w:line="390" w:lineRule="exact"/>
        <w:rPr>
          <w:sz w:val="20"/>
          <w:szCs w:val="20"/>
          <w:color w:val="auto"/>
        </w:rPr>
      </w:pPr>
    </w:p>
    <w:p>
      <w:pPr>
        <w:ind w:right="2559" w:firstLine="632"/>
        <w:spacing w:after="0" w:line="237" w:lineRule="auto"/>
        <w:rPr>
          <w:sz w:val="20"/>
          <w:szCs w:val="20"/>
          <w:color w:val="auto"/>
        </w:rPr>
      </w:pPr>
      <w:r>
        <w:rPr>
          <w:rFonts w:ascii="Courier New" w:cs="Courier New" w:eastAsia="Courier New" w:hAnsi="Courier New"/>
          <w:sz w:val="18"/>
          <w:szCs w:val="18"/>
          <w:color w:val="auto"/>
        </w:rPr>
        <w:t>Title to any Bearer Securities (including Bearer Securities in permanent global form) and any coupons appertaining thereto will pass by delivery. We, the Trustee, our agents and the agents of the Trustee may treat the bearer of any Bearer Security and the bearer of any coupon and the registered holder of any Registered Security as the owner thereof (whether or not such Debt Security or coupon shall be overdue and notwithstanding any notice to the contrary) for the purpose of making payment and for all other purposes. (Section 308)</w:t>
      </w:r>
    </w:p>
    <w:p>
      <w:pPr>
        <w:spacing w:after="0" w:line="206"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In the event of any redemption in part, we shall not be required to:</w:t>
      </w:r>
    </w:p>
    <w:p>
      <w:pPr>
        <w:spacing w:after="0" w:line="207" w:lineRule="exact"/>
        <w:rPr>
          <w:sz w:val="20"/>
          <w:szCs w:val="20"/>
          <w:color w:val="auto"/>
        </w:rPr>
      </w:pPr>
    </w:p>
    <w:p>
      <w:pPr>
        <w:ind w:left="1280" w:right="2239" w:hanging="640"/>
        <w:spacing w:after="0" w:line="275" w:lineRule="auto"/>
        <w:tabs>
          <w:tab w:leader="none" w:pos="128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issue, register the transfer of or exchange Debt Securities of any series during a period beginning at the opening of business 15 days prior to the selection of Debt Securities of that series for redemption and ending on the close of business on:</w:t>
      </w:r>
    </w:p>
    <w:p>
      <w:pPr>
        <w:spacing w:after="0" w:line="182" w:lineRule="exact"/>
        <w:rPr>
          <w:sz w:val="20"/>
          <w:szCs w:val="20"/>
          <w:color w:val="auto"/>
        </w:rPr>
      </w:pPr>
    </w:p>
    <w:p>
      <w:pPr>
        <w:ind w:left="1280" w:right="2119" w:hanging="746"/>
        <w:spacing w:after="0" w:line="236" w:lineRule="auto"/>
        <w:tabs>
          <w:tab w:leader="none" w:pos="128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Debt Securities of the series are issuable only as Registered Securities, the day of mailing of the relevant notice of redemption; and</w:t>
      </w:r>
    </w:p>
    <w:p>
      <w:pPr>
        <w:spacing w:after="0" w:line="208" w:lineRule="exact"/>
        <w:rPr>
          <w:sz w:val="20"/>
          <w:szCs w:val="20"/>
          <w:color w:val="auto"/>
        </w:rPr>
      </w:pPr>
    </w:p>
    <w:p>
      <w:pPr>
        <w:ind w:left="1280" w:right="2339" w:hanging="640"/>
        <w:spacing w:after="0" w:line="273" w:lineRule="auto"/>
        <w:tabs>
          <w:tab w:leader="none" w:pos="128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Debt Securities of the series are issuable as Bearer Securities, the date of the first publication of the relevant notice of redemption or, if Securities of the series are also issuable as Registered Securities and there is no publication, the mailing of the relevant notice of redemption;</w:t>
      </w:r>
    </w:p>
    <w:p>
      <w:pPr>
        <w:spacing w:after="0" w:line="184" w:lineRule="exact"/>
        <w:rPr>
          <w:rFonts w:ascii="Courier New" w:cs="Courier New" w:eastAsia="Courier New" w:hAnsi="Courier New"/>
          <w:sz w:val="16"/>
          <w:szCs w:val="16"/>
          <w:color w:val="auto"/>
        </w:rPr>
      </w:pPr>
    </w:p>
    <w:p>
      <w:pPr>
        <w:ind w:left="1280" w:right="2239" w:hanging="640"/>
        <w:spacing w:after="0" w:line="237" w:lineRule="auto"/>
        <w:tabs>
          <w:tab w:leader="none" w:pos="128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register the transfer of or exchange any Registered Security, or portion thereof, called for redemption, except the unredeemed portion of any Registered Security being redeemed in part; or</w:t>
      </w:r>
    </w:p>
    <w:p>
      <w:pPr>
        <w:spacing w:after="0" w:line="207" w:lineRule="exact"/>
        <w:rPr>
          <w:sz w:val="20"/>
          <w:szCs w:val="20"/>
          <w:color w:val="auto"/>
        </w:rPr>
      </w:pPr>
    </w:p>
    <w:p>
      <w:pPr>
        <w:ind w:left="1280" w:right="2239" w:hanging="746"/>
        <w:spacing w:after="0" w:line="237" w:lineRule="auto"/>
        <w:tabs>
          <w:tab w:leader="none" w:pos="128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exchange any Bearer Security called for redemption, except to exchange such Bearer Security for a Registered Security of that series and like tenor which is immediately surrendered for redemption. (Section 305)</w:t>
      </w:r>
    </w:p>
    <w:p>
      <w:pPr>
        <w:spacing w:after="0" w:line="207" w:lineRule="exact"/>
        <w:rPr>
          <w:sz w:val="20"/>
          <w:szCs w:val="20"/>
          <w:color w:val="auto"/>
        </w:rPr>
      </w:pPr>
    </w:p>
    <w:p>
      <w:pPr>
        <w:ind w:right="2239" w:firstLine="632"/>
        <w:spacing w:after="0" w:line="270" w:lineRule="auto"/>
        <w:rPr>
          <w:sz w:val="20"/>
          <w:szCs w:val="20"/>
          <w:color w:val="auto"/>
        </w:rPr>
      </w:pPr>
      <w:r>
        <w:rPr>
          <w:rFonts w:ascii="Courier New" w:cs="Courier New" w:eastAsia="Courier New" w:hAnsi="Courier New"/>
          <w:sz w:val="16"/>
          <w:szCs w:val="16"/>
          <w:color w:val="auto"/>
        </w:rPr>
        <w:t>Replacement of Securities and Coupons. We will replace any mutilated Debt Security or any Debt Security with a mutilated coupon at the expense of the Holder upon surrender of the Debt Security to the Trustee. We will replace Debt Securities or coupons that become destroyed, stolen or lost at the expense of the Holder upon delivery to the Trustee of the Debt Security and coupons or evidence of destruction, loss or theft thereof satisfactory to us and the Trustee; in the case of any coupon which becomes destroyed, stolen or lost, such coupon will be replaced by issuance of a new Debt Security in exchange for the Debt Security to which such coupon appertains. In the case of a destroyed, lost or stolen Debt Security or coupon, an</w:t>
      </w:r>
    </w:p>
    <w:p>
      <w:pPr>
        <w:sectPr>
          <w:pgSz w:w="11900" w:h="16838" w:orient="portrait"/>
          <w:cols w:equalWidth="0" w:num="1">
            <w:col w:w="10139"/>
          </w:cols>
          <w:pgMar w:left="320" w:top="142" w:right="1440" w:bottom="0" w:gutter="0" w:footer="0" w:header="0"/>
        </w:sectPr>
      </w:pPr>
    </w:p>
    <w:bookmarkStart w:id="18" w:name="page19"/>
    <w:bookmarkEnd w:id="18"/>
    <w:p>
      <w:pPr>
        <w:ind w:right="2339"/>
        <w:spacing w:after="0" w:line="236" w:lineRule="auto"/>
        <w:rPr>
          <w:sz w:val="20"/>
          <w:szCs w:val="20"/>
          <w:color w:val="auto"/>
        </w:rPr>
      </w:pPr>
      <w:r>
        <w:rPr>
          <w:rFonts w:ascii="Courier New" w:cs="Courier New" w:eastAsia="Courier New" w:hAnsi="Courier New"/>
          <w:sz w:val="18"/>
          <w:szCs w:val="18"/>
          <w:color w:val="auto"/>
        </w:rPr>
        <w:t>indemnity satisfactory to the Trustee and to us may be required at the expense of the Holder of such Debt Security or coupon before a replacement Debt Security will be issued. (Section 306)</w:t>
      </w:r>
    </w:p>
    <w:p>
      <w:pPr>
        <w:spacing w:after="0" w:line="208" w:lineRule="exact"/>
        <w:rPr>
          <w:sz w:val="20"/>
          <w:szCs w:val="20"/>
          <w:color w:val="auto"/>
        </w:rPr>
      </w:pPr>
    </w:p>
    <w:p>
      <w:pPr>
        <w:ind w:right="2239" w:firstLine="632"/>
        <w:spacing w:after="0" w:line="238" w:lineRule="auto"/>
        <w:rPr>
          <w:sz w:val="20"/>
          <w:szCs w:val="20"/>
          <w:color w:val="auto"/>
        </w:rPr>
      </w:pPr>
      <w:r>
        <w:rPr>
          <w:rFonts w:ascii="Courier New" w:cs="Courier New" w:eastAsia="Courier New" w:hAnsi="Courier New"/>
          <w:sz w:val="18"/>
          <w:szCs w:val="18"/>
          <w:color w:val="auto"/>
        </w:rPr>
        <w:t>Payment and Paying Agents. Unless otherwise indicated in an applicable prospectus supplement, payment of principal of and any premium and interest on Bearer Securities will be payable, subject to any applicable laws and regulations, at the offices of such Paying Agents outside the United States as we may designate from time to time, in the manner indicated in such prospectus supplement. (Section 1002) Unless otherwise indicated in an applicable prospectus supplement, payment of interest on Bearer Securities on any Interest Payment Date will be made only against surrender to the Paying Agent of the coupon relating to such Interest Payment Date. (Section 1001) No payment with respect to any Bearer Security will be made at any of our offices or agencies in the United States or by check mailed to any address in the United States or by transfer to any account maintained with a bank located in the United States. Notwithstanding the foregoing, payments of principal of and any premium and interest on Bearer Securities denominated and payable in U.S. dollars will be made at the office of our Paying Agent in the Borough of Manhattan, the City of New York, if (but only if) payment of the full amount thereof in U.S. dollars at all offices or agencies outside the United States is illegal or effectively precluded by exchange controls or other similar restrictions. (Section 1002)</w:t>
      </w:r>
    </w:p>
    <w:p>
      <w:pPr>
        <w:spacing w:after="0" w:line="208" w:lineRule="exact"/>
        <w:rPr>
          <w:sz w:val="20"/>
          <w:szCs w:val="20"/>
          <w:color w:val="auto"/>
        </w:rPr>
      </w:pPr>
    </w:p>
    <w:p>
      <w:pPr>
        <w:ind w:right="2239" w:firstLine="632"/>
        <w:spacing w:after="0" w:line="237" w:lineRule="auto"/>
        <w:rPr>
          <w:sz w:val="20"/>
          <w:szCs w:val="20"/>
          <w:color w:val="auto"/>
        </w:rPr>
      </w:pPr>
      <w:r>
        <w:rPr>
          <w:rFonts w:ascii="Courier New" w:cs="Courier New" w:eastAsia="Courier New" w:hAnsi="Courier New"/>
          <w:sz w:val="18"/>
          <w:szCs w:val="18"/>
          <w:color w:val="auto"/>
        </w:rPr>
        <w:t>Unless otherwise indicated in an applicable prospectus supplement, payment of principal of and any premium and interest on Registered Securities will be made at the office of the Paying Agent or Paying Agents as we may designate from time to time, except that at our option, payment of any interest may be made by check mailed on or before the due date to the address of the Person entitled thereto as such address shall appear in the Security Register. (Rule 307, 1002) Unless otherwise indicated in an applicable prospectus supplement, payment of any installment of interest on Registered Securities will be made to the Person in whose name such Registered Security is registered at the close of business on the Regular Record Date for such interest. (Section 307)</w:t>
      </w:r>
    </w:p>
    <w:p>
      <w:pPr>
        <w:spacing w:after="0" w:line="215" w:lineRule="exact"/>
        <w:rPr>
          <w:sz w:val="20"/>
          <w:szCs w:val="20"/>
          <w:color w:val="auto"/>
        </w:rPr>
      </w:pPr>
    </w:p>
    <w:p>
      <w:pPr>
        <w:ind w:right="2239" w:firstLine="632"/>
        <w:spacing w:after="0" w:line="238" w:lineRule="auto"/>
        <w:rPr>
          <w:sz w:val="20"/>
          <w:szCs w:val="20"/>
          <w:color w:val="auto"/>
        </w:rPr>
      </w:pPr>
      <w:r>
        <w:rPr>
          <w:rFonts w:ascii="Courier New" w:cs="Courier New" w:eastAsia="Courier New" w:hAnsi="Courier New"/>
          <w:sz w:val="18"/>
          <w:szCs w:val="18"/>
          <w:color w:val="auto"/>
        </w:rPr>
        <w:t>Unless otherwise indicated in an applicable prospectus supplement, the Trustee for the series of Debt Securities will act as our Paying Agent for payments with respect to Debt Securities which are issuable solely as Registered Securities and we will maintain a Paying Agent outside the United States for payments with respect to Debt Securities (subject to limitations described above in the case of Bearer Securities) which are issuable solely as Bearer Securities or as both Registered Securities and Bearer Securities. Any Paying Agents outside the United States and any other Paying Agents in the United States that we initially designate for the Debt Securities will be named in an applicable prospectus supplement. We may at any time designate additional Paying Agents or rescind the designation of any Paying Agent or approve a change in the office through which any Paying Agent acts, except that, if Debt Securities of a series are issuable solely as Registered Securities, we will be required to maintain a Paying Agent in each Place of Payment for such series and, if Debt Securities of a series are issuable as Bearer Securities, we will be required to maintain (i) a Paying Agent in the Borough of Manhattan, The City of New York for principal payments with respect to any Registered Securities of the series (and for payments with respect to Bearer Securities of the series in the circumstances described above, but not otherwise), and (ii) a Paying Agent in a Place of Payment located outside the United States where Debt Securities of such series and any coupons appertaining thereto may be presented and surrendered for payment. (Section 1002)</w:t>
      </w:r>
    </w:p>
    <w:p>
      <w:pPr>
        <w:spacing w:after="0" w:line="209" w:lineRule="exact"/>
        <w:rPr>
          <w:sz w:val="20"/>
          <w:szCs w:val="20"/>
          <w:color w:val="auto"/>
        </w:rPr>
      </w:pPr>
    </w:p>
    <w:p>
      <w:pPr>
        <w:ind w:right="2339" w:firstLine="632"/>
        <w:spacing w:after="0" w:line="272" w:lineRule="auto"/>
        <w:rPr>
          <w:sz w:val="20"/>
          <w:szCs w:val="20"/>
          <w:color w:val="auto"/>
        </w:rPr>
      </w:pPr>
      <w:r>
        <w:rPr>
          <w:rFonts w:ascii="Courier New" w:cs="Courier New" w:eastAsia="Courier New" w:hAnsi="Courier New"/>
          <w:sz w:val="16"/>
          <w:szCs w:val="16"/>
          <w:color w:val="auto"/>
        </w:rPr>
        <w:t>All moneys paid by us to a Paying Agent for the payment of principal of and any premium or interest on any Debt Security which remain unclaimed at the end of two years after such principal, premium or interest shall have become due and payable will (subject to applicable escheat laws) be repaid to us, and the Holder of such Debt Security or any coupon will thereafter look only to us for payment thereof. (Section 1003)</w:t>
      </w:r>
    </w:p>
    <w:p>
      <w:pPr>
        <w:spacing w:after="0" w:line="185" w:lineRule="exact"/>
        <w:rPr>
          <w:sz w:val="20"/>
          <w:szCs w:val="20"/>
          <w:color w:val="auto"/>
        </w:rPr>
      </w:pPr>
    </w:p>
    <w:p>
      <w:pPr>
        <w:ind w:right="2239" w:firstLine="632"/>
        <w:spacing w:after="0" w:line="237" w:lineRule="auto"/>
        <w:rPr>
          <w:sz w:val="20"/>
          <w:szCs w:val="20"/>
          <w:color w:val="auto"/>
        </w:rPr>
      </w:pPr>
      <w:r>
        <w:rPr>
          <w:rFonts w:ascii="Courier New" w:cs="Courier New" w:eastAsia="Courier New" w:hAnsi="Courier New"/>
          <w:sz w:val="18"/>
          <w:szCs w:val="18"/>
          <w:color w:val="auto"/>
        </w:rPr>
        <w:t>Global Debt Securities. Debt Securities of a series may be issued in whole or in part in the form of one or more global Debt Securities that will be deposited with, or on behalf of, a depository identified in the prospectus supplement relating to such series. Global Debt Securities may be issued only in fully registered form and in either temporary or permanent form. (Section 203) Unless and until it is exchanged in whole or in part for the individual Debt Securities represented thereby, a global Debt Security may not be transferred except as a whole by the depository for such global Debt Security to a nominee of such depository or by a nominee of such depository to such depository or another nominee of such depository or by the depository or any nominee to a successor depository or any nominee of such successor.</w:t>
      </w:r>
    </w:p>
    <w:p>
      <w:pPr>
        <w:sectPr>
          <w:pgSz w:w="11900" w:h="16838" w:orient="portrait"/>
          <w:cols w:equalWidth="0" w:num="1">
            <w:col w:w="10139"/>
          </w:cols>
          <w:pgMar w:left="320" w:top="142" w:right="1440" w:bottom="0" w:gutter="0" w:footer="0" w:header="0"/>
        </w:sectPr>
      </w:pPr>
    </w:p>
    <w:bookmarkStart w:id="19" w:name="page20"/>
    <w:bookmarkEnd w:id="19"/>
    <w:p>
      <w:pPr>
        <w:ind w:right="2239" w:firstLine="632"/>
        <w:spacing w:after="0" w:line="279" w:lineRule="auto"/>
        <w:rPr>
          <w:sz w:val="20"/>
          <w:szCs w:val="20"/>
          <w:color w:val="auto"/>
        </w:rPr>
      </w:pPr>
      <w:r>
        <w:rPr>
          <w:rFonts w:ascii="Courier New" w:cs="Courier New" w:eastAsia="Courier New" w:hAnsi="Courier New"/>
          <w:sz w:val="16"/>
          <w:szCs w:val="16"/>
          <w:color w:val="auto"/>
        </w:rPr>
        <w:t>The specific terms of the depository arrangement with respect to a series of Debt Securities in the form of one or more global Debt Securities will be described in the prospectus supplement relating to that series.</w:t>
      </w:r>
    </w:p>
    <w:p>
      <w:pPr>
        <w:spacing w:after="0" w:line="178" w:lineRule="exact"/>
        <w:rPr>
          <w:sz w:val="20"/>
          <w:szCs w:val="20"/>
          <w:color w:val="auto"/>
        </w:rPr>
      </w:pPr>
    </w:p>
    <w:p>
      <w:pPr>
        <w:ind w:right="2239" w:firstLine="632"/>
        <w:spacing w:after="0" w:line="237" w:lineRule="auto"/>
        <w:rPr>
          <w:sz w:val="20"/>
          <w:szCs w:val="20"/>
          <w:color w:val="auto"/>
        </w:rPr>
      </w:pPr>
      <w:r>
        <w:rPr>
          <w:rFonts w:ascii="Courier New" w:cs="Courier New" w:eastAsia="Courier New" w:hAnsi="Courier New"/>
          <w:sz w:val="18"/>
          <w:szCs w:val="18"/>
          <w:color w:val="auto"/>
        </w:rPr>
        <w:t>Satisfaction and Discharge of Indenture. Each Indenture provides that we may discharge the Indenture (except as to any surviving rights of registration of transfer or exchange of Debt Securities and any right to receive additional amounts) with respect to all Debt Securities issued under the Indenture, which Debt Securities have not already been delivered to the Trustee for cancellation and which either have become due and payable or are by their terms due and payable within one year (or are to be called for redemption within one year) by depositing with the Trustee as trust funds an amount sufficient to pay when due the principal of and premium, if any, and interest, if any, on all outstanding Debt Securities when due. (Section 401)</w:t>
      </w:r>
    </w:p>
    <w:p>
      <w:pPr>
        <w:spacing w:after="0" w:line="215" w:lineRule="exact"/>
        <w:rPr>
          <w:sz w:val="20"/>
          <w:szCs w:val="20"/>
          <w:color w:val="auto"/>
        </w:rPr>
      </w:pPr>
    </w:p>
    <w:p>
      <w:pPr>
        <w:ind w:right="2239" w:firstLine="632"/>
        <w:spacing w:after="0" w:line="268" w:lineRule="auto"/>
        <w:rPr>
          <w:sz w:val="20"/>
          <w:szCs w:val="20"/>
          <w:color w:val="auto"/>
        </w:rPr>
      </w:pPr>
      <w:r>
        <w:rPr>
          <w:rFonts w:ascii="Courier New" w:cs="Courier New" w:eastAsia="Courier New" w:hAnsi="Courier New"/>
          <w:sz w:val="16"/>
          <w:szCs w:val="16"/>
          <w:color w:val="auto"/>
        </w:rPr>
        <w:t>Defeasance and Discharge. Each Indenture provides that, if we so elect by Board Resolution with respect to the Debt Securities of any series issued under such Indenture (other than convertible Subordinated Debt Securities), we will be discharged from any and all obligations in respect of the Debt Securities of such series (except for certain obligations relating to temporary Debt Securities and exchange of Debt Securities, registration of transfer or exchange of Debt Securities of such series, replacement of stolen, lost or mutilated Debt Securities of such series, maintenance of paying agencies to hold moneys for payment in trust and payment of additional amounts, if any, required in consequence of United States withholding taxes imposed on payments to non-United States persons) upon the deposit with the Trustee, in trust, of money and/or U.S. Government Obligations which through the payment of interest and principal in respect thereof in accordance with their terms will provide money in an amount sufficient to pay the principal of (and premium, if any), and each installment of interest on, the Debt Securities of such series on the Stated Maturity of such payments in accordance with the terms of such Indenture and the Debt Securities of such series. (Sections 1302, 1304) Such a trust may only be established if, among other things, we have delivered to the Trustee an Opinion of Counsel to the effect that (i) we have received from, or there has been published by, the Internal Revenue Service a ruling, or (ii) since the date of such Indenture there has been a change in applicable federal income tax law, in either case to the effect that, and based thereon such Opinion of Counsel shall confirm that, the Holders of such series will not recognize income, gain or loss for federal income tax purposes as a result of such deposit, defeasance and discharge, and will be subject to federal income tax on the same amounts and in the same manner and at the same times as would have been the case if such deposit, defeasance and discharge had not occurred. (Section 1304) In the event of any such defeasance and discharge of Debt Securities of such series, Holders of such series would be entitled to look only to such trust fund for payment of principal of and any premium and any interest on their Debt Securities until Maturity.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2239" w:firstLine="632"/>
        <w:spacing w:after="0" w:line="269" w:lineRule="auto"/>
        <w:rPr>
          <w:sz w:val="20"/>
          <w:szCs w:val="20"/>
          <w:color w:val="auto"/>
        </w:rPr>
      </w:pPr>
      <w:r>
        <w:rPr>
          <w:rFonts w:ascii="Courier New" w:cs="Courier New" w:eastAsia="Courier New" w:hAnsi="Courier New"/>
          <w:sz w:val="16"/>
          <w:szCs w:val="16"/>
          <w:color w:val="auto"/>
        </w:rPr>
        <w:t>Covenant Defeasance. Each Indenture also provides that, if we so elect by Board Resolution with respect to the Debt Securities of any series issued thereunder, we may omit to comply with certain restrictive covenants, including (in the case of the Senior Debt Indenture) the covenants described under "--Provisions Applicable Solely to Senior Debt Securities--Limitation on Liens" and "--Limitations on Sale and Leaseback Transactions," but excluding (in the case of the Subordinated Debt Indenture) any of our applicable obligations respecting the conversion of Debt Securities of such series into common stock, and any such omission shall not be an Event of Default with respect to the Debt Securities of such series, upon the deposit with the Trustee, in trust, of money and/or U.S. Government Obligations which through the payment of interest and principal in respect thereof in accordance with their terms will provide money in an amount sufficient to pay the principal of (and premium, if any), and each installment of interest on, the Debt Securities of such series on the Stated Maturity of such payments in accordance with the terms of such Indenture and the Debt Securities of such series. Our obligations under such Indenture and the Debt Securities of such series other than with respect to such covenants shall remain in full force and effect. (Section 1303) Such a trust may be established only if, among other things, we have delivered to the Trustee an Opinion of Counsel to the effect that the Holders of such series will not recognize income, gain or loss for federal income tax purposes as a result of such deposit and defeasance of certain obligations and will be subject to federal income tax on the same amounts and in the same manner and at the same time as would have been the case if such deposit and defeasance had not occurred. (Section 1304)</w:t>
      </w:r>
    </w:p>
    <w:p>
      <w:pPr>
        <w:spacing w:after="0" w:line="200" w:lineRule="exact"/>
        <w:rPr>
          <w:sz w:val="20"/>
          <w:szCs w:val="20"/>
          <w:color w:val="auto"/>
        </w:rPr>
      </w:pPr>
    </w:p>
    <w:p>
      <w:pPr>
        <w:spacing w:after="0" w:line="392" w:lineRule="exact"/>
        <w:rPr>
          <w:sz w:val="20"/>
          <w:szCs w:val="20"/>
          <w:color w:val="auto"/>
        </w:rPr>
      </w:pPr>
    </w:p>
    <w:p>
      <w:pPr>
        <w:ind w:right="2339" w:firstLine="632"/>
        <w:spacing w:after="0" w:line="279" w:lineRule="auto"/>
        <w:rPr>
          <w:sz w:val="20"/>
          <w:szCs w:val="20"/>
          <w:color w:val="auto"/>
        </w:rPr>
      </w:pPr>
      <w:r>
        <w:rPr>
          <w:rFonts w:ascii="Courier New" w:cs="Courier New" w:eastAsia="Courier New" w:hAnsi="Courier New"/>
          <w:sz w:val="16"/>
          <w:szCs w:val="16"/>
          <w:color w:val="auto"/>
        </w:rPr>
        <w:t>Although the amount of money and U.S. Government Obligations on deposit with the Trustee would be intended to be sufficient to pay amounts due on the Debt Securities of such series at the time of their Stated</w:t>
      </w:r>
    </w:p>
    <w:p>
      <w:pPr>
        <w:sectPr>
          <w:pgSz w:w="11900" w:h="16838" w:orient="portrait"/>
          <w:cols w:equalWidth="0" w:num="1">
            <w:col w:w="10139"/>
          </w:cols>
          <w:pgMar w:left="320" w:top="344" w:right="1440" w:bottom="0" w:gutter="0" w:footer="0" w:header="0"/>
        </w:sectPr>
      </w:pPr>
    </w:p>
    <w:bookmarkStart w:id="20" w:name="page21"/>
    <w:bookmarkEnd w:id="20"/>
    <w:p>
      <w:pPr>
        <w:ind w:right="2339"/>
        <w:spacing w:after="0" w:line="237" w:lineRule="auto"/>
        <w:rPr>
          <w:sz w:val="20"/>
          <w:szCs w:val="20"/>
          <w:color w:val="auto"/>
        </w:rPr>
      </w:pPr>
      <w:r>
        <w:rPr>
          <w:rFonts w:ascii="Courier New" w:cs="Courier New" w:eastAsia="Courier New" w:hAnsi="Courier New"/>
          <w:sz w:val="18"/>
          <w:szCs w:val="18"/>
          <w:color w:val="auto"/>
        </w:rPr>
        <w:t>Maturity, in the event we exercise our option to omit compliance with the covenants defeased with respect to the Debt Securities of any series as described above, and the Debt Securities of such series are declared due and payable because of the occurrence of any Event of Default, such amount may not be sufficient to pay amounts due on the Debt Securities of such series at the time of the acceleration resulting from such Event of Default. We shall in any event remain liable for such payments as provided in the applicable Indenture.</w:t>
      </w:r>
    </w:p>
    <w:p>
      <w:pPr>
        <w:spacing w:after="0" w:line="212" w:lineRule="exact"/>
        <w:rPr>
          <w:sz w:val="20"/>
          <w:szCs w:val="20"/>
          <w:color w:val="auto"/>
        </w:rPr>
      </w:pPr>
    </w:p>
    <w:p>
      <w:pPr>
        <w:ind w:right="2239" w:firstLine="632"/>
        <w:spacing w:after="0" w:line="271" w:lineRule="auto"/>
        <w:rPr>
          <w:sz w:val="20"/>
          <w:szCs w:val="20"/>
          <w:color w:val="auto"/>
        </w:rPr>
      </w:pPr>
      <w:r>
        <w:rPr>
          <w:rFonts w:ascii="Courier New" w:cs="Courier New" w:eastAsia="Courier New" w:hAnsi="Courier New"/>
          <w:sz w:val="16"/>
          <w:szCs w:val="16"/>
          <w:color w:val="auto"/>
        </w:rPr>
        <w:t>Federal Income Tax Consequences. Under current United States federal income tax law, defeasance and discharge would likely be treated as a taxable exchange of Debt Securities to be defeased for an interest in the defeasance trust. As a consequence, a holder would recognize gain or loss equal to the difference between the holder's cost or other tax basis for such Debt Securities and the value of the holder's interest in the defeasance trust, and thereafter would be required to include in income the holder's share of the income, gain or loss of the defeasance trust. Under current United States federal income tax law, covenant defeasance would ordinarily not be treated as a taxable exchange of such Debt Securities.</w:t>
      </w:r>
    </w:p>
    <w:p>
      <w:pPr>
        <w:spacing w:after="0" w:line="386" w:lineRule="exact"/>
        <w:rPr>
          <w:sz w:val="20"/>
          <w:szCs w:val="20"/>
          <w:color w:val="auto"/>
        </w:rPr>
      </w:pPr>
    </w:p>
    <w:p>
      <w:pPr>
        <w:ind w:right="2239" w:firstLine="632"/>
        <w:spacing w:after="0" w:line="237" w:lineRule="auto"/>
        <w:rPr>
          <w:sz w:val="20"/>
          <w:szCs w:val="20"/>
          <w:color w:val="auto"/>
        </w:rPr>
      </w:pPr>
      <w:r>
        <w:rPr>
          <w:rFonts w:ascii="Courier New" w:cs="Courier New" w:eastAsia="Courier New" w:hAnsi="Courier New"/>
          <w:sz w:val="18"/>
          <w:szCs w:val="18"/>
          <w:color w:val="auto"/>
        </w:rPr>
        <w:t>Meetings, Modification and Waiver. We and the Trustee may modify and amend either Indenture with the consent of the Holders of a majority in aggregate principal amount of the Outstanding Securities of each series affected by such modification or amendment; provided, however, that no such modification or amendment may, without the consent of the Holder of each Outstanding Security affected thereby:</w:t>
      </w:r>
    </w:p>
    <w:p>
      <w:pPr>
        <w:spacing w:after="0" w:line="209" w:lineRule="exact"/>
        <w:rPr>
          <w:sz w:val="20"/>
          <w:szCs w:val="20"/>
          <w:color w:val="auto"/>
        </w:rPr>
      </w:pPr>
    </w:p>
    <w:p>
      <w:pPr>
        <w:ind w:left="540" w:right="2239" w:hanging="6"/>
        <w:spacing w:after="0" w:line="235" w:lineRule="auto"/>
        <w:tabs>
          <w:tab w:leader="none" w:pos="961"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 the Stated Maturity of the principal of, or any installment of principal of or interest on, any Debt Security;</w:t>
      </w:r>
    </w:p>
    <w:p>
      <w:pPr>
        <w:spacing w:after="0" w:line="202" w:lineRule="exact"/>
        <w:rPr>
          <w:rFonts w:ascii="Courier New" w:cs="Courier New" w:eastAsia="Courier New" w:hAnsi="Courier New"/>
          <w:sz w:val="18"/>
          <w:szCs w:val="18"/>
          <w:color w:val="auto"/>
        </w:rPr>
      </w:pPr>
    </w:p>
    <w:p>
      <w:pPr>
        <w:ind w:left="960" w:hanging="426"/>
        <w:spacing w:after="0"/>
        <w:tabs>
          <w:tab w:leader="none" w:pos="96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 the Redemption Date with respect to any Debt Security;</w:t>
      </w:r>
    </w:p>
    <w:p>
      <w:pPr>
        <w:spacing w:after="0" w:line="206" w:lineRule="exact"/>
        <w:rPr>
          <w:rFonts w:ascii="Courier New" w:cs="Courier New" w:eastAsia="Courier New" w:hAnsi="Courier New"/>
          <w:sz w:val="18"/>
          <w:szCs w:val="18"/>
          <w:color w:val="auto"/>
        </w:rPr>
      </w:pPr>
    </w:p>
    <w:p>
      <w:pPr>
        <w:ind w:left="540" w:right="2659" w:hanging="6"/>
        <w:spacing w:after="0" w:line="235" w:lineRule="auto"/>
        <w:tabs>
          <w:tab w:leader="none" w:pos="961"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reduce the principal amount of, or premium or interest on, any Debt Security;</w:t>
      </w:r>
    </w:p>
    <w:p>
      <w:pPr>
        <w:spacing w:after="0" w:line="202" w:lineRule="exact"/>
        <w:rPr>
          <w:rFonts w:ascii="Courier New" w:cs="Courier New" w:eastAsia="Courier New" w:hAnsi="Courier New"/>
          <w:sz w:val="18"/>
          <w:szCs w:val="18"/>
          <w:color w:val="auto"/>
        </w:rPr>
      </w:pPr>
    </w:p>
    <w:p>
      <w:pPr>
        <w:ind w:left="960" w:hanging="426"/>
        <w:spacing w:after="0"/>
        <w:tabs>
          <w:tab w:leader="none" w:pos="96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 our obligation, if any, to pay additional amounts;</w:t>
      </w:r>
    </w:p>
    <w:p>
      <w:pPr>
        <w:spacing w:after="0" w:line="206" w:lineRule="exact"/>
        <w:rPr>
          <w:rFonts w:ascii="Courier New" w:cs="Courier New" w:eastAsia="Courier New" w:hAnsi="Courier New"/>
          <w:sz w:val="18"/>
          <w:szCs w:val="18"/>
          <w:color w:val="auto"/>
        </w:rPr>
      </w:pPr>
    </w:p>
    <w:p>
      <w:pPr>
        <w:ind w:left="540" w:right="2859" w:hanging="6"/>
        <w:spacing w:after="0" w:line="290" w:lineRule="auto"/>
        <w:tabs>
          <w:tab w:leader="none" w:pos="961"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reduce the amount of principal of an Original Issue Discount Security payable upon acceleration of the Maturity thereof;</w:t>
      </w:r>
    </w:p>
    <w:p>
      <w:pPr>
        <w:spacing w:after="0" w:line="169" w:lineRule="exact"/>
        <w:rPr>
          <w:rFonts w:ascii="Courier New" w:cs="Courier New" w:eastAsia="Courier New" w:hAnsi="Courier New"/>
          <w:sz w:val="16"/>
          <w:szCs w:val="16"/>
          <w:color w:val="auto"/>
        </w:rPr>
      </w:pPr>
    </w:p>
    <w:p>
      <w:pPr>
        <w:ind w:left="540" w:right="2759" w:hanging="6"/>
        <w:spacing w:after="0" w:line="235" w:lineRule="auto"/>
        <w:tabs>
          <w:tab w:leader="none" w:pos="961"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 the coin or currency in which any Debt Security or any premium or interest thereon is payable;</w:t>
      </w:r>
    </w:p>
    <w:p>
      <w:pPr>
        <w:spacing w:after="0" w:line="202" w:lineRule="exact"/>
        <w:rPr>
          <w:rFonts w:ascii="Courier New" w:cs="Courier New" w:eastAsia="Courier New" w:hAnsi="Courier New"/>
          <w:sz w:val="18"/>
          <w:szCs w:val="18"/>
          <w:color w:val="auto"/>
        </w:rPr>
      </w:pPr>
    </w:p>
    <w:p>
      <w:pPr>
        <w:ind w:left="960" w:hanging="426"/>
        <w:spacing w:after="0"/>
        <w:tabs>
          <w:tab w:leader="none" w:pos="96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 the redemption right of any Holder;</w:t>
      </w:r>
    </w:p>
    <w:p>
      <w:pPr>
        <w:spacing w:after="0" w:line="206" w:lineRule="exact"/>
        <w:rPr>
          <w:rFonts w:ascii="Courier New" w:cs="Courier New" w:eastAsia="Courier New" w:hAnsi="Courier New"/>
          <w:sz w:val="18"/>
          <w:szCs w:val="18"/>
          <w:color w:val="auto"/>
        </w:rPr>
      </w:pPr>
    </w:p>
    <w:p>
      <w:pPr>
        <w:jc w:val="both"/>
        <w:ind w:left="540" w:right="2759" w:hanging="6"/>
        <w:spacing w:after="0" w:line="236" w:lineRule="auto"/>
        <w:tabs>
          <w:tab w:leader="none" w:pos="961"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impair the right to institute suit for the enforcement of any payment on or with respect to any Debt Security or any conversion right with respect thereto;</w:t>
      </w:r>
    </w:p>
    <w:p>
      <w:pPr>
        <w:spacing w:after="0" w:line="208" w:lineRule="exact"/>
        <w:rPr>
          <w:rFonts w:ascii="Courier New" w:cs="Courier New" w:eastAsia="Courier New" w:hAnsi="Courier New"/>
          <w:sz w:val="18"/>
          <w:szCs w:val="18"/>
          <w:color w:val="auto"/>
        </w:rPr>
      </w:pPr>
    </w:p>
    <w:p>
      <w:pPr>
        <w:ind w:left="540" w:right="2239" w:hanging="6"/>
        <w:spacing w:after="0" w:line="237" w:lineRule="auto"/>
        <w:tabs>
          <w:tab w:leader="none" w:pos="961"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reduce the percentage in principal amount of Outstanding Securities of any series, the consent of whose Holders is required for modification or amendment of such Indenture or for waiver of compliance with certain provisions of such Indenture or for waiver of certain defaults;</w:t>
      </w:r>
    </w:p>
    <w:p>
      <w:pPr>
        <w:spacing w:after="0" w:line="208" w:lineRule="exact"/>
        <w:rPr>
          <w:rFonts w:ascii="Courier New" w:cs="Courier New" w:eastAsia="Courier New" w:hAnsi="Courier New"/>
          <w:sz w:val="18"/>
          <w:szCs w:val="18"/>
          <w:color w:val="auto"/>
        </w:rPr>
      </w:pPr>
    </w:p>
    <w:p>
      <w:pPr>
        <w:ind w:left="540" w:right="2339" w:hanging="6"/>
        <w:spacing w:after="0" w:line="235" w:lineRule="auto"/>
        <w:tabs>
          <w:tab w:leader="none" w:pos="961"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reduce the requirements contained in such Indenture for quorum or voting;</w:t>
      </w:r>
    </w:p>
    <w:p>
      <w:pPr>
        <w:spacing w:after="0" w:line="208" w:lineRule="exact"/>
        <w:rPr>
          <w:rFonts w:ascii="Courier New" w:cs="Courier New" w:eastAsia="Courier New" w:hAnsi="Courier New"/>
          <w:sz w:val="18"/>
          <w:szCs w:val="18"/>
          <w:color w:val="auto"/>
        </w:rPr>
      </w:pPr>
    </w:p>
    <w:p>
      <w:pPr>
        <w:ind w:left="540" w:right="2339" w:hanging="6"/>
        <w:spacing w:after="0" w:line="235" w:lineRule="auto"/>
        <w:tabs>
          <w:tab w:leader="none" w:pos="961"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 our obligation, if any, to maintain an office or agency in the places and for the purposes required by such Indenture;</w:t>
      </w:r>
    </w:p>
    <w:p>
      <w:pPr>
        <w:spacing w:after="0" w:line="208" w:lineRule="exact"/>
        <w:rPr>
          <w:rFonts w:ascii="Courier New" w:cs="Courier New" w:eastAsia="Courier New" w:hAnsi="Courier New"/>
          <w:sz w:val="18"/>
          <w:szCs w:val="18"/>
          <w:color w:val="auto"/>
        </w:rPr>
      </w:pPr>
    </w:p>
    <w:p>
      <w:pPr>
        <w:ind w:left="540" w:right="3399" w:hanging="6"/>
        <w:spacing w:after="0" w:line="235" w:lineRule="auto"/>
        <w:tabs>
          <w:tab w:leader="none" w:pos="961"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adversely affect the right to convert Subordinated Debt Securities, if applicable; or</w:t>
      </w:r>
    </w:p>
    <w:p>
      <w:pPr>
        <w:spacing w:after="0" w:line="202" w:lineRule="exact"/>
        <w:rPr>
          <w:rFonts w:ascii="Courier New" w:cs="Courier New" w:eastAsia="Courier New" w:hAnsi="Courier New"/>
          <w:sz w:val="18"/>
          <w:szCs w:val="18"/>
          <w:color w:val="auto"/>
        </w:rPr>
      </w:pPr>
    </w:p>
    <w:p>
      <w:pPr>
        <w:ind w:left="960" w:hanging="426"/>
        <w:spacing w:after="0"/>
        <w:tabs>
          <w:tab w:leader="none" w:pos="96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modify any of the above provisions. (Section 902)</w:t>
      </w:r>
    </w:p>
    <w:p>
      <w:pPr>
        <w:spacing w:after="0" w:line="207" w:lineRule="exact"/>
        <w:rPr>
          <w:sz w:val="20"/>
          <w:szCs w:val="20"/>
          <w:color w:val="auto"/>
        </w:rPr>
      </w:pPr>
    </w:p>
    <w:p>
      <w:pPr>
        <w:ind w:right="2439" w:firstLine="526"/>
        <w:spacing w:after="0" w:line="237" w:lineRule="auto"/>
        <w:rPr>
          <w:sz w:val="20"/>
          <w:szCs w:val="20"/>
          <w:color w:val="auto"/>
        </w:rPr>
      </w:pPr>
      <w:r>
        <w:rPr>
          <w:rFonts w:ascii="Courier New" w:cs="Courier New" w:eastAsia="Courier New" w:hAnsi="Courier New"/>
          <w:sz w:val="18"/>
          <w:szCs w:val="18"/>
          <w:color w:val="auto"/>
        </w:rPr>
        <w:t>The Subordinated Debt Indenture may not be amended to alter the subordination of any outstanding Subordinated Debt Securities without the consent of each holder of Senior Indebtedness (as defined below under "--Provisions Applicable Solely to Subordinated Debt Securities") then outstanding that would be adversely affected thereby. (Section 907 of the Subordinated Debt Indenture)</w:t>
      </w:r>
    </w:p>
    <w:p>
      <w:pPr>
        <w:spacing w:after="0" w:line="209" w:lineRule="exact"/>
        <w:rPr>
          <w:sz w:val="20"/>
          <w:szCs w:val="20"/>
          <w:color w:val="auto"/>
        </w:rPr>
      </w:pPr>
    </w:p>
    <w:p>
      <w:pPr>
        <w:ind w:right="2239" w:firstLine="632"/>
        <w:spacing w:after="0" w:line="271" w:lineRule="auto"/>
        <w:rPr>
          <w:sz w:val="20"/>
          <w:szCs w:val="20"/>
          <w:color w:val="auto"/>
        </w:rPr>
      </w:pPr>
      <w:r>
        <w:rPr>
          <w:rFonts w:ascii="Courier New" w:cs="Courier New" w:eastAsia="Courier New" w:hAnsi="Courier New"/>
          <w:sz w:val="16"/>
          <w:szCs w:val="16"/>
          <w:color w:val="auto"/>
        </w:rPr>
        <w:t>The Holders of a majority in aggregate principal amount of the Outstanding Securities of each series may, on behalf of all Holders of that series, waive, insofar as that series is concerned, our compliance with certain restrictive provisions of the Indenture under which such series has been issued. (Section 1007 of the Senior Debt Indenture; Section 1008 of the Subordinated Debt Indenture) The Holders of a majority in aggregate principal amount of the Outstanding Securities, of each series may, on behalf of all Holders of that series, waive any past default under the</w:t>
      </w:r>
    </w:p>
    <w:p>
      <w:pPr>
        <w:sectPr>
          <w:pgSz w:w="11900" w:h="16838" w:orient="portrait"/>
          <w:cols w:equalWidth="0" w:num="1">
            <w:col w:w="10139"/>
          </w:cols>
          <w:pgMar w:left="320" w:top="142" w:right="1440" w:bottom="0" w:gutter="0" w:footer="0" w:header="0"/>
        </w:sectPr>
      </w:pPr>
    </w:p>
    <w:bookmarkStart w:id="21" w:name="page22"/>
    <w:bookmarkEnd w:id="21"/>
    <w:p>
      <w:pPr>
        <w:ind w:right="2239"/>
        <w:spacing w:after="0" w:line="237" w:lineRule="auto"/>
        <w:rPr>
          <w:sz w:val="20"/>
          <w:szCs w:val="20"/>
          <w:color w:val="auto"/>
        </w:rPr>
      </w:pPr>
      <w:r>
        <w:rPr>
          <w:rFonts w:ascii="Courier New" w:cs="Courier New" w:eastAsia="Courier New" w:hAnsi="Courier New"/>
          <w:sz w:val="18"/>
          <w:szCs w:val="18"/>
          <w:color w:val="auto"/>
        </w:rPr>
        <w:t>applicable Indenture with respect to any Debt Securities of that series, except a default (a) in the payment of principal of, or premium, if any, or any interest on any Debt Security of such series or (b) in respect of a covenant or provision of such Indenture which cannot be modified or amended without the consent of the Holder of each Outstanding Security of such series affected. (Section 513)</w:t>
      </w:r>
    </w:p>
    <w:p>
      <w:pPr>
        <w:spacing w:after="0" w:line="209" w:lineRule="exact"/>
        <w:rPr>
          <w:sz w:val="20"/>
          <w:szCs w:val="20"/>
          <w:color w:val="auto"/>
        </w:rPr>
      </w:pPr>
    </w:p>
    <w:p>
      <w:pPr>
        <w:ind w:right="2239" w:firstLine="632"/>
        <w:spacing w:after="0" w:line="268" w:lineRule="auto"/>
        <w:rPr>
          <w:sz w:val="20"/>
          <w:szCs w:val="20"/>
          <w:color w:val="auto"/>
        </w:rPr>
      </w:pPr>
      <w:r>
        <w:rPr>
          <w:rFonts w:ascii="Courier New" w:cs="Courier New" w:eastAsia="Courier New" w:hAnsi="Courier New"/>
          <w:sz w:val="16"/>
          <w:szCs w:val="16"/>
          <w:color w:val="auto"/>
        </w:rPr>
        <w:t>Each Indenture provides that in determining whether the Holders of the requisite principal amount of the Outstanding Securities have given any request, demand, authorization, direction, notice, consent or waiver thereunder or are present at a meeting of the Holders for quorum purposes,</w:t>
      </w:r>
    </w:p>
    <w:p>
      <w:pPr>
        <w:ind w:right="2239" w:firstLine="8"/>
        <w:spacing w:after="0" w:line="237" w:lineRule="auto"/>
        <w:tabs>
          <w:tab w:leader="none" w:pos="421"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principal amount of an Original Issue Discount Security that is deemed to be Outstanding will be the amount of the principal that would be due and payable as of the date of such determination upon acceleration of the Maturity thereof, and (ii) the principal amount of a Debt Security denominated in a foreign currency or currency units will be the U.S. dollar equivalent, determined on the date of original issuance of such Debt Security, of the principal amount of such Debt Security or, in the case of an Original Issue Discount Security, the U.S. dollar equivalent, determined on the date of original issuance of such Security, of the amount determined as provided in (i) above. (Section 101)</w:t>
      </w:r>
    </w:p>
    <w:p>
      <w:pPr>
        <w:spacing w:after="0" w:line="214" w:lineRule="exact"/>
        <w:rPr>
          <w:sz w:val="20"/>
          <w:szCs w:val="20"/>
          <w:color w:val="auto"/>
        </w:rPr>
      </w:pPr>
    </w:p>
    <w:p>
      <w:pPr>
        <w:ind w:right="2239" w:firstLine="632"/>
        <w:spacing w:after="0" w:line="238" w:lineRule="auto"/>
        <w:rPr>
          <w:sz w:val="20"/>
          <w:szCs w:val="20"/>
          <w:color w:val="auto"/>
        </w:rPr>
      </w:pPr>
      <w:r>
        <w:rPr>
          <w:rFonts w:ascii="Courier New" w:cs="Courier New" w:eastAsia="Courier New" w:hAnsi="Courier New"/>
          <w:sz w:val="18"/>
          <w:szCs w:val="18"/>
          <w:color w:val="auto"/>
        </w:rPr>
        <w:t>Each Indenture contains provisions for convening meetings of the Holders of a series if Debt Securities of that series are issuable as Bearer Securities. (Section 1401) A meeting may be called at any time by the Trustee, and also, upon request, by us or the Holders of at least 10% in aggregate principal amount of the Outstanding Securities of such series, in any such case upon notice given in accordance with "Notices" below. (Section 1402) Except for any consent which must be given by the Holder of each Outstanding Security affected thereby, as described above, any resolution presented at a meeting (or adjourned meeting at which a quorum is present) may be adopted by the affirmative vote of the Holders of a majority in aggregate principal amount of the Outstanding Securities of that series; provided, however, that any resolution with respect to any request, demand, authorization, direction, notice, consent, waiver or other action which may be made, given or taken by the Holders of a specified percentage, which is less than a majority, in aggregate principal amount of the Outstanding Securities of a series may be adopted at a meeting (or adjourned meeting duly reconvened at which a quorum is present) by the affirmative vote of the Holders of such specified percentage in aggregate principal amount of the Outstanding Securities of that series. Any resolution passed or decision taken at any meeting of Holders of any series duly held in accordance with the applicable Indenture will be binding on all Holders of that series and related coupons. The quorum at any meeting, and at an reconvened meeting, will be Persons holding or representing a majority in aggregate principal amount of the Outstanding Securities of a series. (Section 1404)</w:t>
      </w:r>
    </w:p>
    <w:p>
      <w:pPr>
        <w:spacing w:after="0" w:line="210" w:lineRule="exact"/>
        <w:rPr>
          <w:sz w:val="20"/>
          <w:szCs w:val="20"/>
          <w:color w:val="auto"/>
        </w:rPr>
      </w:pPr>
    </w:p>
    <w:p>
      <w:pPr>
        <w:ind w:right="2239" w:firstLine="632"/>
        <w:spacing w:after="0" w:line="237" w:lineRule="auto"/>
        <w:rPr>
          <w:sz w:val="20"/>
          <w:szCs w:val="20"/>
          <w:color w:val="auto"/>
        </w:rPr>
      </w:pPr>
      <w:r>
        <w:rPr>
          <w:rFonts w:ascii="Courier New" w:cs="Courier New" w:eastAsia="Courier New" w:hAnsi="Courier New"/>
          <w:sz w:val="18"/>
          <w:szCs w:val="18"/>
          <w:color w:val="auto"/>
        </w:rPr>
        <w:t>Notices. Except as otherwise provided in an applicable prospectus supplement, notices to Holders of Bearer Securities will be given by publication at least twice in a daily newspaper in the City of New York and in such other city or cities as may be specified in such Bearer Securities. Notices to Holders of Registered Securities will be given by first-class mail to the addresses of such Holders as they appear in the Security Register. (Section 106)</w:t>
      </w:r>
    </w:p>
    <w:p>
      <w:pPr>
        <w:spacing w:after="0" w:line="210" w:lineRule="exact"/>
        <w:rPr>
          <w:sz w:val="20"/>
          <w:szCs w:val="20"/>
          <w:color w:val="auto"/>
        </w:rPr>
      </w:pPr>
    </w:p>
    <w:p>
      <w:pPr>
        <w:jc w:val="both"/>
        <w:ind w:right="2339" w:firstLine="632"/>
        <w:spacing w:after="0" w:line="236" w:lineRule="auto"/>
        <w:rPr>
          <w:sz w:val="20"/>
          <w:szCs w:val="20"/>
          <w:color w:val="auto"/>
        </w:rPr>
      </w:pPr>
      <w:r>
        <w:rPr>
          <w:rFonts w:ascii="Courier New" w:cs="Courier New" w:eastAsia="Courier New" w:hAnsi="Courier New"/>
          <w:sz w:val="18"/>
          <w:szCs w:val="18"/>
          <w:color w:val="auto"/>
        </w:rPr>
        <w:t>Governing Law. The Indentures, the Debt Securities and coupons will be governed by, and construed in accordance with, the laws of the State of New York. (Section 113)</w:t>
      </w:r>
    </w:p>
    <w:p>
      <w:pPr>
        <w:spacing w:after="0" w:line="208" w:lineRule="exact"/>
        <w:rPr>
          <w:sz w:val="20"/>
          <w:szCs w:val="20"/>
          <w:color w:val="auto"/>
        </w:rPr>
      </w:pPr>
    </w:p>
    <w:p>
      <w:pPr>
        <w:ind w:right="2439" w:firstLine="632"/>
        <w:spacing w:after="0" w:line="236" w:lineRule="auto"/>
        <w:rPr>
          <w:sz w:val="20"/>
          <w:szCs w:val="20"/>
          <w:color w:val="auto"/>
        </w:rPr>
      </w:pPr>
      <w:r>
        <w:rPr>
          <w:rFonts w:ascii="Courier New" w:cs="Courier New" w:eastAsia="Courier New" w:hAnsi="Courier New"/>
          <w:sz w:val="18"/>
          <w:szCs w:val="18"/>
          <w:color w:val="auto"/>
        </w:rPr>
        <w:t>Regarding the Trustee. The Trustee appointed and serving as trustee pursuant to each of the Senior Debt Indenture and the Subordinated Debt Indenture is Chase Bank.</w:t>
      </w:r>
    </w:p>
    <w:p>
      <w:pPr>
        <w:spacing w:after="0" w:line="208" w:lineRule="exact"/>
        <w:rPr>
          <w:sz w:val="20"/>
          <w:szCs w:val="20"/>
          <w:color w:val="auto"/>
        </w:rPr>
      </w:pPr>
    </w:p>
    <w:p>
      <w:pPr>
        <w:ind w:right="2559" w:firstLine="632"/>
        <w:spacing w:after="0" w:line="268" w:lineRule="auto"/>
        <w:rPr>
          <w:sz w:val="20"/>
          <w:szCs w:val="20"/>
          <w:color w:val="auto"/>
        </w:rPr>
      </w:pPr>
      <w:r>
        <w:rPr>
          <w:rFonts w:ascii="Courier New" w:cs="Courier New" w:eastAsia="Courier New" w:hAnsi="Courier New"/>
          <w:sz w:val="16"/>
          <w:szCs w:val="16"/>
          <w:color w:val="auto"/>
        </w:rPr>
        <w:t>Each Indenture contains certain limitations on the right of the Trustee, should it become our creditor, to obtain payment of claims in certain cases, or to realize for its own account on certain property received in respect of any such claim as security or otherwise. (Section</w:t>
      </w:r>
    </w:p>
    <w:p>
      <w:pPr>
        <w:ind w:right="2759" w:firstLine="8"/>
        <w:spacing w:after="0" w:line="279" w:lineRule="auto"/>
        <w:tabs>
          <w:tab w:leader="none" w:pos="526"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 is permitted to engage in certain other transactions; however, if it acquires any conflicting interest (as described in the Indentures), it must eliminate such conflict or resign. (Section 608)</w:t>
      </w:r>
    </w:p>
    <w:p>
      <w:pPr>
        <w:spacing w:after="0" w:line="178" w:lineRule="exact"/>
        <w:rPr>
          <w:sz w:val="20"/>
          <w:szCs w:val="20"/>
          <w:color w:val="auto"/>
        </w:rPr>
      </w:pPr>
    </w:p>
    <w:p>
      <w:pPr>
        <w:jc w:val="both"/>
        <w:ind w:right="2239" w:firstLine="632"/>
        <w:spacing w:after="0" w:line="237" w:lineRule="auto"/>
        <w:rPr>
          <w:sz w:val="20"/>
          <w:szCs w:val="20"/>
          <w:color w:val="auto"/>
        </w:rPr>
      </w:pPr>
      <w:r>
        <w:rPr>
          <w:rFonts w:ascii="Courier New" w:cs="Courier New" w:eastAsia="Courier New" w:hAnsi="Courier New"/>
          <w:sz w:val="18"/>
          <w:szCs w:val="18"/>
          <w:color w:val="auto"/>
        </w:rPr>
        <w:t>The holders of a majority in principal amount of all outstanding Debt Securities of a series (or if more than one series is affected thereby, all series so affected, voting as a single class) will have the right to direct the time, method and place of conducting any proceeding for exercising any remedy or power available to the Trustee for such series or all such series so affected.</w:t>
      </w:r>
    </w:p>
    <w:p>
      <w:pPr>
        <w:spacing w:after="0" w:line="209" w:lineRule="exact"/>
        <w:rPr>
          <w:sz w:val="20"/>
          <w:szCs w:val="20"/>
          <w:color w:val="auto"/>
        </w:rPr>
      </w:pPr>
    </w:p>
    <w:p>
      <w:pPr>
        <w:jc w:val="both"/>
        <w:ind w:right="2239" w:firstLine="632"/>
        <w:spacing w:after="0" w:line="290" w:lineRule="auto"/>
        <w:rPr>
          <w:sz w:val="20"/>
          <w:szCs w:val="20"/>
          <w:color w:val="auto"/>
        </w:rPr>
      </w:pPr>
      <w:r>
        <w:rPr>
          <w:rFonts w:ascii="Courier New" w:cs="Courier New" w:eastAsia="Courier New" w:hAnsi="Courier New"/>
          <w:sz w:val="16"/>
          <w:szCs w:val="16"/>
          <w:color w:val="auto"/>
        </w:rPr>
        <w:t>In case an Event of Default shall occur (and shall not be cured) under any Indenture relating to a series of Debt Securities and is known to</w:t>
      </w:r>
    </w:p>
    <w:p>
      <w:pPr>
        <w:sectPr>
          <w:pgSz w:w="11900" w:h="16838" w:orient="portrait"/>
          <w:cols w:equalWidth="0" w:num="1">
            <w:col w:w="10139"/>
          </w:cols>
          <w:pgMar w:left="320" w:top="142" w:right="1440" w:bottom="0" w:gutter="0" w:footer="0" w:header="0"/>
        </w:sectPr>
      </w:pPr>
    </w:p>
    <w:bookmarkStart w:id="22" w:name="page23"/>
    <w:bookmarkEnd w:id="22"/>
    <w:p>
      <w:pPr>
        <w:ind w:right="2239"/>
        <w:spacing w:after="0" w:line="237" w:lineRule="auto"/>
        <w:rPr>
          <w:sz w:val="20"/>
          <w:szCs w:val="20"/>
          <w:color w:val="auto"/>
        </w:rPr>
      </w:pPr>
      <w:r>
        <w:rPr>
          <w:rFonts w:ascii="Courier New" w:cs="Courier New" w:eastAsia="Courier New" w:hAnsi="Courier New"/>
          <w:sz w:val="18"/>
          <w:szCs w:val="18"/>
          <w:color w:val="auto"/>
        </w:rPr>
        <w:t>the Trustee for such series, such Trustee shall exercise such of the rights and powers vested in it by such Indenture and use the same degree of care and skill in its exercise as a prudent person would exercise or use under the circumstances in the conduct of his own affairs. Subject to such provisions, no Trustee will be under any obligation to exercise any of its rights or powers under the applicable Indenture at the request of any of the holders of Debt Securities unless they shall have offered to such Trustee security and indemnity satisfactory to it.</w:t>
      </w:r>
    </w:p>
    <w:p>
      <w:pPr>
        <w:spacing w:after="0" w:line="212" w:lineRule="exact"/>
        <w:rPr>
          <w:sz w:val="20"/>
          <w:szCs w:val="20"/>
          <w:color w:val="auto"/>
        </w:rPr>
      </w:pPr>
    </w:p>
    <w:p>
      <w:pPr>
        <w:ind w:right="2239" w:firstLine="632"/>
        <w:spacing w:after="0" w:line="238" w:lineRule="auto"/>
        <w:rPr>
          <w:sz w:val="20"/>
          <w:szCs w:val="20"/>
          <w:color w:val="auto"/>
        </w:rPr>
      </w:pPr>
      <w:r>
        <w:rPr>
          <w:rFonts w:ascii="Courier New" w:cs="Courier New" w:eastAsia="Courier New" w:hAnsi="Courier New"/>
          <w:sz w:val="18"/>
          <w:szCs w:val="18"/>
          <w:color w:val="auto"/>
        </w:rPr>
        <w:t>Pursuant to the Trust Indenture Act, a trustee under an indenture may be deemed to have a conflicting interest, and may, under certain circumstances set forth in the Trust Indenture Act, be required to resign as trustee under such indenture, if the securities under such indenture are in default (as such term is defined in such indenture) and the trustee is the trustee under another indenture under which any other securities of the same obligor are outstanding, subject to certain exceptions set forth in the Trust Indenture Act. In such event, the obligor must take prompt steps to have a successor trustee appointed in the manner provided in the indenture from which the trustee has resigned. Accordingly, Chase Bank, as trustee under the Senior Debt Indenture and the Subordinated Debt Indenture, could be required to resign as trustee under one of such Indentures should a default occur under one of such Indentures. In such event, we would be required to take prompt steps to have a successor trustee or successor trustees appointed in the manner provided in the applicable Indenture.</w:t>
      </w:r>
    </w:p>
    <w:p>
      <w:pPr>
        <w:spacing w:after="0" w:line="207" w:lineRule="exact"/>
        <w:rPr>
          <w:sz w:val="20"/>
          <w:szCs w:val="20"/>
          <w:color w:val="auto"/>
        </w:rPr>
      </w:pPr>
    </w:p>
    <w:p>
      <w:pPr>
        <w:ind w:right="2339" w:firstLine="632"/>
        <w:spacing w:after="0" w:line="237" w:lineRule="auto"/>
        <w:rPr>
          <w:sz w:val="20"/>
          <w:szCs w:val="20"/>
          <w:color w:val="auto"/>
        </w:rPr>
      </w:pPr>
      <w:r>
        <w:rPr>
          <w:rFonts w:ascii="Courier New" w:cs="Courier New" w:eastAsia="Courier New" w:hAnsi="Courier New"/>
          <w:sz w:val="18"/>
          <w:szCs w:val="18"/>
          <w:color w:val="auto"/>
        </w:rPr>
        <w:t>Chase Bank, as the trustee under the Senior Debt Indenture and the Subordinated Debt Indenture, may be a depositary for funds of, may make loans to and may perform other routine banking services for us and certain of our affiliates in the normal course of business.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PROVISIONS APPLICABLE SOLELY TO SENIOR DEBT SECURITIES</w:t>
      </w:r>
    </w:p>
    <w:p>
      <w:pPr>
        <w:spacing w:after="0" w:line="207" w:lineRule="exact"/>
        <w:rPr>
          <w:sz w:val="20"/>
          <w:szCs w:val="20"/>
          <w:color w:val="auto"/>
        </w:rPr>
      </w:pPr>
    </w:p>
    <w:p>
      <w:pPr>
        <w:ind w:right="2239" w:firstLine="632"/>
        <w:spacing w:after="0" w:line="273" w:lineRule="auto"/>
        <w:rPr>
          <w:sz w:val="20"/>
          <w:szCs w:val="20"/>
          <w:color w:val="auto"/>
        </w:rPr>
      </w:pPr>
      <w:r>
        <w:rPr>
          <w:rFonts w:ascii="Courier New" w:cs="Courier New" w:eastAsia="Courier New" w:hAnsi="Courier New"/>
          <w:sz w:val="16"/>
          <w:szCs w:val="16"/>
          <w:color w:val="auto"/>
        </w:rPr>
        <w:t>General. Senior Debt Securities will be issued under the Senior Debt Indenture, and each series will rank pari passu as to the right of payment of principal and any premium and interest with each other series issued thereunder and will rank senior to all series of Subordinated Debt Securities issued and outstanding and that may be issued from time to time.</w:t>
      </w:r>
    </w:p>
    <w:p>
      <w:pPr>
        <w:spacing w:after="0" w:line="184" w:lineRule="exact"/>
        <w:rPr>
          <w:sz w:val="20"/>
          <w:szCs w:val="20"/>
          <w:color w:val="auto"/>
        </w:rPr>
      </w:pPr>
    </w:p>
    <w:p>
      <w:pPr>
        <w:jc w:val="both"/>
        <w:ind w:right="2439" w:firstLine="632"/>
        <w:spacing w:after="0" w:line="236" w:lineRule="auto"/>
        <w:rPr>
          <w:sz w:val="20"/>
          <w:szCs w:val="20"/>
          <w:color w:val="auto"/>
        </w:rPr>
      </w:pPr>
      <w:r>
        <w:rPr>
          <w:rFonts w:ascii="Courier New" w:cs="Courier New" w:eastAsia="Courier New" w:hAnsi="Courier New"/>
          <w:sz w:val="18"/>
          <w:szCs w:val="18"/>
          <w:color w:val="auto"/>
        </w:rPr>
        <w:t>Certain Definitions. For purposes of the following discussion, the following definitions are applicable (Section 1008 and 1009 of the Senior Debt Indenture).</w:t>
      </w:r>
    </w:p>
    <w:p>
      <w:pPr>
        <w:spacing w:after="0" w:line="208" w:lineRule="exact"/>
        <w:rPr>
          <w:sz w:val="20"/>
          <w:szCs w:val="20"/>
          <w:color w:val="auto"/>
        </w:rPr>
      </w:pPr>
    </w:p>
    <w:p>
      <w:pPr>
        <w:ind w:right="2239" w:firstLine="632"/>
        <w:spacing w:after="0" w:line="238" w:lineRule="auto"/>
        <w:rPr>
          <w:sz w:val="20"/>
          <w:szCs w:val="20"/>
          <w:color w:val="auto"/>
        </w:rPr>
      </w:pPr>
      <w:r>
        <w:rPr>
          <w:rFonts w:ascii="Courier New" w:cs="Courier New" w:eastAsia="Courier New" w:hAnsi="Courier New"/>
          <w:sz w:val="18"/>
          <w:szCs w:val="18"/>
          <w:color w:val="auto"/>
        </w:rPr>
        <w:t>"Attributable Debt" shall mean, as of any particular time, the present value, discounted at a rate per annum equal to (i) the implied lease rate of or (ii) if the implied lease rate is not known to us, then the weighted average interest rate of all Senior Debt Securities outstanding at the time under the Senior Debt Indenture compounded semi-annually, in either case, of the obligation of a lessee for rental payments during the remaining term of any lease (including any period for which such lease has been extended or may, at the option of the lessor, be extended); the net amount of rent required to be paid for any such period shall be the total amount of the rent payable by the lessee with respect to such period, but may exclude amounts required to be paid on account of maintenance and repairs, insurance, taxes, assessments, water rates and similar charges; and, in the case of any lease which is terminable by the lessee upon the payment of a penalty, such net amount shall also include the amount of such penalty, but no rent shall be considered as required to be paid under such lease subsequent to the first date upon which it may be so terminated.</w:t>
      </w:r>
    </w:p>
    <w:p>
      <w:pPr>
        <w:spacing w:after="0" w:line="207" w:lineRule="exact"/>
        <w:rPr>
          <w:sz w:val="20"/>
          <w:szCs w:val="20"/>
          <w:color w:val="auto"/>
        </w:rPr>
      </w:pPr>
    </w:p>
    <w:p>
      <w:pPr>
        <w:ind w:right="2559" w:firstLine="632"/>
        <w:spacing w:after="0" w:line="268" w:lineRule="auto"/>
        <w:rPr>
          <w:sz w:val="20"/>
          <w:szCs w:val="20"/>
          <w:color w:val="auto"/>
        </w:rPr>
      </w:pPr>
      <w:r>
        <w:rPr>
          <w:rFonts w:ascii="Courier New" w:cs="Courier New" w:eastAsia="Courier New" w:hAnsi="Courier New"/>
          <w:sz w:val="16"/>
          <w:szCs w:val="16"/>
          <w:color w:val="auto"/>
        </w:rPr>
        <w:t>"Consolidated Net Tangible Assets" shall mean, at any date of determination, the total amount of our assets after deducting therefrom:</w:t>
      </w:r>
    </w:p>
    <w:p>
      <w:pPr>
        <w:ind w:right="2239" w:firstLine="8"/>
        <w:spacing w:after="0" w:line="270" w:lineRule="auto"/>
        <w:tabs>
          <w:tab w:leader="none" w:pos="421"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the current liabilities (excluding (a) any current liabilities that by their terms are extendible or renewable at the option of the obligor thereon to a time more than 12 months after the time as of which the amount thereof is being computed, and (b) current maturities of long term debt) and (ii) the value (net of any applicable reserves) of all intangible assets such as excess of cost over net assets of acquired businesses, customer lists, covenants not to compete, licenses, and permits, all as set forth on our and our consolidated subsidiaries' consolidated balance sheet for our most recently completed fiscal quarter, prepared in accordance with United States generally accepted accounting principles.</w:t>
      </w:r>
    </w:p>
    <w:p>
      <w:pPr>
        <w:spacing w:after="0" w:line="188" w:lineRule="exact"/>
        <w:rPr>
          <w:sz w:val="20"/>
          <w:szCs w:val="20"/>
          <w:color w:val="auto"/>
        </w:rPr>
      </w:pPr>
    </w:p>
    <w:p>
      <w:pPr>
        <w:ind w:right="2239" w:firstLine="632"/>
        <w:spacing w:after="0" w:line="271" w:lineRule="auto"/>
        <w:rPr>
          <w:sz w:val="20"/>
          <w:szCs w:val="20"/>
          <w:color w:val="auto"/>
        </w:rPr>
      </w:pPr>
      <w:r>
        <w:rPr>
          <w:rFonts w:ascii="Courier New" w:cs="Courier New" w:eastAsia="Courier New" w:hAnsi="Courier New"/>
          <w:sz w:val="16"/>
          <w:szCs w:val="16"/>
          <w:color w:val="auto"/>
        </w:rPr>
        <w:t>"Guaranty" shall mean any agreement, undertaking or arrangement by which any Person guarantees, endorses or otherwise becomes or is contingently liable upon (by direct or indirect agreement, contingent or otherwise, to provide funds for payment, to supply funds to, or otherwise to invest in, a debtor, or otherwise to assure a creditor against loss) the debt, obligation or other liability of any other Person (other than by endorsements of instruments in the course of collection), or guarantees the</w:t>
      </w:r>
    </w:p>
    <w:p>
      <w:pPr>
        <w:sectPr>
          <w:pgSz w:w="11900" w:h="16838" w:orient="portrait"/>
          <w:cols w:equalWidth="0" w:num="1">
            <w:col w:w="10139"/>
          </w:cols>
          <w:pgMar w:left="320" w:top="142" w:right="1440" w:bottom="0" w:gutter="0" w:footer="0" w:header="0"/>
        </w:sectPr>
      </w:pPr>
    </w:p>
    <w:bookmarkStart w:id="23" w:name="page24"/>
    <w:bookmarkEnd w:id="23"/>
    <w:p>
      <w:pPr>
        <w:ind w:right="2239"/>
        <w:spacing w:after="0" w:line="237" w:lineRule="auto"/>
        <w:rPr>
          <w:sz w:val="20"/>
          <w:szCs w:val="20"/>
          <w:color w:val="auto"/>
        </w:rPr>
      </w:pPr>
      <w:r>
        <w:rPr>
          <w:rFonts w:ascii="Courier New" w:cs="Courier New" w:eastAsia="Courier New" w:hAnsi="Courier New"/>
          <w:sz w:val="18"/>
          <w:szCs w:val="18"/>
          <w:color w:val="auto"/>
        </w:rPr>
        <w:t>payment of dividends or other distributions upon the shares of any other Person. The amount of the obligor's obligation under any Guaranty shall (subject to any limitation set forth therein) be deemed to be the amount of such other Person's debt, obligation or other liability or the amount of such dividends or other distributions guaranteed.</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"Indebtedness" of any Person shall mean</w:t>
      </w:r>
    </w:p>
    <w:p>
      <w:pPr>
        <w:spacing w:after="0" w:line="207" w:lineRule="exact"/>
        <w:rPr>
          <w:sz w:val="20"/>
          <w:szCs w:val="20"/>
          <w:color w:val="auto"/>
        </w:rPr>
      </w:pPr>
    </w:p>
    <w:p>
      <w:pPr>
        <w:ind w:left="640" w:right="2559"/>
        <w:spacing w:after="0" w:line="237" w:lineRule="auto"/>
        <w:tabs>
          <w:tab w:leader="none" w:pos="1061"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obligations of such Person for borrowed money (including, without limitation, all notes payable and drafts accepted representing extension of credit and all obligations evidenced by bonds, debentures, notes or other similar instruments) or on which interest charges are customarily paid, all as shown on a balance sheet of such Person as of the date at which Indebtedness is to be determined;</w:t>
      </w:r>
    </w:p>
    <w:p>
      <w:pPr>
        <w:spacing w:after="0" w:line="210" w:lineRule="exact"/>
        <w:rPr>
          <w:rFonts w:ascii="Courier New" w:cs="Courier New" w:eastAsia="Courier New" w:hAnsi="Courier New"/>
          <w:sz w:val="18"/>
          <w:szCs w:val="18"/>
          <w:color w:val="auto"/>
        </w:rPr>
      </w:pPr>
    </w:p>
    <w:p>
      <w:pPr>
        <w:ind w:left="640" w:right="2559"/>
        <w:spacing w:after="0" w:line="237" w:lineRule="auto"/>
        <w:tabs>
          <w:tab w:leader="none" w:pos="1061"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other items which, in accordance with generally accepted accounting principles, would be included as liabilities on the liability side of a balance sheet of such Person as of the date at which Indebtedness is to be determined; and</w:t>
      </w:r>
    </w:p>
    <w:p>
      <w:pPr>
        <w:spacing w:after="0" w:line="207" w:lineRule="exact"/>
        <w:rPr>
          <w:rFonts w:ascii="Courier New" w:cs="Courier New" w:eastAsia="Courier New" w:hAnsi="Courier New"/>
          <w:sz w:val="18"/>
          <w:szCs w:val="18"/>
          <w:color w:val="auto"/>
        </w:rPr>
      </w:pPr>
    </w:p>
    <w:p>
      <w:pPr>
        <w:ind w:left="640" w:right="2339"/>
        <w:spacing w:after="0" w:line="235" w:lineRule="auto"/>
        <w:tabs>
          <w:tab w:leader="none" w:pos="1272"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or not so included as liabilities in accordance with generally accepted accounting principles,</w:t>
      </w:r>
    </w:p>
    <w:p>
      <w:pPr>
        <w:spacing w:after="0" w:line="208" w:lineRule="exact"/>
        <w:rPr>
          <w:rFonts w:ascii="Courier New" w:cs="Courier New" w:eastAsia="Courier New" w:hAnsi="Courier New"/>
          <w:sz w:val="18"/>
          <w:szCs w:val="18"/>
          <w:color w:val="auto"/>
        </w:rPr>
      </w:pPr>
    </w:p>
    <w:p>
      <w:pPr>
        <w:ind w:left="640" w:right="2239" w:firstLine="632"/>
        <w:spacing w:after="0" w:line="237" w:lineRule="auto"/>
        <w:tabs>
          <w:tab w:leader="none" w:pos="1693" w:val="left"/>
        </w:tabs>
        <w:numPr>
          <w:ilvl w:val="1"/>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indebtedness (excluding, however, prepaid interest thereon) secured by a Security Interest in property owned or being purchased by such Person (including, without limitation, indebtedness arising under conditional sales or other title retention agreements) whether or not such indebtedness shall have been assumed by such Person, and</w:t>
      </w:r>
    </w:p>
    <w:p>
      <w:pPr>
        <w:spacing w:after="0" w:line="203" w:lineRule="exact"/>
        <w:rPr>
          <w:rFonts w:ascii="Courier New" w:cs="Courier New" w:eastAsia="Courier New" w:hAnsi="Courier New"/>
          <w:sz w:val="18"/>
          <w:szCs w:val="18"/>
          <w:color w:val="auto"/>
        </w:rPr>
      </w:pPr>
    </w:p>
    <w:p>
      <w:pPr>
        <w:ind w:left="1900" w:hanging="628"/>
        <w:spacing w:after="0"/>
        <w:tabs>
          <w:tab w:leader="none" w:pos="1900" w:val="left"/>
        </w:tabs>
        <w:numPr>
          <w:ilvl w:val="1"/>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Guaranties of such Person.</w:t>
      </w:r>
    </w:p>
    <w:p>
      <w:pPr>
        <w:spacing w:after="0" w:line="207" w:lineRule="exact"/>
        <w:rPr>
          <w:sz w:val="20"/>
          <w:szCs w:val="20"/>
          <w:color w:val="auto"/>
        </w:rPr>
      </w:pPr>
    </w:p>
    <w:p>
      <w:pPr>
        <w:ind w:right="2339" w:firstLine="632"/>
        <w:spacing w:after="0" w:line="268" w:lineRule="auto"/>
        <w:rPr>
          <w:sz w:val="20"/>
          <w:szCs w:val="20"/>
          <w:color w:val="auto"/>
        </w:rPr>
      </w:pPr>
      <w:r>
        <w:rPr>
          <w:rFonts w:ascii="Courier New" w:cs="Courier New" w:eastAsia="Courier New" w:hAnsi="Courier New"/>
          <w:sz w:val="16"/>
          <w:szCs w:val="16"/>
          <w:color w:val="auto"/>
        </w:rPr>
        <w:t>"Principal Property" shall mean any waste processing, waste disposal or resource recovery plant or similar facility located within the United States (other than its territories and possessions and Puerto Rico) or Canada and owned by, or leased to, us or any Restricted Subsidiary, except</w:t>
      </w:r>
    </w:p>
    <w:p>
      <w:pPr>
        <w:ind w:right="2239" w:firstLine="8"/>
        <w:spacing w:after="0" w:line="268" w:lineRule="auto"/>
        <w:tabs>
          <w:tab w:leader="none" w:pos="421"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such plant or facility (i) owned or leased jointly or in common with one or more persons other than us and any Restricted Subsidiaries in which our and our Restricted Subsidiaries' interest does not exceed 50%, or</w:t>
      </w:r>
    </w:p>
    <w:p>
      <w:pPr>
        <w:ind w:right="2239" w:firstLine="8"/>
        <w:spacing w:after="0" w:line="237" w:lineRule="auto"/>
        <w:tabs>
          <w:tab w:leader="none" w:pos="526"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which the Board of Directors determines in good faith is not of material importance to our and our subsidiaries', as an entity, total business conducted, or assets owned, or (b) any portion of such plant or facility which the Board of Directors determines in good faith not to be of material importance to the use or operation thereof.</w:t>
      </w:r>
    </w:p>
    <w:p>
      <w:pPr>
        <w:spacing w:after="0" w:line="208" w:lineRule="exact"/>
        <w:rPr>
          <w:sz w:val="20"/>
          <w:szCs w:val="20"/>
          <w:color w:val="auto"/>
        </w:rPr>
      </w:pPr>
    </w:p>
    <w:p>
      <w:pPr>
        <w:ind w:right="2239" w:firstLine="632"/>
        <w:spacing w:after="0" w:line="271" w:lineRule="auto"/>
        <w:rPr>
          <w:sz w:val="20"/>
          <w:szCs w:val="20"/>
          <w:color w:val="auto"/>
        </w:rPr>
      </w:pPr>
      <w:r>
        <w:rPr>
          <w:rFonts w:ascii="Courier New" w:cs="Courier New" w:eastAsia="Courier New" w:hAnsi="Courier New"/>
          <w:sz w:val="16"/>
          <w:szCs w:val="16"/>
          <w:color w:val="auto"/>
        </w:rPr>
        <w:t>"Restricted Subsidiary" shall mean any Subsidiary (other than any Subsidiary of which we own directly or indirectly less than all of the outstanding Voting Stock) (a) principally engaged in, or whose principal assets consist of property used by us or any Restricted Subsidiary in, the storage, collection, transfer, interim processing or disposal of waste within the United States or Canada, or (b) which we shall designate as a Restricted Subsidiary in an Officers' Certificate delivered to the Trustee.</w:t>
      </w:r>
    </w:p>
    <w:p>
      <w:pPr>
        <w:spacing w:after="0" w:line="187" w:lineRule="exact"/>
        <w:rPr>
          <w:sz w:val="20"/>
          <w:szCs w:val="20"/>
          <w:color w:val="auto"/>
        </w:rPr>
      </w:pPr>
    </w:p>
    <w:p>
      <w:pPr>
        <w:ind w:right="2759" w:firstLine="632"/>
        <w:spacing w:after="0" w:line="237" w:lineRule="auto"/>
        <w:rPr>
          <w:sz w:val="20"/>
          <w:szCs w:val="20"/>
          <w:color w:val="auto"/>
        </w:rPr>
      </w:pPr>
      <w:r>
        <w:rPr>
          <w:rFonts w:ascii="Courier New" w:cs="Courier New" w:eastAsia="Courier New" w:hAnsi="Courier New"/>
          <w:sz w:val="18"/>
          <w:szCs w:val="18"/>
          <w:color w:val="auto"/>
        </w:rPr>
        <w:t>"Security Instrument" shall mean any security agreement, chattel mortgage, assignment, financing or similar statement or notice, continuation statement, other agreement or instrument, or amendment or supplement to any thereof, providing for, evidencing or perfecting any Security Interest or lien.</w:t>
      </w:r>
    </w:p>
    <w:p>
      <w:pPr>
        <w:spacing w:after="0" w:line="208" w:lineRule="exact"/>
        <w:rPr>
          <w:sz w:val="20"/>
          <w:szCs w:val="20"/>
          <w:color w:val="auto"/>
        </w:rPr>
      </w:pPr>
    </w:p>
    <w:p>
      <w:pPr>
        <w:ind w:right="2239" w:firstLine="632"/>
        <w:spacing w:after="0" w:line="237" w:lineRule="auto"/>
        <w:rPr>
          <w:sz w:val="20"/>
          <w:szCs w:val="20"/>
          <w:color w:val="auto"/>
        </w:rPr>
      </w:pPr>
      <w:r>
        <w:rPr>
          <w:rFonts w:ascii="Courier New" w:cs="Courier New" w:eastAsia="Courier New" w:hAnsi="Courier New"/>
          <w:sz w:val="18"/>
          <w:szCs w:val="18"/>
          <w:color w:val="auto"/>
        </w:rPr>
        <w:t>"Security Interest" shall mean any interest in any real or personal property or fixture which secures payment or performance of an obligation and shall include any mortgage, lien, encumbrance, charge or other security interest of any kind, whether arising under a Security Instrument or as a matter of law, judicial process or otherwise.</w:t>
      </w:r>
    </w:p>
    <w:p>
      <w:pPr>
        <w:spacing w:after="0" w:line="208" w:lineRule="exact"/>
        <w:rPr>
          <w:sz w:val="20"/>
          <w:szCs w:val="20"/>
          <w:color w:val="auto"/>
        </w:rPr>
      </w:pPr>
    </w:p>
    <w:p>
      <w:pPr>
        <w:ind w:right="2239" w:firstLine="632"/>
        <w:spacing w:after="0" w:line="269" w:lineRule="auto"/>
        <w:rPr>
          <w:sz w:val="20"/>
          <w:szCs w:val="20"/>
          <w:color w:val="auto"/>
        </w:rPr>
      </w:pPr>
      <w:r>
        <w:rPr>
          <w:rFonts w:ascii="Courier New" w:cs="Courier New" w:eastAsia="Courier New" w:hAnsi="Courier New"/>
          <w:sz w:val="16"/>
          <w:szCs w:val="16"/>
          <w:color w:val="auto"/>
        </w:rPr>
        <w:t>Consolidation, Merger, Sale. The Senior Debt Indenture provides that we may not consolidate with or merge into any other Person or convey, transfer or lease our properties and assets substantially as an entirety to any Person, unless (1) the Person formed by such consolidation or into which we are merged or the Person which acquires by conveyance or transfer, or which leases, our properties and assets we are substantially as an entirety shall be a corporation, partnership or trust which shall expressly assume, by a supplemental indenture, executed and delivered to the Trustee, in form satisfactory to the Trustee, the due and punctual payment of the principal of and any premium and interest (including all additional amounts, if any, payable pursuant to the Senior Debt Indenture) on all the Senior Debt Securities and the performance or observance of every other covenant of the Senior Debt Indenture to be performed or observed on our part; and (2) immediately after giving effect to such transaction and treating any indebtedness which becomes our or our Subsidiary's obligation</w:t>
      </w:r>
    </w:p>
    <w:p>
      <w:pPr>
        <w:sectPr>
          <w:pgSz w:w="11900" w:h="16838" w:orient="portrait"/>
          <w:cols w:equalWidth="0" w:num="1">
            <w:col w:w="10139"/>
          </w:cols>
          <w:pgMar w:left="320" w:top="142" w:right="1440" w:bottom="0" w:gutter="0" w:footer="0" w:header="0"/>
        </w:sectPr>
      </w:pPr>
    </w:p>
    <w:bookmarkStart w:id="24" w:name="page25"/>
    <w:bookmarkEnd w:id="24"/>
    <w:p>
      <w:pPr>
        <w:ind w:right="2239"/>
        <w:spacing w:after="0" w:line="238" w:lineRule="auto"/>
        <w:rPr>
          <w:sz w:val="20"/>
          <w:szCs w:val="20"/>
          <w:color w:val="auto"/>
        </w:rPr>
      </w:pPr>
      <w:r>
        <w:rPr>
          <w:rFonts w:ascii="Courier New" w:cs="Courier New" w:eastAsia="Courier New" w:hAnsi="Courier New"/>
          <w:sz w:val="18"/>
          <w:szCs w:val="18"/>
          <w:color w:val="auto"/>
        </w:rPr>
        <w:t>as a result of such transaction as having been incurred by us or our Subsidiary at the time of such transaction, no Event of Default, and no event which, after notice or lapse of time or both, would become an Event of Default, shall have happened and be continuing. Upon any consolidation of us with, or merger of us into, any other Person or any, conveyance, transfer or lease of our properties and assets substantially as an entirety, the successor Person formed by such consolidation or into which we are merged or to which such conveyance, transfer or lease is made shall succeed to, and be substituted for, and may exercise our every right and power under the Senior Debt Indenture with the same effect as if such successor Person had been named as us herein, and thereafter, except in the case of a lease, the predecessor Person shall be relieved of all obligations and covenants under the Senior Debt Indenture and the Senior Debt Securities and coupons and may liquidate and dissolve. (Sections 801, 802 of the Senior Debt Indenture)</w:t>
      </w:r>
    </w:p>
    <w:p>
      <w:pPr>
        <w:spacing w:after="0" w:line="207" w:lineRule="exact"/>
        <w:rPr>
          <w:sz w:val="20"/>
          <w:szCs w:val="20"/>
          <w:color w:val="auto"/>
        </w:rPr>
      </w:pPr>
    </w:p>
    <w:p>
      <w:pPr>
        <w:ind w:right="2339" w:firstLine="632"/>
        <w:spacing w:after="0" w:line="279" w:lineRule="auto"/>
        <w:rPr>
          <w:sz w:val="20"/>
          <w:szCs w:val="20"/>
          <w:color w:val="auto"/>
        </w:rPr>
      </w:pPr>
      <w:r>
        <w:rPr>
          <w:rFonts w:ascii="Courier New" w:cs="Courier New" w:eastAsia="Courier New" w:hAnsi="Courier New"/>
          <w:sz w:val="16"/>
          <w:szCs w:val="16"/>
          <w:color w:val="auto"/>
        </w:rPr>
        <w:t>Limitation on Liens. Unless provided otherwise in the applicable prospectus supplement, the provisions of this covenant shall apply to each series of Senior Debt Securities issued under the Senior Debt Indenture:</w:t>
      </w:r>
    </w:p>
    <w:p>
      <w:pPr>
        <w:spacing w:after="0" w:line="178" w:lineRule="exact"/>
        <w:rPr>
          <w:sz w:val="20"/>
          <w:szCs w:val="20"/>
          <w:color w:val="auto"/>
        </w:rPr>
      </w:pPr>
    </w:p>
    <w:p>
      <w:pPr>
        <w:ind w:left="640" w:right="2239"/>
        <w:spacing w:after="0" w:line="238" w:lineRule="auto"/>
        <w:tabs>
          <w:tab w:leader="none" w:pos="1061"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will not, and we will not permit any of our Restricted Subsidiaries to, create, incur, assume or suffer to exist, directly or indirectly, any Indebtedness secured by a Security Interest upon any Principal Property of us or of a Restricted Subsidiary, whether owned as of the date of this Indenture or hereafter acquired, without making effective provision (and we hereby covenant that in any such case we shall make or cause to be made effective provision) whereby the Senior Debt Securities of that series then outstanding and any other Indebtedness of us or any Restricted Subsidiary then entitled thereto shall be secured by such Security Interest equally and ratably with (or, in the case of the Senior Debt Securities of that series and if we shall so determine, prior to) any and all other Indebtedness of us or any Restricted Subsidiary thereby secured for so long as any such other Indebtedness of us or any Restricted Subsidiary shall be so secured; provided, that nothing in the Senior Debt Indenture shall prevent, restrict or apply to Indebtedness secured by:</w:t>
      </w:r>
    </w:p>
    <w:p>
      <w:pPr>
        <w:spacing w:after="0" w:line="207" w:lineRule="exact"/>
        <w:rPr>
          <w:rFonts w:ascii="Courier New" w:cs="Courier New" w:eastAsia="Courier New" w:hAnsi="Courier New"/>
          <w:sz w:val="18"/>
          <w:szCs w:val="18"/>
          <w:color w:val="auto"/>
        </w:rPr>
      </w:pPr>
    </w:p>
    <w:p>
      <w:pPr>
        <w:ind w:left="640" w:right="2239" w:firstLine="632"/>
        <w:spacing w:after="0" w:line="268" w:lineRule="auto"/>
        <w:tabs>
          <w:tab w:leader="none" w:pos="1693" w:val="left"/>
        </w:tabs>
        <w:numPr>
          <w:ilvl w:val="1"/>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Any Security Interest upon property or assets which is created prior to or contemporaneously with, or within 360 days after,</w:t>
      </w:r>
    </w:p>
    <w:p>
      <w:pPr>
        <w:ind w:left="640" w:right="2239"/>
        <w:spacing w:after="0" w:line="269" w:lineRule="auto"/>
        <w:tabs>
          <w:tab w:leader="none" w:pos="1061"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case of the acquisition of such property or assets, the completion of such acquisition and (ii) in the case of the construction, development or improvement of such property or assets, the later to occur of the completion of such construction, development or improvement or the commencement of operation or use of the property or assets, which Security Interest secures or provides for the payment, financing or refinancing, directly or indirectly, of all or any part of the acquisition cost of such property or assets or the cost of construction, development or improvement thereof; or (b) any Security Interest upon property or assets existing at the time of the acquisition thereof, which Security Interest secures obligations assumed by us or any Restricted Subsidiary; or (c) any conditional sales agreement or other title retention agreement with respect to any property or assets acquired by us or any Restricted Subsidiary, or (d) any Security Interest existing on the property or assets</w:t>
      </w:r>
    </w:p>
    <w:p>
      <w:pPr>
        <w:spacing w:after="0" w:line="193" w:lineRule="exact"/>
        <w:rPr>
          <w:rFonts w:ascii="Courier New" w:cs="Courier New" w:eastAsia="Courier New" w:hAnsi="Courier New"/>
          <w:sz w:val="16"/>
          <w:szCs w:val="16"/>
          <w:color w:val="auto"/>
        </w:rPr>
      </w:pPr>
    </w:p>
    <w:p>
      <w:pPr>
        <w:ind w:left="640" w:right="2239"/>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or shares of stock of a corporation or firm at the time such corporation or firm is merged into or consolidated with us or any Restricted Subsidiary or at the time of a sale, lease or other disposition of the property or assets of such corporation or firm as an entirety or substantially as an entirety to us or any Restricted Subsidiary or at the time such corporation becomes a Restricted Subsidiary; or (e) any Security Interest existing on the property, assets or shares of stock of any successor which shall have become us in accordance with the provisions of the covenant described in "--Provisions Applicable Solely to Senior Debt Securities--Consolidation, Merger and Sale of Assets"; provided, in each case, that any such Security Interest described in the foregoing clauses (b), (c), (d) or (e) does not attach to or affect property or assets owned by us or any Restricted Subsidiary prior to the event referred to in such clauses; or</w:t>
      </w:r>
    </w:p>
    <w:p>
      <w:pPr>
        <w:spacing w:after="0" w:line="206" w:lineRule="exact"/>
        <w:rPr>
          <w:rFonts w:ascii="Courier New" w:cs="Courier New" w:eastAsia="Courier New" w:hAnsi="Courier New"/>
          <w:sz w:val="16"/>
          <w:szCs w:val="16"/>
          <w:color w:val="auto"/>
        </w:rPr>
      </w:pPr>
    </w:p>
    <w:p>
      <w:pPr>
        <w:ind w:left="640" w:right="2239" w:firstLine="632"/>
        <w:spacing w:after="0" w:line="237" w:lineRule="auto"/>
        <w:tabs>
          <w:tab w:leader="none" w:pos="1693" w:val="left"/>
        </w:tabs>
        <w:numPr>
          <w:ilvl w:val="1"/>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Mechanics', materialmen's, carriers' or other like liens arising in the ordinary course of business (including construction of facilities) in respect of obligations which are not due or which are being contested in good faith; or</w:t>
      </w:r>
    </w:p>
    <w:p>
      <w:pPr>
        <w:spacing w:after="0" w:line="207" w:lineRule="exact"/>
        <w:rPr>
          <w:rFonts w:ascii="Courier New" w:cs="Courier New" w:eastAsia="Courier New" w:hAnsi="Courier New"/>
          <w:sz w:val="18"/>
          <w:szCs w:val="18"/>
          <w:color w:val="auto"/>
        </w:rPr>
      </w:pPr>
    </w:p>
    <w:p>
      <w:pPr>
        <w:ind w:left="640" w:right="2239" w:firstLine="632"/>
        <w:spacing w:after="0" w:line="273" w:lineRule="auto"/>
        <w:tabs>
          <w:tab w:leader="none" w:pos="1693" w:val="left"/>
        </w:tabs>
        <w:numPr>
          <w:ilvl w:val="1"/>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Security Interest arising by reason of deposits with, or the giving of any form of security to, any governmental agency or any body created or approved by law or governmental regulation, which is required by law or governmental regulation as a condition to the transaction of any business or the exercise of any privilege,</w:t>
      </w:r>
    </w:p>
    <w:p>
      <w:pPr>
        <w:sectPr>
          <w:pgSz w:w="11900" w:h="16838" w:orient="portrait"/>
          <w:cols w:equalWidth="0" w:num="1">
            <w:col w:w="10139"/>
          </w:cols>
          <w:pgMar w:left="320" w:top="142" w:right="1440" w:bottom="0" w:gutter="0" w:footer="0" w:header="0"/>
        </w:sectPr>
      </w:pPr>
    </w:p>
    <w:bookmarkStart w:id="25" w:name="page26"/>
    <w:bookmarkEnd w:id="25"/>
    <w:p>
      <w:pPr>
        <w:ind w:left="640" w:right="2239"/>
        <w:spacing w:after="0" w:line="237" w:lineRule="auto"/>
        <w:rPr>
          <w:sz w:val="20"/>
          <w:szCs w:val="20"/>
          <w:color w:val="auto"/>
        </w:rPr>
      </w:pPr>
      <w:r>
        <w:rPr>
          <w:rFonts w:ascii="Courier New" w:cs="Courier New" w:eastAsia="Courier New" w:hAnsi="Courier New"/>
          <w:sz w:val="18"/>
          <w:szCs w:val="18"/>
          <w:color w:val="auto"/>
        </w:rPr>
        <w:t>franchise or license (including, without limitation, any Security Interest arising by reason of one or more letters of credit in connection with any international waste management contract to be performed by us or any of our Subsidiaries or our or their respective affiliates); or</w:t>
      </w:r>
    </w:p>
    <w:p>
      <w:pPr>
        <w:spacing w:after="0" w:line="208" w:lineRule="exact"/>
        <w:rPr>
          <w:sz w:val="20"/>
          <w:szCs w:val="20"/>
          <w:color w:val="auto"/>
        </w:rPr>
      </w:pPr>
    </w:p>
    <w:p>
      <w:pPr>
        <w:ind w:left="640" w:right="2239" w:firstLine="632"/>
        <w:spacing w:after="0" w:line="275" w:lineRule="auto"/>
        <w:tabs>
          <w:tab w:leader="none" w:pos="1693"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Security Interests for taxes, assessments or governmental charges or levies not yet delinquent or Security Interests for taxes, assessments or governmental charges or levies already delinquent but the validity of which is being contested in good faith; or</w:t>
      </w:r>
    </w:p>
    <w:p>
      <w:pPr>
        <w:spacing w:after="0" w:line="181" w:lineRule="exact"/>
        <w:rPr>
          <w:rFonts w:ascii="Courier New" w:cs="Courier New" w:eastAsia="Courier New" w:hAnsi="Courier New"/>
          <w:sz w:val="16"/>
          <w:szCs w:val="16"/>
          <w:color w:val="auto"/>
        </w:rPr>
      </w:pPr>
    </w:p>
    <w:p>
      <w:pPr>
        <w:ind w:left="640" w:right="2559" w:firstLine="632"/>
        <w:spacing w:after="0" w:line="237" w:lineRule="auto"/>
        <w:tabs>
          <w:tab w:leader="none" w:pos="1693"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Security Interests (including judgment liens) arising in connection with legal proceedings so long as such proceedings are being contested in good faith and, in the case of judgment liens, execution thereon is stayed; or</w:t>
      </w:r>
    </w:p>
    <w:p>
      <w:pPr>
        <w:spacing w:after="0" w:line="207" w:lineRule="exact"/>
        <w:rPr>
          <w:rFonts w:ascii="Courier New" w:cs="Courier New" w:eastAsia="Courier New" w:hAnsi="Courier New"/>
          <w:sz w:val="18"/>
          <w:szCs w:val="18"/>
          <w:color w:val="auto"/>
        </w:rPr>
      </w:pPr>
    </w:p>
    <w:p>
      <w:pPr>
        <w:jc w:val="both"/>
        <w:ind w:left="640" w:right="2119" w:firstLine="632"/>
        <w:spacing w:after="0" w:line="290" w:lineRule="auto"/>
        <w:tabs>
          <w:tab w:leader="none" w:pos="1904"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Landlords' liens on fixtures located on premises leased by us or any Restricted Subsidiary in the ordinary course of business; or</w:t>
      </w:r>
    </w:p>
    <w:p>
      <w:pPr>
        <w:spacing w:after="0" w:line="163" w:lineRule="exact"/>
        <w:rPr>
          <w:rFonts w:ascii="Courier New" w:cs="Courier New" w:eastAsia="Courier New" w:hAnsi="Courier New"/>
          <w:sz w:val="16"/>
          <w:szCs w:val="16"/>
          <w:color w:val="auto"/>
        </w:rPr>
      </w:pPr>
    </w:p>
    <w:p>
      <w:pPr>
        <w:ind w:left="1700" w:hanging="428"/>
        <w:spacing w:after="0"/>
        <w:tabs>
          <w:tab w:leader="none" w:pos="170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Security Interest in favor of any governmental</w:t>
      </w:r>
    </w:p>
    <w:p>
      <w:pPr>
        <w:spacing w:after="0" w:line="4" w:lineRule="exact"/>
        <w:rPr>
          <w:sz w:val="20"/>
          <w:szCs w:val="20"/>
          <w:color w:val="auto"/>
        </w:rPr>
      </w:pPr>
    </w:p>
    <w:p>
      <w:pPr>
        <w:ind w:left="640" w:right="3499"/>
        <w:spacing w:after="0" w:line="235" w:lineRule="auto"/>
        <w:rPr>
          <w:sz w:val="20"/>
          <w:szCs w:val="20"/>
          <w:color w:val="auto"/>
        </w:rPr>
      </w:pPr>
      <w:r>
        <w:rPr>
          <w:rFonts w:ascii="Courier New" w:cs="Courier New" w:eastAsia="Courier New" w:hAnsi="Courier New"/>
          <w:sz w:val="18"/>
          <w:szCs w:val="18"/>
          <w:color w:val="auto"/>
        </w:rPr>
        <w:t>authority in connection with the financing of the cost of construction or acquisition of property; or</w:t>
      </w:r>
    </w:p>
    <w:p>
      <w:pPr>
        <w:spacing w:after="0" w:line="208" w:lineRule="exact"/>
        <w:rPr>
          <w:sz w:val="20"/>
          <w:szCs w:val="20"/>
          <w:color w:val="auto"/>
        </w:rPr>
      </w:pPr>
    </w:p>
    <w:p>
      <w:pPr>
        <w:ind w:left="640" w:right="2239" w:firstLine="632"/>
        <w:spacing w:after="0" w:line="237" w:lineRule="auto"/>
        <w:tabs>
          <w:tab w:leader="none" w:pos="1693"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Security Interest arising by reason of deposits to qualify us or any Restricted Subsidiary to conduct business, to maintain self-insurance, or to obtain the benefit of, or comply with, laws; or</w:t>
      </w:r>
    </w:p>
    <w:p>
      <w:pPr>
        <w:spacing w:after="0" w:line="207" w:lineRule="exact"/>
        <w:rPr>
          <w:rFonts w:ascii="Courier New" w:cs="Courier New" w:eastAsia="Courier New" w:hAnsi="Courier New"/>
          <w:sz w:val="18"/>
          <w:szCs w:val="18"/>
          <w:color w:val="auto"/>
        </w:rPr>
      </w:pPr>
    </w:p>
    <w:p>
      <w:pPr>
        <w:ind w:left="640" w:right="2239" w:firstLine="632"/>
        <w:spacing w:after="0" w:line="236" w:lineRule="auto"/>
        <w:tabs>
          <w:tab w:leader="none" w:pos="1693"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Security Interest that secures any Indebtedness of a Restricted Subsidiary owing to us or another Restricted Subsidiary or by us to a Restricted Subsidiary, or</w:t>
      </w:r>
    </w:p>
    <w:p>
      <w:pPr>
        <w:spacing w:after="0" w:line="208" w:lineRule="exact"/>
        <w:rPr>
          <w:rFonts w:ascii="Courier New" w:cs="Courier New" w:eastAsia="Courier New" w:hAnsi="Courier New"/>
          <w:sz w:val="18"/>
          <w:szCs w:val="18"/>
          <w:color w:val="auto"/>
        </w:rPr>
      </w:pPr>
    </w:p>
    <w:p>
      <w:pPr>
        <w:ind w:left="640" w:right="2239" w:firstLine="632"/>
        <w:spacing w:after="0" w:line="236" w:lineRule="auto"/>
        <w:tabs>
          <w:tab w:leader="none" w:pos="1798"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Security Interest incurred in connection with pollution control, sewage or solid waste disposal, industrial revenue or similar financing; or</w:t>
      </w:r>
    </w:p>
    <w:p>
      <w:pPr>
        <w:spacing w:after="0" w:line="208" w:lineRule="exact"/>
        <w:rPr>
          <w:rFonts w:ascii="Courier New" w:cs="Courier New" w:eastAsia="Courier New" w:hAnsi="Courier New"/>
          <w:sz w:val="18"/>
          <w:szCs w:val="18"/>
          <w:color w:val="auto"/>
        </w:rPr>
      </w:pPr>
    </w:p>
    <w:p>
      <w:pPr>
        <w:ind w:left="640" w:right="2239" w:firstLine="632"/>
        <w:spacing w:after="0" w:line="237" w:lineRule="auto"/>
        <w:tabs>
          <w:tab w:leader="none" w:pos="1798"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Security Interest created by any program providing for the financing, sale or other disposition of trade or other receivables qualified as current assets in accordance with United States generally accepted accounting principles entered into by</w:t>
      </w:r>
    </w:p>
    <w:p>
      <w:pPr>
        <w:spacing w:after="0" w:line="4" w:lineRule="exact"/>
        <w:rPr>
          <w:rFonts w:ascii="Courier New" w:cs="Courier New" w:eastAsia="Courier New" w:hAnsi="Courier New"/>
          <w:sz w:val="18"/>
          <w:szCs w:val="18"/>
          <w:color w:val="auto"/>
        </w:rPr>
      </w:pPr>
    </w:p>
    <w:p>
      <w:pPr>
        <w:ind w:left="640" w:right="2659"/>
        <w:spacing w:after="0" w:line="272"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us or by any Restricted Subsidiary, provided that such program is on terms comparable for similar transactions, or any document executed by us or any Restricted Subsidiary in connection therewith, and provided that such Security Interest is limited to the trade or other receivables in respect of which such program is created or exists and the proceeds thereof, or</w:t>
      </w:r>
    </w:p>
    <w:p>
      <w:pPr>
        <w:spacing w:after="0" w:line="185" w:lineRule="exact"/>
        <w:rPr>
          <w:rFonts w:ascii="Courier New" w:cs="Courier New" w:eastAsia="Courier New" w:hAnsi="Courier New"/>
          <w:sz w:val="18"/>
          <w:szCs w:val="18"/>
          <w:color w:val="auto"/>
        </w:rPr>
      </w:pPr>
    </w:p>
    <w:p>
      <w:pPr>
        <w:ind w:left="640" w:right="2239" w:firstLine="632"/>
        <w:spacing w:after="0" w:line="237" w:lineRule="auto"/>
        <w:tabs>
          <w:tab w:leader="none" w:pos="1798"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extension, renewal or refunding (or successive extensions, renewals or refundings) in whole or in part of any Indebtedness secured by any Security Interest referred to in the foregoing clauses (1) through (11), inclusive, provided that the Security Interest securing such Indebtedness shall be limited to the property or assets which, immediately prior to such extension, renewal or refunding, secured such Indebtedness and additions to such property or assets.</w:t>
      </w:r>
    </w:p>
    <w:p>
      <w:pPr>
        <w:spacing w:after="0" w:line="212"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Notwithstanding the foregoing provisions, we or any of our Restricted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Subsidiaries may create, incur, assume or suffer to exist any Indebtedness</w:t>
      </w:r>
    </w:p>
    <w:p>
      <w:pPr>
        <w:spacing w:after="0" w:line="238" w:lineRule="auto"/>
        <w:rPr>
          <w:sz w:val="20"/>
          <w:szCs w:val="20"/>
          <w:color w:val="auto"/>
        </w:rPr>
      </w:pPr>
      <w:r>
        <w:rPr>
          <w:rFonts w:ascii="Courier New" w:cs="Courier New" w:eastAsia="Courier New" w:hAnsi="Courier New"/>
          <w:sz w:val="18"/>
          <w:szCs w:val="18"/>
          <w:color w:val="auto"/>
        </w:rPr>
        <w:t>secured by a Security Interest without so securing the Senior Debt</w:t>
      </w:r>
    </w:p>
    <w:p>
      <w:pPr>
        <w:spacing w:after="0" w:line="238" w:lineRule="auto"/>
        <w:rPr>
          <w:sz w:val="20"/>
          <w:szCs w:val="20"/>
          <w:color w:val="auto"/>
        </w:rPr>
      </w:pPr>
      <w:r>
        <w:rPr>
          <w:rFonts w:ascii="Courier New" w:cs="Courier New" w:eastAsia="Courier New" w:hAnsi="Courier New"/>
          <w:sz w:val="18"/>
          <w:szCs w:val="18"/>
          <w:color w:val="auto"/>
        </w:rPr>
        <w:t>Securities of that series if, at the time such Security Interest becomes 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Security Interest upon any of our or our Restricted Subsidiaries' Principal</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Property and after giving effect thereto, the aggregate outstanding</w:t>
      </w:r>
    </w:p>
    <w:p>
      <w:pPr>
        <w:spacing w:after="0" w:line="238" w:lineRule="auto"/>
        <w:rPr>
          <w:sz w:val="20"/>
          <w:szCs w:val="20"/>
          <w:color w:val="auto"/>
        </w:rPr>
      </w:pPr>
      <w:r>
        <w:rPr>
          <w:rFonts w:ascii="Courier New" w:cs="Courier New" w:eastAsia="Courier New" w:hAnsi="Courier New"/>
          <w:sz w:val="18"/>
          <w:szCs w:val="18"/>
          <w:color w:val="auto"/>
        </w:rPr>
        <w:t>principal amount of all Indebtedness of us and our Restricted Subsidiaries</w:t>
      </w:r>
    </w:p>
    <w:p>
      <w:pPr>
        <w:spacing w:after="0" w:line="238" w:lineRule="auto"/>
        <w:rPr>
          <w:sz w:val="20"/>
          <w:szCs w:val="20"/>
          <w:color w:val="auto"/>
        </w:rPr>
      </w:pPr>
      <w:r>
        <w:rPr>
          <w:rFonts w:ascii="Courier New" w:cs="Courier New" w:eastAsia="Courier New" w:hAnsi="Courier New"/>
          <w:sz w:val="18"/>
          <w:szCs w:val="18"/>
          <w:color w:val="auto"/>
        </w:rPr>
        <w:t>secured by Security Interests permitted by this sentence (excluding</w:t>
      </w:r>
    </w:p>
    <w:p>
      <w:pPr>
        <w:spacing w:after="0"/>
        <w:rPr>
          <w:sz w:val="20"/>
          <w:szCs w:val="20"/>
          <w:color w:val="auto"/>
        </w:rPr>
      </w:pPr>
      <w:r>
        <w:rPr>
          <w:rFonts w:ascii="Courier New" w:cs="Courier New" w:eastAsia="Courier New" w:hAnsi="Courier New"/>
          <w:sz w:val="18"/>
          <w:szCs w:val="18"/>
          <w:color w:val="auto"/>
        </w:rPr>
        <w:t>Indebtedness secured by a Security Interest existing as of the date of the</w:t>
      </w:r>
    </w:p>
    <w:p>
      <w:pPr>
        <w:spacing w:after="0" w:line="237" w:lineRule="auto"/>
        <w:rPr>
          <w:sz w:val="20"/>
          <w:szCs w:val="20"/>
          <w:color w:val="auto"/>
        </w:rPr>
      </w:pPr>
      <w:r>
        <w:rPr>
          <w:rFonts w:ascii="Courier New" w:cs="Courier New" w:eastAsia="Courier New" w:hAnsi="Courier New"/>
          <w:sz w:val="18"/>
          <w:szCs w:val="18"/>
          <w:color w:val="auto"/>
        </w:rPr>
        <w:t>Senior Debt Indenture, but including the Attributable Debt in respect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Sale and Leaseback Transactions, other than Sale and Leaseback Transactions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which, if the Attributable Debt in respect thereof had been Indebtedness</w:t>
      </w:r>
    </w:p>
    <w:p>
      <w:pPr>
        <w:spacing w:after="0" w:line="238" w:lineRule="auto"/>
        <w:rPr>
          <w:sz w:val="20"/>
          <w:szCs w:val="20"/>
          <w:color w:val="auto"/>
        </w:rPr>
      </w:pPr>
      <w:r>
        <w:rPr>
          <w:rFonts w:ascii="Courier New" w:cs="Courier New" w:eastAsia="Courier New" w:hAnsi="Courier New"/>
          <w:sz w:val="18"/>
          <w:szCs w:val="18"/>
          <w:color w:val="auto"/>
        </w:rPr>
        <w:t>secured by a Security Interest, would have been permitted by clause (1)(a)</w:t>
      </w:r>
    </w:p>
    <w:p>
      <w:pPr>
        <w:spacing w:after="0" w:line="238" w:lineRule="auto"/>
        <w:rPr>
          <w:sz w:val="20"/>
          <w:szCs w:val="20"/>
          <w:color w:val="auto"/>
        </w:rPr>
      </w:pPr>
      <w:r>
        <w:rPr>
          <w:rFonts w:ascii="Courier New" w:cs="Courier New" w:eastAsia="Courier New" w:hAnsi="Courier New"/>
          <w:sz w:val="18"/>
          <w:szCs w:val="18"/>
          <w:color w:val="auto"/>
        </w:rPr>
        <w:t>above, other Sale and Leaseback Transactions the proceeds of which have</w:t>
      </w:r>
    </w:p>
    <w:p>
      <w:pPr>
        <w:spacing w:after="0"/>
        <w:rPr>
          <w:sz w:val="20"/>
          <w:szCs w:val="20"/>
          <w:color w:val="auto"/>
        </w:rPr>
      </w:pPr>
      <w:r>
        <w:rPr>
          <w:rFonts w:ascii="Courier New" w:cs="Courier New" w:eastAsia="Courier New" w:hAnsi="Courier New"/>
          <w:sz w:val="18"/>
          <w:szCs w:val="18"/>
          <w:color w:val="auto"/>
        </w:rPr>
        <w:t>been applied or committed to be applied in accordance with the covenant</w:t>
      </w:r>
    </w:p>
    <w:p>
      <w:pPr>
        <w:spacing w:after="0" w:line="237" w:lineRule="auto"/>
        <w:rPr>
          <w:sz w:val="20"/>
          <w:szCs w:val="20"/>
          <w:color w:val="auto"/>
        </w:rPr>
      </w:pPr>
      <w:r>
        <w:rPr>
          <w:rFonts w:ascii="Courier New" w:cs="Courier New" w:eastAsia="Courier New" w:hAnsi="Courier New"/>
          <w:sz w:val="18"/>
          <w:szCs w:val="18"/>
          <w:color w:val="auto"/>
        </w:rPr>
        <w:t>described in "--Provisions Applicable Solely to Senior Debt</w:t>
      </w:r>
    </w:p>
    <w:p>
      <w:pPr>
        <w:spacing w:after="0" w:line="238" w:lineRule="auto"/>
        <w:rPr>
          <w:sz w:val="20"/>
          <w:szCs w:val="20"/>
          <w:color w:val="auto"/>
        </w:rPr>
      </w:pPr>
      <w:r>
        <w:rPr>
          <w:rFonts w:ascii="Courier New" w:cs="Courier New" w:eastAsia="Courier New" w:hAnsi="Courier New"/>
          <w:sz w:val="18"/>
          <w:szCs w:val="18"/>
          <w:color w:val="auto"/>
        </w:rPr>
        <w:t>Securities--Limitations on Sale and Leaseback Transactions" and other than</w:t>
      </w:r>
    </w:p>
    <w:p>
      <w:pPr>
        <w:spacing w:after="0"/>
        <w:rPr>
          <w:sz w:val="20"/>
          <w:szCs w:val="20"/>
          <w:color w:val="auto"/>
        </w:rPr>
      </w:pPr>
      <w:r>
        <w:rPr>
          <w:rFonts w:ascii="Courier New" w:cs="Courier New" w:eastAsia="Courier New" w:hAnsi="Courier New"/>
          <w:sz w:val="18"/>
          <w:szCs w:val="18"/>
          <w:color w:val="auto"/>
        </w:rPr>
        <w:t>Sale and Leaseback Transactions between us and any Restricted Subsidiary)</w:t>
      </w:r>
    </w:p>
    <w:p>
      <w:pPr>
        <w:spacing w:after="0" w:line="237" w:lineRule="auto"/>
        <w:rPr>
          <w:sz w:val="20"/>
          <w:szCs w:val="20"/>
          <w:color w:val="auto"/>
        </w:rPr>
      </w:pPr>
      <w:r>
        <w:rPr>
          <w:rFonts w:ascii="Courier New" w:cs="Courier New" w:eastAsia="Courier New" w:hAnsi="Courier New"/>
          <w:sz w:val="18"/>
          <w:szCs w:val="18"/>
          <w:color w:val="auto"/>
        </w:rPr>
        <w:t>does not exceed 15% of Consolidated Net Tangible Assets. (Section 1008 of</w:t>
      </w:r>
    </w:p>
    <w:p>
      <w:pPr>
        <w:spacing w:after="0" w:line="238" w:lineRule="auto"/>
        <w:rPr>
          <w:sz w:val="20"/>
          <w:szCs w:val="20"/>
          <w:color w:val="auto"/>
        </w:rPr>
      </w:pPr>
      <w:r>
        <w:rPr>
          <w:rFonts w:ascii="Courier New" w:cs="Courier New" w:eastAsia="Courier New" w:hAnsi="Courier New"/>
          <w:sz w:val="18"/>
          <w:szCs w:val="18"/>
          <w:color w:val="auto"/>
        </w:rPr>
        <w:t>the Senior Debt Indenture)</w:t>
      </w:r>
    </w:p>
    <w:p>
      <w:pPr>
        <w:spacing w:after="0" w:line="207" w:lineRule="exact"/>
        <w:rPr>
          <w:sz w:val="20"/>
          <w:szCs w:val="20"/>
          <w:color w:val="auto"/>
        </w:rPr>
      </w:pPr>
    </w:p>
    <w:p>
      <w:pPr>
        <w:ind w:left="640" w:right="2239"/>
        <w:spacing w:after="0" w:line="275" w:lineRule="auto"/>
        <w:tabs>
          <w:tab w:leader="none" w:pos="1061"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upon any consolidation or merger of any Restricted Subsidiary with or into any other corporation, or upon any consolidation or merger of any other corporation with or into us or any Restricted Subsidiary or upon any sale or conveyance of the Principal Property</w:t>
      </w:r>
    </w:p>
    <w:p>
      <w:pPr>
        <w:sectPr>
          <w:pgSz w:w="11900" w:h="16838" w:orient="portrait"/>
          <w:cols w:equalWidth="0" w:num="1">
            <w:col w:w="10139"/>
          </w:cols>
          <w:pgMar w:left="320" w:top="142" w:right="1440" w:bottom="0" w:gutter="0" w:footer="0" w:header="0"/>
        </w:sectPr>
      </w:pPr>
    </w:p>
    <w:bookmarkStart w:id="26" w:name="page27"/>
    <w:bookmarkEnd w:id="26"/>
    <w:p>
      <w:pPr>
        <w:ind w:left="640" w:right="2239"/>
        <w:spacing w:after="0" w:line="269" w:lineRule="auto"/>
        <w:rPr>
          <w:sz w:val="20"/>
          <w:szCs w:val="20"/>
          <w:color w:val="auto"/>
        </w:rPr>
      </w:pPr>
      <w:r>
        <w:rPr>
          <w:rFonts w:ascii="Courier New" w:cs="Courier New" w:eastAsia="Courier New" w:hAnsi="Courier New"/>
          <w:sz w:val="16"/>
          <w:szCs w:val="16"/>
          <w:color w:val="auto"/>
        </w:rPr>
        <w:t>of any Restricted Subsidiary as an entirety or substantially as an entirety to any other Person, or upon any acquisition by us or any Restricted Subsidiary by purchase or otherwise of all or any part of the Principal Property of any other Person, any Principal Property theretofore owned by us or such Restricted Subsidiary would thereupon become subject to any Security Interest not permitted by the terms of the foregoing covenant, we, prior to such consolidation, merger, sale or conveyance, or acquisition, will, or will cause such Restricted Subsidiary to, secure payment of the principal of and interest, if any, on the Senior Debt Securities of that series (equally and ratably with or prior to any other Indebtedness of us or such Restricted Subsidiary then entitled thereto) by a direct lien on all such Principal Property prior to all liens other than any liens theretofore existing thereon by a supplemental indenture or otherwise. (Section 1008 of the Senior Debt Indenture)</w:t>
      </w:r>
    </w:p>
    <w:p>
      <w:pPr>
        <w:spacing w:after="0" w:line="396" w:lineRule="exact"/>
        <w:rPr>
          <w:sz w:val="20"/>
          <w:szCs w:val="20"/>
          <w:color w:val="auto"/>
        </w:rPr>
      </w:pPr>
    </w:p>
    <w:p>
      <w:pPr>
        <w:ind w:right="2339" w:firstLine="632"/>
        <w:spacing w:after="0" w:line="237" w:lineRule="auto"/>
        <w:rPr>
          <w:sz w:val="20"/>
          <w:szCs w:val="20"/>
          <w:color w:val="auto"/>
        </w:rPr>
      </w:pPr>
      <w:r>
        <w:rPr>
          <w:rFonts w:ascii="Courier New" w:cs="Courier New" w:eastAsia="Courier New" w:hAnsi="Courier New"/>
          <w:sz w:val="18"/>
          <w:szCs w:val="18"/>
          <w:color w:val="auto"/>
        </w:rPr>
        <w:t>Limitations on Sale and Leaseback Transactions. Unless provided otherwise in the applicable prospectus supplement, the provisions of this covenant shall apply to each series of Senior Debt Securities issued under the Senior Debt Indenture:</w:t>
      </w:r>
    </w:p>
    <w:p>
      <w:pPr>
        <w:spacing w:after="0" w:line="207" w:lineRule="exact"/>
        <w:rPr>
          <w:sz w:val="20"/>
          <w:szCs w:val="20"/>
          <w:color w:val="auto"/>
        </w:rPr>
      </w:pPr>
    </w:p>
    <w:p>
      <w:pPr>
        <w:ind w:right="2239" w:firstLine="632"/>
        <w:spacing w:after="0" w:line="269" w:lineRule="auto"/>
        <w:rPr>
          <w:sz w:val="20"/>
          <w:szCs w:val="20"/>
          <w:color w:val="auto"/>
        </w:rPr>
      </w:pPr>
      <w:r>
        <w:rPr>
          <w:rFonts w:ascii="Courier New" w:cs="Courier New" w:eastAsia="Courier New" w:hAnsi="Courier New"/>
          <w:sz w:val="16"/>
          <w:szCs w:val="16"/>
          <w:color w:val="auto"/>
        </w:rPr>
        <w:t>We will not, and will not permit a Restricted Subsidiary to, enter into any arrangement with any Person (other than with any Restricted Subsidiary) providing for the leasing to us or any Restricted Subsidiary of any Principal Property owned or hereafter acquired by us or such Restricted Subsidiary (except for temporary leases for a term, including any renewal thereof, of not more than three years and except for leases between us and a Restricted Subsidiary or between Restricted Subsidiaries), which Principal Property has been or is to be sold or transferred by us or such Restricted Subsidiary to such person (a "Sale and Leaseback Transaction") unless (a) we or such Restricted Subsidiary would be entitled, pursuant to the covenant described in "--Provisions Applicable Solely to Senior Debt Securities--Limitation on Liens," to incur Indebtedness secured by a Security Interest on the property to be leased without equally and ratably securing the Senior Debt Securities of that series, or (b) we shall, and in any such case we covenant that we will, within 180 days after the effective date of any such arrangement, apply an amount equal to the fair value (as determined by the Board of Directors) of such property to the redemption of Senior Debt Securities that, by their terms, are subject to redemption, or to the purchase and retirement of Senior Debt Securities, or to the payment or other retirement of funded debt for money borrowed, incurred or assumed by us which ranks senior to or pari passu with the Senior Debt Securities of that series or of funded debt for money borrowed, incurred or assumed by any Restricted Subsidiary (other than, in either case, funded debt owed by us or any Restricted Subsidiary), or (c) we shall within 180 days after entering into the Sale and Leaseback Transaction, enter into a bona fide commitment or commitments to expend for the acquisition or capital improvement of a Principal Property an amount at least equal to the fair value (as determined by the Board of Directors) of such property. (Section 1009 of the Senior Debt Indenture)</w:t>
      </w:r>
    </w:p>
    <w:p>
      <w:pPr>
        <w:spacing w:after="0" w:line="200" w:lineRule="exact"/>
        <w:rPr>
          <w:sz w:val="20"/>
          <w:szCs w:val="20"/>
          <w:color w:val="auto"/>
        </w:rPr>
      </w:pPr>
    </w:p>
    <w:p>
      <w:pPr>
        <w:spacing w:after="0" w:line="390" w:lineRule="exact"/>
        <w:rPr>
          <w:sz w:val="20"/>
          <w:szCs w:val="20"/>
          <w:color w:val="auto"/>
        </w:rPr>
      </w:pPr>
    </w:p>
    <w:p>
      <w:pPr>
        <w:ind w:right="2239" w:firstLine="632"/>
        <w:spacing w:after="0" w:line="270" w:lineRule="auto"/>
        <w:rPr>
          <w:sz w:val="20"/>
          <w:szCs w:val="20"/>
          <w:color w:val="auto"/>
        </w:rPr>
      </w:pPr>
      <w:r>
        <w:rPr>
          <w:rFonts w:ascii="Courier New" w:cs="Courier New" w:eastAsia="Courier New" w:hAnsi="Courier New"/>
          <w:sz w:val="16"/>
          <w:szCs w:val="16"/>
          <w:color w:val="auto"/>
        </w:rPr>
        <w:t>Notwithstanding the foregoing, we may, and may permit any Restricted Subsidiary to, effect any Sale and Leaseback Transaction that is not acceptable pursuant to clauses (a) through (c), inclusive, of the foregoing covenant, provided that the Attributable Debt associated with such Sale and Leaseback Transaction, together with the aggregate principal amount of outstanding debt secured by Security Interests upon Principal Property not acceptable pursuant to clauses (1) through (12) of the covenant described in "--Provisions Applicable Solely to Senior Debt Securities--Limitation on Liens," inclusive, do not exceed 15% of Consolidated Net Tangible Assets. (Section 1009 of the Senior Debt Indenture)</w:t>
      </w:r>
    </w:p>
    <w:p>
      <w:pPr>
        <w:spacing w:after="0" w:line="188" w:lineRule="exact"/>
        <w:rPr>
          <w:sz w:val="20"/>
          <w:szCs w:val="20"/>
          <w:color w:val="auto"/>
        </w:rPr>
      </w:pPr>
    </w:p>
    <w:p>
      <w:pPr>
        <w:ind w:right="2239" w:firstLine="632"/>
        <w:spacing w:after="0" w:line="237" w:lineRule="auto"/>
        <w:rPr>
          <w:sz w:val="20"/>
          <w:szCs w:val="20"/>
          <w:color w:val="auto"/>
        </w:rPr>
      </w:pPr>
      <w:r>
        <w:rPr>
          <w:rFonts w:ascii="Courier New" w:cs="Courier New" w:eastAsia="Courier New" w:hAnsi="Courier New"/>
          <w:sz w:val="18"/>
          <w:szCs w:val="18"/>
          <w:color w:val="auto"/>
        </w:rPr>
        <w:t>Events of Default. Unless otherwise specified in the applicable prospectus supplement, an Event of Default is defined under the Senior Debt Indenture with respect to the Senior Debt Securities of any series issued under such Senior Debt Indenture as being one or more of the following events:</w:t>
      </w:r>
    </w:p>
    <w:p>
      <w:pPr>
        <w:spacing w:after="0" w:line="208" w:lineRule="exact"/>
        <w:rPr>
          <w:sz w:val="20"/>
          <w:szCs w:val="20"/>
          <w:color w:val="auto"/>
        </w:rPr>
      </w:pPr>
    </w:p>
    <w:p>
      <w:pPr>
        <w:ind w:left="640" w:right="2239" w:firstLine="632"/>
        <w:spacing w:after="0" w:line="236" w:lineRule="auto"/>
        <w:tabs>
          <w:tab w:leader="none" w:pos="1693"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default in the payment of any interest upon any Senior Debt Security of that series when it becomes due and payable, and continuance of such default for a period of 30 days; or</w:t>
      </w:r>
    </w:p>
    <w:p>
      <w:pPr>
        <w:spacing w:after="0" w:line="208" w:lineRule="exact"/>
        <w:rPr>
          <w:rFonts w:ascii="Courier New" w:cs="Courier New" w:eastAsia="Courier New" w:hAnsi="Courier New"/>
          <w:sz w:val="18"/>
          <w:szCs w:val="18"/>
          <w:color w:val="auto"/>
        </w:rPr>
      </w:pPr>
    </w:p>
    <w:p>
      <w:pPr>
        <w:ind w:left="640" w:right="2239" w:firstLine="632"/>
        <w:spacing w:after="0" w:line="237" w:lineRule="auto"/>
        <w:tabs>
          <w:tab w:leader="none" w:pos="1693"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default in the payment of the principal of (or premium, if any, on) any Senior Debt Security of that series as and when the same becomes due and payable whether at Stated Maturity, by declaration of acceleration, call for redemption or otherwise; or</w:t>
      </w:r>
    </w:p>
    <w:p>
      <w:pPr>
        <w:spacing w:after="0" w:line="207" w:lineRule="exact"/>
        <w:rPr>
          <w:rFonts w:ascii="Courier New" w:cs="Courier New" w:eastAsia="Courier New" w:hAnsi="Courier New"/>
          <w:sz w:val="18"/>
          <w:szCs w:val="18"/>
          <w:color w:val="auto"/>
        </w:rPr>
      </w:pPr>
    </w:p>
    <w:p>
      <w:pPr>
        <w:ind w:left="640" w:right="1919" w:firstLine="632"/>
        <w:spacing w:after="0" w:line="235" w:lineRule="auto"/>
        <w:tabs>
          <w:tab w:leader="none" w:pos="1904"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default in the deposit of any sinking fund payment, when and as due by the terms of a Senior Debt Security of that series; or</w:t>
      </w:r>
    </w:p>
    <w:p>
      <w:pPr>
        <w:spacing w:after="0" w:line="202" w:lineRule="exact"/>
        <w:rPr>
          <w:rFonts w:ascii="Courier New" w:cs="Courier New" w:eastAsia="Courier New" w:hAnsi="Courier New"/>
          <w:sz w:val="18"/>
          <w:szCs w:val="18"/>
          <w:color w:val="auto"/>
        </w:rPr>
      </w:pPr>
    </w:p>
    <w:p>
      <w:pPr>
        <w:ind w:left="1700" w:hanging="428"/>
        <w:spacing w:after="0"/>
        <w:tabs>
          <w:tab w:leader="none" w:pos="170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default in the performance, or breach, of any of our other</w:t>
      </w:r>
    </w:p>
    <w:p>
      <w:pPr>
        <w:sectPr>
          <w:pgSz w:w="11900" w:h="16838" w:orient="portrait"/>
          <w:cols w:equalWidth="0" w:num="1">
            <w:col w:w="10139"/>
          </w:cols>
          <w:pgMar w:left="320" w:top="142" w:right="1440" w:bottom="0" w:gutter="0" w:footer="0" w:header="0"/>
        </w:sectPr>
      </w:pPr>
    </w:p>
    <w:bookmarkStart w:id="27" w:name="page28"/>
    <w:bookmarkEnd w:id="27"/>
    <w:p>
      <w:pPr>
        <w:ind w:left="640" w:right="2239"/>
        <w:spacing w:after="0" w:line="237" w:lineRule="auto"/>
        <w:rPr>
          <w:sz w:val="20"/>
          <w:szCs w:val="20"/>
          <w:color w:val="auto"/>
        </w:rPr>
      </w:pPr>
      <w:r>
        <w:rPr>
          <w:rFonts w:ascii="Courier New" w:cs="Courier New" w:eastAsia="Courier New" w:hAnsi="Courier New"/>
          <w:sz w:val="18"/>
          <w:szCs w:val="18"/>
          <w:color w:val="auto"/>
        </w:rPr>
        <w:t>covenants or warranties in the Senior Debt Indenture (other than a covenant or warranty a default in whose performance or whose breach is elsewhere in Section 501 of the Senior Debt Indenture specifically dealt with or which has expressly been included in the Senior Debt Indenture solely for the benefit of a series of Senior Debt Securities other than that series), and continuance of such default or breach for a period of 60 days after there has been given, by registered or certified mail, to us by the Trustee or to us and the Trustee by the Holders of at least 25% in principal amount of the Outstanding Senior Debt Securities of that series a written notice specifying such default or breach and requiring it to be remedied and stating that such notice is a "Notice of Default" under the Senior Debt Indenture; or</w:t>
      </w:r>
    </w:p>
    <w:p>
      <w:pPr>
        <w:spacing w:after="0" w:line="212" w:lineRule="exact"/>
        <w:rPr>
          <w:sz w:val="20"/>
          <w:szCs w:val="20"/>
          <w:color w:val="auto"/>
        </w:rPr>
      </w:pPr>
    </w:p>
    <w:p>
      <w:pPr>
        <w:ind w:left="1700" w:hanging="428"/>
        <w:spacing w:after="0"/>
        <w:tabs>
          <w:tab w:leader="none" w:pos="1700" w:val="left"/>
        </w:tabs>
        <w:numPr>
          <w:ilvl w:val="1"/>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entry by a court having jurisdiction in the premises of</w:t>
      </w:r>
    </w:p>
    <w:p>
      <w:pPr>
        <w:spacing w:after="0" w:line="4" w:lineRule="exact"/>
        <w:rPr>
          <w:rFonts w:ascii="Courier New" w:cs="Courier New" w:eastAsia="Courier New" w:hAnsi="Courier New"/>
          <w:sz w:val="18"/>
          <w:szCs w:val="18"/>
          <w:color w:val="auto"/>
        </w:rPr>
      </w:pPr>
    </w:p>
    <w:p>
      <w:pPr>
        <w:ind w:left="640" w:right="2439"/>
        <w:spacing w:after="0" w:line="268" w:lineRule="auto"/>
        <w:tabs>
          <w:tab w:leader="none" w:pos="1061"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decree or order for relief in respect of us in an involuntary case or proceeding under any applicable Federal or State bankruptcy, insolvency, reorganization or other similar law or</w:t>
      </w:r>
    </w:p>
    <w:p>
      <w:pPr>
        <w:ind w:left="640" w:right="2659"/>
        <w:spacing w:after="0" w:line="237" w:lineRule="auto"/>
        <w:tabs>
          <w:tab w:leader="none" w:pos="1061"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decree or order adjudging us a bankrupt or insolvent, or approving as properly filed a petition seeking reorganization, arrangement, adjustment or composition of or in respect of us under any applicable Federal or State law, or appointing a custodian, receiver, liquidator, assignee, trustee, sequestrator or other similar official of us or of any substantial part of our property, or ordering the winding up or liquidation of our affairs, and the continuance of any such decree or order for relief or any such other decree or order unstayed and in effect for a period of 90 consecutive days; or</w:t>
      </w:r>
    </w:p>
    <w:p>
      <w:pPr>
        <w:spacing w:after="0" w:line="213" w:lineRule="exact"/>
        <w:rPr>
          <w:rFonts w:ascii="Courier New" w:cs="Courier New" w:eastAsia="Courier New" w:hAnsi="Courier New"/>
          <w:sz w:val="18"/>
          <w:szCs w:val="18"/>
          <w:color w:val="auto"/>
        </w:rPr>
      </w:pPr>
    </w:p>
    <w:p>
      <w:pPr>
        <w:ind w:left="640" w:right="2239" w:firstLine="632"/>
        <w:spacing w:after="0" w:line="269" w:lineRule="auto"/>
        <w:tabs>
          <w:tab w:leader="none" w:pos="1693" w:val="left"/>
        </w:tabs>
        <w:numPr>
          <w:ilvl w:val="1"/>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commencement by us of a voluntary case or proceeding under any applicable Federal or State bankruptcy, insolvency, reorganization or other similar law or of any other case or proceeding to be adjudicated a bankrupt or insolvent, or the consent by it to the entry of a decree or order for relief in respect of us in an involuntary case or proceeding under any applicable Federal or State bankruptcy, insolvency, reorganization or other similar law or the commencement of any bankruptcy or insolvency case or proceeding against it, or the filing by it of a petition or answer or consent seeking reorganization or relief under any applicable Federal or State law, or the consent by it to the filing of such petition or to the appointment of or taking possession by a custodian, receiver, liquidator, assignee, trustee, sequestrator or similar official of us or of any substantial part of our property, or the making by us of an assignment for the benefit of creditors, or the admission by us in writing of our inability to pay our debts generally as they become due, or the taking of corporate action by us in furtherance of any such action; or</w:t>
      </w:r>
    </w:p>
    <w:p>
      <w:pPr>
        <w:spacing w:after="0" w:line="200" w:lineRule="exact"/>
        <w:rPr>
          <w:rFonts w:ascii="Courier New" w:cs="Courier New" w:eastAsia="Courier New" w:hAnsi="Courier New"/>
          <w:sz w:val="16"/>
          <w:szCs w:val="16"/>
          <w:color w:val="auto"/>
        </w:rPr>
      </w:pPr>
    </w:p>
    <w:p>
      <w:pPr>
        <w:spacing w:after="0" w:line="397" w:lineRule="exact"/>
        <w:rPr>
          <w:rFonts w:ascii="Courier New" w:cs="Courier New" w:eastAsia="Courier New" w:hAnsi="Courier New"/>
          <w:sz w:val="16"/>
          <w:szCs w:val="16"/>
          <w:color w:val="auto"/>
        </w:rPr>
      </w:pPr>
    </w:p>
    <w:p>
      <w:pPr>
        <w:ind w:left="640" w:right="2119" w:firstLine="632"/>
        <w:spacing w:after="0" w:line="236" w:lineRule="auto"/>
        <w:tabs>
          <w:tab w:leader="none" w:pos="1904" w:val="left"/>
        </w:tabs>
        <w:numPr>
          <w:ilvl w:val="1"/>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other Event of Default provided with respect to Senior Debt Securities of that series. (Section 501 of the Senior Debt Indenture)</w:t>
      </w:r>
    </w:p>
    <w:p>
      <w:pPr>
        <w:spacing w:after="0" w:line="208" w:lineRule="exact"/>
        <w:rPr>
          <w:sz w:val="20"/>
          <w:szCs w:val="20"/>
          <w:color w:val="auto"/>
        </w:rPr>
      </w:pPr>
    </w:p>
    <w:p>
      <w:pPr>
        <w:ind w:right="2239" w:firstLine="632"/>
        <w:spacing w:after="0" w:line="238" w:lineRule="auto"/>
        <w:rPr>
          <w:sz w:val="20"/>
          <w:szCs w:val="20"/>
          <w:color w:val="auto"/>
        </w:rPr>
      </w:pPr>
      <w:r>
        <w:rPr>
          <w:rFonts w:ascii="Courier New" w:cs="Courier New" w:eastAsia="Courier New" w:hAnsi="Courier New"/>
          <w:sz w:val="18"/>
          <w:szCs w:val="18"/>
          <w:color w:val="auto"/>
        </w:rPr>
        <w:t>Remedies. If an Event of Default with respect to Senior Debt Securities of any series at the time Outstanding occurs and is continuing, then in every such case, either the Trustee or the Holders of not less than 25% in principal amount of the Outstanding Senior Debt Securities of that series may declare the principal amount (or, if any of the Senior Debt Securities of that series are Original Issue Discount Securities, such portion of the principal amount of such Senior Debt Securities as may be specified in the terms thereof) of all of the Senior Debt Securities of that series to be due and payable immediately, by a notice in writing to us (and to the Trustee if given by Holders), and upon any such declaration such principal amount (or specified amount) shall become immediately due and payable. At any time after such a declaration of acceleration with respect to the Senior Debt Securities of any series has been made and before a judgment or decree for payment of the money due has been obtained by the Trustee, the Holders of a majority in principal amount of the Outstanding Senior Debt Securities of that series, by written notice to us and the Trustee, may rescind and annul such declaration and its consequences if:</w:t>
      </w:r>
    </w:p>
    <w:p>
      <w:pPr>
        <w:spacing w:after="0" w:line="208" w:lineRule="exact"/>
        <w:rPr>
          <w:sz w:val="20"/>
          <w:szCs w:val="20"/>
          <w:color w:val="auto"/>
        </w:rPr>
      </w:pPr>
    </w:p>
    <w:p>
      <w:pPr>
        <w:ind w:left="1280" w:right="2019" w:hanging="8"/>
        <w:spacing w:after="0" w:line="235" w:lineRule="auto"/>
        <w:tabs>
          <w:tab w:leader="none" w:pos="1912"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have paid or deposited with the Trustee a sum sufficient to pay:</w:t>
      </w:r>
    </w:p>
    <w:p>
      <w:pPr>
        <w:spacing w:after="0" w:line="208" w:lineRule="exact"/>
        <w:rPr>
          <w:sz w:val="20"/>
          <w:szCs w:val="20"/>
          <w:color w:val="auto"/>
        </w:rPr>
      </w:pPr>
    </w:p>
    <w:p>
      <w:pPr>
        <w:ind w:left="1280" w:right="2119" w:hanging="8"/>
        <w:spacing w:after="0" w:line="235" w:lineRule="auto"/>
        <w:tabs>
          <w:tab w:leader="none" w:pos="1912"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overdue interest on all Senior Debt Securities of that series;</w:t>
      </w:r>
    </w:p>
    <w:p>
      <w:pPr>
        <w:spacing w:after="0" w:line="208" w:lineRule="exact"/>
        <w:rPr>
          <w:rFonts w:ascii="Courier New" w:cs="Courier New" w:eastAsia="Courier New" w:hAnsi="Courier New"/>
          <w:sz w:val="18"/>
          <w:szCs w:val="18"/>
          <w:color w:val="auto"/>
        </w:rPr>
      </w:pPr>
    </w:p>
    <w:p>
      <w:pPr>
        <w:ind w:left="1280" w:right="2239" w:hanging="8"/>
        <w:spacing w:after="0" w:line="275" w:lineRule="auto"/>
        <w:tabs>
          <w:tab w:leader="none" w:pos="1701"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principal of (and premium, if any, on) any Senior Debt Securities of that series which has become due otherwise than by such declaration of acceleration and any interest thereon at the rate or rates prescribed therefor in such Senior Debt</w:t>
      </w:r>
    </w:p>
    <w:p>
      <w:pPr>
        <w:sectPr>
          <w:pgSz w:w="11900" w:h="16838" w:orient="portrait"/>
          <w:cols w:equalWidth="0" w:num="1">
            <w:col w:w="10139"/>
          </w:cols>
          <w:pgMar w:left="320" w:top="142" w:right="1440" w:bottom="0" w:gutter="0" w:footer="0" w:header="0"/>
        </w:sectPr>
      </w:pPr>
    </w:p>
    <w:bookmarkStart w:id="28" w:name="page29"/>
    <w:bookmarkEnd w:id="28"/>
    <w:p>
      <w:pPr>
        <w:ind w:left="1280"/>
        <w:spacing w:after="0"/>
        <w:rPr>
          <w:sz w:val="20"/>
          <w:szCs w:val="20"/>
          <w:color w:val="auto"/>
        </w:rPr>
      </w:pPr>
      <w:r>
        <w:rPr>
          <w:rFonts w:ascii="Courier New" w:cs="Courier New" w:eastAsia="Courier New" w:hAnsi="Courier New"/>
          <w:sz w:val="18"/>
          <w:szCs w:val="18"/>
          <w:color w:val="auto"/>
        </w:rPr>
        <w:t>Securities;</w:t>
      </w:r>
    </w:p>
    <w:p>
      <w:pPr>
        <w:spacing w:after="0" w:line="201" w:lineRule="exact"/>
        <w:rPr>
          <w:sz w:val="20"/>
          <w:szCs w:val="20"/>
          <w:color w:val="auto"/>
        </w:rPr>
      </w:pPr>
    </w:p>
    <w:p>
      <w:pPr>
        <w:ind w:left="1700" w:hanging="428"/>
        <w:spacing w:after="0"/>
        <w:tabs>
          <w:tab w:leader="none" w:pos="170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the extent that payment of such interest is lawful,</w:t>
      </w:r>
    </w:p>
    <w:p>
      <w:pPr>
        <w:spacing w:after="0" w:line="4" w:lineRule="exact"/>
        <w:rPr>
          <w:rFonts w:ascii="Courier New" w:cs="Courier New" w:eastAsia="Courier New" w:hAnsi="Courier New"/>
          <w:sz w:val="18"/>
          <w:szCs w:val="18"/>
          <w:color w:val="auto"/>
        </w:rPr>
      </w:pPr>
    </w:p>
    <w:p>
      <w:pPr>
        <w:ind w:left="1280" w:right="233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interest upon overdue interest at the rate or rates prescribed therefor in such Senior Debt Securities; and</w:t>
      </w:r>
    </w:p>
    <w:p>
      <w:pPr>
        <w:spacing w:after="0" w:line="208" w:lineRule="exact"/>
        <w:rPr>
          <w:rFonts w:ascii="Courier New" w:cs="Courier New" w:eastAsia="Courier New" w:hAnsi="Courier New"/>
          <w:sz w:val="18"/>
          <w:szCs w:val="18"/>
          <w:color w:val="auto"/>
        </w:rPr>
      </w:pPr>
    </w:p>
    <w:p>
      <w:pPr>
        <w:ind w:left="1280" w:right="2339" w:hanging="8"/>
        <w:spacing w:after="0" w:line="236" w:lineRule="auto"/>
        <w:tabs>
          <w:tab w:leader="none" w:pos="1701"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sums paid or advanced by the Trustee hereunder and the reasonable compensation, expenses, disbursements and advances of the Trustee, its agents and counsel; and</w:t>
      </w:r>
    </w:p>
    <w:p>
      <w:pPr>
        <w:spacing w:after="0" w:line="208" w:lineRule="exact"/>
        <w:rPr>
          <w:sz w:val="20"/>
          <w:szCs w:val="20"/>
          <w:color w:val="auto"/>
        </w:rPr>
      </w:pPr>
    </w:p>
    <w:p>
      <w:pPr>
        <w:ind w:left="640" w:right="2439" w:firstLine="632"/>
        <w:spacing w:after="0" w:line="237" w:lineRule="auto"/>
        <w:tabs>
          <w:tab w:leader="none" w:pos="1693"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Events of Default with respect to Senior Debt Securities of that series, other than the non-payment of the principal of Senior Debt Securities of that series which has become due solely by such declaration of acceleration, have been cured or waived as provided in the Senior Debt Indenture.</w:t>
      </w:r>
    </w:p>
    <w:p>
      <w:pPr>
        <w:spacing w:after="0" w:line="208" w:lineRule="exact"/>
        <w:rPr>
          <w:sz w:val="20"/>
          <w:szCs w:val="20"/>
          <w:color w:val="auto"/>
        </w:rPr>
      </w:pPr>
    </w:p>
    <w:p>
      <w:pPr>
        <w:ind w:right="2239" w:firstLine="632"/>
        <w:spacing w:after="0" w:line="237" w:lineRule="auto"/>
        <w:rPr>
          <w:sz w:val="20"/>
          <w:szCs w:val="20"/>
          <w:color w:val="auto"/>
        </w:rPr>
      </w:pPr>
      <w:r>
        <w:rPr>
          <w:rFonts w:ascii="Courier New" w:cs="Courier New" w:eastAsia="Courier New" w:hAnsi="Courier New"/>
          <w:sz w:val="18"/>
          <w:szCs w:val="18"/>
          <w:color w:val="auto"/>
        </w:rPr>
        <w:t>No such rescission shall affect any subsequent default or impair any right consequent thereon. (Section 502 of the Senior Debt Indenture) If the Trustee or any Holder of a Senior Debt Security or coupon has instituted any proceeding to enforce any right or remedy under the Senior Debt Indenture and such proceeding has been discontinued or abandoned for any reason, or has been determined adversely to the Trustee or to such Holder, then and in every such case, subject to any determination in such proceeding, we, the Trustee and the Holders of Senior Debt Securities and coupons shall be restored severally and respectively to their former positions under the Senior Debt Indenture and the Senior Debt Securities and thereafter all rights and remedies of the Trustee and the Holders shall continue as though no such proceeding had been instituted. (Section 509 of the Senior Debt Indenture)</w:t>
      </w:r>
    </w:p>
    <w:p>
      <w:pPr>
        <w:spacing w:after="0" w:line="217" w:lineRule="exact"/>
        <w:rPr>
          <w:sz w:val="20"/>
          <w:szCs w:val="20"/>
          <w:color w:val="auto"/>
        </w:rPr>
      </w:pPr>
    </w:p>
    <w:p>
      <w:pPr>
        <w:ind w:right="2239" w:firstLine="632"/>
        <w:spacing w:after="0" w:line="237" w:lineRule="auto"/>
        <w:rPr>
          <w:sz w:val="20"/>
          <w:szCs w:val="20"/>
          <w:color w:val="auto"/>
        </w:rPr>
      </w:pPr>
      <w:r>
        <w:rPr>
          <w:rFonts w:ascii="Courier New" w:cs="Courier New" w:eastAsia="Courier New" w:hAnsi="Courier New"/>
          <w:sz w:val="18"/>
          <w:szCs w:val="18"/>
          <w:color w:val="auto"/>
        </w:rPr>
        <w:t>The Senior Debt Indenture provides that, subject to the duty of the Trustee during default to act with the required standard of care, the Trustee is under no obligation to exercise any of its rights or powers under such Indenture at the request or direction of any of the Holders, unless such Holders shall have offered to the Trustee reasonable indemnity. (Sections 601, 603 of the Senior Debt Indenture) No Holder of any Senior Debt Security of any series or any related coupons shall have any right to institute any proceeding, judicial or otherwise, with respect to the Senior Debt Indenture, or for the appointment of a receiver or trustee, or for any other remedy thereunder, unless:</w:t>
      </w:r>
    </w:p>
    <w:p>
      <w:pPr>
        <w:spacing w:after="0" w:line="214" w:lineRule="exact"/>
        <w:rPr>
          <w:sz w:val="20"/>
          <w:szCs w:val="20"/>
          <w:color w:val="auto"/>
        </w:rPr>
      </w:pPr>
    </w:p>
    <w:p>
      <w:pPr>
        <w:ind w:left="640" w:right="2439" w:firstLine="632"/>
        <w:spacing w:after="0" w:line="236" w:lineRule="auto"/>
        <w:tabs>
          <w:tab w:leader="none" w:pos="1693"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Holder has previously given written notice to the Trustee of a continuing Event of Default with respect to the Senior Debt Securities of that series;</w:t>
      </w:r>
    </w:p>
    <w:p>
      <w:pPr>
        <w:spacing w:after="0" w:line="208" w:lineRule="exact"/>
        <w:rPr>
          <w:rFonts w:ascii="Courier New" w:cs="Courier New" w:eastAsia="Courier New" w:hAnsi="Courier New"/>
          <w:sz w:val="18"/>
          <w:szCs w:val="18"/>
          <w:color w:val="auto"/>
        </w:rPr>
      </w:pPr>
    </w:p>
    <w:p>
      <w:pPr>
        <w:ind w:left="640" w:right="2239" w:firstLine="632"/>
        <w:spacing w:after="0" w:line="237" w:lineRule="auto"/>
        <w:tabs>
          <w:tab w:leader="none" w:pos="1693"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Holders of not less than 25% in principal amount of the Outstanding Senior Debt Securities of that series shall have been made written request to the Trustee to institute proceedings in respect of such Event of Default in its own name as Trustee under the Senior Debt Indenture;</w:t>
      </w:r>
    </w:p>
    <w:p>
      <w:pPr>
        <w:spacing w:after="0" w:line="208" w:lineRule="exact"/>
        <w:rPr>
          <w:rFonts w:ascii="Courier New" w:cs="Courier New" w:eastAsia="Courier New" w:hAnsi="Courier New"/>
          <w:sz w:val="18"/>
          <w:szCs w:val="18"/>
          <w:color w:val="auto"/>
        </w:rPr>
      </w:pPr>
    </w:p>
    <w:p>
      <w:pPr>
        <w:ind w:left="640" w:right="2439" w:firstLine="632"/>
        <w:spacing w:after="0" w:line="236" w:lineRule="auto"/>
        <w:tabs>
          <w:tab w:leader="none" w:pos="1693"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Holder or Holders have offered to the Trustee reasonable indemnity against the costs, expenses and liabilities to be incurred in compliance with such request;</w:t>
      </w:r>
    </w:p>
    <w:p>
      <w:pPr>
        <w:spacing w:after="0" w:line="208" w:lineRule="exact"/>
        <w:rPr>
          <w:rFonts w:ascii="Courier New" w:cs="Courier New" w:eastAsia="Courier New" w:hAnsi="Courier New"/>
          <w:sz w:val="18"/>
          <w:szCs w:val="18"/>
          <w:color w:val="auto"/>
        </w:rPr>
      </w:pPr>
    </w:p>
    <w:p>
      <w:pPr>
        <w:ind w:left="640" w:right="2439" w:firstLine="632"/>
        <w:spacing w:after="0" w:line="236" w:lineRule="auto"/>
        <w:tabs>
          <w:tab w:leader="none" w:pos="1693"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Trustee for 60 days after its receipt of such notice, request and offer of indemnity has failed to institute any such proceeding; and</w:t>
      </w:r>
    </w:p>
    <w:p>
      <w:pPr>
        <w:spacing w:after="0" w:line="208" w:lineRule="exact"/>
        <w:rPr>
          <w:rFonts w:ascii="Courier New" w:cs="Courier New" w:eastAsia="Courier New" w:hAnsi="Courier New"/>
          <w:sz w:val="18"/>
          <w:szCs w:val="18"/>
          <w:color w:val="auto"/>
        </w:rPr>
      </w:pPr>
    </w:p>
    <w:p>
      <w:pPr>
        <w:ind w:left="640" w:right="2239" w:firstLine="632"/>
        <w:spacing w:after="0" w:line="275" w:lineRule="auto"/>
        <w:tabs>
          <w:tab w:leader="none" w:pos="1904"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direction inconsistent with such written request has been given to the Trustee during such 60-day period by the Holders of a majority in principal amount of the Outstanding Senior Debt Securities of that series. (Section 507 of the Senior Debt Indenture)</w:t>
      </w:r>
    </w:p>
    <w:p>
      <w:pPr>
        <w:spacing w:after="0" w:line="182" w:lineRule="exact"/>
        <w:rPr>
          <w:sz w:val="20"/>
          <w:szCs w:val="20"/>
          <w:color w:val="auto"/>
        </w:rPr>
      </w:pPr>
    </w:p>
    <w:p>
      <w:pPr>
        <w:ind w:right="2239" w:firstLine="632"/>
        <w:spacing w:after="0" w:line="237" w:lineRule="auto"/>
        <w:rPr>
          <w:sz w:val="20"/>
          <w:szCs w:val="20"/>
          <w:color w:val="auto"/>
        </w:rPr>
      </w:pPr>
      <w:r>
        <w:rPr>
          <w:rFonts w:ascii="Courier New" w:cs="Courier New" w:eastAsia="Courier New" w:hAnsi="Courier New"/>
          <w:sz w:val="18"/>
          <w:szCs w:val="18"/>
          <w:color w:val="auto"/>
        </w:rPr>
        <w:t>Notwithstanding any other provisions in the Senior Debt Indenture, the right of any Holder of any Senior Debt Security or coupon to receive payment of the principal of and any premium and any interest on such Senior Debt Security or payment of such coupon on the Stated Maturity or Maturities expressed in such Senior Debt Security or coupon, or to institute suit for the enforcement of any such payment on or after such respective dates shall not be impaired or affected without the consent of such Holder. (Sections 508, 902 of the Senior Debt Indenture)</w:t>
      </w:r>
    </w:p>
    <w:p>
      <w:pPr>
        <w:spacing w:after="0" w:line="212" w:lineRule="exact"/>
        <w:rPr>
          <w:sz w:val="20"/>
          <w:szCs w:val="20"/>
          <w:color w:val="auto"/>
        </w:rPr>
      </w:pPr>
    </w:p>
    <w:p>
      <w:pPr>
        <w:ind w:right="2239" w:firstLine="632"/>
        <w:spacing w:after="0" w:line="271" w:lineRule="auto"/>
        <w:rPr>
          <w:sz w:val="20"/>
          <w:szCs w:val="20"/>
          <w:color w:val="auto"/>
        </w:rPr>
      </w:pPr>
      <w:r>
        <w:rPr>
          <w:rFonts w:ascii="Courier New" w:cs="Courier New" w:eastAsia="Courier New" w:hAnsi="Courier New"/>
          <w:sz w:val="16"/>
          <w:szCs w:val="16"/>
          <w:color w:val="auto"/>
        </w:rPr>
        <w:t>The Holders of a majority in principal amount of the Outstanding Senior Debt Securities of any series shall have the right to direct the time, method and place of conducting any proceeding for any remedy available to the Trustee, or exercising any trust or power conferred on the Trustee, with respect to the Senior Debt Securities of such series, provided that (1) such direction shall not be in conflict with any rule of law or with the Senior Debt Indenture; (2) the Trustee may take any other action deemed proper by the Trustee which is not inconsistent with such</w:t>
      </w:r>
    </w:p>
    <w:p>
      <w:pPr>
        <w:sectPr>
          <w:pgSz w:w="11900" w:h="16838" w:orient="portrait"/>
          <w:cols w:equalWidth="0" w:num="1">
            <w:col w:w="10139"/>
          </w:cols>
          <w:pgMar w:left="320" w:top="136" w:right="1440" w:bottom="0" w:gutter="0" w:footer="0" w:header="0"/>
        </w:sectPr>
      </w:pPr>
    </w:p>
    <w:bookmarkStart w:id="29" w:name="page30"/>
    <w:bookmarkEnd w:id="29"/>
    <w:p>
      <w:pPr>
        <w:ind w:right="2239"/>
        <w:spacing w:after="0" w:line="238" w:lineRule="auto"/>
        <w:rPr>
          <w:sz w:val="20"/>
          <w:szCs w:val="20"/>
          <w:color w:val="auto"/>
        </w:rPr>
      </w:pPr>
      <w:r>
        <w:rPr>
          <w:rFonts w:ascii="Courier New" w:cs="Courier New" w:eastAsia="Courier New" w:hAnsi="Courier New"/>
          <w:sz w:val="18"/>
          <w:szCs w:val="18"/>
          <w:color w:val="auto"/>
        </w:rPr>
        <w:t>direction; and (3) the Trustee shall not be obligated to take any action unduly prejudicial to Holders not joining in such direction or involving the Trustee in personal liability. (Section 512 of the Senior Debt Indenture) The Holders of a majority in principal amount of the Outstanding Senior Debt Securities of any series may on behalf of the Holders of all the Senior Debt Securities of such series waive any past default under the Senior Debt Indenture with respect to the Senior Debt Securities of such series and its consequences, except a default in the payment of the principal of or any premium or interest on any Senior Debt Security of such series or in respect of a covenant or provision of the Senior Debt Indenture which, pursuant to the Senior Debt Indenture, cannot be modified or amended without the consent of the Holder of each Outstanding Senior Debt Security of such series affected. Upon any such waiver, such default shall cease to exist, and any Event of Default arising therefrom shall be deemed to have been cured, for every purpose of the Senior Debt Indenture; but no such waiver shall extend to any subsequent or other default or impair any right consequent thereon. (Sections 513, 902 of the Senior Debt Indenture)</w:t>
      </w:r>
    </w:p>
    <w:p>
      <w:pPr>
        <w:spacing w:after="0" w:line="208" w:lineRule="exact"/>
        <w:rPr>
          <w:sz w:val="20"/>
          <w:szCs w:val="20"/>
          <w:color w:val="auto"/>
        </w:rPr>
      </w:pPr>
    </w:p>
    <w:p>
      <w:pPr>
        <w:ind w:right="2239" w:firstLine="632"/>
        <w:spacing w:after="0" w:line="237" w:lineRule="auto"/>
        <w:rPr>
          <w:sz w:val="20"/>
          <w:szCs w:val="20"/>
          <w:color w:val="auto"/>
        </w:rPr>
      </w:pPr>
      <w:r>
        <w:rPr>
          <w:rFonts w:ascii="Courier New" w:cs="Courier New" w:eastAsia="Courier New" w:hAnsi="Courier New"/>
          <w:sz w:val="18"/>
          <w:szCs w:val="18"/>
          <w:color w:val="auto"/>
        </w:rPr>
        <w:t>If a default occurs under the Senior Debt Indenture with respect to Senior Debt Securities of any series, the Trustee shall give the Holders of Senior Debt Securities of such series notice of such default as and to the extent provided by the Trust Indenture Act; provided, however. that in the case of any default or breach of certain covenants or warranties with respect to Senior Debt Securities of such series, no such notice to Holders shall be given until at least 30 days after the occurrence thereof (the term "default" for purposes of these provisions being defined as any event which is, or after notice or lapse of time or both would become, an Event of Default with respect to the Senior Debt Securities of such series). (Section 602 of the Senior Debt Indenture)</w:t>
      </w:r>
    </w:p>
    <w:p>
      <w:pPr>
        <w:spacing w:after="0" w:line="215" w:lineRule="exact"/>
        <w:rPr>
          <w:sz w:val="20"/>
          <w:szCs w:val="20"/>
          <w:color w:val="auto"/>
        </w:rPr>
      </w:pPr>
    </w:p>
    <w:p>
      <w:pPr>
        <w:ind w:right="2339" w:firstLine="632"/>
        <w:spacing w:after="0" w:line="237" w:lineRule="auto"/>
        <w:rPr>
          <w:sz w:val="20"/>
          <w:szCs w:val="20"/>
          <w:color w:val="auto"/>
        </w:rPr>
      </w:pPr>
      <w:r>
        <w:rPr>
          <w:rFonts w:ascii="Courier New" w:cs="Courier New" w:eastAsia="Courier New" w:hAnsi="Courier New"/>
          <w:sz w:val="18"/>
          <w:szCs w:val="18"/>
          <w:color w:val="auto"/>
        </w:rPr>
        <w:t>In any case in which Senior Debt Securities are Outstanding that are denominated in more than one currency and the Trustee is directed to make ratable payments under the Senior Debt Indenture to Holders of such Senior Debt Securities, unless otherwise provided with respect to any series of Senior Debt Securities, the Trustee shall calculate the amount of such payments as follows:</w:t>
      </w:r>
    </w:p>
    <w:p>
      <w:pPr>
        <w:spacing w:after="0" w:line="209" w:lineRule="exact"/>
        <w:rPr>
          <w:sz w:val="20"/>
          <w:szCs w:val="20"/>
          <w:color w:val="auto"/>
        </w:rPr>
      </w:pPr>
    </w:p>
    <w:p>
      <w:pPr>
        <w:ind w:left="640" w:right="2339" w:firstLine="632"/>
        <w:spacing w:after="0" w:line="271" w:lineRule="auto"/>
        <w:tabs>
          <w:tab w:leader="none" w:pos="1693" w:val="left"/>
        </w:tabs>
        <w:numPr>
          <w:ilvl w:val="1"/>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of the day the Trustee collects an amount under the Senior Debt Indenture, the Trustee shall, as to each Holder of a Senior Debt Security to whom an amount is due and payable under the Senior Debt Indenture that is denominated in a foreign currency, determine that amount in Dollars that would be obtained for the amount owing such Holder, using the rate of exchange at which in accordance with normal banking procedures the Trustee could purchase in the City of New York Dollars with such amount owing;</w:t>
      </w:r>
    </w:p>
    <w:p>
      <w:pPr>
        <w:spacing w:after="0" w:line="185" w:lineRule="exact"/>
        <w:rPr>
          <w:rFonts w:ascii="Courier New" w:cs="Courier New" w:eastAsia="Courier New" w:hAnsi="Courier New"/>
          <w:sz w:val="16"/>
          <w:szCs w:val="16"/>
          <w:color w:val="auto"/>
        </w:rPr>
      </w:pPr>
    </w:p>
    <w:p>
      <w:pPr>
        <w:ind w:left="1900" w:hanging="628"/>
        <w:spacing w:after="0"/>
        <w:tabs>
          <w:tab w:leader="none" w:pos="1900" w:val="left"/>
        </w:tabs>
        <w:numPr>
          <w:ilvl w:val="1"/>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calculate the sum of all Dollar amounts determined under</w:t>
      </w:r>
    </w:p>
    <w:p>
      <w:pPr>
        <w:spacing w:after="0" w:line="16" w:lineRule="exact"/>
        <w:rPr>
          <w:rFonts w:ascii="Courier New" w:cs="Courier New" w:eastAsia="Courier New" w:hAnsi="Courier New"/>
          <w:sz w:val="16"/>
          <w:szCs w:val="16"/>
          <w:color w:val="auto"/>
        </w:rPr>
      </w:pPr>
    </w:p>
    <w:p>
      <w:pPr>
        <w:ind w:left="1060" w:hanging="420"/>
        <w:spacing w:after="0" w:line="238" w:lineRule="auto"/>
        <w:tabs>
          <w:tab w:leader="none" w:pos="106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and add thereto any amounts due and payable in Dollars; and</w:t>
      </w:r>
    </w:p>
    <w:p>
      <w:pPr>
        <w:spacing w:after="0" w:line="207" w:lineRule="exact"/>
        <w:rPr>
          <w:rFonts w:ascii="Courier New" w:cs="Courier New" w:eastAsia="Courier New" w:hAnsi="Courier New"/>
          <w:sz w:val="18"/>
          <w:szCs w:val="18"/>
          <w:color w:val="auto"/>
        </w:rPr>
      </w:pPr>
    </w:p>
    <w:p>
      <w:pPr>
        <w:ind w:left="640" w:right="2239" w:firstLine="632"/>
        <w:spacing w:after="0" w:line="237" w:lineRule="auto"/>
        <w:tabs>
          <w:tab w:leader="none" w:pos="1904" w:val="left"/>
        </w:tabs>
        <w:numPr>
          <w:ilvl w:val="1"/>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using the individual amounts determined in (i) or any individual amounts due and payable in Dollars, as the case may be, as a numerator, and the sum calculated in (ii) as a denominator, calculate as to each Holder of a Senior Debt Security to whom an amount is owed under the Senior Debt Indenture the fraction of the amount collected under the Senior Debt Indenture payable to such Holder.</w:t>
      </w:r>
    </w:p>
    <w:p>
      <w:pPr>
        <w:spacing w:after="0" w:line="210" w:lineRule="exact"/>
        <w:rPr>
          <w:sz w:val="20"/>
          <w:szCs w:val="20"/>
          <w:color w:val="auto"/>
        </w:rPr>
      </w:pPr>
    </w:p>
    <w:p>
      <w:pPr>
        <w:ind w:right="2339" w:firstLine="632"/>
        <w:spacing w:after="0" w:line="272" w:lineRule="auto"/>
        <w:rPr>
          <w:sz w:val="20"/>
          <w:szCs w:val="20"/>
          <w:color w:val="auto"/>
        </w:rPr>
      </w:pPr>
      <w:r>
        <w:rPr>
          <w:rFonts w:ascii="Courier New" w:cs="Courier New" w:eastAsia="Courier New" w:hAnsi="Courier New"/>
          <w:sz w:val="16"/>
          <w:szCs w:val="16"/>
          <w:color w:val="auto"/>
        </w:rPr>
        <w:t>Any expenses incurred by the Trustee in actually converting amounts owing Holders of Senior Debt Securities denominated in a currency other than that in which any amount is collected under the Senior Debt Indenture shall be likewise (in accordance with the foregoing) borne ratably by all Holders of Senior Debt Securities to whom amounts are payable under the Senior Debt Indenture. (Sections 506, 902 of the Senior Debt Indenture)</w:t>
      </w:r>
    </w:p>
    <w:p>
      <w:pPr>
        <w:spacing w:after="0" w:line="185" w:lineRule="exact"/>
        <w:rPr>
          <w:sz w:val="20"/>
          <w:szCs w:val="20"/>
          <w:color w:val="auto"/>
        </w:rPr>
      </w:pPr>
    </w:p>
    <w:p>
      <w:pPr>
        <w:ind w:right="2239" w:firstLine="632"/>
        <w:spacing w:after="0" w:line="269" w:lineRule="auto"/>
        <w:rPr>
          <w:sz w:val="20"/>
          <w:szCs w:val="20"/>
          <w:color w:val="auto"/>
        </w:rPr>
      </w:pPr>
      <w:r>
        <w:rPr>
          <w:rFonts w:ascii="Courier New" w:cs="Courier New" w:eastAsia="Courier New" w:hAnsi="Courier New"/>
          <w:sz w:val="16"/>
          <w:szCs w:val="16"/>
          <w:color w:val="auto"/>
        </w:rPr>
        <w:t>To the fullest extent allowed under applicable law, if for the purpose of obtaining judgment against us in any court it is necessary to convert the sum due in respect of the principal of, or premium, if any, or interest on, the Senior Debt Securities of any series (the "Required Currency") into a currency in which a judgment will be rendered (the "Judgment Currency"), the rate of exchange used shall be the rate at which in accordance with normal banking procedures the Trustee could purchase in the City of New York the Required Currency with the Judgment Currency on the Business Day in the City of New York next preceding that on which final judgment is given. Neither we nor the Trustee shall be liable for any shortfall nor shall either of them benefit from any windfall in payments to Holders of Senior Debt Securities under this provision of the Senior Debt Indenture caused by a change in exchange rates between the time the amount of a judgment against us is calculated as above and the time the Trustee converts the Judgment Currency into the Required Currency to make payments under the foregoing provisions of the Senior Debt Indenture to Holders of</w:t>
      </w:r>
    </w:p>
    <w:p>
      <w:pPr>
        <w:sectPr>
          <w:pgSz w:w="11900" w:h="16838" w:orient="portrait"/>
          <w:cols w:equalWidth="0" w:num="1">
            <w:col w:w="10139"/>
          </w:cols>
          <w:pgMar w:left="320" w:top="142" w:right="1440" w:bottom="0" w:gutter="0" w:footer="0" w:header="0"/>
        </w:sectPr>
      </w:pPr>
    </w:p>
    <w:bookmarkStart w:id="30" w:name="page31"/>
    <w:bookmarkEnd w:id="30"/>
    <w:p>
      <w:pPr>
        <w:ind w:right="2559"/>
        <w:spacing w:after="0" w:line="236" w:lineRule="auto"/>
        <w:rPr>
          <w:sz w:val="20"/>
          <w:szCs w:val="20"/>
          <w:color w:val="auto"/>
        </w:rPr>
      </w:pPr>
      <w:r>
        <w:rPr>
          <w:rFonts w:ascii="Courier New" w:cs="Courier New" w:eastAsia="Courier New" w:hAnsi="Courier New"/>
          <w:sz w:val="18"/>
          <w:szCs w:val="18"/>
          <w:color w:val="auto"/>
        </w:rPr>
        <w:t>Senior Debt Securities, but payment of such judgment shall discharge all amounts owed by us on the claim or claims underlying such judgment. (Section 506 of the Senior Debt Indenture)</w:t>
      </w:r>
    </w:p>
    <w:p>
      <w:pPr>
        <w:spacing w:after="0" w:line="208" w:lineRule="exact"/>
        <w:rPr>
          <w:sz w:val="20"/>
          <w:szCs w:val="20"/>
          <w:color w:val="auto"/>
        </w:rPr>
      </w:pPr>
    </w:p>
    <w:p>
      <w:pPr>
        <w:ind w:right="2339" w:firstLine="632"/>
        <w:spacing w:after="0" w:line="236" w:lineRule="auto"/>
        <w:rPr>
          <w:sz w:val="20"/>
          <w:szCs w:val="20"/>
          <w:color w:val="auto"/>
        </w:rPr>
      </w:pPr>
      <w:r>
        <w:rPr>
          <w:rFonts w:ascii="Courier New" w:cs="Courier New" w:eastAsia="Courier New" w:hAnsi="Courier New"/>
          <w:sz w:val="18"/>
          <w:szCs w:val="18"/>
          <w:color w:val="auto"/>
        </w:rPr>
        <w:t>We are required to furnish to the Trustee annually a statement as to our compliance with all conditions and covenants under the Senior Debt Indenture. (Section 1006)</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PROVISIONS APPLICABLE SOLELY TO SUBORDINATED DEBT SECURITIES</w:t>
      </w:r>
    </w:p>
    <w:p>
      <w:pPr>
        <w:spacing w:after="0" w:line="207" w:lineRule="exact"/>
        <w:rPr>
          <w:sz w:val="20"/>
          <w:szCs w:val="20"/>
          <w:color w:val="auto"/>
        </w:rPr>
      </w:pPr>
    </w:p>
    <w:p>
      <w:pPr>
        <w:ind w:right="2239" w:firstLine="632"/>
        <w:spacing w:after="0" w:line="268" w:lineRule="auto"/>
        <w:rPr>
          <w:sz w:val="20"/>
          <w:szCs w:val="20"/>
          <w:color w:val="auto"/>
        </w:rPr>
      </w:pPr>
      <w:r>
        <w:rPr>
          <w:rFonts w:ascii="Courier New" w:cs="Courier New" w:eastAsia="Courier New" w:hAnsi="Courier New"/>
          <w:sz w:val="16"/>
          <w:szCs w:val="16"/>
          <w:color w:val="auto"/>
        </w:rPr>
        <w:t>Consolidation, Merger, Sale. The Subordinated Debt Indenture provides that we may not consolidate with or merge into any other Person or convey, transfer or lease its properties and assets substantially as an entirety to any Person, unless (1) the Person formed by such consolidation or into which we merge or the Person which acquires by conveyance or transfer, or which leases, our properties and assets substantially as an entirety shall be a corporation, partnership or trust, organized and validly existing under the laws of the United States, any State thereof or the District of Columbia and shall expressly assume, by a supplemental indenture, executed and delivered to the Trustee, in form satisfactory to the Trustee, the due and punctual payment of the principal of and any premium and interest (including all additional amounts, if any, payable pursuant to the Subordinated Debt Indenture) on all the Subordinated Debt Securities and the performance or observance of every other covenant of the Subordinated Debt Indenture to be performed or observed on our part; and (2) immediately after giving effect to such transaction and treating any indebtedness which becomes our or our subsidiaries' obligation as a result of such transaction as having been incurred by us or such Subsidiary at the time of such transaction, no Event of Default, and no event which, after notice or lapse of time or both, would become an Event of Default, shall have happened and be continuing. Upon any consolidation of us with, or merger of us into, any other Person or any conveyance, transfer or lease of our properties and assets substantially as an entirety, the successor Person formed by such consolidation or into which we are merged or to which such conveyance, transfer or lease is made shall succeed to, and be substituted for, and may exercise our every right and power under the Subordinated Debt Indenture with the same effect as if such successor Person had been named as us herein, and thereafter, except in the case of a lease, the predecessor Person shall be relieved of all obligations and covenants under the Subordinated Debt Indenture and the Subordinated Debt Securities and coupons and may liquidate and dissolve. (Sections 801, 802 of the Subordinated Debt Indenture)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2439" w:firstLine="632"/>
        <w:spacing w:after="0" w:line="237" w:lineRule="auto"/>
        <w:rPr>
          <w:sz w:val="20"/>
          <w:szCs w:val="20"/>
          <w:color w:val="auto"/>
        </w:rPr>
      </w:pPr>
      <w:r>
        <w:rPr>
          <w:rFonts w:ascii="Courier New" w:cs="Courier New" w:eastAsia="Courier New" w:hAnsi="Courier New"/>
          <w:sz w:val="18"/>
          <w:szCs w:val="18"/>
          <w:color w:val="auto"/>
        </w:rPr>
        <w:t>Events of Default. Unless otherwise specified in the applicable prospectus supplement, an Event of Default is defined under the Subordinated Debt Indenture with respect to the Subordinated Debt Securities of any series issued under such Subordinated Debt Indenture as being one or more of the following events:</w:t>
      </w:r>
    </w:p>
    <w:p>
      <w:pPr>
        <w:spacing w:after="0" w:line="208" w:lineRule="exact"/>
        <w:rPr>
          <w:sz w:val="20"/>
          <w:szCs w:val="20"/>
          <w:color w:val="auto"/>
        </w:rPr>
      </w:pPr>
    </w:p>
    <w:p>
      <w:pPr>
        <w:ind w:left="640" w:right="2339" w:firstLine="632"/>
        <w:spacing w:after="0" w:line="279" w:lineRule="auto"/>
        <w:tabs>
          <w:tab w:leader="none" w:pos="1693" w:val="left"/>
        </w:tabs>
        <w:numPr>
          <w:ilvl w:val="1"/>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default in the payment of any interest upon any Subordinated Debt Security of that series when it becomes due and payable, and continuance of such default for a period of 30 days; or</w:t>
      </w:r>
    </w:p>
    <w:p>
      <w:pPr>
        <w:spacing w:after="0" w:line="177" w:lineRule="exact"/>
        <w:rPr>
          <w:rFonts w:ascii="Courier New" w:cs="Courier New" w:eastAsia="Courier New" w:hAnsi="Courier New"/>
          <w:sz w:val="16"/>
          <w:szCs w:val="16"/>
          <w:color w:val="auto"/>
        </w:rPr>
      </w:pPr>
    </w:p>
    <w:p>
      <w:pPr>
        <w:ind w:left="640" w:right="2339" w:firstLine="632"/>
        <w:spacing w:after="0" w:line="275" w:lineRule="auto"/>
        <w:tabs>
          <w:tab w:leader="none" w:pos="1693" w:val="left"/>
        </w:tabs>
        <w:numPr>
          <w:ilvl w:val="1"/>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default in the payment of the principal of (or premium, if any, on) any Subordinated Debt Security of that series as and when the same becomes due and payable, whether at Stated Maturity or by declaration of acceleration, call for redemption or otherwise; or</w:t>
      </w:r>
    </w:p>
    <w:p>
      <w:pPr>
        <w:spacing w:after="0" w:line="181" w:lineRule="exact"/>
        <w:rPr>
          <w:rFonts w:ascii="Courier New" w:cs="Courier New" w:eastAsia="Courier New" w:hAnsi="Courier New"/>
          <w:sz w:val="16"/>
          <w:szCs w:val="16"/>
          <w:color w:val="auto"/>
        </w:rPr>
      </w:pPr>
    </w:p>
    <w:p>
      <w:pPr>
        <w:ind w:left="640" w:right="1919" w:firstLine="632"/>
        <w:spacing w:after="0" w:line="290" w:lineRule="auto"/>
        <w:tabs>
          <w:tab w:leader="none" w:pos="1904" w:val="left"/>
        </w:tabs>
        <w:numPr>
          <w:ilvl w:val="1"/>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default in the deposit of any sinking fund payment, when and as due by the terms of a Subordinated Debt Security of that series; or</w:t>
      </w:r>
    </w:p>
    <w:p>
      <w:pPr>
        <w:spacing w:after="0" w:line="169" w:lineRule="exact"/>
        <w:rPr>
          <w:rFonts w:ascii="Courier New" w:cs="Courier New" w:eastAsia="Courier New" w:hAnsi="Courier New"/>
          <w:sz w:val="16"/>
          <w:szCs w:val="16"/>
          <w:color w:val="auto"/>
        </w:rPr>
      </w:pPr>
    </w:p>
    <w:p>
      <w:pPr>
        <w:ind w:left="640" w:right="2239" w:firstLine="632"/>
        <w:spacing w:after="0" w:line="270" w:lineRule="auto"/>
        <w:tabs>
          <w:tab w:leader="none" w:pos="1693" w:val="left"/>
        </w:tabs>
        <w:numPr>
          <w:ilvl w:val="1"/>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default in the performance, or breach, of any of our other covenants or warranties in the Subordinated Debt Indenture (other than a covenant or warranty a default in whose performance or whose breach is elsewhere in Section 501 of the Subordinated Debt Indenture specifically dealt with or which has expressly been included in the Subordinated Debt Indenture solely for the benefit of a series of Subordinated Debt Securities other than that series), and continuance of such default or breach for a period of 90 days after there has been given, by registered or certified mail, to us by the Trustee or to us and the Trustee by the Holders of at least 25% in principal amount of the Outstanding Subordinated Debt Securities of that series a written notice specifying such default or breach and requiring it to be remedied and stating that such notice is a "Notice of Default" under the Subordinated Debt Indenture; or</w:t>
      </w:r>
    </w:p>
    <w:p>
      <w:pPr>
        <w:spacing w:after="0" w:line="381" w:lineRule="exact"/>
        <w:rPr>
          <w:rFonts w:ascii="Courier New" w:cs="Courier New" w:eastAsia="Courier New" w:hAnsi="Courier New"/>
          <w:sz w:val="16"/>
          <w:szCs w:val="16"/>
          <w:color w:val="auto"/>
        </w:rPr>
      </w:pPr>
    </w:p>
    <w:p>
      <w:pPr>
        <w:ind w:left="1700" w:hanging="428"/>
        <w:spacing w:after="0"/>
        <w:tabs>
          <w:tab w:leader="none" w:pos="1700" w:val="left"/>
        </w:tabs>
        <w:numPr>
          <w:ilvl w:val="1"/>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entry by a court having jurisdiction in the premises of</w:t>
      </w:r>
    </w:p>
    <w:p>
      <w:pPr>
        <w:ind w:left="1060" w:hanging="420"/>
        <w:spacing w:after="0" w:line="238" w:lineRule="auto"/>
        <w:tabs>
          <w:tab w:leader="none" w:pos="106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decree or order for relief in respect of us in an involuntary</w:t>
      </w:r>
    </w:p>
    <w:p>
      <w:pPr>
        <w:spacing w:after="0" w:line="5" w:lineRule="exact"/>
        <w:rPr>
          <w:sz w:val="20"/>
          <w:szCs w:val="20"/>
          <w:color w:val="auto"/>
        </w:rPr>
      </w:pPr>
    </w:p>
    <w:p>
      <w:pPr>
        <w:ind w:left="640" w:right="2339"/>
        <w:spacing w:after="0" w:line="279" w:lineRule="auto"/>
        <w:rPr>
          <w:sz w:val="20"/>
          <w:szCs w:val="20"/>
          <w:color w:val="auto"/>
        </w:rPr>
      </w:pPr>
      <w:r>
        <w:rPr>
          <w:rFonts w:ascii="Courier New" w:cs="Courier New" w:eastAsia="Courier New" w:hAnsi="Courier New"/>
          <w:sz w:val="16"/>
          <w:szCs w:val="16"/>
          <w:color w:val="auto"/>
        </w:rPr>
        <w:t>case or proceeding under any applicable Federal or State bankruptcy, insolvency, reorganization or other similar law or (B) a decree or order adjudging us a bankrupt or insolvent, or approving as properly</w:t>
      </w:r>
    </w:p>
    <w:p>
      <w:pPr>
        <w:sectPr>
          <w:pgSz w:w="11900" w:h="16838" w:orient="portrait"/>
          <w:cols w:equalWidth="0" w:num="1">
            <w:col w:w="10139"/>
          </w:cols>
          <w:pgMar w:left="320" w:top="142" w:right="1440" w:bottom="0" w:gutter="0" w:footer="0" w:header="0"/>
        </w:sectPr>
      </w:pPr>
    </w:p>
    <w:bookmarkStart w:id="31" w:name="page32"/>
    <w:bookmarkEnd w:id="31"/>
    <w:p>
      <w:pPr>
        <w:ind w:left="640" w:right="2239"/>
        <w:spacing w:after="0" w:line="237" w:lineRule="auto"/>
        <w:rPr>
          <w:sz w:val="20"/>
          <w:szCs w:val="20"/>
          <w:color w:val="auto"/>
        </w:rPr>
      </w:pPr>
      <w:r>
        <w:rPr>
          <w:rFonts w:ascii="Courier New" w:cs="Courier New" w:eastAsia="Courier New" w:hAnsi="Courier New"/>
          <w:sz w:val="18"/>
          <w:szCs w:val="18"/>
          <w:color w:val="auto"/>
        </w:rPr>
        <w:t>filed a petition seeking reorganization, arrangement, adjustment or composition of or in respect of us under any applicable Federal or State law, or appointing a custodian, receiver, liquidator, assignee, trustee, sequestrator or other similar official of us or of any substantial part of its property, or ordering the winding up or liquidation of its affairs, and the continuance of any such decree or order for relief or any such other decree or order unstayed and in effect for a period of 90 consecutive days; or</w:t>
      </w:r>
    </w:p>
    <w:p>
      <w:pPr>
        <w:spacing w:after="0" w:line="212" w:lineRule="exact"/>
        <w:rPr>
          <w:sz w:val="20"/>
          <w:szCs w:val="20"/>
          <w:color w:val="auto"/>
        </w:rPr>
      </w:pPr>
    </w:p>
    <w:p>
      <w:pPr>
        <w:ind w:left="640" w:right="2239" w:firstLine="632"/>
        <w:spacing w:after="0" w:line="269" w:lineRule="auto"/>
        <w:tabs>
          <w:tab w:leader="none" w:pos="1693"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commencement by us of a voluntary case or proceeding under any applicable Federal or State bankruptcy, insolvency, reorganization or other similar law or of any other case or proceeding to be adjudicated a bankrupt or insolvent, or the consent by us to the entry of a decree or order for relief in respect of us in an involuntary case or proceeding under any applicable Federal or State bankruptcy, insolvency, reorganization or other similar law or the commencement of any bankruptcy or insolvency case or proceeding against us, or the filing by us of a petition or answer or consent seeking reorganization or relief under any applicable Federal or State law, or the consent by us to the filing of such petition or to the appointment of or taking possession by a custodian, receiver, liquidator, assignee, trustee, sequestrator or similar official of us or of any substantial part of our property, or the making by us of an assignment for the benefit of creditors, or the admission by us in writing of our inability to pay our debts generally as they become due, or the taking of corporate action by us in furtherance of any such action; or</w:t>
      </w:r>
    </w:p>
    <w:p>
      <w:pPr>
        <w:spacing w:after="0" w:line="200" w:lineRule="exact"/>
        <w:rPr>
          <w:rFonts w:ascii="Courier New" w:cs="Courier New" w:eastAsia="Courier New" w:hAnsi="Courier New"/>
          <w:sz w:val="16"/>
          <w:szCs w:val="16"/>
          <w:color w:val="auto"/>
        </w:rPr>
      </w:pPr>
    </w:p>
    <w:p>
      <w:pPr>
        <w:spacing w:after="0" w:line="397" w:lineRule="exact"/>
        <w:rPr>
          <w:rFonts w:ascii="Courier New" w:cs="Courier New" w:eastAsia="Courier New" w:hAnsi="Courier New"/>
          <w:sz w:val="16"/>
          <w:szCs w:val="16"/>
          <w:color w:val="auto"/>
        </w:rPr>
      </w:pPr>
    </w:p>
    <w:p>
      <w:pPr>
        <w:ind w:left="640" w:right="2659" w:firstLine="632"/>
        <w:spacing w:after="0" w:line="236" w:lineRule="auto"/>
        <w:tabs>
          <w:tab w:leader="none" w:pos="1904"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other Event of Default provided with respect to Subordinated Debt Securities of that series. (Section 501 of the Subordinated Debt Indenture)</w:t>
      </w:r>
    </w:p>
    <w:p>
      <w:pPr>
        <w:spacing w:after="0" w:line="208" w:lineRule="exact"/>
        <w:rPr>
          <w:sz w:val="20"/>
          <w:szCs w:val="20"/>
          <w:color w:val="auto"/>
        </w:rPr>
      </w:pPr>
    </w:p>
    <w:p>
      <w:pPr>
        <w:ind w:right="2239" w:firstLine="632"/>
        <w:spacing w:after="0" w:line="269" w:lineRule="auto"/>
        <w:rPr>
          <w:sz w:val="20"/>
          <w:szCs w:val="20"/>
          <w:color w:val="auto"/>
        </w:rPr>
      </w:pPr>
      <w:r>
        <w:rPr>
          <w:rFonts w:ascii="Courier New" w:cs="Courier New" w:eastAsia="Courier New" w:hAnsi="Courier New"/>
          <w:sz w:val="16"/>
          <w:szCs w:val="16"/>
          <w:color w:val="auto"/>
        </w:rPr>
        <w:t>Remedies. If an Event of Default with respect to Subordinated Debt Securities of any series at the time Outstanding occurs and is continuing, then in every such case, the Trustee or the Holders of not less than 25% in principal amount of the Outstanding Subordinated Debt Securities of that series may declare the principal amount (or, if any of the Subordinated Debt Securities of that series are Original Issue Discount Securities, such portion of the principal amount of such Subordinated Debt Securities as may be specified in the terms thereof) of all of the Subordinated Debt Securities of that series to be due and payable immediately, by a notice in writing to us (and to the Trustee if given by Holders), and upon any such declaration such principal amount (or specified amount) shall become immediately due and payable. At any time after such a declaration of acceleration with respect to the Subordinated Debt Securities of any series has been made and before a judgment or decree for payment of the money due has been obtained by the Trustee, the Holders of a majority in principal amount of the Outstanding Subordinated Debt Securities of that series, by written notice to us and the Trustee, may rescind and annul such declaration and its consequences if:</w:t>
      </w:r>
    </w:p>
    <w:p>
      <w:pPr>
        <w:spacing w:after="0" w:line="394" w:lineRule="exact"/>
        <w:rPr>
          <w:sz w:val="20"/>
          <w:szCs w:val="20"/>
          <w:color w:val="auto"/>
        </w:rPr>
      </w:pPr>
    </w:p>
    <w:p>
      <w:pPr>
        <w:ind w:left="1580" w:right="2339" w:hanging="519"/>
        <w:spacing w:after="0" w:line="235" w:lineRule="auto"/>
        <w:tabs>
          <w:tab w:leader="none" w:pos="1580"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have paid or deposited with the Trustee a sum sufficient to pay:</w:t>
      </w:r>
    </w:p>
    <w:p>
      <w:pPr>
        <w:spacing w:after="0" w:line="208" w:lineRule="exact"/>
        <w:rPr>
          <w:sz w:val="20"/>
          <w:szCs w:val="20"/>
          <w:color w:val="auto"/>
        </w:rPr>
      </w:pPr>
    </w:p>
    <w:p>
      <w:pPr>
        <w:ind w:left="1580" w:right="2339" w:hanging="519"/>
        <w:spacing w:after="0" w:line="235" w:lineRule="auto"/>
        <w:tabs>
          <w:tab w:leader="none" w:pos="1580"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overdue interest on all Subordinated Debt Securities of that series;</w:t>
      </w:r>
    </w:p>
    <w:p>
      <w:pPr>
        <w:spacing w:after="0" w:line="208" w:lineRule="exact"/>
        <w:rPr>
          <w:rFonts w:ascii="Courier New" w:cs="Courier New" w:eastAsia="Courier New" w:hAnsi="Courier New"/>
          <w:sz w:val="18"/>
          <w:szCs w:val="18"/>
          <w:color w:val="auto"/>
        </w:rPr>
      </w:pPr>
    </w:p>
    <w:p>
      <w:pPr>
        <w:ind w:left="1580" w:right="2239" w:hanging="519"/>
        <w:spacing w:after="0" w:line="237" w:lineRule="auto"/>
        <w:tabs>
          <w:tab w:leader="none" w:pos="1580"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principal of (and premium, if any, on) any Subordinated Debt Securities of that series which has become due otherwise than by such declaration of acceleration and any interest thereon at the rate or rates prescribed therefor in such Subordinated Debt Securities;</w:t>
      </w:r>
    </w:p>
    <w:p>
      <w:pPr>
        <w:spacing w:after="0" w:line="208" w:lineRule="exact"/>
        <w:rPr>
          <w:rFonts w:ascii="Courier New" w:cs="Courier New" w:eastAsia="Courier New" w:hAnsi="Courier New"/>
          <w:sz w:val="18"/>
          <w:szCs w:val="18"/>
          <w:color w:val="auto"/>
        </w:rPr>
      </w:pPr>
    </w:p>
    <w:p>
      <w:pPr>
        <w:ind w:left="1580" w:right="2559" w:hanging="519"/>
        <w:spacing w:after="0" w:line="237" w:lineRule="auto"/>
        <w:tabs>
          <w:tab w:leader="none" w:pos="1580"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the extent that payment of such interest is lawful, interest upon overdue interest at the rate or rates prescribed therefor in such Subordinated Debt Securities, and</w:t>
      </w:r>
    </w:p>
    <w:p>
      <w:pPr>
        <w:spacing w:after="0" w:line="207" w:lineRule="exact"/>
        <w:rPr>
          <w:rFonts w:ascii="Courier New" w:cs="Courier New" w:eastAsia="Courier New" w:hAnsi="Courier New"/>
          <w:sz w:val="18"/>
          <w:szCs w:val="18"/>
          <w:color w:val="auto"/>
        </w:rPr>
      </w:pPr>
    </w:p>
    <w:p>
      <w:pPr>
        <w:ind w:left="1580" w:right="2439" w:hanging="519"/>
        <w:spacing w:after="0" w:line="236" w:lineRule="auto"/>
        <w:tabs>
          <w:tab w:leader="none" w:pos="1580"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sums paid or advanced by the Trustee hereunder and the reasonable compensation, expenses, disbursements and advances of the Trustee, its agents and counsel; and</w:t>
      </w:r>
    </w:p>
    <w:p>
      <w:pPr>
        <w:spacing w:after="0" w:line="208" w:lineRule="exact"/>
        <w:rPr>
          <w:sz w:val="20"/>
          <w:szCs w:val="20"/>
          <w:color w:val="auto"/>
        </w:rPr>
      </w:pPr>
    </w:p>
    <w:p>
      <w:pPr>
        <w:ind w:left="640" w:right="2559" w:firstLine="421"/>
        <w:spacing w:after="0" w:line="273" w:lineRule="auto"/>
        <w:tabs>
          <w:tab w:leader="none" w:pos="1588"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Events of Default with respect to Subordinated Debt Securities of that series, other than the non-payment of the principal of Subordinated Debt Securities of that series which has become due solely by such declaration of acceleration, have been cured or waived as provided in the Subordinated Debt Indenture.</w:t>
      </w:r>
    </w:p>
    <w:p>
      <w:pPr>
        <w:spacing w:after="0" w:line="184" w:lineRule="exact"/>
        <w:rPr>
          <w:sz w:val="20"/>
          <w:szCs w:val="20"/>
          <w:color w:val="auto"/>
        </w:rPr>
      </w:pPr>
    </w:p>
    <w:p>
      <w:pPr>
        <w:jc w:val="both"/>
        <w:ind w:right="2339" w:firstLine="632"/>
        <w:spacing w:after="0" w:line="279" w:lineRule="auto"/>
        <w:rPr>
          <w:sz w:val="20"/>
          <w:szCs w:val="20"/>
          <w:color w:val="auto"/>
        </w:rPr>
      </w:pPr>
      <w:r>
        <w:rPr>
          <w:rFonts w:ascii="Courier New" w:cs="Courier New" w:eastAsia="Courier New" w:hAnsi="Courier New"/>
          <w:sz w:val="16"/>
          <w:szCs w:val="16"/>
          <w:color w:val="auto"/>
        </w:rPr>
        <w:t>No such rescission shall affect any subsequent default or impair any right consequent thereon. (Section 502 of the Subordinated Debt Indenture) If the Trustee or any Holder of a Subordinated Debt Security or coupon has</w:t>
      </w:r>
    </w:p>
    <w:p>
      <w:pPr>
        <w:sectPr>
          <w:pgSz w:w="11900" w:h="16838" w:orient="portrait"/>
          <w:cols w:equalWidth="0" w:num="1">
            <w:col w:w="10139"/>
          </w:cols>
          <w:pgMar w:left="320" w:top="142" w:right="1440" w:bottom="0" w:gutter="0" w:footer="0" w:header="0"/>
        </w:sectPr>
      </w:pPr>
    </w:p>
    <w:bookmarkStart w:id="32" w:name="page33"/>
    <w:bookmarkEnd w:id="32"/>
    <w:p>
      <w:pPr>
        <w:ind w:right="2339"/>
        <w:spacing w:after="0" w:line="237" w:lineRule="auto"/>
        <w:rPr>
          <w:sz w:val="20"/>
          <w:szCs w:val="20"/>
          <w:color w:val="auto"/>
        </w:rPr>
      </w:pPr>
      <w:r>
        <w:rPr>
          <w:rFonts w:ascii="Courier New" w:cs="Courier New" w:eastAsia="Courier New" w:hAnsi="Courier New"/>
          <w:sz w:val="18"/>
          <w:szCs w:val="18"/>
          <w:color w:val="auto"/>
        </w:rPr>
        <w:t>instituted any proceeding to enforce any right or remedy under the Subordinated Debt Indenture and such proceeding has been discontinued or abandoned for any reason, or has been determined adversely to the Trustee or to such Holder, then and in every such case, subject to any determination in such proceeding, we, the Trustee and the Holders of Subordinated Debt Securities and coupons shall be restored severally and respectively to their former positions under the Subordinated Debt Indenture and the Subordinated Debt Securities and thereafter all rights and remedies of the Trustee and the Holders shall continue as though no such proceeding had been instituted. (Section 509 of the Subordinated Debt Indenture)</w:t>
      </w:r>
    </w:p>
    <w:p>
      <w:pPr>
        <w:spacing w:after="0" w:line="215" w:lineRule="exact"/>
        <w:rPr>
          <w:sz w:val="20"/>
          <w:szCs w:val="20"/>
          <w:color w:val="auto"/>
        </w:rPr>
      </w:pPr>
    </w:p>
    <w:p>
      <w:pPr>
        <w:ind w:right="2239" w:firstLine="632"/>
        <w:spacing w:after="0" w:line="271" w:lineRule="auto"/>
        <w:rPr>
          <w:sz w:val="20"/>
          <w:szCs w:val="20"/>
          <w:color w:val="auto"/>
        </w:rPr>
      </w:pPr>
      <w:r>
        <w:rPr>
          <w:rFonts w:ascii="Courier New" w:cs="Courier New" w:eastAsia="Courier New" w:hAnsi="Courier New"/>
          <w:sz w:val="16"/>
          <w:szCs w:val="16"/>
          <w:color w:val="auto"/>
        </w:rPr>
        <w:t>The Subordinated Debt Indenture provides that, subject to the duty of the Trustee during default to act with the required standard of care, the Trustee is under no obligation to exercise any of its rights or powers under such Indenture at the request or direction of any of the Holders, unless such Holders shall have offered to the Trustee reasonable indemnity. (Sections 601, 603 of the Subordinated Debt Indenture) No Holder of any Subordinated Debt Security of any series or any related coupons shall have any right to institute any proceeding, judicial or otherwise, with respect to the Subordinated Debt Indenture, or for the appointment of a receiver or trustee, or for any other remedy thereunder, unless:</w:t>
      </w:r>
    </w:p>
    <w:p>
      <w:pPr>
        <w:spacing w:after="0" w:line="386" w:lineRule="exact"/>
        <w:rPr>
          <w:sz w:val="20"/>
          <w:szCs w:val="20"/>
          <w:color w:val="auto"/>
        </w:rPr>
      </w:pPr>
    </w:p>
    <w:p>
      <w:pPr>
        <w:ind w:left="640" w:right="2759" w:firstLine="632"/>
        <w:spacing w:after="0" w:line="236" w:lineRule="auto"/>
        <w:tabs>
          <w:tab w:leader="none" w:pos="1693"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Holder has previously given written notice to the Trustee of a continuing Event of Default with respect to the Subordinated Debt Securities of that series;</w:t>
      </w:r>
    </w:p>
    <w:p>
      <w:pPr>
        <w:spacing w:after="0" w:line="208" w:lineRule="exact"/>
        <w:rPr>
          <w:rFonts w:ascii="Courier New" w:cs="Courier New" w:eastAsia="Courier New" w:hAnsi="Courier New"/>
          <w:sz w:val="18"/>
          <w:szCs w:val="18"/>
          <w:color w:val="auto"/>
        </w:rPr>
      </w:pPr>
    </w:p>
    <w:p>
      <w:pPr>
        <w:ind w:left="640" w:right="2239" w:firstLine="632"/>
        <w:spacing w:after="0" w:line="237" w:lineRule="auto"/>
        <w:tabs>
          <w:tab w:leader="none" w:pos="1693"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Holders of not less than 25% in principal amount of the Outstanding Subordinated Debt Securities of that series shall have made written request to the Trustee to institute proceedings in respect of such Event of Default in its own name as Trustee under the Subordinated Debt Indenture;</w:t>
      </w:r>
    </w:p>
    <w:p>
      <w:pPr>
        <w:spacing w:after="0" w:line="208" w:lineRule="exact"/>
        <w:rPr>
          <w:rFonts w:ascii="Courier New" w:cs="Courier New" w:eastAsia="Courier New" w:hAnsi="Courier New"/>
          <w:sz w:val="18"/>
          <w:szCs w:val="18"/>
          <w:color w:val="auto"/>
        </w:rPr>
      </w:pPr>
    </w:p>
    <w:p>
      <w:pPr>
        <w:ind w:left="640" w:right="2439" w:firstLine="632"/>
        <w:spacing w:after="0" w:line="236" w:lineRule="auto"/>
        <w:tabs>
          <w:tab w:leader="none" w:pos="1693"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Holder or Holders have offered to the Trustee reasonable indemnity against the costs, expenses and liabilities to be incurred in compliance with such request;</w:t>
      </w:r>
    </w:p>
    <w:p>
      <w:pPr>
        <w:spacing w:after="0" w:line="208" w:lineRule="exact"/>
        <w:rPr>
          <w:rFonts w:ascii="Courier New" w:cs="Courier New" w:eastAsia="Courier New" w:hAnsi="Courier New"/>
          <w:sz w:val="18"/>
          <w:szCs w:val="18"/>
          <w:color w:val="auto"/>
        </w:rPr>
      </w:pPr>
    </w:p>
    <w:p>
      <w:pPr>
        <w:ind w:left="640" w:right="2439" w:firstLine="632"/>
        <w:spacing w:after="0" w:line="236" w:lineRule="auto"/>
        <w:tabs>
          <w:tab w:leader="none" w:pos="1693"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Trustee for 60 days after its receipt of such notice, request and offer of indemnity has failed to institute any such proceeding; and</w:t>
      </w:r>
    </w:p>
    <w:p>
      <w:pPr>
        <w:spacing w:after="0" w:line="208" w:lineRule="exact"/>
        <w:rPr>
          <w:rFonts w:ascii="Courier New" w:cs="Courier New" w:eastAsia="Courier New" w:hAnsi="Courier New"/>
          <w:sz w:val="18"/>
          <w:szCs w:val="18"/>
          <w:color w:val="auto"/>
        </w:rPr>
      </w:pPr>
    </w:p>
    <w:p>
      <w:pPr>
        <w:ind w:left="640" w:right="1919" w:firstLine="632"/>
        <w:spacing w:after="0" w:line="237" w:lineRule="auto"/>
        <w:tabs>
          <w:tab w:leader="none" w:pos="1904"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direction inconsistent with such written request has been given to the Trustee during such 60-day period by the Holders of a majority in principal amount of the Outstanding Subordinated Debt Securities of that series. (Section 507 of the Subordinated Debt Indenture)</w:t>
      </w:r>
    </w:p>
    <w:p>
      <w:pPr>
        <w:spacing w:after="0" w:line="208" w:lineRule="exact"/>
        <w:rPr>
          <w:sz w:val="20"/>
          <w:szCs w:val="20"/>
          <w:color w:val="auto"/>
        </w:rPr>
      </w:pPr>
    </w:p>
    <w:p>
      <w:pPr>
        <w:ind w:right="2339" w:firstLine="632"/>
        <w:spacing w:after="0" w:line="270" w:lineRule="auto"/>
        <w:rPr>
          <w:sz w:val="20"/>
          <w:szCs w:val="20"/>
          <w:color w:val="auto"/>
        </w:rPr>
      </w:pPr>
      <w:r>
        <w:rPr>
          <w:rFonts w:ascii="Courier New" w:cs="Courier New" w:eastAsia="Courier New" w:hAnsi="Courier New"/>
          <w:sz w:val="16"/>
          <w:szCs w:val="16"/>
          <w:color w:val="auto"/>
        </w:rPr>
        <w:t>Notwithstanding any other provisions in the Subordinated Debt Indenture, but subject to the subordination provisions of the Subordinated Debt Indenture, the right of any Holder of any Subordinated Debt Security or coupon to receive payment of the principal of and any premium and any interest on such Subordinated Debt Security or payment of such coupon on the Stated Maturity or Maturities expressed in such Subordinated Debt Security or coupon and, if applicable, to convert such Subordinated Debt Security as provided in the conversion provisions of the Subordinated Debt Indenture and to institute suit for the enforcement of any such payment or conversion right shall not be impaired without the consent of such Holder. (Sections 508, 902 of the Subordinated Debt Indenture)</w:t>
      </w:r>
    </w:p>
    <w:p>
      <w:pPr>
        <w:spacing w:after="0" w:line="391" w:lineRule="exact"/>
        <w:rPr>
          <w:sz w:val="20"/>
          <w:szCs w:val="20"/>
          <w:color w:val="auto"/>
        </w:rPr>
      </w:pPr>
    </w:p>
    <w:p>
      <w:pPr>
        <w:ind w:right="2239" w:firstLine="632"/>
        <w:spacing w:after="0" w:line="269" w:lineRule="auto"/>
        <w:rPr>
          <w:sz w:val="20"/>
          <w:szCs w:val="20"/>
          <w:color w:val="auto"/>
        </w:rPr>
      </w:pPr>
      <w:r>
        <w:rPr>
          <w:rFonts w:ascii="Courier New" w:cs="Courier New" w:eastAsia="Courier New" w:hAnsi="Courier New"/>
          <w:sz w:val="16"/>
          <w:szCs w:val="16"/>
          <w:color w:val="auto"/>
        </w:rPr>
        <w:t>The Holders of a majority in principal amount of the Outstanding Subordinated Debt Securities of any series shall have the right to direct the time, method and place of conducting any proceeding for any remedy available to the Trustee, or exercising any trust or power conferred on the Trustee, with respect to the Subordinated Debt Securities of such series, provided that (1) such direction shall not be in conflict with any rule of law or with the Subordinated Debt Indenture; (2) the Trustee may take any other action deemed proper by the Trustee which is not inconsistent with such direction; and (3) the Trustee shall not be obligated to take any action unduly prejudicial to Holders not joining in such direction or involving the Trustee in personal liability. (Section 512 of the Subordinated Debt Indenture) The Holders of a majority in principal amount of the Outstanding Subordinated Debt Securities of any series may on behalf of the Holders of all the Subordinated Debt Securities of such series waive any past default under the Subordinated Debt Indenture with respect to the Subordinated Debt Securities of such series and its consequences, except a default in the payment of the principal of or any premium or interest on any Subordinated Debt Security of such series or in respect of a covenant or provision of the Subordinated Debt Indenture which, pursuant to the Subordinated Debt Indenture, cannot be modified or amended without the consent of the Holder of each Outstanding Subordinated Debt Security of such series affected. Upon any such waiver, such default shall cease to</w:t>
      </w:r>
    </w:p>
    <w:p>
      <w:pPr>
        <w:sectPr>
          <w:pgSz w:w="11900" w:h="16838" w:orient="portrait"/>
          <w:cols w:equalWidth="0" w:num="1">
            <w:col w:w="10139"/>
          </w:cols>
          <w:pgMar w:left="320" w:top="142" w:right="1440" w:bottom="0" w:gutter="0" w:footer="0" w:header="0"/>
        </w:sectPr>
      </w:pPr>
    </w:p>
    <w:bookmarkStart w:id="33" w:name="page34"/>
    <w:bookmarkEnd w:id="33"/>
    <w:p>
      <w:pPr>
        <w:ind w:right="2439"/>
        <w:spacing w:after="0" w:line="237" w:lineRule="auto"/>
        <w:rPr>
          <w:sz w:val="20"/>
          <w:szCs w:val="20"/>
          <w:color w:val="auto"/>
        </w:rPr>
      </w:pPr>
      <w:r>
        <w:rPr>
          <w:rFonts w:ascii="Courier New" w:cs="Courier New" w:eastAsia="Courier New" w:hAnsi="Courier New"/>
          <w:sz w:val="18"/>
          <w:szCs w:val="18"/>
          <w:color w:val="auto"/>
        </w:rPr>
        <w:t>exist, and any Event of Default arising therefrom shall be deemed to have been cured, for every purpose of the Subordinated Debt Indenture; but no such waiver shall extend to any subsequent or other default or impair any right consequent thereon. (Sections 902, 513 of the Subordinated Debt Indenture)</w:t>
      </w:r>
    </w:p>
    <w:p>
      <w:pPr>
        <w:spacing w:after="0" w:line="208" w:lineRule="exact"/>
        <w:rPr>
          <w:sz w:val="20"/>
          <w:szCs w:val="20"/>
          <w:color w:val="auto"/>
        </w:rPr>
      </w:pPr>
    </w:p>
    <w:p>
      <w:pPr>
        <w:ind w:right="2239" w:firstLine="632"/>
        <w:spacing w:after="0" w:line="237" w:lineRule="auto"/>
        <w:rPr>
          <w:sz w:val="20"/>
          <w:szCs w:val="20"/>
          <w:color w:val="auto"/>
        </w:rPr>
      </w:pPr>
      <w:r>
        <w:rPr>
          <w:rFonts w:ascii="Courier New" w:cs="Courier New" w:eastAsia="Courier New" w:hAnsi="Courier New"/>
          <w:sz w:val="18"/>
          <w:szCs w:val="18"/>
          <w:color w:val="auto"/>
        </w:rPr>
        <w:t>If a default occurs under the Subordinated Debt Indenture with respect to Subordinated Debt Securities of any series, the Trustee shall give the Holders of Subordinated Debt Securities of such series notice of such default as and to the extent provided by the Trust Indenture Act; provided, however, that in the case of any default or breach of certain covenants or warranties with respect to Subordinated Debt Securities of such series, no such notice to Holders shall be given until at least 30 days after the occurrence thereof (the term "default" for purposes of these provisions being defined as any event which is, or after notice or lapse of time or both would become, an Event of Default with respect to the Subordinated Debt Securities of such series). (Section 602 of the Subordinated Debt Indenture)</w:t>
      </w:r>
    </w:p>
    <w:p>
      <w:pPr>
        <w:spacing w:after="0" w:line="216" w:lineRule="exact"/>
        <w:rPr>
          <w:sz w:val="20"/>
          <w:szCs w:val="20"/>
          <w:color w:val="auto"/>
        </w:rPr>
      </w:pPr>
    </w:p>
    <w:p>
      <w:pPr>
        <w:ind w:right="2339" w:firstLine="632"/>
        <w:spacing w:after="0" w:line="237" w:lineRule="auto"/>
        <w:rPr>
          <w:sz w:val="20"/>
          <w:szCs w:val="20"/>
          <w:color w:val="auto"/>
        </w:rPr>
      </w:pPr>
      <w:r>
        <w:rPr>
          <w:rFonts w:ascii="Courier New" w:cs="Courier New" w:eastAsia="Courier New" w:hAnsi="Courier New"/>
          <w:sz w:val="18"/>
          <w:szCs w:val="18"/>
          <w:color w:val="auto"/>
        </w:rPr>
        <w:t>In any case in which Subordinated Debt Securities are Outstanding that are denominated in more than one currency and the Trustee is directed to make ratable payments under the Subordinated Debt Indenture to Holders of such Subordinated Debt Securities, unless otherwise provided with respect to any series of Subordinated Debt Securities, the Trustee shall calculate the amount of such payments as follows:</w:t>
      </w:r>
    </w:p>
    <w:p>
      <w:pPr>
        <w:spacing w:after="0" w:line="209" w:lineRule="exact"/>
        <w:rPr>
          <w:sz w:val="20"/>
          <w:szCs w:val="20"/>
          <w:color w:val="auto"/>
        </w:rPr>
      </w:pPr>
    </w:p>
    <w:p>
      <w:pPr>
        <w:ind w:left="640" w:right="2239" w:firstLine="632"/>
        <w:spacing w:after="0" w:line="237" w:lineRule="auto"/>
        <w:tabs>
          <w:tab w:leader="none" w:pos="1693" w:val="left"/>
        </w:tabs>
        <w:numPr>
          <w:ilvl w:val="1"/>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of the day the Trustee collects an amount under the Subordinated Debt Indenture, the Trustee shall, as to each Holder of a Subordinated Debt Security to whom an amount is due and payable under the Subordinated Debt Indenture that is denominated in a foreign currency, determine that amount in Dollars that would be obtained for the amount owing such Holder, using the rate of exchange at which in accordance with normal banking procedures the Trustee could purchase in the City of New York Dollars with such amount owing;</w:t>
      </w:r>
    </w:p>
    <w:p>
      <w:pPr>
        <w:spacing w:after="0" w:line="207" w:lineRule="exact"/>
        <w:rPr>
          <w:rFonts w:ascii="Courier New" w:cs="Courier New" w:eastAsia="Courier New" w:hAnsi="Courier New"/>
          <w:sz w:val="18"/>
          <w:szCs w:val="18"/>
          <w:color w:val="auto"/>
        </w:rPr>
      </w:pPr>
    </w:p>
    <w:p>
      <w:pPr>
        <w:ind w:left="1900" w:hanging="628"/>
        <w:spacing w:after="0"/>
        <w:tabs>
          <w:tab w:leader="none" w:pos="1900" w:val="left"/>
        </w:tabs>
        <w:numPr>
          <w:ilvl w:val="1"/>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calculate the sum of all Dollar amounts determined under</w:t>
      </w:r>
    </w:p>
    <w:p>
      <w:pPr>
        <w:ind w:left="1060" w:hanging="420"/>
        <w:spacing w:after="0" w:line="238" w:lineRule="auto"/>
        <w:tabs>
          <w:tab w:leader="none" w:pos="1060"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and add thereto any amounts due and payable in Dollars; and</w:t>
      </w:r>
    </w:p>
    <w:p>
      <w:pPr>
        <w:spacing w:after="0" w:line="207" w:lineRule="exact"/>
        <w:rPr>
          <w:rFonts w:ascii="Courier New" w:cs="Courier New" w:eastAsia="Courier New" w:hAnsi="Courier New"/>
          <w:sz w:val="18"/>
          <w:szCs w:val="18"/>
          <w:color w:val="auto"/>
        </w:rPr>
      </w:pPr>
    </w:p>
    <w:p>
      <w:pPr>
        <w:ind w:left="640" w:right="2239" w:firstLine="632"/>
        <w:spacing w:after="0" w:line="237" w:lineRule="auto"/>
        <w:tabs>
          <w:tab w:leader="none" w:pos="1904" w:val="left"/>
        </w:tabs>
        <w:numPr>
          <w:ilvl w:val="1"/>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using the individual amounts determined in (i) or any individual amounts due and payable in Dollars, as the case may be, as a numerator, and the sum calculated in (ii) as a denominator, calculate as to each Holder of a Subordinated Debt Security to whom an amount is owed under the Subordinated Debt Indenture the fraction of the amount collected under the Subordinated Debt Indenture payable to such Holder.</w:t>
      </w:r>
    </w:p>
    <w:p>
      <w:pPr>
        <w:spacing w:after="0" w:line="210" w:lineRule="exact"/>
        <w:rPr>
          <w:sz w:val="20"/>
          <w:szCs w:val="20"/>
          <w:color w:val="auto"/>
        </w:rPr>
      </w:pPr>
    </w:p>
    <w:p>
      <w:pPr>
        <w:ind w:right="2339" w:firstLine="632"/>
        <w:spacing w:after="0" w:line="237" w:lineRule="auto"/>
        <w:rPr>
          <w:sz w:val="20"/>
          <w:szCs w:val="20"/>
          <w:color w:val="auto"/>
        </w:rPr>
      </w:pPr>
      <w:r>
        <w:rPr>
          <w:rFonts w:ascii="Courier New" w:cs="Courier New" w:eastAsia="Courier New" w:hAnsi="Courier New"/>
          <w:sz w:val="18"/>
          <w:szCs w:val="18"/>
          <w:color w:val="auto"/>
        </w:rPr>
        <w:t>Any expenses incurred by the Trustee in actually converting amounts owing Holders of Subordinated Debt Securities denominated in a currency other than that in which any amount is collected under the Subordinated Debt Indenture shall be likewise (in accordance with the foregoing) borne ratably by all Holders of Subordinated Debt Securities to whom amounts are payable under the Subordinated Debt Indenture. (Section 506 of the Subordinated Debt Indenture)</w:t>
      </w:r>
    </w:p>
    <w:p>
      <w:pPr>
        <w:spacing w:after="0" w:line="210" w:lineRule="exact"/>
        <w:rPr>
          <w:sz w:val="20"/>
          <w:szCs w:val="20"/>
          <w:color w:val="auto"/>
        </w:rPr>
      </w:pPr>
    </w:p>
    <w:p>
      <w:pPr>
        <w:ind w:right="2239" w:firstLine="632"/>
        <w:spacing w:after="0" w:line="269" w:lineRule="auto"/>
        <w:rPr>
          <w:sz w:val="20"/>
          <w:szCs w:val="20"/>
          <w:color w:val="auto"/>
        </w:rPr>
      </w:pPr>
      <w:r>
        <w:rPr>
          <w:rFonts w:ascii="Courier New" w:cs="Courier New" w:eastAsia="Courier New" w:hAnsi="Courier New"/>
          <w:sz w:val="16"/>
          <w:szCs w:val="16"/>
          <w:color w:val="auto"/>
        </w:rPr>
        <w:t>To the fullest extent allowed under applicable law, if for the purpose of obtaining judgment against us in any court it is necessary to convert the sum due in respect of the principal of, or premium, if any, or interest on, the Subordinated Debt Securities of any series (the "Required Currency") into a currency in which a judgment will be rendered (the "Judgment Currency"), the rate of exchange used shall be the rate at which in accordance with normal banking procedures the Trustee could purchase in the City of New York the Required Currency with the Judgment Currency on the Business Day in the City of New York next preceding that on which final judgment is given. Neither we nor the Trustee shall be liable for any shortfall nor shall we benefit from any windfall in payments to Holders of Subordinated Debt Securities under the Subordinated Debt Indenture caused by a change in exchange rates between the time the amount of a judgment against us is calculated as above and the time the Trustee converts the Judgment Currency into the Required Currency to make payments under the foregoing provisions of the Subordinated Debt Indenture to Holders of Subordinated Debt Securities, but payment of such judgment shall discharge all amounts owed by us on the claim or claims underlying such judgment. (Section 506 of the Subordinated Debt Indenture)</w:t>
      </w:r>
    </w:p>
    <w:p>
      <w:pPr>
        <w:spacing w:after="0" w:line="393" w:lineRule="exact"/>
        <w:rPr>
          <w:sz w:val="20"/>
          <w:szCs w:val="20"/>
          <w:color w:val="auto"/>
        </w:rPr>
      </w:pPr>
    </w:p>
    <w:p>
      <w:pPr>
        <w:ind w:right="1919" w:firstLine="632"/>
        <w:spacing w:after="0" w:line="236" w:lineRule="auto"/>
        <w:rPr>
          <w:sz w:val="20"/>
          <w:szCs w:val="20"/>
          <w:color w:val="auto"/>
        </w:rPr>
      </w:pPr>
      <w:r>
        <w:rPr>
          <w:rFonts w:ascii="Courier New" w:cs="Courier New" w:eastAsia="Courier New" w:hAnsi="Courier New"/>
          <w:sz w:val="18"/>
          <w:szCs w:val="18"/>
          <w:color w:val="auto"/>
        </w:rPr>
        <w:t>We are required to furnish to the Trustee annually a statement as to our compliance with all conditions and covenants under the Subordinated Debt Indenture. (Section 1007 of the Subordinated Debt Indenture)</w:t>
      </w:r>
    </w:p>
    <w:p>
      <w:pPr>
        <w:spacing w:after="0" w:line="208" w:lineRule="exact"/>
        <w:rPr>
          <w:sz w:val="20"/>
          <w:szCs w:val="20"/>
          <w:color w:val="auto"/>
        </w:rPr>
      </w:pPr>
    </w:p>
    <w:p>
      <w:pPr>
        <w:ind w:right="2239" w:firstLine="632"/>
        <w:spacing w:after="0" w:line="290" w:lineRule="auto"/>
        <w:rPr>
          <w:sz w:val="20"/>
          <w:szCs w:val="20"/>
          <w:color w:val="auto"/>
        </w:rPr>
      </w:pPr>
      <w:r>
        <w:rPr>
          <w:rFonts w:ascii="Courier New" w:cs="Courier New" w:eastAsia="Courier New" w:hAnsi="Courier New"/>
          <w:sz w:val="16"/>
          <w:szCs w:val="16"/>
          <w:color w:val="auto"/>
        </w:rPr>
        <w:t>Subordination. The Subordinated Debt Securities will be subordinate and junior in right of payment, to the extent set forth in the Subordinated</w:t>
      </w:r>
    </w:p>
    <w:p>
      <w:pPr>
        <w:sectPr>
          <w:pgSz w:w="11900" w:h="16838" w:orient="portrait"/>
          <w:cols w:equalWidth="0" w:num="1">
            <w:col w:w="10139"/>
          </w:cols>
          <w:pgMar w:left="320" w:top="142" w:right="1440" w:bottom="0" w:gutter="0" w:footer="0" w:header="0"/>
        </w:sectPr>
      </w:pPr>
    </w:p>
    <w:bookmarkStart w:id="34" w:name="page35"/>
    <w:bookmarkEnd w:id="34"/>
    <w:p>
      <w:pPr>
        <w:ind w:right="2239"/>
        <w:spacing w:after="0" w:line="238" w:lineRule="auto"/>
        <w:rPr>
          <w:sz w:val="20"/>
          <w:szCs w:val="20"/>
          <w:color w:val="auto"/>
        </w:rPr>
      </w:pPr>
      <w:r>
        <w:rPr>
          <w:rFonts w:ascii="Courier New" w:cs="Courier New" w:eastAsia="Courier New" w:hAnsi="Courier New"/>
          <w:sz w:val="18"/>
          <w:szCs w:val="18"/>
          <w:color w:val="auto"/>
        </w:rPr>
        <w:t>Debt Indenture, to all our Senior Indebtedness (as defined below). If we should default in the payment of any principal of or premium or interest on any Senior Indebtedness when the same become due and payable, whether at maturity or a date fixed for prepayment or by declaration of acceleration or otherwise, then, upon written notice of such default to us by the holders of such Senior Indebtedness or any trustee therefor and subject to certain of our rights to dispute such default and subject to proper notification of the Trustee, unless and until such default has been cured or waived or ceases to exist, no direct or indirect payment (in cash, property, securities, by set-off or otherwise) will be made or agreed to be made for principal or premium, if any, or interest, if any, on the Subordinated Debt Securities, or in respect of any redemption, retirement, purchase or other acquisition of the Subordinated Debt Securities other than those made in our capital stock (or cash in lieu of fractional shares thereof) pursuant to any conversion right of the Subordinated Debt Securities or otherwise made in our capital stock. (Sections 1601, 1604 and 1605 of the Subordinated Debt Indenture)</w:t>
      </w:r>
    </w:p>
    <w:p>
      <w:pPr>
        <w:spacing w:after="0" w:line="207" w:lineRule="exact"/>
        <w:rPr>
          <w:sz w:val="20"/>
          <w:szCs w:val="20"/>
          <w:color w:val="auto"/>
        </w:rPr>
      </w:pPr>
    </w:p>
    <w:p>
      <w:pPr>
        <w:jc w:val="both"/>
        <w:ind w:right="2439" w:firstLine="632"/>
        <w:spacing w:after="0" w:line="236" w:lineRule="auto"/>
        <w:rPr>
          <w:sz w:val="20"/>
          <w:szCs w:val="20"/>
          <w:color w:val="auto"/>
        </w:rPr>
      </w:pPr>
      <w:r>
        <w:rPr>
          <w:rFonts w:ascii="Courier New" w:cs="Courier New" w:eastAsia="Courier New" w:hAnsi="Courier New"/>
          <w:sz w:val="18"/>
          <w:szCs w:val="18"/>
          <w:color w:val="auto"/>
        </w:rPr>
        <w:t>"Senior Indebtedness" is defined in Section 101 of the Subordinated Debt Indenture as our Indebtedness (as defined below) outstanding at any time except:</w:t>
      </w:r>
    </w:p>
    <w:p>
      <w:pPr>
        <w:spacing w:after="0" w:line="208" w:lineRule="exact"/>
        <w:rPr>
          <w:sz w:val="20"/>
          <w:szCs w:val="20"/>
          <w:color w:val="auto"/>
        </w:rPr>
      </w:pPr>
    </w:p>
    <w:p>
      <w:pPr>
        <w:ind w:left="640" w:right="2559"/>
        <w:spacing w:after="0" w:line="237" w:lineRule="auto"/>
        <w:tabs>
          <w:tab w:leader="none" w:pos="1061"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Indebtedness as to which, by the terms of the instrument creating or evidencing the same, it is provided that such Indebtedness is not senior in right of payment to the Subordinated Debt Securities;</w:t>
      </w:r>
    </w:p>
    <w:p>
      <w:pPr>
        <w:spacing w:after="0" w:line="201" w:lineRule="exact"/>
        <w:rPr>
          <w:rFonts w:ascii="Courier New" w:cs="Courier New" w:eastAsia="Courier New" w:hAnsi="Courier New"/>
          <w:sz w:val="18"/>
          <w:szCs w:val="18"/>
          <w:color w:val="auto"/>
        </w:rPr>
      </w:pPr>
    </w:p>
    <w:p>
      <w:pPr>
        <w:ind w:left="1280" w:hanging="640"/>
        <w:spacing w:after="0"/>
        <w:tabs>
          <w:tab w:leader="none" w:pos="128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Subordinated Debt Securities;</w:t>
      </w:r>
    </w:p>
    <w:p>
      <w:pPr>
        <w:spacing w:after="0" w:line="201" w:lineRule="exact"/>
        <w:rPr>
          <w:rFonts w:ascii="Courier New" w:cs="Courier New" w:eastAsia="Courier New" w:hAnsi="Courier New"/>
          <w:sz w:val="18"/>
          <w:szCs w:val="18"/>
          <w:color w:val="auto"/>
        </w:rPr>
      </w:pPr>
    </w:p>
    <w:p>
      <w:pPr>
        <w:ind w:left="1280" w:hanging="640"/>
        <w:spacing w:after="0"/>
        <w:tabs>
          <w:tab w:leader="none" w:pos="128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of our Indebtedness to any wholly-owned Subsidiary;</w:t>
      </w:r>
    </w:p>
    <w:p>
      <w:pPr>
        <w:spacing w:after="0" w:line="206" w:lineRule="exact"/>
        <w:rPr>
          <w:rFonts w:ascii="Courier New" w:cs="Courier New" w:eastAsia="Courier New" w:hAnsi="Courier New"/>
          <w:sz w:val="18"/>
          <w:szCs w:val="18"/>
          <w:color w:val="auto"/>
        </w:rPr>
      </w:pPr>
    </w:p>
    <w:p>
      <w:pPr>
        <w:ind w:left="640" w:right="2239"/>
        <w:spacing w:after="0" w:line="237" w:lineRule="auto"/>
        <w:tabs>
          <w:tab w:leader="none" w:pos="1061"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interest accruing after the filing of a petition initiating certain bankruptcy or insolvency proceedings unless such interest is an allowed claim enforceable against us in a proceeding under federal or state bankruptcy laws;</w:t>
      </w:r>
    </w:p>
    <w:p>
      <w:pPr>
        <w:spacing w:after="0" w:line="207" w:lineRule="exact"/>
        <w:rPr>
          <w:rFonts w:ascii="Courier New" w:cs="Courier New" w:eastAsia="Courier New" w:hAnsi="Courier New"/>
          <w:sz w:val="18"/>
          <w:szCs w:val="18"/>
          <w:color w:val="auto"/>
        </w:rPr>
      </w:pPr>
    </w:p>
    <w:p>
      <w:pPr>
        <w:ind w:left="640" w:right="2119"/>
        <w:spacing w:after="0" w:line="236" w:lineRule="auto"/>
        <w:tabs>
          <w:tab w:leader="none" w:pos="1272"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obligations under performance guarantees, support agreements and other agreements in the nature thereof relating to the obligations of any Subsidiary, and</w:t>
      </w:r>
    </w:p>
    <w:p>
      <w:pPr>
        <w:spacing w:after="0" w:line="202" w:lineRule="exact"/>
        <w:rPr>
          <w:rFonts w:ascii="Courier New" w:cs="Courier New" w:eastAsia="Courier New" w:hAnsi="Courier New"/>
          <w:sz w:val="18"/>
          <w:szCs w:val="18"/>
          <w:color w:val="auto"/>
        </w:rPr>
      </w:pPr>
    </w:p>
    <w:p>
      <w:pPr>
        <w:ind w:left="1280" w:hanging="640"/>
        <w:spacing w:after="0"/>
        <w:tabs>
          <w:tab w:leader="none" w:pos="128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trade accounts payable.</w:t>
      </w:r>
    </w:p>
    <w:p>
      <w:pPr>
        <w:spacing w:after="0" w:line="207" w:lineRule="exact"/>
        <w:rPr>
          <w:sz w:val="20"/>
          <w:szCs w:val="20"/>
          <w:color w:val="auto"/>
        </w:rPr>
      </w:pPr>
    </w:p>
    <w:p>
      <w:pPr>
        <w:ind w:right="2659" w:firstLine="632"/>
        <w:spacing w:after="0" w:line="235" w:lineRule="auto"/>
        <w:rPr>
          <w:sz w:val="20"/>
          <w:szCs w:val="20"/>
          <w:color w:val="auto"/>
        </w:rPr>
      </w:pPr>
      <w:r>
        <w:rPr>
          <w:rFonts w:ascii="Courier New" w:cs="Courier New" w:eastAsia="Courier New" w:hAnsi="Courier New"/>
          <w:sz w:val="18"/>
          <w:szCs w:val="18"/>
          <w:color w:val="auto"/>
        </w:rPr>
        <w:t>"Indebtedness" is defined in Section 101 of the Subordinated Debt Indenture as, with respect to any Person:</w:t>
      </w:r>
    </w:p>
    <w:p>
      <w:pPr>
        <w:spacing w:after="0" w:line="208" w:lineRule="exact"/>
        <w:rPr>
          <w:sz w:val="20"/>
          <w:szCs w:val="20"/>
          <w:color w:val="auto"/>
        </w:rPr>
      </w:pPr>
    </w:p>
    <w:p>
      <w:pPr>
        <w:ind w:left="640" w:right="2239"/>
        <w:spacing w:after="0" w:line="237" w:lineRule="auto"/>
        <w:tabs>
          <w:tab w:leader="none" w:pos="1061"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the principal of and interest and premium, if any, on indebtedness for money borrowed of such Person evidenced by bonds, notes, debentures or similar obligations, including any guaranty by such Person of any indebtedness for money borrowed of any other Person, whether any such indebtedness or guaranty is outstanding on the date of the Subordinated Debt Indenture or is thereafter created, assumed or incurred;</w:t>
      </w:r>
    </w:p>
    <w:p>
      <w:pPr>
        <w:spacing w:after="0" w:line="210" w:lineRule="exact"/>
        <w:rPr>
          <w:rFonts w:ascii="Courier New" w:cs="Courier New" w:eastAsia="Courier New" w:hAnsi="Courier New"/>
          <w:sz w:val="18"/>
          <w:szCs w:val="18"/>
          <w:color w:val="auto"/>
        </w:rPr>
      </w:pPr>
    </w:p>
    <w:p>
      <w:pPr>
        <w:ind w:left="640" w:right="2339" w:firstLine="632"/>
        <w:spacing w:after="0" w:line="275" w:lineRule="auto"/>
        <w:tabs>
          <w:tab w:leader="none" w:pos="1798" w:val="left"/>
        </w:tabs>
        <w:numPr>
          <w:ilvl w:val="1"/>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principal of and premium and interest, if any, on indebtedness for money borrowed, incurred, assumed or guaranteed by such Person in connection with the acquisition by it or any of its subsidiaries of any other businesses properties or other assets; and</w:t>
      </w:r>
    </w:p>
    <w:p>
      <w:pPr>
        <w:spacing w:after="0" w:line="181" w:lineRule="exact"/>
        <w:rPr>
          <w:rFonts w:ascii="Courier New" w:cs="Courier New" w:eastAsia="Courier New" w:hAnsi="Courier New"/>
          <w:sz w:val="16"/>
          <w:szCs w:val="16"/>
          <w:color w:val="auto"/>
        </w:rPr>
      </w:pPr>
    </w:p>
    <w:p>
      <w:pPr>
        <w:ind w:left="640" w:right="2239" w:firstLine="632"/>
        <w:spacing w:after="0" w:line="237" w:lineRule="auto"/>
        <w:tabs>
          <w:tab w:leader="none" w:pos="1904" w:val="left"/>
        </w:tabs>
        <w:numPr>
          <w:ilvl w:val="1"/>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lease obligations which such Person capitalizes in accordance with Statement of Financial Accounting Standards No. 13 promulgated by the Financial Accounting Standards Board or such other generally accepted accounting principles as may be from time to time in effect,</w:t>
      </w:r>
    </w:p>
    <w:p>
      <w:pPr>
        <w:spacing w:after="0" w:line="208" w:lineRule="exact"/>
        <w:rPr>
          <w:rFonts w:ascii="Courier New" w:cs="Courier New" w:eastAsia="Courier New" w:hAnsi="Courier New"/>
          <w:sz w:val="18"/>
          <w:szCs w:val="18"/>
          <w:color w:val="auto"/>
        </w:rPr>
      </w:pPr>
    </w:p>
    <w:p>
      <w:pPr>
        <w:ind w:left="640" w:right="2239"/>
        <w:spacing w:after="0" w:line="237" w:lineRule="auto"/>
        <w:tabs>
          <w:tab w:leader="none" w:pos="1061"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other indebtedness of such Person, including any indebtedness representing the balance deferred and unpaid of the purchase price of any property or interest therein, including any such balance that constitutes a trade account payable, and any guaranty, endorsement or other contingent obligation of such Person in respect of any indebtedness of another, which is outstanding on the date of the Subordinated Debt Indenture or is thereafter created, assumed or incurred by such Person; and</w:t>
      </w:r>
    </w:p>
    <w:p>
      <w:pPr>
        <w:spacing w:after="0" w:line="211" w:lineRule="exact"/>
        <w:rPr>
          <w:rFonts w:ascii="Courier New" w:cs="Courier New" w:eastAsia="Courier New" w:hAnsi="Courier New"/>
          <w:sz w:val="18"/>
          <w:szCs w:val="18"/>
          <w:color w:val="auto"/>
        </w:rPr>
      </w:pPr>
    </w:p>
    <w:p>
      <w:pPr>
        <w:jc w:val="both"/>
        <w:ind w:left="640" w:right="2239"/>
        <w:spacing w:after="0" w:line="268" w:lineRule="auto"/>
        <w:tabs>
          <w:tab w:leader="none" w:pos="1061"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amendments, modifications, refundings, renewals or extensions of any indebtedness or obligation described as Indebtedness in clause</w:t>
      </w:r>
    </w:p>
    <w:p>
      <w:pPr>
        <w:ind w:left="1060" w:hanging="420"/>
        <w:spacing w:after="0" w:line="238" w:lineRule="auto"/>
        <w:tabs>
          <w:tab w:leader="none" w:pos="1060"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or (b) above.</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If (i) without our consent a court having jurisdiction shall enter</w:t>
      </w:r>
    </w:p>
    <w:p>
      <w:pPr>
        <w:spacing w:after="0" w:line="4" w:lineRule="exact"/>
        <w:rPr>
          <w:sz w:val="20"/>
          <w:szCs w:val="20"/>
          <w:color w:val="auto"/>
        </w:rPr>
      </w:pPr>
    </w:p>
    <w:p>
      <w:pPr>
        <w:ind w:right="2239" w:firstLine="8"/>
        <w:spacing w:after="0" w:line="279" w:lineRule="auto"/>
        <w:tabs>
          <w:tab w:leader="none" w:pos="421"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order for relief with respect to us under the United States federal bankruptcy laws, (B) a judgment, order or decree adjudging us a bankrupt or insolvent, or (C) an order for relief for reorganization, arrangement,</w:t>
      </w:r>
    </w:p>
    <w:p>
      <w:pPr>
        <w:sectPr>
          <w:pgSz w:w="11900" w:h="16838" w:orient="portrait"/>
          <w:cols w:equalWidth="0" w:num="1">
            <w:col w:w="10139"/>
          </w:cols>
          <w:pgMar w:left="320" w:top="142" w:right="1440" w:bottom="0" w:gutter="0" w:footer="0" w:header="0"/>
        </w:sectPr>
      </w:pPr>
    </w:p>
    <w:bookmarkStart w:id="35" w:name="page36"/>
    <w:bookmarkEnd w:id="35"/>
    <w:p>
      <w:pPr>
        <w:ind w:right="2239"/>
        <w:spacing w:after="0" w:line="268" w:lineRule="auto"/>
        <w:rPr>
          <w:sz w:val="20"/>
          <w:szCs w:val="20"/>
          <w:color w:val="auto"/>
        </w:rPr>
      </w:pPr>
      <w:r>
        <w:rPr>
          <w:rFonts w:ascii="Courier New" w:cs="Courier New" w:eastAsia="Courier New" w:hAnsi="Courier New"/>
          <w:sz w:val="16"/>
          <w:szCs w:val="16"/>
          <w:color w:val="auto"/>
        </w:rPr>
        <w:t>adjustment or composition of or in respect of us under the United States federal bankruptcy laws or state insolvency laws or (ii) we shall institute proceedings for the entry of an order for relief with respect to us under the United States federal bankruptcy laws or for an adjudication of insolvency, or shall consent to the institution of bankruptcy or insolvency proceedings against us, or shall file a petition seeking, or seek or consent to reorganization, arrangement, composition or similar relief under the United States federal bankruptcy laws or any applicable state law, or shall consent to the filing of such petition or to the appointment of a receiver, custodian, liquidator, assignee, trustee, sequestrator or similar official in respect of us or of substantially all of our property, or we shall make a general assignment for the benefit of creditors as recognized under the United States federal bankruptcy laws, then all Senior Indebtedness (including any interest thereon accruing after the commencement of any such proceedings) will first be paid in full before any payment or distribution, whether in cash, securities or other property, may be made to any Holder of Subordinated Debt Securities on account thereof. In such event, any payment or distribution, whether in cash, securities or other property (other than our securities or any other corporation provided for by a plan of reorganization or readjustment the payment of which is subordinate, at least to the extent provided in the subordination provisions with respect to the Subordinated Debt Securities, to the payment of all Senior Indebtedness then outstanding and to any securities issued in respect thereof under any such plan of reorganization or readjustment), which would otherwise (but for the subordination provisions) be payable or deliverable in respect of Subordinated Debt Securities of any series will be paid or delivered directly to the holders of Senior Indebtedness in accordance with the priorities then existing among such holders until all Senior Indebtedness (including any interest thereon accruing after the commencement of any such proceedings) has been paid in full. If any payment or distribution of any character, whether in cash, securities or other property (other than our securities or any other corporation provided for by a plan of reorganization or readjustment the payment of which is subordinate, at least to the extent provided in the subordination provisions with respect to the Subordinated Debt Securities, to the payment of all Senior Indebtedness then outstanding and to any securities issued in respect thereof under any such plan of reorganization or readjustment), shall be received by the Trustee or any holder of any Subordinated Debt Securities in contravention of any of the terms of the Subordinated Debt Indenture, such payment or distribution will be received in trust for the benefit of, and will be paid over or delivered and transferred to, the holders of the Senior Indebtedness then outstanding in accordance with the priorities then existing among such holders for application to the payment of all Senior Indebtedness remaining unpaid, to the extent necessary to pay all such Senior Indebtedness in full. In the event of the failure of the Trustee or any holder to endorse or assign any such payment, distribution or security, each Holder of Senior Indebtedness is irrevocably authorized to endorse or assign the same. In the event of any such proceeding, after payment in full of all sums owing with respect to Senior Indebtedness, the holders of Subordinated Debt Securities, together with the holders of any of our other obligations ranking on a parity with the Subordinated Debt Securities, will be entitled to be repaid from our remaining assets the amounts at that time due and owing on account of unpaid principal of and any premium and interest on the Subordinated Debt Securities and such other obligations before any payment or other distribution, whether in cash, property or otherwise, shall be made on account of any of our capital stock or obligations ranking junior to the Subordinated Debt Securities and such other obligations. (Section 1601 of the Subordinated Debt Indenture)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right="2239" w:firstLine="632"/>
        <w:spacing w:after="0" w:line="269" w:lineRule="auto"/>
        <w:rPr>
          <w:sz w:val="20"/>
          <w:szCs w:val="20"/>
          <w:color w:val="auto"/>
        </w:rPr>
      </w:pPr>
      <w:r>
        <w:rPr>
          <w:rFonts w:ascii="Courier New" w:cs="Courier New" w:eastAsia="Courier New" w:hAnsi="Courier New"/>
          <w:sz w:val="16"/>
          <w:szCs w:val="16"/>
          <w:color w:val="auto"/>
        </w:rPr>
        <w:t>The Subordinated Debt Indenture provides that Senior Indebtedness shall not be deemed to have been paid in full unless the holders thereof shall have received cash, securities or other property equal to the amount of such Senior Indebtedness then outstanding. Upon the payment in full of all Senior Indebtedness, the holders of Subordinated Debt Securities of each series shall be subrogated to all rights of any holders of Senior Indebtedness to receive any further payments or distributions applicable to such Senior Indebtedness until the indebtedness evidenced by the Subordinated Debt Securities of such series shall have been paid in full, and such payments or distributions received by such Holders, by reason of such subrogation, of cash, securities or other property that otherwise would be paid or distributed to the holders of Senior Indebtedness, shall, as between us and our creditors other than the holders of such Senior Indebtedness, on the one hand, and such Holders, on the other hand, be deemed to be a payment by us on account of such Senior Indebtedness, and not on account of the Subordinated Debt Securities of such series. (Section 1601 of the Subordinated Debt Indenture)</w:t>
      </w:r>
    </w:p>
    <w:p>
      <w:pPr>
        <w:spacing w:after="0" w:line="200" w:lineRule="exact"/>
        <w:rPr>
          <w:sz w:val="20"/>
          <w:szCs w:val="20"/>
          <w:color w:val="auto"/>
        </w:rPr>
      </w:pPr>
    </w:p>
    <w:p>
      <w:pPr>
        <w:spacing w:after="0" w:line="398" w:lineRule="exact"/>
        <w:rPr>
          <w:sz w:val="20"/>
          <w:szCs w:val="20"/>
          <w:color w:val="auto"/>
        </w:rPr>
      </w:pPr>
    </w:p>
    <w:p>
      <w:pPr>
        <w:ind w:right="2339" w:firstLine="632"/>
        <w:spacing w:after="0" w:line="236" w:lineRule="auto"/>
        <w:rPr>
          <w:sz w:val="20"/>
          <w:szCs w:val="20"/>
          <w:color w:val="auto"/>
        </w:rPr>
      </w:pPr>
      <w:r>
        <w:rPr>
          <w:rFonts w:ascii="Courier New" w:cs="Courier New" w:eastAsia="Courier New" w:hAnsi="Courier New"/>
          <w:sz w:val="18"/>
          <w:szCs w:val="18"/>
          <w:color w:val="auto"/>
        </w:rPr>
        <w:t>The prospectus supplement respecting any series of Subordinated Debt Securities will set forth any subordination provisions applicable to such series in addition to or different from those described above.</w:t>
      </w:r>
    </w:p>
    <w:p>
      <w:pPr>
        <w:sectPr>
          <w:pgSz w:w="11900" w:h="16838" w:orient="portrait"/>
          <w:cols w:equalWidth="0" w:num="1">
            <w:col w:w="10139"/>
          </w:cols>
          <w:pgMar w:left="320" w:top="142" w:right="1440" w:bottom="0" w:gutter="0" w:footer="0" w:header="0"/>
        </w:sectPr>
      </w:pPr>
    </w:p>
    <w:bookmarkStart w:id="36" w:name="page37"/>
    <w:bookmarkEnd w:id="36"/>
    <w:p>
      <w:pPr>
        <w:ind w:right="2339" w:firstLine="632"/>
        <w:spacing w:after="0" w:line="270" w:lineRule="auto"/>
        <w:rPr>
          <w:sz w:val="20"/>
          <w:szCs w:val="20"/>
          <w:color w:val="auto"/>
        </w:rPr>
      </w:pPr>
      <w:r>
        <w:rPr>
          <w:rFonts w:ascii="Courier New" w:cs="Courier New" w:eastAsia="Courier New" w:hAnsi="Courier New"/>
          <w:sz w:val="16"/>
          <w:szCs w:val="16"/>
          <w:color w:val="auto"/>
        </w:rPr>
        <w:t>By reason of such subordination, in the event of a liquidation, bankruptcy, reorganization, insolvency, receivership or similar proceeding involving us or an assignment for the benefit of creditors of us or any of our Subsidiaries or a marshaling of assets or liabilities of us and our Subsidiaries, holders of Senior Indebtedness and holders of our other obligations that are not subordinated to Senior Indebtedness may receive more, ratably, than holders of the Subordinated Debt Securities. Such subordination will not prevent the occurrence of any Default or Event of Default or limit the rights of the Trustee or any Holder, subject to the other provisions of the Subordinated Debt indenture, to pursue any other rights or remedies with respect to the Subordinated Debt Securities.</w:t>
      </w:r>
    </w:p>
    <w:p>
      <w:pPr>
        <w:spacing w:after="0" w:line="187" w:lineRule="exact"/>
        <w:rPr>
          <w:sz w:val="20"/>
          <w:szCs w:val="20"/>
          <w:color w:val="auto"/>
        </w:rPr>
      </w:pPr>
    </w:p>
    <w:p>
      <w:pPr>
        <w:ind w:right="2239" w:firstLine="632"/>
        <w:spacing w:after="0" w:line="237" w:lineRule="auto"/>
        <w:rPr>
          <w:sz w:val="20"/>
          <w:szCs w:val="20"/>
          <w:color w:val="auto"/>
        </w:rPr>
      </w:pPr>
      <w:r>
        <w:rPr>
          <w:rFonts w:ascii="Courier New" w:cs="Courier New" w:eastAsia="Courier New" w:hAnsi="Courier New"/>
          <w:sz w:val="18"/>
          <w:szCs w:val="18"/>
          <w:color w:val="auto"/>
        </w:rPr>
        <w:t>Conversion. The Subordinated Debt Indenture may provide for a right of conversion of Subordinated Debt Securities into common stock (or cash in lieu thereof). (Sections 301 and 1501 of the Subordinated Debt Indenture) The following provisions will apply to Debt Securities that are convertible Subordinated Debt Securities unless otherwise provided in the applicable prospectus supplement for such Debt Securities.</w:t>
      </w:r>
    </w:p>
    <w:p>
      <w:pPr>
        <w:spacing w:after="0" w:line="209" w:lineRule="exact"/>
        <w:rPr>
          <w:sz w:val="20"/>
          <w:szCs w:val="20"/>
          <w:color w:val="auto"/>
        </w:rPr>
      </w:pPr>
    </w:p>
    <w:p>
      <w:pPr>
        <w:ind w:right="2239" w:firstLine="632"/>
        <w:spacing w:after="0" w:line="271" w:lineRule="auto"/>
        <w:rPr>
          <w:sz w:val="20"/>
          <w:szCs w:val="20"/>
          <w:color w:val="auto"/>
        </w:rPr>
      </w:pPr>
      <w:r>
        <w:rPr>
          <w:rFonts w:ascii="Courier New" w:cs="Courier New" w:eastAsia="Courier New" w:hAnsi="Courier New"/>
          <w:sz w:val="16"/>
          <w:szCs w:val="16"/>
          <w:color w:val="auto"/>
        </w:rPr>
        <w:t>The holder of any convertible Subordinated Debt Securities will have the right exercisable at any time prior to maturity, unless previously redeemed or otherwise purchased by us, to convert such Subordinated Debt Securities into shares of common stock at the conversion price or conversion rate set forth in the applicable prospectus supplement, subject to adjustment. (Section 1502 of the Subordinated Debt Indenture) The holder of convertible Subordinated Debt Securities may convert any portion thereof which is $1,000 in principal amount or any integral multiple thereof. (Section 1502 of the Subordinated Debt Indenture)</w:t>
      </w:r>
    </w:p>
    <w:p>
      <w:pPr>
        <w:spacing w:after="0" w:line="388" w:lineRule="exact"/>
        <w:rPr>
          <w:sz w:val="20"/>
          <w:szCs w:val="20"/>
          <w:color w:val="auto"/>
        </w:rPr>
      </w:pPr>
    </w:p>
    <w:p>
      <w:pPr>
        <w:ind w:right="2239" w:firstLine="632"/>
        <w:spacing w:after="0" w:line="236" w:lineRule="auto"/>
        <w:rPr>
          <w:sz w:val="20"/>
          <w:szCs w:val="20"/>
          <w:color w:val="auto"/>
        </w:rPr>
      </w:pPr>
      <w:r>
        <w:rPr>
          <w:rFonts w:ascii="Courier New" w:cs="Courier New" w:eastAsia="Courier New" w:hAnsi="Courier New"/>
          <w:sz w:val="18"/>
          <w:szCs w:val="18"/>
          <w:color w:val="auto"/>
        </w:rPr>
        <w:t>In certain events, the conversion price or conversion rate will be subject to adjustment as set forth in the Subordinated Debt Indenture. Such events include the issuance of shares of our common stock as a</w:t>
      </w:r>
    </w:p>
    <w:p>
      <w:pPr>
        <w:spacing w:after="0" w:line="6" w:lineRule="exact"/>
        <w:rPr>
          <w:sz w:val="20"/>
          <w:szCs w:val="20"/>
          <w:color w:val="auto"/>
        </w:rPr>
      </w:pPr>
    </w:p>
    <w:p>
      <w:pPr>
        <w:ind w:right="2239"/>
        <w:spacing w:after="0" w:line="238" w:lineRule="auto"/>
        <w:rPr>
          <w:sz w:val="20"/>
          <w:szCs w:val="20"/>
          <w:color w:val="auto"/>
        </w:rPr>
      </w:pPr>
      <w:r>
        <w:rPr>
          <w:rFonts w:ascii="Courier New" w:cs="Courier New" w:eastAsia="Courier New" w:hAnsi="Courier New"/>
          <w:sz w:val="18"/>
          <w:szCs w:val="18"/>
          <w:color w:val="auto"/>
        </w:rPr>
        <w:t>dividend or distribution on the common stock; subdivisions, combinations and reclassifications of the common stock; the issuance to all holders of common stock of rights or warrants entitling the holders thereof (for a period not exceeding 45 days) to subscribe for or purchase shares of common stock at a price per share less than the then current market price per share of common stock (as determined pursuant to the Subordinated Debt Indenture); and the distribution to substantially all holders of common stock of evidences of indebtedness, equity securities (including equity interests in our Subsidiaries) other than common stock, or other assets (excluding cash dividends paid from surplus) or rights or warrants to subscribe for securities (other than those referred to above). No adjustment of the conversion price or conversion rate will be required unless an adjustment would require a cumulative increase or decrease of at least 1% in such price or rate. (Section 1504 of the Subordinated Debt Indenture) We have been advised by our counsel that certain adjustments in the conversion price or conversion rate in accordance with the foregoing provisions may result in constructive distributions to either holders of the Subordinated Debt Securities or holders of common stock which would be taxable pursuant to Treasury Regulations issued under Section 305 of the Internal Revenue Code of 1986, as amended. The amount of any such taxable constructive distribution would be the fair market value of the common stock which is treated as having been constructively received, such value being determined as of the time the adjustment resulting in the constructive distribution is made.</w:t>
      </w:r>
    </w:p>
    <w:p>
      <w:pPr>
        <w:spacing w:after="0" w:line="209" w:lineRule="exact"/>
        <w:rPr>
          <w:sz w:val="20"/>
          <w:szCs w:val="20"/>
          <w:color w:val="auto"/>
        </w:rPr>
      </w:pPr>
    </w:p>
    <w:p>
      <w:pPr>
        <w:ind w:right="2239" w:firstLine="632"/>
        <w:spacing w:after="0" w:line="269" w:lineRule="auto"/>
        <w:rPr>
          <w:sz w:val="20"/>
          <w:szCs w:val="20"/>
          <w:color w:val="auto"/>
        </w:rPr>
      </w:pPr>
      <w:r>
        <w:rPr>
          <w:rFonts w:ascii="Courier New" w:cs="Courier New" w:eastAsia="Courier New" w:hAnsi="Courier New"/>
          <w:sz w:val="16"/>
          <w:szCs w:val="16"/>
          <w:color w:val="auto"/>
        </w:rPr>
        <w:t>Fractional shares of common stock will not be issued upon conversion, but, in lieu thereof, we will pay a cash adjustment based on the then current market price for the common stock. (Section 1503 of the Subordinated Debt Indenture) Upon conversion, no adjustments will be made for accrued interest or dividends, and therefore convertible Subordinated Debt Securities surrendered for conversion between an Interest Payment Date and on or prior to the record date pertaining to the subsequent Interest Payment Date will not be considered Outstanding and no interest will be paid on the related Interest Payment Date. Convertible Subordinated Debt Securities (except convertible Subordinated Debt Securities called for redemption on a redemption date during such period) surrendered for conversion during the period between the close of business on any record date for an Interest Payment Date for such convertible Subordinated Debt Security and the opening of business on the related Interest Payment Date shall be considered Outstanding for purposes of payment of interest, and, therefore, must be accompanied by payment of an amount equal to the interest payable thereon on such Interest Payment Date. (Sections 1504 and 1502 of the Subordinated Debt Indenture)</w:t>
      </w:r>
    </w:p>
    <w:p>
      <w:pPr>
        <w:spacing w:after="0" w:line="200" w:lineRule="exact"/>
        <w:rPr>
          <w:sz w:val="20"/>
          <w:szCs w:val="20"/>
          <w:color w:val="auto"/>
        </w:rPr>
      </w:pPr>
    </w:p>
    <w:p>
      <w:pPr>
        <w:spacing w:after="0" w:line="397" w:lineRule="exact"/>
        <w:rPr>
          <w:sz w:val="20"/>
          <w:szCs w:val="20"/>
          <w:color w:val="auto"/>
        </w:rPr>
      </w:pPr>
    </w:p>
    <w:p>
      <w:pPr>
        <w:ind w:right="2339" w:firstLine="632"/>
        <w:spacing w:after="0" w:line="273" w:lineRule="auto"/>
        <w:rPr>
          <w:sz w:val="20"/>
          <w:szCs w:val="20"/>
          <w:color w:val="auto"/>
        </w:rPr>
      </w:pPr>
      <w:r>
        <w:rPr>
          <w:rFonts w:ascii="Courier New" w:cs="Courier New" w:eastAsia="Courier New" w:hAnsi="Courier New"/>
          <w:sz w:val="16"/>
          <w:szCs w:val="16"/>
          <w:color w:val="auto"/>
        </w:rPr>
        <w:t>In the case of any consolidation or merger of us (with certain exceptions) or any conveyance, transfer or lease of our properties and assets substantially as an entirety to any Person, each holder of convertible Subordinated Debt Securities, after the consolidation, merger, conveyance, transfer or lease, will have the right to convert such</w:t>
      </w:r>
    </w:p>
    <w:p>
      <w:pPr>
        <w:sectPr>
          <w:pgSz w:w="11900" w:h="16838" w:orient="portrait"/>
          <w:cols w:equalWidth="0" w:num="1">
            <w:col w:w="10139"/>
          </w:cols>
          <w:pgMar w:left="320" w:top="142" w:right="1440" w:bottom="0" w:gutter="0" w:footer="0" w:header="0"/>
        </w:sectPr>
      </w:pPr>
    </w:p>
    <w:bookmarkStart w:id="37" w:name="page38"/>
    <w:bookmarkEnd w:id="37"/>
    <w:p>
      <w:pPr>
        <w:ind w:right="2339"/>
        <w:spacing w:after="0" w:line="237" w:lineRule="auto"/>
        <w:rPr>
          <w:sz w:val="20"/>
          <w:szCs w:val="20"/>
          <w:color w:val="auto"/>
        </w:rPr>
      </w:pPr>
      <w:r>
        <w:rPr>
          <w:rFonts w:ascii="Courier New" w:cs="Courier New" w:eastAsia="Courier New" w:hAnsi="Courier New"/>
          <w:sz w:val="18"/>
          <w:szCs w:val="18"/>
          <w:color w:val="auto"/>
        </w:rPr>
        <w:t>convertible Subordinated Debt Securities only into the kind and amount of securities, cash and other property which the holder would have been entitled to receive upon or in connection with such consolidation, merger, conveyance, transfer or lease, if the holder had held the common stock issuable upon conversion of such convertible Subordinated Debt Securities immediately prior to such consolidation, merger, conveyance, transfer or lease. (Section 1505 of the Subordinated Debt Indenture)</w:t>
      </w:r>
    </w:p>
    <w:p>
      <w:pPr>
        <w:spacing w:after="0" w:line="200" w:lineRule="exact"/>
        <w:rPr>
          <w:sz w:val="20"/>
          <w:szCs w:val="20"/>
          <w:color w:val="auto"/>
        </w:rPr>
      </w:pPr>
    </w:p>
    <w:p>
      <w:pPr>
        <w:spacing w:after="0" w:line="207"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DESCRIPTION OF CAPITAL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GENERAL</w:t>
      </w:r>
    </w:p>
    <w:p>
      <w:pPr>
        <w:spacing w:after="0" w:line="207" w:lineRule="exact"/>
        <w:rPr>
          <w:sz w:val="20"/>
          <w:szCs w:val="20"/>
          <w:color w:val="auto"/>
        </w:rPr>
      </w:pPr>
    </w:p>
    <w:p>
      <w:pPr>
        <w:ind w:right="2439" w:firstLine="632"/>
        <w:spacing w:after="0" w:line="237" w:lineRule="auto"/>
        <w:rPr>
          <w:sz w:val="20"/>
          <w:szCs w:val="20"/>
          <w:color w:val="auto"/>
        </w:rPr>
      </w:pPr>
      <w:r>
        <w:rPr>
          <w:rFonts w:ascii="Courier New" w:cs="Courier New" w:eastAsia="Courier New" w:hAnsi="Courier New"/>
          <w:sz w:val="18"/>
          <w:szCs w:val="18"/>
          <w:color w:val="auto"/>
        </w:rPr>
        <w:t>We are authorized to issue 1,500,000,000 shares of common stock, of which 627,807,809 shares were outstanding at January 4, 2000. We are also authorized to issue 10,000,000 shares of preferred stock, none of which were outstanding on that date.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7" w:lineRule="exact"/>
        <w:rPr>
          <w:sz w:val="20"/>
          <w:szCs w:val="20"/>
          <w:color w:val="auto"/>
        </w:rPr>
      </w:pPr>
    </w:p>
    <w:p>
      <w:pPr>
        <w:ind w:right="2339" w:firstLine="632"/>
        <w:spacing w:after="0" w:line="237" w:lineRule="auto"/>
        <w:rPr>
          <w:sz w:val="20"/>
          <w:szCs w:val="20"/>
          <w:color w:val="auto"/>
        </w:rPr>
      </w:pPr>
      <w:r>
        <w:rPr>
          <w:rFonts w:ascii="Courier New" w:cs="Courier New" w:eastAsia="Courier New" w:hAnsi="Courier New"/>
          <w:sz w:val="18"/>
          <w:szCs w:val="18"/>
          <w:color w:val="auto"/>
        </w:rPr>
        <w:t>Dividends. Holders of common stock are entitled to receive dividends when declared by our Board of Directors. In certain cases, common stockholders may not receive dividends until we satisfy our obligations to any preferred stockholders.</w:t>
      </w:r>
    </w:p>
    <w:p>
      <w:pPr>
        <w:spacing w:after="0" w:line="207" w:lineRule="exact"/>
        <w:rPr>
          <w:sz w:val="20"/>
          <w:szCs w:val="20"/>
          <w:color w:val="auto"/>
        </w:rPr>
      </w:pPr>
    </w:p>
    <w:p>
      <w:pPr>
        <w:jc w:val="both"/>
        <w:ind w:right="2339" w:firstLine="632"/>
        <w:spacing w:after="0" w:line="268" w:lineRule="auto"/>
        <w:rPr>
          <w:sz w:val="20"/>
          <w:szCs w:val="20"/>
          <w:color w:val="auto"/>
        </w:rPr>
      </w:pPr>
      <w:r>
        <w:rPr>
          <w:rFonts w:ascii="Courier New" w:cs="Courier New" w:eastAsia="Courier New" w:hAnsi="Courier New"/>
          <w:sz w:val="16"/>
          <w:szCs w:val="16"/>
          <w:color w:val="auto"/>
        </w:rPr>
        <w:t>Voting Rights. Each share of common stock is entitled to one vote in the election of directors and in each other matter we may ask stockholders to vote on. Common stockholders do not have cumulative voting rights.</w:t>
      </w:r>
    </w:p>
    <w:p>
      <w:pPr>
        <w:ind w:right="2239"/>
        <w:spacing w:after="0" w:line="237" w:lineRule="auto"/>
        <w:rPr>
          <w:sz w:val="20"/>
          <w:szCs w:val="20"/>
          <w:color w:val="auto"/>
        </w:rPr>
      </w:pPr>
      <w:r>
        <w:rPr>
          <w:rFonts w:ascii="Courier New" w:cs="Courier New" w:eastAsia="Courier New" w:hAnsi="Courier New"/>
          <w:sz w:val="18"/>
          <w:szCs w:val="18"/>
          <w:color w:val="auto"/>
        </w:rPr>
        <w:t>Accordingly, the holders of a majority of shares voting for the election of directors can elect all of the directors standing for election. Because members of our Board of Directors serve staggered three-year terms, only about one third of our directors are elected each year.</w:t>
      </w:r>
    </w:p>
    <w:p>
      <w:pPr>
        <w:spacing w:after="0" w:line="207" w:lineRule="exact"/>
        <w:rPr>
          <w:sz w:val="20"/>
          <w:szCs w:val="20"/>
          <w:color w:val="auto"/>
        </w:rPr>
      </w:pPr>
    </w:p>
    <w:p>
      <w:pPr>
        <w:ind w:right="2559" w:firstLine="632"/>
        <w:spacing w:after="0" w:line="237" w:lineRule="auto"/>
        <w:rPr>
          <w:sz w:val="20"/>
          <w:szCs w:val="20"/>
          <w:color w:val="auto"/>
        </w:rPr>
      </w:pPr>
      <w:r>
        <w:rPr>
          <w:rFonts w:ascii="Courier New" w:cs="Courier New" w:eastAsia="Courier New" w:hAnsi="Courier New"/>
          <w:sz w:val="18"/>
          <w:szCs w:val="18"/>
          <w:color w:val="auto"/>
        </w:rPr>
        <w:t>Fully Paid Status. All outstanding shares of our common stock are validly issued, fully paid and non-assessable. The shares offered hereby will also be, upon issuance and sale, validly issued, fully paid and non-assessable.</w:t>
      </w:r>
    </w:p>
    <w:p>
      <w:pPr>
        <w:spacing w:after="0" w:line="207" w:lineRule="exact"/>
        <w:rPr>
          <w:sz w:val="20"/>
          <w:szCs w:val="20"/>
          <w:color w:val="auto"/>
        </w:rPr>
      </w:pPr>
    </w:p>
    <w:p>
      <w:pPr>
        <w:ind w:right="2339" w:firstLine="632"/>
        <w:spacing w:after="0" w:line="237" w:lineRule="auto"/>
        <w:rPr>
          <w:sz w:val="20"/>
          <w:szCs w:val="20"/>
          <w:color w:val="auto"/>
        </w:rPr>
      </w:pPr>
      <w:r>
        <w:rPr>
          <w:rFonts w:ascii="Courier New" w:cs="Courier New" w:eastAsia="Courier New" w:hAnsi="Courier New"/>
          <w:sz w:val="18"/>
          <w:szCs w:val="18"/>
          <w:color w:val="auto"/>
        </w:rPr>
        <w:t>Liquidation or Dissolution. If we liquidate, dissolve or wind up our business, whether or not voluntarily, common stockholders will share ratably in the assets remaining after we pay our creditors and any preferred stockholders.</w:t>
      </w:r>
    </w:p>
    <w:p>
      <w:pPr>
        <w:spacing w:after="0" w:line="207" w:lineRule="exact"/>
        <w:rPr>
          <w:sz w:val="20"/>
          <w:szCs w:val="20"/>
          <w:color w:val="auto"/>
        </w:rPr>
      </w:pPr>
    </w:p>
    <w:p>
      <w:pPr>
        <w:ind w:right="2439" w:firstLine="632"/>
        <w:spacing w:after="0" w:line="235" w:lineRule="auto"/>
        <w:rPr>
          <w:sz w:val="20"/>
          <w:szCs w:val="20"/>
          <w:color w:val="auto"/>
        </w:rPr>
      </w:pPr>
      <w:r>
        <w:rPr>
          <w:rFonts w:ascii="Courier New" w:cs="Courier New" w:eastAsia="Courier New" w:hAnsi="Courier New"/>
          <w:sz w:val="18"/>
          <w:szCs w:val="18"/>
          <w:color w:val="auto"/>
        </w:rPr>
        <w:t>Listing. Our common stock is listed on the New York Stock Exchange under the trading symbol "WMI."</w:t>
      </w:r>
    </w:p>
    <w:p>
      <w:pPr>
        <w:spacing w:after="0" w:line="208" w:lineRule="exact"/>
        <w:rPr>
          <w:sz w:val="20"/>
          <w:szCs w:val="20"/>
          <w:color w:val="auto"/>
        </w:rPr>
      </w:pPr>
    </w:p>
    <w:p>
      <w:pPr>
        <w:ind w:right="2019" w:firstLine="632"/>
        <w:spacing w:after="0" w:line="235" w:lineRule="auto"/>
        <w:rPr>
          <w:sz w:val="20"/>
          <w:szCs w:val="20"/>
          <w:color w:val="auto"/>
        </w:rPr>
      </w:pPr>
      <w:r>
        <w:rPr>
          <w:rFonts w:ascii="Courier New" w:cs="Courier New" w:eastAsia="Courier New" w:hAnsi="Courier New"/>
          <w:sz w:val="18"/>
          <w:szCs w:val="18"/>
          <w:color w:val="auto"/>
        </w:rPr>
        <w:t>Transfer Agent and Registrar. The transfer agent and registrar for the common stock is Harris Trust and Savings Bank, Chicago, Illinois.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PREFERRED STOCK</w:t>
      </w:r>
    </w:p>
    <w:p>
      <w:pPr>
        <w:spacing w:after="0" w:line="207" w:lineRule="exact"/>
        <w:rPr>
          <w:sz w:val="20"/>
          <w:szCs w:val="20"/>
          <w:color w:val="auto"/>
        </w:rPr>
      </w:pPr>
    </w:p>
    <w:p>
      <w:pPr>
        <w:ind w:right="2339" w:firstLine="632"/>
        <w:spacing w:after="0" w:line="237" w:lineRule="auto"/>
        <w:rPr>
          <w:sz w:val="20"/>
          <w:szCs w:val="20"/>
          <w:color w:val="auto"/>
        </w:rPr>
      </w:pPr>
      <w:r>
        <w:rPr>
          <w:rFonts w:ascii="Courier New" w:cs="Courier New" w:eastAsia="Courier New" w:hAnsi="Courier New"/>
          <w:sz w:val="18"/>
          <w:szCs w:val="18"/>
          <w:color w:val="auto"/>
        </w:rPr>
        <w:t>The Board of Directors is authorized, without obtaining stockholder approval, to issue one or more series of preferred stock. The Board's authority includes determining the number of shares of each series and the rights, preferences and limitations of each series, including voting rights, dividend rights, conversion rights, redemption rights and any liquidation preferences. In this regard, the Board may issue preferred stock with voting and conversion rights that could adversely affect the voting power of the holders of common stock, and dividend or liquidation preferences that would restrict common stock dividends or adversely affect the assets available for distribution to holders of shares of common stock in the event of our dissolution.</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AUTHORIZED BUT UNISSUED SHARES</w:t>
      </w:r>
    </w:p>
    <w:p>
      <w:pPr>
        <w:spacing w:after="0" w:line="207" w:lineRule="exact"/>
        <w:rPr>
          <w:sz w:val="20"/>
          <w:szCs w:val="20"/>
          <w:color w:val="auto"/>
        </w:rPr>
      </w:pPr>
    </w:p>
    <w:p>
      <w:pPr>
        <w:ind w:right="2239" w:firstLine="632"/>
        <w:spacing w:after="0" w:line="237" w:lineRule="auto"/>
        <w:rPr>
          <w:sz w:val="20"/>
          <w:szCs w:val="20"/>
          <w:color w:val="auto"/>
        </w:rPr>
      </w:pPr>
      <w:r>
        <w:rPr>
          <w:rFonts w:ascii="Courier New" w:cs="Courier New" w:eastAsia="Courier New" w:hAnsi="Courier New"/>
          <w:sz w:val="18"/>
          <w:szCs w:val="18"/>
          <w:color w:val="auto"/>
        </w:rPr>
        <w:t>Authorized but unissued shares of common stock or preferred stock can be reserved for issuance by the Board of Directors from time to time, without stockholder action, for stock dividends or stock splits, to raise equity capital and to structure future corporate transactions, including acquisitions, as well as for other proper corporate purposes. Stockholders have no preemptive rights.</w:t>
      </w:r>
    </w:p>
    <w:p>
      <w:pPr>
        <w:spacing w:after="0" w:line="209" w:lineRule="exact"/>
        <w:rPr>
          <w:sz w:val="20"/>
          <w:szCs w:val="20"/>
          <w:color w:val="auto"/>
        </w:rPr>
      </w:pPr>
    </w:p>
    <w:p>
      <w:pPr>
        <w:ind w:right="3179"/>
        <w:spacing w:after="0" w:line="235" w:lineRule="auto"/>
        <w:rPr>
          <w:sz w:val="20"/>
          <w:szCs w:val="20"/>
          <w:color w:val="auto"/>
        </w:rPr>
      </w:pPr>
      <w:r>
        <w:rPr>
          <w:rFonts w:ascii="Courier New" w:cs="Courier New" w:eastAsia="Courier New" w:hAnsi="Courier New"/>
          <w:sz w:val="18"/>
          <w:szCs w:val="18"/>
          <w:color w:val="auto"/>
        </w:rPr>
        <w:t>DELAWARE LAW AND CERTAIN PROVISIONS OF THE RESTATED CERTIFICATE OF INCORPORATION</w:t>
      </w:r>
    </w:p>
    <w:p>
      <w:pPr>
        <w:spacing w:after="0" w:line="208" w:lineRule="exact"/>
        <w:rPr>
          <w:sz w:val="20"/>
          <w:szCs w:val="20"/>
          <w:color w:val="auto"/>
        </w:rPr>
      </w:pPr>
    </w:p>
    <w:p>
      <w:pPr>
        <w:ind w:right="2239" w:firstLine="632"/>
        <w:spacing w:after="0" w:line="237" w:lineRule="auto"/>
        <w:rPr>
          <w:sz w:val="20"/>
          <w:szCs w:val="20"/>
          <w:color w:val="auto"/>
        </w:rPr>
      </w:pPr>
      <w:r>
        <w:rPr>
          <w:rFonts w:ascii="Courier New" w:cs="Courier New" w:eastAsia="Courier New" w:hAnsi="Courier New"/>
          <w:sz w:val="18"/>
          <w:szCs w:val="18"/>
          <w:color w:val="auto"/>
        </w:rPr>
        <w:t>We are a Delaware corporation and are governed by the Delaware General Corporation Law, in addition to our Restated Certificate of Incorporation and Bylaws, certain provisions of which are summarized below. You should read the actual provisions of these documents.</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Section 203 of the Delaware law provides that an "Interested</w:t>
      </w:r>
    </w:p>
    <w:p>
      <w:pPr>
        <w:sectPr>
          <w:pgSz w:w="11900" w:h="16838" w:orient="portrait"/>
          <w:cols w:equalWidth="0" w:num="1">
            <w:col w:w="10139"/>
          </w:cols>
          <w:pgMar w:left="320" w:top="142" w:right="1440" w:bottom="0" w:gutter="0" w:footer="0" w:header="0"/>
        </w:sectPr>
      </w:pPr>
    </w:p>
    <w:bookmarkStart w:id="38" w:name="page39"/>
    <w:bookmarkEnd w:id="38"/>
    <w:p>
      <w:pPr>
        <w:ind w:right="2559"/>
        <w:spacing w:after="0" w:line="237" w:lineRule="auto"/>
        <w:rPr>
          <w:sz w:val="20"/>
          <w:szCs w:val="20"/>
          <w:color w:val="auto"/>
        </w:rPr>
      </w:pPr>
      <w:r>
        <w:rPr>
          <w:rFonts w:ascii="Courier New" w:cs="Courier New" w:eastAsia="Courier New" w:hAnsi="Courier New"/>
          <w:sz w:val="18"/>
          <w:szCs w:val="18"/>
          <w:color w:val="auto"/>
        </w:rPr>
        <w:t>Stockholder," which is generally defined to mean any beneficial owner of 15% to 85% of the corporation's voting stock, may not engage in any "business combination" with the corporation for a period of three years after the date on which the person became an Interested Stockholder, unless:</w:t>
      </w:r>
    </w:p>
    <w:p>
      <w:pPr>
        <w:spacing w:after="0" w:line="208" w:lineRule="exact"/>
        <w:rPr>
          <w:sz w:val="20"/>
          <w:szCs w:val="20"/>
          <w:color w:val="auto"/>
        </w:rPr>
      </w:pPr>
    </w:p>
    <w:p>
      <w:pPr>
        <w:ind w:left="640" w:right="2439"/>
        <w:spacing w:after="0" w:line="236" w:lineRule="auto"/>
        <w:rPr>
          <w:sz w:val="20"/>
          <w:szCs w:val="20"/>
          <w:color w:val="auto"/>
        </w:rPr>
      </w:pPr>
      <w:r>
        <w:rPr>
          <w:rFonts w:ascii="Courier New" w:cs="Courier New" w:eastAsia="Courier New" w:hAnsi="Courier New"/>
          <w:sz w:val="18"/>
          <w:szCs w:val="18"/>
          <w:color w:val="auto"/>
        </w:rPr>
        <w:t>o prior to such date, the corporation's board of directors approved either the business combination or the transaction in which the stockholder became an Interested Stockholder; or</w:t>
      </w:r>
    </w:p>
    <w:p>
      <w:pPr>
        <w:spacing w:after="0" w:line="208" w:lineRule="exact"/>
        <w:rPr>
          <w:sz w:val="20"/>
          <w:szCs w:val="20"/>
          <w:color w:val="auto"/>
        </w:rPr>
      </w:pPr>
    </w:p>
    <w:p>
      <w:pPr>
        <w:ind w:left="640" w:right="2559"/>
        <w:spacing w:after="0" w:line="237" w:lineRule="auto"/>
        <w:rPr>
          <w:sz w:val="20"/>
          <w:szCs w:val="20"/>
          <w:color w:val="auto"/>
        </w:rPr>
      </w:pPr>
      <w:r>
        <w:rPr>
          <w:rFonts w:ascii="Courier New" w:cs="Courier New" w:eastAsia="Courier New" w:hAnsi="Courier New"/>
          <w:sz w:val="18"/>
          <w:szCs w:val="18"/>
          <w:color w:val="auto"/>
        </w:rPr>
        <w:t>o subsequent to such date, the business combination is approved by the corporation's board of directors and authorized at a stockholders' meeting by a vote of at least two-thirds of the corporation's outstanding voting stock not owned by the Interested Stockholder.</w:t>
      </w:r>
    </w:p>
    <w:p>
      <w:pPr>
        <w:spacing w:after="0" w:line="208" w:lineRule="exact"/>
        <w:rPr>
          <w:sz w:val="20"/>
          <w:szCs w:val="20"/>
          <w:color w:val="auto"/>
        </w:rPr>
      </w:pPr>
    </w:p>
    <w:p>
      <w:pPr>
        <w:jc w:val="both"/>
        <w:ind w:right="2979" w:firstLine="632"/>
        <w:spacing w:after="0" w:line="236" w:lineRule="auto"/>
        <w:rPr>
          <w:sz w:val="20"/>
          <w:szCs w:val="20"/>
          <w:color w:val="auto"/>
        </w:rPr>
      </w:pPr>
      <w:r>
        <w:rPr>
          <w:rFonts w:ascii="Courier New" w:cs="Courier New" w:eastAsia="Courier New" w:hAnsi="Courier New"/>
          <w:sz w:val="18"/>
          <w:szCs w:val="18"/>
          <w:color w:val="auto"/>
        </w:rPr>
        <w:t>Section 203 defines the term "business combination" to include mergers, asset sales and other transactions resulting in a financial benefit to the Interested Stockholder.</w:t>
      </w:r>
    </w:p>
    <w:p>
      <w:pPr>
        <w:spacing w:after="0" w:line="208" w:lineRule="exact"/>
        <w:rPr>
          <w:sz w:val="20"/>
          <w:szCs w:val="20"/>
          <w:color w:val="auto"/>
        </w:rPr>
      </w:pPr>
    </w:p>
    <w:p>
      <w:pPr>
        <w:ind w:right="2339" w:firstLine="632"/>
        <w:spacing w:after="0" w:line="271" w:lineRule="auto"/>
        <w:rPr>
          <w:sz w:val="20"/>
          <w:szCs w:val="20"/>
          <w:color w:val="auto"/>
        </w:rPr>
      </w:pPr>
      <w:r>
        <w:rPr>
          <w:rFonts w:ascii="Courier New" w:cs="Courier New" w:eastAsia="Courier New" w:hAnsi="Courier New"/>
          <w:sz w:val="16"/>
          <w:szCs w:val="16"/>
          <w:color w:val="auto"/>
        </w:rPr>
        <w:t>The provisions of Section 203, combined with the Board of Directors' authority to issue preferred stock without further stockholder action, could delay or frustrate a change in control or discourage, impede or prevent a merger, tender offer or proxy contest involving us, even if such an event would be favorable to the interests of our stockholders. Our stockholders, by adopting an amendment to the Restated Certificate of Incorporation, may elect not to be governed by Section 203. Such an election would be effective 12 months after its adoption.</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LIMITATION OF LIABILITY AND INDEMNIFICATION OF OFFICERS AND DIRECTORS</w:t>
      </w:r>
    </w:p>
    <w:p>
      <w:pPr>
        <w:spacing w:after="0" w:line="207" w:lineRule="exact"/>
        <w:rPr>
          <w:sz w:val="20"/>
          <w:szCs w:val="20"/>
          <w:color w:val="auto"/>
        </w:rPr>
      </w:pPr>
    </w:p>
    <w:p>
      <w:pPr>
        <w:ind w:right="2239" w:firstLine="632"/>
        <w:spacing w:after="0" w:line="237" w:lineRule="auto"/>
        <w:rPr>
          <w:sz w:val="20"/>
          <w:szCs w:val="20"/>
          <w:color w:val="auto"/>
        </w:rPr>
      </w:pPr>
      <w:r>
        <w:rPr>
          <w:rFonts w:ascii="Courier New" w:cs="Courier New" w:eastAsia="Courier New" w:hAnsi="Courier New"/>
          <w:sz w:val="18"/>
          <w:szCs w:val="18"/>
          <w:color w:val="auto"/>
        </w:rPr>
        <w:t>Our Restated Certificate of Incorporation provides that our directors are not liable for monetary damages for breaches of their fiduciary duty as directors, unless they violated their duty of loyalty to us or our stockholders, acted in bad faith, knowingly or intentionally violated the law, authorized illegal dividends or redemptions or derived an improper personal benefit from their action as directors.</w:t>
      </w:r>
    </w:p>
    <w:p>
      <w:pPr>
        <w:spacing w:after="0" w:line="209" w:lineRule="exact"/>
        <w:rPr>
          <w:sz w:val="20"/>
          <w:szCs w:val="20"/>
          <w:color w:val="auto"/>
        </w:rPr>
      </w:pPr>
    </w:p>
    <w:p>
      <w:pPr>
        <w:ind w:right="2239" w:firstLine="632"/>
        <w:spacing w:after="0" w:line="237" w:lineRule="auto"/>
        <w:rPr>
          <w:sz w:val="20"/>
          <w:szCs w:val="20"/>
          <w:color w:val="auto"/>
        </w:rPr>
      </w:pPr>
      <w:r>
        <w:rPr>
          <w:rFonts w:ascii="Courier New" w:cs="Courier New" w:eastAsia="Courier New" w:hAnsi="Courier New"/>
          <w:sz w:val="18"/>
          <w:szCs w:val="18"/>
          <w:color w:val="auto"/>
        </w:rPr>
        <w:t>In addition, our Bylaws provide for indemnification of each officer and director to the fullest extent permitted by Delaware law. Section 145 of the Delaware General Corporation Law grants us the power to indemnify each officer and director against liabilities and expenses incurred by reason of the fact that he is or was an officer or director if the individual (1) acted in good faith and in a manner he reasonably believed to be in or not opposed to the best interests of the company, and (2) with respect to any criminal action or proceeding, he had no reasonable cause to believe his conduct was unlawful.</w:t>
      </w:r>
    </w:p>
    <w:p>
      <w:pPr>
        <w:spacing w:after="0" w:line="213" w:lineRule="exact"/>
        <w:rPr>
          <w:sz w:val="20"/>
          <w:szCs w:val="20"/>
          <w:color w:val="auto"/>
        </w:rPr>
      </w:pPr>
    </w:p>
    <w:p>
      <w:pPr>
        <w:ind w:right="2339" w:firstLine="632"/>
        <w:spacing w:after="0" w:line="237" w:lineRule="auto"/>
        <w:rPr>
          <w:sz w:val="20"/>
          <w:szCs w:val="20"/>
          <w:color w:val="auto"/>
        </w:rPr>
      </w:pPr>
      <w:r>
        <w:rPr>
          <w:rFonts w:ascii="Courier New" w:cs="Courier New" w:eastAsia="Courier New" w:hAnsi="Courier New"/>
          <w:sz w:val="18"/>
          <w:szCs w:val="18"/>
          <w:color w:val="auto"/>
        </w:rPr>
        <w:t>We have also purchased directors' and officers' liability insurance. Section 145 of the Delaware General Corporation Law allows us to purchase such insurance whether or not we would have the power to indemnify an officer or director under the provisions of Section 145.</w:t>
      </w:r>
    </w:p>
    <w:p>
      <w:pPr>
        <w:spacing w:after="0" w:line="207" w:lineRule="exact"/>
        <w:rPr>
          <w:sz w:val="20"/>
          <w:szCs w:val="20"/>
          <w:color w:val="auto"/>
        </w:rPr>
      </w:pPr>
    </w:p>
    <w:p>
      <w:pPr>
        <w:ind w:right="1919" w:firstLine="632"/>
        <w:spacing w:after="0" w:line="237" w:lineRule="auto"/>
        <w:rPr>
          <w:sz w:val="20"/>
          <w:szCs w:val="20"/>
          <w:color w:val="auto"/>
        </w:rPr>
      </w:pPr>
      <w:r>
        <w:rPr>
          <w:rFonts w:ascii="Courier New" w:cs="Courier New" w:eastAsia="Courier New" w:hAnsi="Courier New"/>
          <w:sz w:val="18"/>
          <w:szCs w:val="18"/>
          <w:color w:val="auto"/>
        </w:rPr>
        <w:t>We also have entered into contracts with certain of our directors and executive officers to pay the reasonable fees and expenses of his or her counsel, as well as any judgments, fines, penalties, excise taxes, amounts paid in settlement and other liabilities, which the individual may incur in any claim or proceeding (including an action on our behalf) by reason of having served us as a director, officer, agent or fiduciary. These agreements also provide for us to pay the individual's defense costs before the proceeding is over, so long as the director or officer undertakes to repay us should a court later determine that the director or officer was not entitled to indemnification.</w:t>
      </w:r>
    </w:p>
    <w:p>
      <w:pPr>
        <w:spacing w:after="0" w:line="214" w:lineRule="exact"/>
        <w:rPr>
          <w:sz w:val="20"/>
          <w:szCs w:val="20"/>
          <w:color w:val="auto"/>
        </w:rPr>
      </w:pPr>
    </w:p>
    <w:p>
      <w:pPr>
        <w:ind w:right="2439" w:firstLine="632"/>
        <w:spacing w:after="0" w:line="237" w:lineRule="auto"/>
        <w:rPr>
          <w:sz w:val="20"/>
          <w:szCs w:val="20"/>
          <w:color w:val="auto"/>
        </w:rPr>
      </w:pPr>
      <w:r>
        <w:rPr>
          <w:rFonts w:ascii="Courier New" w:cs="Courier New" w:eastAsia="Courier New" w:hAnsi="Courier New"/>
          <w:sz w:val="18"/>
          <w:szCs w:val="18"/>
          <w:color w:val="auto"/>
        </w:rPr>
        <w:t>Insofar as indemnification for liabilities arising under the Securities Act of 1933 may be permitted to our directors, officers or controlling persons pursuant to the foregoing provisions, we have been informed that in the opinion of the Commission such indemnification is against public policy as expressed in the Securities Act and is therefore unenforceable.</w:t>
      </w:r>
    </w:p>
    <w:p>
      <w:pPr>
        <w:spacing w:after="0" w:line="200" w:lineRule="exact"/>
        <w:rPr>
          <w:sz w:val="20"/>
          <w:szCs w:val="20"/>
          <w:color w:val="auto"/>
        </w:rPr>
      </w:pPr>
    </w:p>
    <w:p>
      <w:pPr>
        <w:spacing w:after="0" w:line="206"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PLAN OF DISTRIBUTION</w:t>
      </w:r>
    </w:p>
    <w:p>
      <w:pPr>
        <w:spacing w:after="0" w:line="207" w:lineRule="exact"/>
        <w:rPr>
          <w:sz w:val="20"/>
          <w:szCs w:val="20"/>
          <w:color w:val="auto"/>
        </w:rPr>
      </w:pPr>
    </w:p>
    <w:p>
      <w:pPr>
        <w:ind w:right="2239" w:firstLine="632"/>
        <w:spacing w:after="0" w:line="237" w:lineRule="auto"/>
        <w:rPr>
          <w:sz w:val="20"/>
          <w:szCs w:val="20"/>
          <w:color w:val="auto"/>
        </w:rPr>
      </w:pPr>
      <w:r>
        <w:rPr>
          <w:rFonts w:ascii="Courier New" w:cs="Courier New" w:eastAsia="Courier New" w:hAnsi="Courier New"/>
          <w:sz w:val="18"/>
          <w:szCs w:val="18"/>
          <w:color w:val="auto"/>
        </w:rPr>
        <w:t>We may sell the securities to or through underwriters or dealers, and we also may sell the securities directly to other purchasers or through agents. We may also issue shares of our common stock directly to certain persons in order to settle litigation and other claims or to satisfy judgments or arbitration awards.</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The distribution of the securities may be effected from time to time</w:t>
      </w:r>
    </w:p>
    <w:p>
      <w:pPr>
        <w:sectPr>
          <w:pgSz w:w="11900" w:h="16838" w:orient="portrait"/>
          <w:cols w:equalWidth="0" w:num="1">
            <w:col w:w="10139"/>
          </w:cols>
          <w:pgMar w:left="320" w:top="142" w:right="1440" w:bottom="0" w:gutter="0" w:footer="0" w:header="0"/>
        </w:sectPr>
      </w:pPr>
    </w:p>
    <w:bookmarkStart w:id="39" w:name="page40"/>
    <w:bookmarkEnd w:id="39"/>
    <w:p>
      <w:pPr>
        <w:ind w:right="2239"/>
        <w:spacing w:after="0" w:line="236" w:lineRule="auto"/>
        <w:rPr>
          <w:sz w:val="20"/>
          <w:szCs w:val="20"/>
          <w:color w:val="auto"/>
        </w:rPr>
      </w:pPr>
      <w:r>
        <w:rPr>
          <w:rFonts w:ascii="Courier New" w:cs="Courier New" w:eastAsia="Courier New" w:hAnsi="Courier New"/>
          <w:sz w:val="18"/>
          <w:szCs w:val="18"/>
          <w:color w:val="auto"/>
        </w:rPr>
        <w:t>in one or more transactions at a fixed price or prices, which may be changed, at market prices prevailing at the time of sale, at prices related to such prevailing market prices or at negotiated prices.</w:t>
      </w:r>
    </w:p>
    <w:p>
      <w:pPr>
        <w:spacing w:after="0" w:line="208" w:lineRule="exact"/>
        <w:rPr>
          <w:sz w:val="20"/>
          <w:szCs w:val="20"/>
          <w:color w:val="auto"/>
        </w:rPr>
      </w:pPr>
    </w:p>
    <w:p>
      <w:pPr>
        <w:ind w:right="2239" w:firstLine="632"/>
        <w:spacing w:after="0" w:line="237" w:lineRule="auto"/>
        <w:rPr>
          <w:sz w:val="20"/>
          <w:szCs w:val="20"/>
          <w:color w:val="auto"/>
        </w:rPr>
      </w:pPr>
      <w:r>
        <w:rPr>
          <w:rFonts w:ascii="Courier New" w:cs="Courier New" w:eastAsia="Courier New" w:hAnsi="Courier New"/>
          <w:sz w:val="18"/>
          <w:szCs w:val="18"/>
          <w:color w:val="auto"/>
        </w:rPr>
        <w:t>In connection with the sale of the securities, underwriters may receive compensation from us, or purchasers of securities for whom they may act as agents in the form of discounts, concessions or commissions. Underwriters, dealers and agents that participate in the distribution of securities may be deemed to be underwriters, and any discounts or commissions they receive from us or the purchasers of securities, and any profit on their resale of securities may be deemed to be underwriting discounts and commissions under the Securities Act. We will identify any person deemed to be an underwriter and will describe the compensation they receive from us in a prospectus supplement.</w:t>
      </w:r>
    </w:p>
    <w:p>
      <w:pPr>
        <w:spacing w:after="0" w:line="214" w:lineRule="exact"/>
        <w:rPr>
          <w:sz w:val="20"/>
          <w:szCs w:val="20"/>
          <w:color w:val="auto"/>
        </w:rPr>
      </w:pPr>
    </w:p>
    <w:p>
      <w:pPr>
        <w:ind w:right="2239" w:firstLine="632"/>
        <w:spacing w:after="0" w:line="237" w:lineRule="auto"/>
        <w:rPr>
          <w:sz w:val="20"/>
          <w:szCs w:val="20"/>
          <w:color w:val="auto"/>
        </w:rPr>
      </w:pPr>
      <w:r>
        <w:rPr>
          <w:rFonts w:ascii="Courier New" w:cs="Courier New" w:eastAsia="Courier New" w:hAnsi="Courier New"/>
          <w:sz w:val="18"/>
          <w:szCs w:val="18"/>
          <w:color w:val="auto"/>
        </w:rPr>
        <w:t>Debt securities, when first issued, will have no established trading market. If we sell debt securities to or through any underwriters or agents for public offering and sale, they may make a market in those debt securities. However, the underwriters or agents will not be obligated to do so and may discontinue any market making at any time without notice. There can be no assurance as to the liquidity of any market that may develop for the debt securities.</w:t>
      </w:r>
    </w:p>
    <w:p>
      <w:pPr>
        <w:spacing w:after="0" w:line="210" w:lineRule="exact"/>
        <w:rPr>
          <w:sz w:val="20"/>
          <w:szCs w:val="20"/>
          <w:color w:val="auto"/>
        </w:rPr>
      </w:pPr>
    </w:p>
    <w:p>
      <w:pPr>
        <w:ind w:right="2439" w:firstLine="632"/>
        <w:spacing w:after="0" w:line="275" w:lineRule="auto"/>
        <w:rPr>
          <w:sz w:val="20"/>
          <w:szCs w:val="20"/>
          <w:color w:val="auto"/>
        </w:rPr>
      </w:pPr>
      <w:r>
        <w:rPr>
          <w:rFonts w:ascii="Courier New" w:cs="Courier New" w:eastAsia="Courier New" w:hAnsi="Courier New"/>
          <w:sz w:val="16"/>
          <w:szCs w:val="16"/>
          <w:color w:val="auto"/>
        </w:rPr>
        <w:t>We may enter into agreements with underwriters, dealers and agents who participate in the distribution of securities that could entitle them to indemnification by us against or contribution from us toward certain liabilities, including liabilities under the Securities Act.</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DELAYED DELIVERY ARRANGEMENT</w:t>
      </w:r>
    </w:p>
    <w:p>
      <w:pPr>
        <w:spacing w:after="0" w:line="207" w:lineRule="exact"/>
        <w:rPr>
          <w:sz w:val="20"/>
          <w:szCs w:val="20"/>
          <w:color w:val="auto"/>
        </w:rPr>
      </w:pPr>
    </w:p>
    <w:p>
      <w:pPr>
        <w:ind w:right="2239" w:firstLine="632"/>
        <w:spacing w:after="0" w:line="270" w:lineRule="auto"/>
        <w:rPr>
          <w:sz w:val="20"/>
          <w:szCs w:val="20"/>
          <w:color w:val="auto"/>
        </w:rPr>
      </w:pPr>
      <w:r>
        <w:rPr>
          <w:rFonts w:ascii="Courier New" w:cs="Courier New" w:eastAsia="Courier New" w:hAnsi="Courier New"/>
          <w:sz w:val="16"/>
          <w:szCs w:val="16"/>
          <w:color w:val="auto"/>
        </w:rPr>
        <w:t>If so indicated in a prospectus supplement, we will authorize underwriters or other persons acting as our agents to solicit offers by certain institutions to purchase debt securities from us pursuant to contracts providing for payment and delivery on a future date. Institutions with which such contracts may be made include commercial and savings banks, insurance companies, pension funds, investment companies, educational and charitable institutions and others, but in all cases will be subject to our approval. The obligations of any purchaser under any such contract will be subject to the condition that the purchase of the debt securities shall not at the time of delivery be prohibited under the laws of any jurisdiction to which such purchaser is subject. The underwriters and such agents will not be responsible for the validity or performance of those contracts.</w:t>
      </w:r>
    </w:p>
    <w:p>
      <w:pPr>
        <w:spacing w:after="0" w:line="200" w:lineRule="exact"/>
        <w:rPr>
          <w:sz w:val="20"/>
          <w:szCs w:val="20"/>
          <w:color w:val="auto"/>
        </w:rPr>
      </w:pPr>
    </w:p>
    <w:p>
      <w:pPr>
        <w:spacing w:after="0" w:line="386"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VALIDITY OF SECURITIES</w:t>
      </w:r>
    </w:p>
    <w:p>
      <w:pPr>
        <w:spacing w:after="0" w:line="207" w:lineRule="exact"/>
        <w:rPr>
          <w:sz w:val="20"/>
          <w:szCs w:val="20"/>
          <w:color w:val="auto"/>
        </w:rPr>
      </w:pPr>
    </w:p>
    <w:p>
      <w:pPr>
        <w:ind w:right="2439" w:firstLine="632"/>
        <w:spacing w:after="0" w:line="237" w:lineRule="auto"/>
        <w:rPr>
          <w:sz w:val="20"/>
          <w:szCs w:val="20"/>
          <w:color w:val="auto"/>
        </w:rPr>
      </w:pPr>
      <w:r>
        <w:rPr>
          <w:rFonts w:ascii="Courier New" w:cs="Courier New" w:eastAsia="Courier New" w:hAnsi="Courier New"/>
          <w:sz w:val="18"/>
          <w:szCs w:val="18"/>
          <w:color w:val="auto"/>
        </w:rPr>
        <w:t>The validity of the securities has been passed upon for us by Locke Liddell &amp; Sapp LLP, and certain legal matters will be passed upon for any agents, dealers or underwriters, by counsel named in the applicable prospectus supplement.</w:t>
      </w:r>
    </w:p>
    <w:p>
      <w:pPr>
        <w:spacing w:after="0" w:line="200" w:lineRule="exact"/>
        <w:rPr>
          <w:sz w:val="20"/>
          <w:szCs w:val="20"/>
          <w:color w:val="auto"/>
        </w:rPr>
      </w:pPr>
    </w:p>
    <w:p>
      <w:pPr>
        <w:spacing w:after="0" w:line="204" w:lineRule="exact"/>
        <w:rPr>
          <w:sz w:val="20"/>
          <w:szCs w:val="20"/>
          <w:color w:val="auto"/>
        </w:rPr>
      </w:pPr>
    </w:p>
    <w:p>
      <w:pPr>
        <w:jc w:val="center"/>
        <w:ind w:right="2239"/>
        <w:spacing w:after="0"/>
        <w:rPr>
          <w:sz w:val="20"/>
          <w:szCs w:val="20"/>
          <w:color w:val="auto"/>
        </w:rPr>
      </w:pPr>
      <w:r>
        <w:rPr>
          <w:rFonts w:ascii="Courier New" w:cs="Courier New" w:eastAsia="Courier New" w:hAnsi="Courier New"/>
          <w:sz w:val="18"/>
          <w:szCs w:val="18"/>
          <w:color w:val="auto"/>
        </w:rPr>
        <w:t>EXPERTS</w:t>
      </w:r>
    </w:p>
    <w:p>
      <w:pPr>
        <w:spacing w:after="0" w:line="207" w:lineRule="exact"/>
        <w:rPr>
          <w:sz w:val="20"/>
          <w:szCs w:val="20"/>
          <w:color w:val="auto"/>
        </w:rPr>
      </w:pPr>
    </w:p>
    <w:p>
      <w:pPr>
        <w:ind w:right="2559" w:firstLine="632"/>
        <w:spacing w:after="0" w:line="268" w:lineRule="auto"/>
        <w:rPr>
          <w:sz w:val="20"/>
          <w:szCs w:val="20"/>
          <w:color w:val="auto"/>
        </w:rPr>
      </w:pPr>
      <w:r>
        <w:rPr>
          <w:rFonts w:ascii="Courier New" w:cs="Courier New" w:eastAsia="Courier New" w:hAnsi="Courier New"/>
          <w:sz w:val="16"/>
          <w:szCs w:val="16"/>
          <w:color w:val="auto"/>
        </w:rPr>
        <w:t>The audited consolidated financial statements for the year ended December 31, 1998 appearing in Waste Management's Current Report on Form</w:t>
      </w:r>
    </w:p>
    <w:p>
      <w:pPr>
        <w:ind w:right="2239"/>
        <w:spacing w:after="0" w:line="237" w:lineRule="auto"/>
        <w:rPr>
          <w:sz w:val="20"/>
          <w:szCs w:val="20"/>
          <w:color w:val="auto"/>
        </w:rPr>
      </w:pPr>
      <w:r>
        <w:rPr>
          <w:rFonts w:ascii="Courier New" w:cs="Courier New" w:eastAsia="Courier New" w:hAnsi="Courier New"/>
          <w:sz w:val="18"/>
          <w:szCs w:val="18"/>
          <w:color w:val="auto"/>
        </w:rPr>
        <w:t>8-K dated September 16, 1999 incorporated by reference in this prospectus have been audited by Arthur Andersen LLP, independent public accountants, as set forth in their report. In their report, that firm states that, with respect to USA Waste Services, Inc. and its Subsidiaries as of December 31, 1997 and for each of the years in the two-year period then ended, its opinion is based on reports of other auditors, namely PricewaterhouseCoopers LLP. The financial statements of Waste Management referred to above have been included herein in reliance upon the authority of those firms as experts in giving said reports.</w:t>
      </w:r>
    </w:p>
    <w:p>
      <w:pPr>
        <w:spacing w:after="0" w:line="213" w:lineRule="exact"/>
        <w:rPr>
          <w:sz w:val="20"/>
          <w:szCs w:val="20"/>
          <w:color w:val="auto"/>
        </w:rPr>
      </w:pPr>
    </w:p>
    <w:p>
      <w:pPr>
        <w:ind w:right="2239" w:firstLine="632"/>
        <w:spacing w:after="0" w:line="237" w:lineRule="auto"/>
        <w:rPr>
          <w:sz w:val="20"/>
          <w:szCs w:val="20"/>
          <w:color w:val="auto"/>
        </w:rPr>
      </w:pPr>
      <w:r>
        <w:rPr>
          <w:rFonts w:ascii="Courier New" w:cs="Courier New" w:eastAsia="Courier New" w:hAnsi="Courier New"/>
          <w:sz w:val="18"/>
          <w:szCs w:val="18"/>
          <w:color w:val="auto"/>
        </w:rPr>
        <w:t>During the quarter ended September 30, 1999, the Company conducted a review of its accounting records, systems, processes and controls. Based on that review, the Company has concluded that its internal controls for the preparation of interim financial information did not provide its independent public accountants an adequate basis to complete reviews of the quarterly data for the quarters in the nine-month period ended September 30, 1999. Our independent public accountants have advised the Company that their report on the December 31, 1999 financial statements will include the following paragraph:</w:t>
      </w:r>
    </w:p>
    <w:p>
      <w:pPr>
        <w:spacing w:after="0" w:line="213" w:lineRule="exact"/>
        <w:rPr>
          <w:sz w:val="20"/>
          <w:szCs w:val="20"/>
          <w:color w:val="auto"/>
        </w:rPr>
      </w:pPr>
    </w:p>
    <w:p>
      <w:pPr>
        <w:ind w:left="1280" w:right="2339"/>
        <w:spacing w:after="0" w:line="273" w:lineRule="auto"/>
        <w:rPr>
          <w:sz w:val="20"/>
          <w:szCs w:val="20"/>
          <w:color w:val="auto"/>
        </w:rPr>
      </w:pPr>
      <w:r>
        <w:rPr>
          <w:rFonts w:ascii="Courier New" w:cs="Courier New" w:eastAsia="Courier New" w:hAnsi="Courier New"/>
          <w:sz w:val="16"/>
          <w:szCs w:val="16"/>
          <w:color w:val="auto"/>
        </w:rPr>
        <w:t>"The selected quarterly financial data included in the Company's financial statements contain information that we did not audit, and accordingly, we do not express an opinion on that data. We attempted, but were unable to, review that quarterly data in accordance with standards established by the</w:t>
      </w:r>
    </w:p>
    <w:p>
      <w:pPr>
        <w:sectPr>
          <w:pgSz w:w="11900" w:h="16838" w:orient="portrait"/>
          <w:cols w:equalWidth="0" w:num="1">
            <w:col w:w="10139"/>
          </w:cols>
          <w:pgMar w:left="320" w:top="142" w:right="1440" w:bottom="0" w:gutter="0" w:footer="0" w:header="0"/>
        </w:sectPr>
      </w:pPr>
    </w:p>
    <w:bookmarkStart w:id="40" w:name="page41"/>
    <w:bookmarkEnd w:id="40"/>
    <w:p>
      <w:pPr>
        <w:ind w:left="1280" w:right="2339"/>
        <w:spacing w:after="0" w:line="237" w:lineRule="auto"/>
        <w:rPr>
          <w:sz w:val="20"/>
          <w:szCs w:val="20"/>
          <w:color w:val="auto"/>
        </w:rPr>
      </w:pPr>
      <w:r>
        <w:rPr>
          <w:rFonts w:ascii="Courier New" w:cs="Courier New" w:eastAsia="Courier New" w:hAnsi="Courier New"/>
          <w:sz w:val="18"/>
          <w:szCs w:val="18"/>
          <w:color w:val="auto"/>
        </w:rPr>
        <w:t>American Institute of Certified Public Accountants because we believe that the Company's internal controls for the preparation of interim financial information do not provide an adequate basis to enable us to complete such a review."</w:t>
      </w:r>
    </w:p>
    <w:p>
      <w:pPr>
        <w:spacing w:after="0" w:line="207" w:lineRule="exact"/>
        <w:rPr>
          <w:sz w:val="20"/>
          <w:szCs w:val="20"/>
          <w:color w:val="auto"/>
        </w:rPr>
      </w:pPr>
    </w:p>
    <w:p>
      <w:pPr>
        <w:ind w:right="2339" w:firstLine="632"/>
        <w:spacing w:after="0" w:line="237" w:lineRule="auto"/>
        <w:rPr>
          <w:sz w:val="20"/>
          <w:szCs w:val="20"/>
          <w:color w:val="auto"/>
        </w:rPr>
      </w:pPr>
      <w:r>
        <w:rPr>
          <w:rFonts w:ascii="Courier New" w:cs="Courier New" w:eastAsia="Courier New" w:hAnsi="Courier New"/>
          <w:sz w:val="18"/>
          <w:szCs w:val="18"/>
          <w:color w:val="auto"/>
        </w:rPr>
        <w:t>The audited consolidated financial statements of USA Waste Services, Inc. as of December 31, 1997 and for the years ended December 31, 1997 and 1996, not separately incorporated by reference in this prospectus, have been audited by PricewaterhouseCoopers LLP, independent accountants, whose report thereon is incorporated by reference herein. Such financial statements, to the extent they have been included in the financial statements of Waste Management, Inc., have been so included in reliance on the report of such independent accountants given on the authority of said firm as experts in auditing and accounting.</w:t>
      </w:r>
    </w:p>
    <w:sectPr>
      <w:pgSz w:w="11900" w:h="16838" w:orient="portrait"/>
      <w:cols w:equalWidth="0" w:num="1">
        <w:col w:w="10139"/>
      </w:cols>
      <w:pgMar w:left="32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4E49EB4"/>
    <w:multiLevelType w:val="hybridMultilevel"/>
    <w:lvl w:ilvl="0">
      <w:lvlJc w:val="left"/>
      <w:lvlText w:val="o"/>
      <w:numFmt w:val="bullet"/>
      <w:start w:val="1"/>
    </w:lvl>
  </w:abstractNum>
  <w:abstractNum w:abstractNumId="1">
    <w:nsid w:val="71F32454"/>
    <w:multiLevelType w:val="hybridMultilevel"/>
    <w:lvl w:ilvl="0">
      <w:lvlJc w:val="left"/>
      <w:lvlText w:val="o"/>
      <w:numFmt w:val="bullet"/>
      <w:start w:val="1"/>
    </w:lvl>
  </w:abstractNum>
  <w:abstractNum w:abstractNumId="2">
    <w:nsid w:val="2CA88611"/>
    <w:multiLevelType w:val="hybridMultilevel"/>
    <w:lvl w:ilvl="0">
      <w:lvlJc w:val="left"/>
      <w:lvlText w:val="o"/>
      <w:numFmt w:val="bullet"/>
      <w:start w:val="1"/>
    </w:lvl>
  </w:abstractNum>
  <w:abstractNum w:abstractNumId="3">
    <w:nsid w:val="836C40E"/>
    <w:multiLevelType w:val="hybridMultilevel"/>
    <w:lvl w:ilvl="0">
      <w:lvlJc w:val="left"/>
      <w:lvlText w:val="(%1)"/>
      <w:numFmt w:val="decimal"/>
      <w:start w:val="713"/>
    </w:lvl>
  </w:abstractNum>
  <w:abstractNum w:abstractNumId="4">
    <w:nsid w:val="2901D82"/>
    <w:multiLevelType w:val="hybridMultilevel"/>
    <w:lvl w:ilvl="0">
      <w:lvlJc w:val="left"/>
      <w:lvlText w:val="o"/>
      <w:numFmt w:val="bullet"/>
      <w:start w:val="1"/>
    </w:lvl>
  </w:abstractNum>
  <w:abstractNum w:abstractNumId="5">
    <w:nsid w:val="3A95F874"/>
    <w:multiLevelType w:val="hybridMultilevel"/>
    <w:lvl w:ilvl="0">
      <w:lvlJc w:val="left"/>
      <w:lvlText w:val="o"/>
      <w:numFmt w:val="bullet"/>
      <w:start w:val="1"/>
    </w:lvl>
  </w:abstractNum>
  <w:abstractNum w:abstractNumId="6">
    <w:nsid w:val="8138641"/>
    <w:multiLevelType w:val="hybridMultilevel"/>
    <w:lvl w:ilvl="0">
      <w:lvlJc w:val="left"/>
      <w:lvlText w:val="o"/>
      <w:numFmt w:val="bullet"/>
      <w:start w:val="1"/>
    </w:lvl>
  </w:abstractNum>
  <w:abstractNum w:abstractNumId="7">
    <w:nsid w:val="1E7FF521"/>
    <w:multiLevelType w:val="hybridMultilevel"/>
    <w:lvl w:ilvl="0">
      <w:lvlJc w:val="left"/>
      <w:lvlText w:val="o"/>
      <w:numFmt w:val="bullet"/>
      <w:start w:val="1"/>
    </w:lvl>
  </w:abstractNum>
  <w:abstractNum w:abstractNumId="8">
    <w:nsid w:val="7C3DBD3D"/>
    <w:multiLevelType w:val="hybridMultilevel"/>
    <w:lvl w:ilvl="0">
      <w:lvlJc w:val="left"/>
      <w:lvlText w:val="o"/>
      <w:numFmt w:val="bullet"/>
      <w:start w:val="1"/>
    </w:lvl>
  </w:abstractNum>
  <w:abstractNum w:abstractNumId="9">
    <w:nsid w:val="737B8DDC"/>
    <w:multiLevelType w:val="hybridMultilevel"/>
    <w:lvl w:ilvl="0">
      <w:lvlJc w:val="left"/>
      <w:lvlText w:val="o"/>
      <w:numFmt w:val="bullet"/>
      <w:start w:val="1"/>
    </w:lvl>
  </w:abstractNum>
  <w:abstractNum w:abstractNumId="10">
    <w:nsid w:val="6CEAF087"/>
    <w:multiLevelType w:val="hybridMultilevel"/>
    <w:lvl w:ilvl="0">
      <w:lvlJc w:val="left"/>
      <w:lvlText w:val="(%1)"/>
      <w:numFmt w:val="decimal"/>
      <w:start w:val="1"/>
    </w:lvl>
  </w:abstractNum>
  <w:abstractNum w:abstractNumId="11">
    <w:nsid w:val="22221A70"/>
    <w:multiLevelType w:val="hybridMultilevel"/>
    <w:lvl w:ilvl="0">
      <w:lvlJc w:val="left"/>
      <w:lvlText w:val="o"/>
      <w:numFmt w:val="bullet"/>
      <w:start w:val="1"/>
    </w:lvl>
  </w:abstractNum>
  <w:abstractNum w:abstractNumId="12">
    <w:nsid w:val="4516DDE9"/>
    <w:multiLevelType w:val="hybridMultilevel"/>
    <w:lvl w:ilvl="0">
      <w:lvlJc w:val="left"/>
      <w:lvlText w:val="o"/>
      <w:numFmt w:val="bullet"/>
      <w:start w:val="1"/>
    </w:lvl>
  </w:abstractNum>
  <w:abstractNum w:abstractNumId="13">
    <w:nsid w:val="3006C83E"/>
    <w:multiLevelType w:val="hybridMultilevel"/>
    <w:lvl w:ilvl="0">
      <w:lvlJc w:val="left"/>
      <w:lvlText w:val="%1)"/>
      <w:numFmt w:val="decimal"/>
      <w:start w:val="305"/>
    </w:lvl>
  </w:abstractNum>
  <w:abstractNum w:abstractNumId="14">
    <w:nsid w:val="614FD4A1"/>
    <w:multiLevelType w:val="hybridMultilevel"/>
    <w:lvl w:ilvl="0">
      <w:lvlJc w:val="left"/>
      <w:lvlText w:val="o"/>
      <w:numFmt w:val="bullet"/>
      <w:start w:val="1"/>
    </w:lvl>
  </w:abstractNum>
  <w:abstractNum w:abstractNumId="15">
    <w:nsid w:val="419AC241"/>
    <w:multiLevelType w:val="hybridMultilevel"/>
    <w:lvl w:ilvl="0">
      <w:lvlJc w:val="left"/>
      <w:lvlText w:val="o"/>
      <w:numFmt w:val="bullet"/>
      <w:start w:val="1"/>
    </w:lvl>
  </w:abstractNum>
  <w:abstractNum w:abstractNumId="16">
    <w:nsid w:val="5577F8E1"/>
    <w:multiLevelType w:val="hybridMultilevel"/>
    <w:lvl w:ilvl="0">
      <w:lvlJc w:val="left"/>
      <w:lvlText w:val="o"/>
      <w:numFmt w:val="bullet"/>
      <w:start w:val="1"/>
    </w:lvl>
  </w:abstractNum>
  <w:abstractNum w:abstractNumId="17">
    <w:nsid w:val="440BADFC"/>
    <w:multiLevelType w:val="hybridMultilevel"/>
    <w:lvl w:ilvl="0">
      <w:lvlJc w:val="left"/>
      <w:lvlText w:val="o"/>
      <w:numFmt w:val="bullet"/>
      <w:start w:val="1"/>
    </w:lvl>
  </w:abstractNum>
  <w:abstractNum w:abstractNumId="18">
    <w:nsid w:val="5072367"/>
    <w:multiLevelType w:val="hybridMultilevel"/>
    <w:lvl w:ilvl="0">
      <w:lvlJc w:val="left"/>
      <w:lvlText w:val="(%1)"/>
      <w:numFmt w:val="lowerLetter"/>
      <w:start w:val="1"/>
    </w:lvl>
  </w:abstractNum>
  <w:abstractNum w:abstractNumId="19">
    <w:nsid w:val="3804823E"/>
    <w:multiLevelType w:val="hybridMultilevel"/>
    <w:lvl w:ilvl="0">
      <w:lvlJc w:val="left"/>
      <w:lvlText w:val="(%1)"/>
      <w:numFmt w:val="lowerRoman"/>
      <w:start w:val="1"/>
    </w:lvl>
  </w:abstractNum>
  <w:abstractNum w:abstractNumId="20">
    <w:nsid w:val="77465F01"/>
    <w:multiLevelType w:val="hybridMultilevel"/>
    <w:lvl w:ilvl="0">
      <w:lvlJc w:val="left"/>
      <w:lvlText w:val="%1)"/>
      <w:numFmt w:val="decimal"/>
      <w:start w:val="613"/>
    </w:lvl>
  </w:abstractNum>
  <w:abstractNum w:abstractNumId="21">
    <w:nsid w:val="7724C67E"/>
    <w:multiLevelType w:val="hybridMultilevel"/>
    <w:lvl w:ilvl="0">
      <w:lvlJc w:val="left"/>
      <w:lvlText w:val="(%1)"/>
      <w:numFmt w:val="lowerRoman"/>
      <w:start w:val="1"/>
    </w:lvl>
  </w:abstractNum>
  <w:abstractNum w:abstractNumId="22">
    <w:nsid w:val="5C482A97"/>
    <w:multiLevelType w:val="hybridMultilevel"/>
    <w:lvl w:ilvl="0">
      <w:lvlJc w:val="left"/>
      <w:lvlText w:val="(%1)"/>
      <w:numFmt w:val="lowerLetter"/>
      <w:start w:val="1"/>
    </w:lvl>
    <w:lvl w:ilvl="1">
      <w:lvlJc w:val="left"/>
      <w:lvlText w:val="(%2)"/>
      <w:numFmt w:val="lowerRoman"/>
      <w:start w:val="1"/>
    </w:lvl>
  </w:abstractNum>
  <w:abstractNum w:abstractNumId="23">
    <w:nsid w:val="2463B9EA"/>
    <w:multiLevelType w:val="hybridMultilevel"/>
    <w:lvl w:ilvl="0">
      <w:lvlJc w:val="left"/>
      <w:lvlText w:val="(%1)"/>
      <w:numFmt w:val="lowerLetter"/>
      <w:start w:val="1"/>
    </w:lvl>
  </w:abstractNum>
  <w:abstractNum w:abstractNumId="24">
    <w:nsid w:val="5E884ADC"/>
    <w:multiLevelType w:val="hybridMultilevel"/>
    <w:lvl w:ilvl="0">
      <w:lvlJc w:val="left"/>
      <w:lvlText w:val="(%1)"/>
      <w:numFmt w:val="lowerLetter"/>
      <w:start w:val="35"/>
    </w:lvl>
  </w:abstractNum>
  <w:abstractNum w:abstractNumId="25">
    <w:nsid w:val="51EAD36B"/>
    <w:multiLevelType w:val="hybridMultilevel"/>
    <w:lvl w:ilvl="0">
      <w:lvlJc w:val="left"/>
      <w:lvlText w:val="(%1)"/>
      <w:numFmt w:val="lowerLetter"/>
      <w:start w:val="1"/>
    </w:lvl>
    <w:lvl w:ilvl="1">
      <w:lvlJc w:val="left"/>
      <w:lvlText w:val="(%2)"/>
      <w:numFmt w:val="decimal"/>
      <w:start w:val="1"/>
    </w:lvl>
  </w:abstractNum>
  <w:abstractNum w:abstractNumId="26">
    <w:nsid w:val="2D517796"/>
    <w:multiLevelType w:val="hybridMultilevel"/>
    <w:lvl w:ilvl="0">
      <w:lvlJc w:val="left"/>
      <w:lvlText w:val="(%1)"/>
      <w:numFmt w:val="lowerLetter"/>
      <w:start w:val="9"/>
    </w:lvl>
    <w:lvl w:ilvl="1">
      <w:lvlJc w:val="left"/>
      <w:lvlText w:val="(%2)"/>
      <w:numFmt w:val="decimal"/>
      <w:start w:val="2"/>
    </w:lvl>
  </w:abstractNum>
  <w:abstractNum w:abstractNumId="27">
    <w:nsid w:val="580BD78F"/>
    <w:multiLevelType w:val="hybridMultilevel"/>
    <w:lvl w:ilvl="0">
      <w:lvlJc w:val="left"/>
      <w:lvlText w:val="(%1)"/>
      <w:numFmt w:val="decimal"/>
      <w:start w:val="4"/>
    </w:lvl>
  </w:abstractNum>
  <w:abstractNum w:abstractNumId="28">
    <w:nsid w:val="153EA438"/>
    <w:multiLevelType w:val="hybridMultilevel"/>
    <w:lvl w:ilvl="0">
      <w:lvlJc w:val="left"/>
      <w:lvlText w:val="(%1)"/>
      <w:numFmt w:val="decimal"/>
      <w:start w:val="8"/>
    </w:lvl>
  </w:abstractNum>
  <w:abstractNum w:abstractNumId="29">
    <w:nsid w:val="3855585C"/>
    <w:multiLevelType w:val="hybridMultilevel"/>
    <w:lvl w:ilvl="0">
      <w:lvlJc w:val="left"/>
      <w:lvlText w:val="(%1)"/>
      <w:numFmt w:val="lowerLetter"/>
      <w:start w:val="2"/>
    </w:lvl>
  </w:abstractNum>
  <w:abstractNum w:abstractNumId="30">
    <w:nsid w:val="70A64E2A"/>
    <w:multiLevelType w:val="hybridMultilevel"/>
    <w:lvl w:ilvl="0">
      <w:lvlJc w:val="left"/>
      <w:lvlText w:val="(%1)"/>
      <w:numFmt w:val="decimal"/>
      <w:start w:val="1"/>
    </w:lvl>
  </w:abstractNum>
  <w:abstractNum w:abstractNumId="31">
    <w:nsid w:val="6A2342EC"/>
    <w:multiLevelType w:val="hybridMultilevel"/>
    <w:lvl w:ilvl="0">
      <w:lvlJc w:val="left"/>
      <w:lvlText w:val="%1"/>
      <w:numFmt w:val="upperLetter"/>
      <w:start w:val="1"/>
    </w:lvl>
    <w:lvl w:ilvl="1">
      <w:lvlJc w:val="left"/>
      <w:lvlText w:val="(%2)"/>
      <w:numFmt w:val="decimal"/>
      <w:start w:val="5"/>
    </w:lvl>
  </w:abstractNum>
  <w:abstractNum w:abstractNumId="32">
    <w:nsid w:val="2A487CB0"/>
    <w:multiLevelType w:val="hybridMultilevel"/>
    <w:lvl w:ilvl="0">
      <w:lvlJc w:val="left"/>
      <w:lvlText w:val="(%1)"/>
      <w:numFmt w:val="upperLetter"/>
      <w:start w:val="1"/>
    </w:lvl>
    <w:lvl w:ilvl="1">
      <w:lvlJc w:val="left"/>
      <w:lvlText w:val="(%2)"/>
      <w:numFmt w:val="decimal"/>
      <w:start w:val="6"/>
    </w:lvl>
  </w:abstractNum>
  <w:abstractNum w:abstractNumId="33">
    <w:nsid w:val="1D4ED43B"/>
    <w:multiLevelType w:val="hybridMultilevel"/>
    <w:lvl w:ilvl="0">
      <w:lvlJc w:val="left"/>
      <w:lvlText w:val="(%1)"/>
      <w:numFmt w:val="decimal"/>
      <w:start w:val="1"/>
    </w:lvl>
  </w:abstractNum>
  <w:abstractNum w:abstractNumId="34">
    <w:nsid w:val="725A06FB"/>
    <w:multiLevelType w:val="hybridMultilevel"/>
    <w:lvl w:ilvl="0">
      <w:lvlJc w:val="left"/>
      <w:lvlText w:val="(%1)"/>
      <w:numFmt w:val="upperLetter"/>
      <w:start w:val="1"/>
    </w:lvl>
  </w:abstractNum>
  <w:abstractNum w:abstractNumId="35">
    <w:nsid w:val="2CD89A32"/>
    <w:multiLevelType w:val="hybridMultilevel"/>
    <w:lvl w:ilvl="0">
      <w:lvlJc w:val="left"/>
      <w:lvlText w:val="(%1)"/>
      <w:numFmt w:val="upperLetter"/>
      <w:start w:val="3"/>
    </w:lvl>
  </w:abstractNum>
  <w:abstractNum w:abstractNumId="36">
    <w:nsid w:val="57E4CCAF"/>
    <w:multiLevelType w:val="hybridMultilevel"/>
    <w:lvl w:ilvl="0">
      <w:lvlJc w:val="left"/>
      <w:lvlText w:val="(%1)"/>
      <w:numFmt w:val="decimal"/>
      <w:start w:val="2"/>
    </w:lvl>
  </w:abstractNum>
  <w:abstractNum w:abstractNumId="37">
    <w:nsid w:val="7A6D8D3C"/>
    <w:multiLevelType w:val="hybridMultilevel"/>
    <w:lvl w:ilvl="0">
      <w:lvlJc w:val="left"/>
      <w:lvlText w:val="(%1)"/>
      <w:numFmt w:val="decimal"/>
      <w:start w:val="1"/>
    </w:lvl>
  </w:abstractNum>
  <w:abstractNum w:abstractNumId="38">
    <w:nsid w:val="4B588F54"/>
    <w:multiLevelType w:val="hybridMultilevel"/>
    <w:lvl w:ilvl="0">
      <w:lvlJc w:val="left"/>
      <w:lvlText w:val="%1"/>
      <w:numFmt w:val="lowerRoman"/>
      <w:start w:val="1"/>
    </w:lvl>
    <w:lvl w:ilvl="1">
      <w:lvlJc w:val="left"/>
      <w:lvlText w:val="(%2)"/>
      <w:numFmt w:val="lowerRoman"/>
      <w:start w:val="1"/>
    </w:lvl>
  </w:abstractNum>
  <w:abstractNum w:abstractNumId="39">
    <w:nsid w:val="542289EC"/>
    <w:multiLevelType w:val="hybridMultilevel"/>
    <w:lvl w:ilvl="0">
      <w:lvlJc w:val="left"/>
      <w:lvlText w:val="(%1)"/>
      <w:numFmt w:val="lowerRoman"/>
      <w:start w:val="1"/>
    </w:lvl>
    <w:lvl w:ilvl="1">
      <w:lvlJc w:val="left"/>
      <w:lvlText w:val="(%2)"/>
      <w:numFmt w:val="lowerRoman"/>
      <w:start w:val="3"/>
    </w:lvl>
  </w:abstractNum>
  <w:abstractNum w:abstractNumId="40">
    <w:nsid w:val="6DE91B18"/>
    <w:multiLevelType w:val="hybridMultilevel"/>
    <w:lvl w:ilvl="0">
      <w:lvlJc w:val="left"/>
      <w:lvlText w:val="%1"/>
      <w:numFmt w:val="upperLetter"/>
      <w:start w:val="1"/>
    </w:lvl>
    <w:lvl w:ilvl="1">
      <w:lvlJc w:val="left"/>
      <w:lvlText w:val="(%2)"/>
      <w:numFmt w:val="decimal"/>
      <w:start w:val="1"/>
    </w:lvl>
  </w:abstractNum>
  <w:abstractNum w:abstractNumId="41">
    <w:nsid w:val="38437FDB"/>
    <w:multiLevelType w:val="hybridMultilevel"/>
    <w:lvl w:ilvl="0">
      <w:lvlJc w:val="left"/>
      <w:lvlText w:val="(%1)"/>
      <w:numFmt w:val="upperLetter"/>
      <w:start w:val="1"/>
    </w:lvl>
    <w:lvl w:ilvl="1">
      <w:lvlJc w:val="left"/>
      <w:lvlText w:val="%2"/>
      <w:numFmt w:val="decimal"/>
      <w:start w:val="1"/>
    </w:lvl>
  </w:abstractNum>
  <w:abstractNum w:abstractNumId="42">
    <w:nsid w:val="7644A45C"/>
    <w:multiLevelType w:val="hybridMultilevel"/>
    <w:lvl w:ilvl="0">
      <w:lvlJc w:val="left"/>
      <w:lvlText w:val="(%1)"/>
      <w:numFmt w:val="decimal"/>
      <w:start w:val="6"/>
    </w:lvl>
  </w:abstractNum>
  <w:abstractNum w:abstractNumId="43">
    <w:nsid w:val="32FFF902"/>
    <w:multiLevelType w:val="hybridMultilevel"/>
    <w:lvl w:ilvl="0">
      <w:lvlJc w:val="left"/>
      <w:lvlText w:val="(%1)"/>
      <w:numFmt w:val="decimal"/>
      <w:start w:val="1"/>
    </w:lvl>
  </w:abstractNum>
  <w:abstractNum w:abstractNumId="44">
    <w:nsid w:val="684A481A"/>
    <w:multiLevelType w:val="hybridMultilevel"/>
    <w:lvl w:ilvl="0">
      <w:lvlJc w:val="left"/>
      <w:lvlText w:val="(%1)"/>
      <w:numFmt w:val="upperLetter"/>
      <w:start w:val="1"/>
    </w:lvl>
  </w:abstractNum>
  <w:abstractNum w:abstractNumId="45">
    <w:nsid w:val="579478FE"/>
    <w:multiLevelType w:val="hybridMultilevel"/>
    <w:lvl w:ilvl="0">
      <w:lvlJc w:val="left"/>
      <w:lvlText w:val="(%1)"/>
      <w:numFmt w:val="decimal"/>
      <w:start w:val="2"/>
    </w:lvl>
  </w:abstractNum>
  <w:abstractNum w:abstractNumId="46">
    <w:nsid w:val="749ABB43"/>
    <w:multiLevelType w:val="hybridMultilevel"/>
    <w:lvl w:ilvl="0">
      <w:lvlJc w:val="left"/>
      <w:lvlText w:val="(%1)"/>
      <w:numFmt w:val="decimal"/>
      <w:start w:val="1"/>
    </w:lvl>
  </w:abstractNum>
  <w:abstractNum w:abstractNumId="47">
    <w:nsid w:val="3DC240FB"/>
    <w:multiLevelType w:val="hybridMultilevel"/>
    <w:lvl w:ilvl="0">
      <w:lvlJc w:val="left"/>
      <w:lvlText w:val="%1"/>
      <w:numFmt w:val="lowerRoman"/>
      <w:start w:val="1"/>
    </w:lvl>
    <w:lvl w:ilvl="1">
      <w:lvlJc w:val="left"/>
      <w:lvlText w:val="(%2)"/>
      <w:numFmt w:val="lowerRoman"/>
      <w:start w:val="1"/>
    </w:lvl>
  </w:abstractNum>
  <w:abstractNum w:abstractNumId="48">
    <w:nsid w:val="1BA026FA"/>
    <w:multiLevelType w:val="hybridMultilevel"/>
    <w:lvl w:ilvl="0">
      <w:lvlJc w:val="left"/>
      <w:lvlText w:val="(%1)"/>
      <w:numFmt w:val="lowerRoman"/>
      <w:start w:val="1"/>
    </w:lvl>
    <w:lvl w:ilvl="1">
      <w:lvlJc w:val="left"/>
      <w:lvlText w:val="(%2)"/>
      <w:numFmt w:val="lowerRoman"/>
      <w:start w:val="3"/>
    </w:lvl>
  </w:abstractNum>
  <w:abstractNum w:abstractNumId="49">
    <w:nsid w:val="79A1DEAA"/>
    <w:multiLevelType w:val="hybridMultilevel"/>
    <w:lvl w:ilvl="0">
      <w:lvlJc w:val="left"/>
      <w:lvlText w:val="(%1)"/>
      <w:numFmt w:val="lowerLetter"/>
      <w:start w:val="1"/>
    </w:lvl>
  </w:abstractNum>
  <w:abstractNum w:abstractNumId="50">
    <w:nsid w:val="75C6C33A"/>
    <w:multiLevelType w:val="hybridMultilevel"/>
    <w:lvl w:ilvl="0">
      <w:lvlJc w:val="left"/>
      <w:lvlText w:val="(%1)"/>
      <w:numFmt w:val="lowerLetter"/>
      <w:start w:val="1"/>
    </w:lvl>
    <w:lvl w:ilvl="1">
      <w:lvlJc w:val="left"/>
      <w:lvlText w:val="(%2)"/>
      <w:numFmt w:val="lowerRoman"/>
      <w:start w:val="2"/>
    </w:lvl>
  </w:abstractNum>
  <w:abstractNum w:abstractNumId="51">
    <w:nsid w:val="12E685FB"/>
    <w:multiLevelType w:val="hybridMultilevel"/>
    <w:lvl w:ilvl="0">
      <w:lvlJc w:val="left"/>
      <w:lvlText w:val="(%1)"/>
      <w:numFmt w:val="lowerLetter"/>
      <w:start w:val="1"/>
    </w:lvl>
    <w:lvl w:ilvl="1">
      <w:lvlJc w:val="left"/>
      <w:lvlText w:val="%2"/>
      <w:numFmt w:val="lowerRoman"/>
      <w:start w:val="1"/>
    </w:lvl>
  </w:abstractNum>
  <w:abstractNum w:abstractNumId="52">
    <w:nsid w:val="70C6A529"/>
    <w:multiLevelType w:val="hybridMultilevel"/>
    <w:lvl w:ilvl="0">
      <w:lvlJc w:val="left"/>
      <w:lvlText w:val="(%1)"/>
      <w:numFmt w:val="upp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2020-10-07T06:28:51Z</dcterms:created>
  <dcterms:modified xsi:type="dcterms:W3CDTF">2020-10-07T06:28:51Z</dcterms:modified>
</cp:coreProperties>
</file>