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WMI13G4.doc</w:t>
      </w:r>
    </w:p>
    <w:p>
      <w:pPr>
        <w:ind w:left="170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tabs>
          <w:tab w:leader="none" w:pos="4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SCHEDULE 13G</w:t>
      </w:r>
    </w:p>
    <w:p>
      <w:pPr>
        <w:jc w:val="center"/>
        <w:ind w:right="31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Waste Management, Inc.</w:t>
      </w:r>
    </w:p>
    <w:p>
      <w:pPr>
        <w:ind w:left="5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w:t>
      </w: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3" w:lineRule="exact"/>
        <w:rPr>
          <w:sz w:val="24"/>
          <w:szCs w:val="24"/>
          <w:color w:val="auto"/>
        </w:rPr>
      </w:pPr>
    </w:p>
    <w:p>
      <w:pPr>
        <w:jc w:val="center"/>
        <w:ind w:right="3259"/>
        <w:spacing w:after="0"/>
        <w:rPr>
          <w:sz w:val="20"/>
          <w:szCs w:val="20"/>
          <w:color w:val="auto"/>
        </w:rPr>
      </w:pPr>
      <w:r>
        <w:rPr>
          <w:rFonts w:ascii="Courier New" w:cs="Courier New" w:eastAsia="Courier New" w:hAnsi="Courier New"/>
          <w:sz w:val="18"/>
          <w:szCs w:val="18"/>
          <w:color w:val="auto"/>
        </w:rPr>
        <w:t>Common Stock</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313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8"/>
          <w:szCs w:val="18"/>
          <w:color w:val="auto"/>
        </w:rPr>
        <w:t>94106L109</w:t>
      </w:r>
    </w:p>
    <w:p>
      <w:pPr>
        <w:ind w:left="64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/X/</w:t>
        <w:tab/>
        <w:t>Rule 13d-1(b)</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13d-1(c)</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sz w:val="24"/>
          <w:szCs w:val="24"/>
          <w:color w:val="auto"/>
        </w:rPr>
      </w:pPr>
    </w:p>
    <w:p>
      <w:pPr>
        <w:spacing w:after="0" w:line="210" w:lineRule="exact"/>
        <w:rPr>
          <w:sz w:val="24"/>
          <w:szCs w:val="24"/>
          <w:color w:val="auto"/>
        </w:rPr>
      </w:pPr>
    </w:p>
    <w:p>
      <w:pPr>
        <w:ind w:right="3259" w:firstLine="8"/>
        <w:spacing w:after="0" w:line="47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The information required in the remainder of this cover page shall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liabilities of that section of the Act but shall be subject to all</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38" w:lineRule="auto"/>
        <w:rPr>
          <w:sz w:val="20"/>
          <w:szCs w:val="20"/>
          <w:color w:val="auto"/>
        </w:rPr>
      </w:pPr>
      <w:r>
        <w:rPr>
          <w:rFonts w:ascii="Courier New" w:cs="Courier New" w:eastAsia="Courier New" w:hAnsi="Courier New"/>
          <w:sz w:val="18"/>
          <w:szCs w:val="18"/>
          <w:color w:val="auto"/>
        </w:rPr>
        <w:t>13G</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4"/>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___________</w:t>
      </w:r>
    </w:p>
    <w:p>
      <w:pPr>
        <w:ind w:left="3700"/>
        <w:spacing w:after="0" w:line="238" w:lineRule="auto"/>
        <w:rPr>
          <w:sz w:val="20"/>
          <w:szCs w:val="20"/>
          <w:color w:val="auto"/>
        </w:rPr>
      </w:pPr>
      <w:r>
        <w:rPr>
          <w:rFonts w:ascii="Courier New" w:cs="Courier New" w:eastAsia="Courier New" w:hAnsi="Courier New"/>
          <w:sz w:val="18"/>
          <w:szCs w:val="18"/>
          <w:color w:val="auto"/>
        </w:rPr>
        <w:t>:(5) SOLE VOTING POWER</w:t>
      </w:r>
    </w:p>
    <w:p>
      <w:pPr>
        <w:ind w:left="3700"/>
        <w:spacing w:after="0"/>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3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17,987,555 shares</w:t>
      </w:r>
    </w:p>
    <w:p>
      <w:pPr>
        <w:spacing w:after="0" w:line="238" w:lineRule="auto"/>
        <w:rPr>
          <w:sz w:val="20"/>
          <w:szCs w:val="20"/>
          <w:color w:val="auto"/>
        </w:rPr>
      </w:pPr>
      <w:r>
        <w:rPr>
          <w:rFonts w:ascii="Courier New" w:cs="Courier New" w:eastAsia="Courier New" w:hAnsi="Courier New"/>
          <w:sz w:val="18"/>
          <w:szCs w:val="18"/>
          <w:color w:val="auto"/>
        </w:rPr>
        <w:t>OWNED BY EACH REPORTING PERSON</w:t>
      </w: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spacing w:after="0" w:line="237"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7"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10,161,100 shares (shared)</w:t>
      </w:r>
    </w:p>
    <w:p>
      <w:pPr>
        <w:spacing w:after="0" w:line="16"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5,655,500 shares (No</w:t>
      </w:r>
    </w:p>
    <w:p>
      <w:pPr>
        <w:spacing w:after="0" w:line="238" w:lineRule="auto"/>
        <w:rPr>
          <w:sz w:val="20"/>
          <w:szCs w:val="20"/>
          <w:color w:val="auto"/>
        </w:rPr>
      </w:pPr>
      <w:r>
        <w:rPr>
          <w:rFonts w:ascii="Courier New" w:cs="Courier New" w:eastAsia="Courier New" w:hAnsi="Courier New"/>
          <w:sz w:val="18"/>
          <w:szCs w:val="18"/>
          <w:color w:val="auto"/>
        </w:rPr>
        <w:t>Vote)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4220"/>
        <w:spacing w:after="0"/>
        <w:rPr>
          <w:sz w:val="20"/>
          <w:szCs w:val="20"/>
          <w:color w:val="auto"/>
        </w:rPr>
      </w:pPr>
      <w:r>
        <w:rPr>
          <w:rFonts w:ascii="Courier New" w:cs="Courier New" w:eastAsia="Courier New" w:hAnsi="Courier New"/>
          <w:sz w:val="18"/>
          <w:szCs w:val="18"/>
          <w:color w:val="auto"/>
        </w:rPr>
        <w:t>(Discretionary Accounts)</w:t>
      </w:r>
    </w:p>
    <w:p>
      <w:pPr>
        <w:ind w:left="3700"/>
        <w:spacing w:after="0" w:line="237" w:lineRule="auto"/>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23,606,923 shares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3700"/>
        <w:spacing w:after="0"/>
        <w:tabs>
          <w:tab w:leader="none" w:pos="4300" w:val="left"/>
        </w:tabs>
        <w:rPr>
          <w:sz w:val="20"/>
          <w:szCs w:val="20"/>
          <w:color w:val="auto"/>
        </w:rPr>
      </w:pP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OR NO DISPOSITIVE</w:t>
      </w:r>
    </w:p>
    <w:p>
      <w:pPr>
        <w:spacing w:after="0"/>
        <w:rPr>
          <w:sz w:val="20"/>
          <w:szCs w:val="20"/>
          <w:color w:val="auto"/>
        </w:rPr>
      </w:pPr>
      <w:r>
        <w:rPr>
          <w:rFonts w:ascii="Courier New" w:cs="Courier New" w:eastAsia="Courier New" w:hAnsi="Courier New"/>
          <w:sz w:val="18"/>
          <w:szCs w:val="18"/>
          <w:color w:val="auto"/>
        </w:rPr>
        <w:t>POWER</w:t>
      </w:r>
    </w:p>
    <w:p>
      <w:pPr>
        <w:spacing w:after="0" w:line="206" w:lineRule="exact"/>
        <w:rPr>
          <w:sz w:val="20"/>
          <w:szCs w:val="20"/>
          <w:color w:val="auto"/>
        </w:rPr>
      </w:pPr>
    </w:p>
    <w:p>
      <w:pPr>
        <w:ind w:left="3700"/>
        <w:spacing w:after="0"/>
        <w:tabs>
          <w:tab w:leader="none" w:pos="42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10,161,100 shares (Shared)</w:t>
      </w:r>
    </w:p>
    <w:p>
      <w:pPr>
        <w:spacing w:after="0" w:line="16"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36,132 shares (None)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33,804,155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68" w:lineRule="auto"/>
        <w:tabs>
          <w:tab w:leader="none" w:pos="64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 -X- See Items 4(c)(ii) and (iv)</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rPr>
          <w:sz w:val="20"/>
          <w:szCs w:val="20"/>
          <w:color w:val="auto"/>
        </w:rPr>
      </w:pPr>
      <w:r>
        <w:rPr>
          <w:rFonts w:ascii="Courier New" w:cs="Courier New" w:eastAsia="Courier New" w:hAnsi="Courier New"/>
          <w:sz w:val="18"/>
          <w:szCs w:val="18"/>
          <w:color w:val="auto"/>
        </w:rPr>
        <w:t>5.8 %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7059" w:hanging="632"/>
        <w:spacing w:after="0" w:line="235" w:lineRule="auto"/>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60" w:type="dxa"/>
            <w:vAlign w:val="bottom"/>
          </w:tcPr>
          <w:p>
            <w:pPr>
              <w:spacing w:after="0"/>
              <w:rPr>
                <w:sz w:val="20"/>
                <w:szCs w:val="20"/>
                <w:color w:val="auto"/>
              </w:rPr>
            </w:pPr>
            <w:r>
              <w:rPr>
                <w:rFonts w:ascii="Courier New" w:cs="Courier New" w:eastAsia="Courier New" w:hAnsi="Courier New"/>
                <w:sz w:val="18"/>
                <w:szCs w:val="18"/>
                <w:color w:val="auto"/>
              </w:rPr>
              <w:t>CUSIP No.  94106L109</w:t>
            </w:r>
          </w:p>
        </w:tc>
        <w:tc>
          <w:tcPr>
            <w:tcW w:w="2260" w:type="dxa"/>
            <w:vAlign w:val="bottom"/>
          </w:tcPr>
          <w:p>
            <w:pPr>
              <w:ind w:left="196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w:t>
      </w:r>
    </w:p>
    <w:p>
      <w:pPr>
        <w:spacing w:after="0" w:line="4"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20"/>
                <w:szCs w:val="20"/>
                <w:color w:val="auto"/>
              </w:rPr>
            </w:pPr>
            <w:r>
              <w:rPr>
                <w:rFonts w:ascii="Courier New" w:cs="Courier New" w:eastAsia="Courier New" w:hAnsi="Courier New"/>
                <w:sz w:val="18"/>
                <w:szCs w:val="18"/>
                <w:color w:val="auto"/>
              </w:rPr>
              <w:t>___________</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:(5)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r>
      <w:tr>
        <w:trPr>
          <w:trHeight w:val="203"/>
        </w:trPr>
        <w:tc>
          <w:tcPr>
            <w:tcW w:w="3440" w:type="dxa"/>
            <w:vAlign w:val="bottom"/>
          </w:tcPr>
          <w:p>
            <w:pPr>
              <w:spacing w:after="0"/>
              <w:rPr>
                <w:sz w:val="17"/>
                <w:szCs w:val="17"/>
                <w:color w:val="auto"/>
              </w:rPr>
            </w:pP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278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5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203"/>
        </w:trPr>
        <w:tc>
          <w:tcPr>
            <w:tcW w:w="4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17"/>
                <w:szCs w:val="17"/>
                <w:color w:val="auto"/>
              </w:rPr>
            </w:pP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126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:(7) SOLE</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r>
        <w:trPr>
          <w:trHeight w:val="405"/>
        </w:trPr>
        <w:tc>
          <w:tcPr>
            <w:tcW w:w="4700" w:type="dxa"/>
            <w:vAlign w:val="bottom"/>
            <w:gridSpan w:val="3"/>
          </w:tcPr>
          <w:p>
            <w:pPr>
              <w:spacing w:after="0"/>
              <w:rPr>
                <w:sz w:val="20"/>
                <w:szCs w:val="20"/>
                <w:color w:val="auto"/>
              </w:rPr>
            </w:pPr>
            <w:r>
              <w:rPr>
                <w:rFonts w:ascii="Courier New" w:cs="Courier New" w:eastAsia="Courier New" w:hAnsi="Courier New"/>
                <w:sz w:val="18"/>
                <w:szCs w:val="18"/>
                <w:color w:val="auto"/>
              </w:rPr>
              <w:t>__________________________________________</w:t>
            </w:r>
          </w:p>
        </w:tc>
        <w:tc>
          <w:tcPr>
            <w:tcW w:w="2040" w:type="dxa"/>
            <w:vAlign w:val="bottom"/>
          </w:tcPr>
          <w:p>
            <w:pPr>
              <w:spacing w:after="0"/>
              <w:rPr>
                <w:sz w:val="24"/>
                <w:szCs w:val="24"/>
                <w:color w:val="auto"/>
              </w:rPr>
            </w:pPr>
          </w:p>
        </w:tc>
      </w:tr>
      <w:tr>
        <w:trPr>
          <w:trHeight w:val="203"/>
        </w:trPr>
        <w:tc>
          <w:tcPr>
            <w:tcW w:w="3440" w:type="dxa"/>
            <w:vAlign w:val="bottom"/>
          </w:tcPr>
          <w:p>
            <w:pPr>
              <w:spacing w:after="0"/>
              <w:rPr>
                <w:sz w:val="17"/>
                <w:szCs w:val="17"/>
                <w:color w:val="auto"/>
              </w:rPr>
            </w:pPr>
          </w:p>
        </w:tc>
        <w:tc>
          <w:tcPr>
            <w:tcW w:w="330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:(8) SHARED DISPOSITIVE POWER</w:t>
            </w:r>
          </w:p>
        </w:tc>
      </w:tr>
      <w:tr>
        <w:trPr>
          <w:trHeight w:val="405"/>
        </w:trPr>
        <w:tc>
          <w:tcPr>
            <w:tcW w:w="3440" w:type="dxa"/>
            <w:vAlign w:val="bottom"/>
          </w:tcPr>
          <w:p>
            <w:pPr>
              <w:spacing w:after="0"/>
              <w:rPr>
                <w:sz w:val="24"/>
                <w:szCs w:val="24"/>
                <w:color w:val="auto"/>
              </w:rPr>
            </w:pPr>
          </w:p>
        </w:tc>
        <w:tc>
          <w:tcPr>
            <w:tcW w:w="52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ind w:left="260"/>
              <w:spacing w:after="0"/>
              <w:rPr>
                <w:sz w:val="20"/>
                <w:szCs w:val="20"/>
                <w:color w:val="auto"/>
              </w:rPr>
            </w:pPr>
            <w:r>
              <w:rPr>
                <w:rFonts w:ascii="Courier New" w:cs="Courier New" w:eastAsia="Courier New" w:hAnsi="Courier New"/>
                <w:sz w:val="18"/>
                <w:szCs w:val="18"/>
                <w:color w:val="auto"/>
              </w:rPr>
              <w:t>None</w:t>
            </w:r>
          </w:p>
        </w:tc>
        <w:tc>
          <w:tcPr>
            <w:tcW w:w="2040" w:type="dxa"/>
            <w:vAlign w:val="bottom"/>
          </w:tcPr>
          <w:p>
            <w:pPr>
              <w:spacing w:after="0"/>
              <w:rPr>
                <w:sz w:val="24"/>
                <w:szCs w:val="2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ectPr>
          <w:pgSz w:w="11900" w:h="16838" w:orient="portrait"/>
          <w:cols w:equalWidth="0" w:num="1">
            <w:col w:w="10219"/>
          </w:cols>
          <w:pgMar w:left="240" w:top="136" w:right="1440" w:bottom="0" w:gutter="0" w:footer="0" w:header="0"/>
        </w:sectPr>
      </w:pPr>
    </w:p>
    <w:bookmarkStart w:id="2" w:name="page3"/>
    <w:bookmarkEnd w:id="2"/>
    <w:p>
      <w:pPr>
        <w:ind w:left="540" w:hanging="532"/>
        <w:spacing w:after="0"/>
        <w:tabs>
          <w:tab w:leader="none" w:pos="54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sz w:val="20"/>
          <w:szCs w:val="20"/>
          <w:color w:val="auto"/>
        </w:rPr>
      </w:pPr>
    </w:p>
    <w:p>
      <w:pPr>
        <w:ind w:left="740"/>
        <w:spacing w:after="0"/>
        <w:tabs>
          <w:tab w:leader="none" w:pos="1360" w:val="left"/>
        </w:tabs>
        <w:rPr>
          <w:sz w:val="20"/>
          <w:szCs w:val="20"/>
          <w:color w:val="auto"/>
        </w:rPr>
      </w:pPr>
      <w:r>
        <w:rPr>
          <w:rFonts w:ascii="Courier New" w:cs="Courier New" w:eastAsia="Courier New" w:hAnsi="Courier New"/>
          <w:sz w:val="18"/>
          <w:szCs w:val="18"/>
          <w:color w:val="auto"/>
        </w:rPr>
        <w:t>None</w:t>
      </w:r>
      <w:r>
        <w:rPr>
          <w:sz w:val="20"/>
          <w:szCs w:val="20"/>
          <w:color w:val="auto"/>
        </w:rPr>
        <w:tab/>
      </w:r>
      <w:r>
        <w:rPr>
          <w:rFonts w:ascii="Courier New" w:cs="Courier New" w:eastAsia="Courier New" w:hAnsi="Courier New"/>
          <w:sz w:val="16"/>
          <w:szCs w:val="16"/>
          <w:color w:val="auto"/>
        </w:rPr>
        <w:t>(See Item 3 )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4" w:lineRule="exact"/>
        <w:rPr>
          <w:sz w:val="20"/>
          <w:szCs w:val="20"/>
          <w:color w:val="auto"/>
        </w:rPr>
      </w:pPr>
    </w:p>
    <w:p>
      <w:pPr>
        <w:ind w:left="640" w:right="4619" w:hanging="632"/>
        <w:spacing w:after="0" w:line="235" w:lineRule="auto"/>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ind w:left="640" w:hanging="632"/>
        <w:spacing w:after="0" w:line="238"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rPr>
          <w:sz w:val="20"/>
          <w:szCs w:val="20"/>
          <w:color w:val="auto"/>
        </w:rPr>
      </w:pPr>
      <w:r>
        <w:rPr>
          <w:rFonts w:ascii="Courier New" w:cs="Courier New" w:eastAsia="Courier New" w:hAnsi="Courier New"/>
          <w:sz w:val="18"/>
          <w:szCs w:val="18"/>
          <w:color w:val="auto"/>
        </w:rPr>
        <w:t>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Name of Issuer: Waste Management, Inc.</w:t>
      </w:r>
    </w:p>
    <w:p>
      <w:pPr>
        <w:ind w:left="1060"/>
        <w:spacing w:after="0" w:line="238" w:lineRule="auto"/>
        <w:rPr>
          <w:sz w:val="20"/>
          <w:szCs w:val="20"/>
          <w:color w:val="auto"/>
        </w:rPr>
      </w:pPr>
      <w:r>
        <w:rPr>
          <w:rFonts w:ascii="Courier New" w:cs="Courier New" w:eastAsia="Courier New" w:hAnsi="Courier New"/>
          <w:sz w:val="18"/>
          <w:szCs w:val="18"/>
          <w:color w:val="auto"/>
        </w:rPr>
        <w:t>("Issuer")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1001 Fannin, Suite 4000</w:t>
      </w:r>
    </w:p>
    <w:p>
      <w:pPr>
        <w:ind w:left="960"/>
        <w:spacing w:after="0" w:line="238" w:lineRule="auto"/>
        <w:rPr>
          <w:sz w:val="20"/>
          <w:szCs w:val="20"/>
          <w:color w:val="auto"/>
        </w:rPr>
      </w:pPr>
      <w:r>
        <w:rPr>
          <w:rFonts w:ascii="Courier New" w:cs="Courier New" w:eastAsia="Courier New" w:hAnsi="Courier New"/>
          <w:sz w:val="18"/>
          <w:szCs w:val="18"/>
          <w:color w:val="auto"/>
        </w:rPr>
        <w:t>Houston, Texas 77002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1" w:lineRule="exact"/>
        <w:rPr>
          <w:sz w:val="20"/>
          <w:szCs w:val="20"/>
          <w:color w:val="auto"/>
        </w:rPr>
      </w:pPr>
    </w:p>
    <w:p>
      <w:pPr>
        <w:ind w:left="960" w:hanging="425"/>
        <w:spacing w:after="0"/>
        <w:tabs>
          <w:tab w:leader="none" w:pos="9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Filing:</w:t>
      </w:r>
    </w:p>
    <w:p>
      <w:pPr>
        <w:spacing w:after="0" w:line="207" w:lineRule="exact"/>
        <w:rPr>
          <w:sz w:val="20"/>
          <w:szCs w:val="20"/>
          <w:color w:val="auto"/>
        </w:rPr>
      </w:pPr>
    </w:p>
    <w:p>
      <w:pPr>
        <w:ind w:left="1580" w:right="4939" w:hanging="1045"/>
        <w:spacing w:after="0" w:line="236" w:lineRule="auto"/>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 6410 Poplar Ave., Suite 900 Memphis, TN 38119</w:t>
      </w:r>
    </w:p>
    <w:p>
      <w:pPr>
        <w:spacing w:after="0" w:line="203" w:lineRule="exact"/>
        <w:rPr>
          <w:rFonts w:ascii="Courier New" w:cs="Courier New" w:eastAsia="Courier New" w:hAnsi="Courier New"/>
          <w:sz w:val="18"/>
          <w:szCs w:val="18"/>
          <w:color w:val="auto"/>
        </w:rPr>
      </w:pPr>
    </w:p>
    <w:p>
      <w:pPr>
        <w:ind w:left="1580" w:hanging="1045"/>
        <w:spacing w:after="0"/>
        <w:tabs>
          <w:tab w:leader="none" w:pos="15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7" w:lineRule="exact"/>
        <w:rPr>
          <w:sz w:val="20"/>
          <w:szCs w:val="20"/>
          <w:color w:val="auto"/>
        </w:rPr>
      </w:pPr>
    </w:p>
    <w:p>
      <w:pPr>
        <w:ind w:left="540" w:right="3999" w:firstLine="527"/>
        <w:spacing w:after="0" w:line="235" w:lineRule="auto"/>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pacing w:after="0" w:line="207" w:lineRule="exact"/>
        <w:rPr>
          <w:sz w:val="20"/>
          <w:szCs w:val="20"/>
          <w:color w:val="auto"/>
        </w:rPr>
      </w:pPr>
    </w:p>
    <w:p>
      <w:pPr>
        <w:ind w:left="1280" w:right="4099" w:hanging="73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94106L109</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ind w:left="120"/>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540" w:right="3679" w:hanging="539"/>
        <w:spacing w:after="0" w:line="268" w:lineRule="auto"/>
        <w:tabs>
          <w:tab w:leader="none" w:pos="520" w:val="left"/>
        </w:tabs>
        <w:rPr>
          <w:sz w:val="20"/>
          <w:szCs w:val="20"/>
          <w:color w:val="auto"/>
        </w:rPr>
      </w:pPr>
      <w:r>
        <w:rPr>
          <w:rFonts w:ascii="Courier New" w:cs="Courier New" w:eastAsia="Courier New" w:hAnsi="Courier New"/>
          <w:sz w:val="16"/>
          <w:szCs w:val="16"/>
          <w:color w:val="auto"/>
        </w:rPr>
        <w:t>(e.)</w:t>
        <w:tab/>
        <w:t>Investment Adviser registered under Section 203 of the Investment Advisers Act of 1940. This statement is being</w:t>
      </w:r>
    </w:p>
    <w:p>
      <w:pPr>
        <w:spacing w:after="0" w:line="233" w:lineRule="auto"/>
        <w:rPr>
          <w:sz w:val="20"/>
          <w:szCs w:val="20"/>
          <w:color w:val="auto"/>
        </w:rPr>
      </w:pPr>
      <w:r>
        <w:rPr>
          <w:rFonts w:ascii="Courier New" w:cs="Courier New" w:eastAsia="Courier New" w:hAnsi="Courier New"/>
          <w:sz w:val="18"/>
          <w:szCs w:val="18"/>
          <w:color w:val="auto"/>
        </w:rPr>
        <w:t>filed</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540"/>
        <w:spacing w:after="0"/>
        <w:rPr>
          <w:sz w:val="20"/>
          <w:szCs w:val="20"/>
          <w:color w:val="auto"/>
        </w:rPr>
      </w:pPr>
      <w:r>
        <w:rPr>
          <w:rFonts w:ascii="Courier New" w:cs="Courier New" w:eastAsia="Courier New" w:hAnsi="Courier New"/>
          <w:sz w:val="18"/>
          <w:szCs w:val="18"/>
          <w:color w:val="auto"/>
        </w:rPr>
        <w:t>adviser. All of the securities covered by this report are</w:t>
      </w:r>
    </w:p>
    <w:p>
      <w:pPr>
        <w:spacing w:after="0" w:line="238" w:lineRule="auto"/>
        <w:rPr>
          <w:sz w:val="20"/>
          <w:szCs w:val="20"/>
          <w:color w:val="auto"/>
        </w:rPr>
      </w:pPr>
      <w:r>
        <w:rPr>
          <w:rFonts w:ascii="Courier New" w:cs="Courier New" w:eastAsia="Courier New" w:hAnsi="Courier New"/>
          <w:sz w:val="18"/>
          <w:szCs w:val="18"/>
          <w:color w:val="auto"/>
        </w:rPr>
        <w:t>owned</w:t>
      </w:r>
    </w:p>
    <w:p>
      <w:pPr>
        <w:ind w:left="540"/>
        <w:spacing w:after="0"/>
        <w:rPr>
          <w:sz w:val="20"/>
          <w:szCs w:val="20"/>
          <w:color w:val="auto"/>
        </w:rPr>
      </w:pPr>
      <w:r>
        <w:rPr>
          <w:rFonts w:ascii="Courier New" w:cs="Courier New" w:eastAsia="Courier New" w:hAnsi="Courier New"/>
          <w:sz w:val="18"/>
          <w:szCs w:val="18"/>
          <w:color w:val="auto"/>
        </w:rPr>
        <w:t>legally by Southeastern's investment advisory clients and</w:t>
      </w:r>
    </w:p>
    <w:p>
      <w:pPr>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ind w:right="4099" w:firstLine="527"/>
        <w:spacing w:after="0" w:line="235" w:lineRule="auto"/>
        <w:rPr>
          <w:sz w:val="20"/>
          <w:szCs w:val="20"/>
          <w:color w:val="auto"/>
        </w:rPr>
      </w:pPr>
      <w:r>
        <w:rPr>
          <w:rFonts w:ascii="Courier New" w:cs="Courier New" w:eastAsia="Courier New" w:hAnsi="Courier New"/>
          <w:sz w:val="18"/>
          <w:szCs w:val="18"/>
          <w:color w:val="auto"/>
        </w:rPr>
        <w:t>are owned directly or indirectly by Southeastern. As permitted</w:t>
      </w:r>
    </w:p>
    <w:p>
      <w:pPr>
        <w:spacing w:after="0" w:line="6"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540"/>
        <w:spacing w:after="0"/>
        <w:rPr>
          <w:sz w:val="20"/>
          <w:szCs w:val="20"/>
          <w:color w:val="auto"/>
        </w:rPr>
      </w:pPr>
      <w:r>
        <w:rPr>
          <w:rFonts w:ascii="Courier New" w:cs="Courier New" w:eastAsia="Courier New" w:hAnsi="Courier New"/>
          <w:sz w:val="18"/>
          <w:szCs w:val="18"/>
          <w:color w:val="auto"/>
        </w:rPr>
        <w:t>as an admission that Southeastern Asset Management, Inc. is</w:t>
      </w:r>
    </w:p>
    <w:p>
      <w:pPr>
        <w:spacing w:after="0" w:line="238" w:lineRule="auto"/>
        <w:rPr>
          <w:sz w:val="20"/>
          <w:szCs w:val="20"/>
          <w:color w:val="auto"/>
        </w:rPr>
      </w:pPr>
      <w:r>
        <w:rPr>
          <w:rFonts w:ascii="Courier New" w:cs="Courier New" w:eastAsia="Courier New" w:hAnsi="Courier New"/>
          <w:sz w:val="18"/>
          <w:szCs w:val="18"/>
          <w:color w:val="auto"/>
        </w:rPr>
        <w:t>the</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beneficial owner of any of the securities covered by this statement.</w:t>
      </w:r>
    </w:p>
    <w:p>
      <w:pPr>
        <w:spacing w:after="0" w:line="20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(g.) Parent Holding Company.</w:t>
      </w:r>
      <w:r>
        <w:rPr>
          <w:sz w:val="20"/>
          <w:szCs w:val="20"/>
          <w:color w:val="auto"/>
        </w:rPr>
        <w:tab/>
      </w:r>
      <w:r>
        <w:rPr>
          <w:rFonts w:ascii="Courier New" w:cs="Courier New" w:eastAsia="Courier New" w:hAnsi="Courier New"/>
          <w:sz w:val="16"/>
          <w:szCs w:val="16"/>
          <w:color w:val="auto"/>
        </w:rPr>
        <w:t>This statement is also being filed</w:t>
      </w:r>
    </w:p>
    <w:p>
      <w:pPr>
        <w:sectPr>
          <w:pgSz w:w="11900" w:h="16838" w:orient="portrait"/>
          <w:cols w:equalWidth="0" w:num="1">
            <w:col w:w="10219"/>
          </w:cols>
          <w:pgMar w:left="240" w:top="142" w:right="1440" w:bottom="0" w:gutter="0" w:footer="0" w:header="0"/>
        </w:sectPr>
      </w:pPr>
    </w:p>
    <w:bookmarkStart w:id="3" w:name="page4"/>
    <w:bookmarkEnd w:id="3"/>
    <w:p>
      <w:pPr>
        <w:ind w:left="5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40" w:right="3359"/>
        <w:spacing w:after="0" w:line="268" w:lineRule="auto"/>
        <w:rPr>
          <w:sz w:val="20"/>
          <w:szCs w:val="20"/>
          <w:color w:val="auto"/>
        </w:rPr>
      </w:pPr>
      <w:r>
        <w:rPr>
          <w:rFonts w:ascii="Courier New" w:cs="Courier New" w:eastAsia="Courier New" w:hAnsi="Courier New"/>
          <w:sz w:val="16"/>
          <w:szCs w:val="16"/>
          <w:color w:val="auto"/>
        </w:rPr>
        <w:t>Mr. O. Mason Hawkins, Chairman of the Board and C.E.O. of Southeastern Asset Management, Inc. in the event he could be deemed to be a controlling person of that firm as the result</w:t>
      </w:r>
    </w:p>
    <w:p>
      <w:pPr>
        <w:spacing w:after="0" w:line="233" w:lineRule="auto"/>
        <w:rPr>
          <w:sz w:val="20"/>
          <w:szCs w:val="20"/>
          <w:color w:val="auto"/>
        </w:rPr>
      </w:pPr>
      <w:r>
        <w:rPr>
          <w:rFonts w:ascii="Courier New" w:cs="Courier New" w:eastAsia="Courier New" w:hAnsi="Courier New"/>
          <w:sz w:val="18"/>
          <w:szCs w:val="18"/>
          <w:color w:val="auto"/>
        </w:rPr>
        <w:t>of</w:t>
      </w:r>
    </w:p>
    <w:p>
      <w:pPr>
        <w:spacing w:after="0" w:line="5"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his official positions with or ownership of its voting securities.</w:t>
      </w:r>
    </w:p>
    <w:p>
      <w:pPr>
        <w:ind w:left="540"/>
        <w:spacing w:after="0"/>
        <w:tabs>
          <w:tab w:leader="none" w:pos="6420" w:val="left"/>
        </w:tabs>
        <w:rPr>
          <w:sz w:val="20"/>
          <w:szCs w:val="20"/>
          <w:color w:val="auto"/>
        </w:rPr>
      </w:pPr>
      <w:r>
        <w:rPr>
          <w:rFonts w:ascii="Courier New" w:cs="Courier New" w:eastAsia="Courier New" w:hAnsi="Courier New"/>
          <w:sz w:val="18"/>
          <w:szCs w:val="18"/>
          <w:color w:val="auto"/>
        </w:rPr>
        <w:t>The existence of such control is expressly disclaimed.</w:t>
      </w:r>
      <w:r>
        <w:rPr>
          <w:sz w:val="20"/>
          <w:szCs w:val="20"/>
          <w:color w:val="auto"/>
        </w:rPr>
        <w:tab/>
      </w:r>
      <w:r>
        <w:rPr>
          <w:rFonts w:ascii="Courier New" w:cs="Courier New" w:eastAsia="Courier New" w:hAnsi="Courier New"/>
          <w:sz w:val="16"/>
          <w:szCs w:val="16"/>
          <w:color w:val="auto"/>
        </w:rPr>
        <w:t>Mr.</w:t>
      </w:r>
    </w:p>
    <w:p>
      <w:pPr>
        <w:spacing w:after="0" w:line="238" w:lineRule="auto"/>
        <w:rPr>
          <w:sz w:val="20"/>
          <w:szCs w:val="20"/>
          <w:color w:val="auto"/>
        </w:rPr>
      </w:pPr>
      <w:r>
        <w:rPr>
          <w:rFonts w:ascii="Courier New" w:cs="Courier New" w:eastAsia="Courier New" w:hAnsi="Courier New"/>
          <w:sz w:val="18"/>
          <w:szCs w:val="18"/>
          <w:color w:val="auto"/>
        </w:rPr>
        <w:t>Hawkins</w:t>
      </w:r>
    </w:p>
    <w:p>
      <w:pPr>
        <w:spacing w:after="0" w:line="5" w:lineRule="exact"/>
        <w:rPr>
          <w:sz w:val="20"/>
          <w:szCs w:val="20"/>
          <w:color w:val="auto"/>
        </w:rPr>
      </w:pPr>
    </w:p>
    <w:p>
      <w:pPr>
        <w:ind w:left="540" w:right="3159"/>
        <w:spacing w:after="0" w:line="268" w:lineRule="auto"/>
        <w:rPr>
          <w:sz w:val="20"/>
          <w:szCs w:val="20"/>
          <w:color w:val="auto"/>
        </w:rPr>
      </w:pPr>
      <w:r>
        <w:rPr>
          <w:rFonts w:ascii="Courier New" w:cs="Courier New" w:eastAsia="Courier New" w:hAnsi="Courier New"/>
          <w:sz w:val="16"/>
          <w:szCs w:val="16"/>
          <w:color w:val="auto"/>
        </w:rPr>
        <w:t>does not own directly or indirectly any securities covered by this statement for his own account. As permitted by Rule 13d-</w:t>
      </w:r>
    </w:p>
    <w:p>
      <w:pPr>
        <w:spacing w:after="0" w:line="233" w:lineRule="auto"/>
        <w:rPr>
          <w:sz w:val="20"/>
          <w:szCs w:val="20"/>
          <w:color w:val="auto"/>
        </w:rPr>
      </w:pPr>
      <w:r>
        <w:rPr>
          <w:rFonts w:ascii="Courier New" w:cs="Courier New" w:eastAsia="Courier New" w:hAnsi="Courier New"/>
          <w:sz w:val="18"/>
          <w:szCs w:val="18"/>
          <w:color w:val="auto"/>
        </w:rPr>
        <w:t>4,</w:t>
      </w:r>
    </w:p>
    <w:p>
      <w:pPr>
        <w:spacing w:after="0" w:line="5" w:lineRule="exact"/>
        <w:rPr>
          <w:sz w:val="20"/>
          <w:szCs w:val="20"/>
          <w:color w:val="auto"/>
        </w:rPr>
      </w:pPr>
    </w:p>
    <w:p>
      <w:pPr>
        <w:ind w:right="3679" w:firstLine="527"/>
        <w:spacing w:after="0" w:line="235" w:lineRule="auto"/>
        <w:rPr>
          <w:sz w:val="20"/>
          <w:szCs w:val="20"/>
          <w:color w:val="auto"/>
        </w:rPr>
      </w:pPr>
      <w:r>
        <w:rPr>
          <w:rFonts w:ascii="Courier New" w:cs="Courier New" w:eastAsia="Courier New" w:hAnsi="Courier New"/>
          <w:sz w:val="18"/>
          <w:szCs w:val="18"/>
          <w:color w:val="auto"/>
        </w:rPr>
        <w:t>the filing of this statement shall not be construed as an admission</w:t>
      </w:r>
    </w:p>
    <w:p>
      <w:pPr>
        <w:spacing w:after="0" w:line="6" w:lineRule="exact"/>
        <w:rPr>
          <w:sz w:val="20"/>
          <w:szCs w:val="20"/>
          <w:color w:val="auto"/>
        </w:rPr>
      </w:pPr>
    </w:p>
    <w:p>
      <w:pPr>
        <w:ind w:right="3999" w:firstLine="527"/>
        <w:spacing w:after="0" w:line="235" w:lineRule="auto"/>
        <w:rPr>
          <w:sz w:val="20"/>
          <w:szCs w:val="20"/>
          <w:color w:val="auto"/>
        </w:rPr>
      </w:pPr>
      <w:r>
        <w:rPr>
          <w:rFonts w:ascii="Courier New" w:cs="Courier New" w:eastAsia="Courier New" w:hAnsi="Courier New"/>
          <w:sz w:val="18"/>
          <w:szCs w:val="18"/>
          <w:color w:val="auto"/>
        </w:rPr>
        <w:t>that Mr. Hawkins is the beneficial owner of any of the securities</w:t>
      </w:r>
    </w:p>
    <w:p>
      <w:pPr>
        <w:ind w:left="540"/>
        <w:spacing w:after="0"/>
        <w:rPr>
          <w:sz w:val="20"/>
          <w:szCs w:val="20"/>
          <w:color w:val="auto"/>
        </w:rPr>
      </w:pPr>
      <w:r>
        <w:rPr>
          <w:rFonts w:ascii="Courier New" w:cs="Courier New" w:eastAsia="Courier New" w:hAnsi="Courier New"/>
          <w:sz w:val="18"/>
          <w:szCs w:val="18"/>
          <w:color w:val="auto"/>
        </w:rPr>
        <w:t>covered by this statement.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12/31/03)</w:t>
      </w:r>
    </w:p>
    <w:p>
      <w:pPr>
        <w:ind w:left="1280"/>
        <w:spacing w:after="0" w:line="238" w:lineRule="auto"/>
        <w:rPr>
          <w:sz w:val="20"/>
          <w:szCs w:val="20"/>
          <w:color w:val="auto"/>
        </w:rPr>
      </w:pPr>
      <w:r>
        <w:rPr>
          <w:rFonts w:ascii="Courier New" w:cs="Courier New" w:eastAsia="Courier New" w:hAnsi="Courier New"/>
          <w:sz w:val="18"/>
          <w:szCs w:val="18"/>
          <w:color w:val="auto"/>
        </w:rPr>
        <w:t>33,804,155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280"/>
        <w:spacing w:after="0" w:line="238" w:lineRule="auto"/>
        <w:rPr>
          <w:sz w:val="20"/>
          <w:szCs w:val="20"/>
          <w:color w:val="auto"/>
        </w:rPr>
      </w:pPr>
      <w:r>
        <w:rPr>
          <w:rFonts w:ascii="Courier New" w:cs="Courier New" w:eastAsia="Courier New" w:hAnsi="Courier New"/>
          <w:sz w:val="18"/>
          <w:szCs w:val="18"/>
          <w:color w:val="auto"/>
        </w:rPr>
        <w:t>5.8 %</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Above percentage is based on 582,463,126 shares of</w:t>
      </w:r>
    </w:p>
    <w:p>
      <w:pPr>
        <w:spacing w:after="0" w:line="238" w:lineRule="auto"/>
        <w:rPr>
          <w:sz w:val="20"/>
          <w:szCs w:val="20"/>
          <w:color w:val="auto"/>
        </w:rPr>
      </w:pPr>
      <w:r>
        <w:rPr>
          <w:rFonts w:ascii="Courier New" w:cs="Courier New" w:eastAsia="Courier New" w:hAnsi="Courier New"/>
          <w:sz w:val="18"/>
          <w:szCs w:val="18"/>
          <w:color w:val="auto"/>
        </w:rPr>
        <w:t>Common</w:t>
      </w:r>
    </w:p>
    <w:p>
      <w:pPr>
        <w:ind w:left="1060"/>
        <w:spacing w:after="0"/>
        <w:rPr>
          <w:sz w:val="20"/>
          <w:szCs w:val="20"/>
          <w:color w:val="auto"/>
        </w:rPr>
      </w:pPr>
      <w:r>
        <w:rPr>
          <w:rFonts w:ascii="Courier New" w:cs="Courier New" w:eastAsia="Courier New" w:hAnsi="Courier New"/>
          <w:sz w:val="18"/>
          <w:szCs w:val="18"/>
          <w:color w:val="auto"/>
        </w:rPr>
        <w:t>Stock outstanding.</w:t>
      </w:r>
    </w:p>
    <w:p>
      <w:pPr>
        <w:spacing w:after="0" w:line="20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17,987,555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- 10,161,100</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No Power to Vote - 5,655,500. This figure does not</w:t>
      </w:r>
    </w:p>
    <w:p>
      <w:pPr>
        <w:ind w:left="1480"/>
        <w:spacing w:after="0" w:line="238" w:lineRule="auto"/>
        <w:rPr>
          <w:sz w:val="20"/>
          <w:szCs w:val="20"/>
          <w:color w:val="auto"/>
        </w:rPr>
      </w:pPr>
      <w:r>
        <w:rPr>
          <w:rFonts w:ascii="Courier New" w:cs="Courier New" w:eastAsia="Courier New" w:hAnsi="Courier New"/>
          <w:sz w:val="18"/>
          <w:szCs w:val="18"/>
          <w:color w:val="auto"/>
        </w:rPr>
        <w:t>include 701,000 shares held by completely non-</w:t>
      </w:r>
    </w:p>
    <w:p>
      <w:pPr>
        <w:spacing w:after="0" w:line="5" w:lineRule="exact"/>
        <w:rPr>
          <w:sz w:val="20"/>
          <w:szCs w:val="20"/>
          <w:color w:val="auto"/>
        </w:rPr>
      </w:pPr>
    </w:p>
    <w:p>
      <w:pPr>
        <w:ind w:left="1480"/>
        <w:spacing w:after="0"/>
        <w:rPr>
          <w:sz w:val="20"/>
          <w:szCs w:val="20"/>
          <w:color w:val="auto"/>
        </w:rPr>
      </w:pPr>
      <w:r>
        <w:rPr>
          <w:rFonts w:ascii="Courier New" w:cs="Courier New" w:eastAsia="Courier New" w:hAnsi="Courier New"/>
          <w:sz w:val="16"/>
          <w:szCs w:val="16"/>
          <w:color w:val="auto"/>
        </w:rPr>
        <w:t>discretionary accounts over which the filing parties</w:t>
      </w:r>
    </w:p>
    <w:p>
      <w:pPr>
        <w:spacing w:after="0" w:line="16"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have neither voting nor dispositive power and for</w:t>
      </w:r>
    </w:p>
    <w:p>
      <w:pPr>
        <w:ind w:left="1480"/>
        <w:spacing w:after="0" w:line="238" w:lineRule="auto"/>
        <w:rPr>
          <w:sz w:val="20"/>
          <w:szCs w:val="20"/>
          <w:color w:val="auto"/>
        </w:rPr>
      </w:pPr>
      <w:r>
        <w:rPr>
          <w:rFonts w:ascii="Courier New" w:cs="Courier New" w:eastAsia="Courier New" w:hAnsi="Courier New"/>
          <w:sz w:val="18"/>
          <w:szCs w:val="18"/>
          <w:color w:val="auto"/>
        </w:rPr>
        <w:t>which the filing parties</w:t>
      </w:r>
    </w:p>
    <w:p>
      <w:pPr>
        <w:ind w:left="1480"/>
        <w:spacing w:after="0"/>
        <w:rPr>
          <w:sz w:val="20"/>
          <w:szCs w:val="20"/>
          <w:color w:val="auto"/>
        </w:rPr>
      </w:pPr>
      <w:r>
        <w:rPr>
          <w:rFonts w:ascii="Courier New" w:cs="Courier New" w:eastAsia="Courier New" w:hAnsi="Courier New"/>
          <w:sz w:val="18"/>
          <w:szCs w:val="18"/>
          <w:color w:val="auto"/>
        </w:rPr>
        <w:t>disclaim beneficial ownership.</w:t>
      </w:r>
    </w:p>
    <w:p>
      <w:pPr>
        <w:spacing w:after="0" w:line="200" w:lineRule="exact"/>
        <w:rPr>
          <w:sz w:val="20"/>
          <w:szCs w:val="20"/>
          <w:color w:val="auto"/>
        </w:rPr>
      </w:pPr>
    </w:p>
    <w:p>
      <w:pPr>
        <w:spacing w:after="0" w:line="209" w:lineRule="exact"/>
        <w:rPr>
          <w:sz w:val="20"/>
          <w:szCs w:val="20"/>
          <w:color w:val="auto"/>
        </w:rPr>
      </w:pPr>
    </w:p>
    <w:p>
      <w:pPr>
        <w:ind w:right="4419" w:firstLine="1053"/>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w:t>
      </w:r>
    </w:p>
    <w:p>
      <w:pPr>
        <w:ind w:left="1800"/>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23,606,923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- 10,161,100 shares</w:t>
      </w:r>
    </w:p>
    <w:p>
      <w:pPr>
        <w:ind w:left="1800"/>
        <w:spacing w:after="0" w:line="238" w:lineRule="auto"/>
        <w:rPr>
          <w:sz w:val="20"/>
          <w:szCs w:val="20"/>
          <w:color w:val="auto"/>
        </w:rPr>
      </w:pPr>
      <w:r>
        <w:rPr>
          <w:rFonts w:ascii="Courier New" w:cs="Courier New" w:eastAsia="Courier New" w:hAnsi="Courier New"/>
          <w:sz w:val="18"/>
          <w:szCs w:val="18"/>
          <w:color w:val="auto"/>
        </w:rPr>
        <w:t>Securities owned by the following series of</w:t>
      </w:r>
    </w:p>
    <w:p>
      <w:pPr>
        <w:spacing w:after="0"/>
        <w:rPr>
          <w:sz w:val="20"/>
          <w:szCs w:val="20"/>
          <w:color w:val="auto"/>
        </w:rPr>
      </w:pPr>
      <w:r>
        <w:rPr>
          <w:rFonts w:ascii="Courier New" w:cs="Courier New" w:eastAsia="Courier New" w:hAnsi="Courier New"/>
          <w:sz w:val="18"/>
          <w:szCs w:val="18"/>
          <w:color w:val="auto"/>
        </w:rPr>
        <w:t>Longleaf</w:t>
      </w:r>
    </w:p>
    <w:p>
      <w:pPr>
        <w:ind w:left="1800"/>
        <w:spacing w:after="0" w:line="237" w:lineRule="auto"/>
        <w:rPr>
          <w:sz w:val="20"/>
          <w:szCs w:val="20"/>
          <w:color w:val="auto"/>
        </w:rPr>
      </w:pPr>
      <w:r>
        <w:rPr>
          <w:rFonts w:ascii="Courier New" w:cs="Courier New" w:eastAsia="Courier New" w:hAnsi="Courier New"/>
          <w:sz w:val="18"/>
          <w:szCs w:val="18"/>
          <w:color w:val="auto"/>
        </w:rPr>
        <w:t>Partners Funds Trust, an open-end management</w:t>
      </w:r>
    </w:p>
    <w:p>
      <w:pPr>
        <w:ind w:left="1800"/>
        <w:spacing w:after="0" w:line="238" w:lineRule="auto"/>
        <w:rPr>
          <w:sz w:val="20"/>
          <w:szCs w:val="20"/>
          <w:color w:val="auto"/>
        </w:rPr>
      </w:pPr>
      <w:r>
        <w:rPr>
          <w:rFonts w:ascii="Courier New" w:cs="Courier New" w:eastAsia="Courier New" w:hAnsi="Courier New"/>
          <w:sz w:val="18"/>
          <w:szCs w:val="18"/>
          <w:color w:val="auto"/>
        </w:rPr>
        <w:t>investment company registered under the</w:t>
      </w:r>
    </w:p>
    <w:p>
      <w:pPr>
        <w:spacing w:after="0"/>
        <w:rPr>
          <w:sz w:val="20"/>
          <w:szCs w:val="20"/>
          <w:color w:val="auto"/>
        </w:rPr>
      </w:pPr>
      <w:r>
        <w:rPr>
          <w:rFonts w:ascii="Courier New" w:cs="Courier New" w:eastAsia="Courier New" w:hAnsi="Courier New"/>
          <w:sz w:val="18"/>
          <w:szCs w:val="18"/>
          <w:color w:val="auto"/>
        </w:rPr>
        <w:t>Investment</w:t>
      </w:r>
    </w:p>
    <w:p>
      <w:pPr>
        <w:ind w:left="1800"/>
        <w:spacing w:after="0" w:line="237" w:lineRule="auto"/>
        <w:rPr>
          <w:sz w:val="20"/>
          <w:szCs w:val="20"/>
          <w:color w:val="auto"/>
        </w:rPr>
      </w:pPr>
      <w:r>
        <w:rPr>
          <w:rFonts w:ascii="Courier New" w:cs="Courier New" w:eastAsia="Courier New" w:hAnsi="Courier New"/>
          <w:sz w:val="18"/>
          <w:szCs w:val="18"/>
          <w:color w:val="auto"/>
        </w:rPr>
        <w:t>Company Act of 1940, as follows:</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Longleaf Partners Fund - 10,161,100</w:t>
      </w:r>
    </w:p>
    <w:p>
      <w:pPr>
        <w:spacing w:after="0" w:line="200" w:lineRule="exact"/>
        <w:rPr>
          <w:sz w:val="20"/>
          <w:szCs w:val="20"/>
          <w:color w:val="auto"/>
        </w:rPr>
      </w:pPr>
    </w:p>
    <w:p>
      <w:pPr>
        <w:spacing w:after="0" w:line="209" w:lineRule="exact"/>
        <w:rPr>
          <w:sz w:val="20"/>
          <w:szCs w:val="20"/>
          <w:color w:val="auto"/>
        </w:rPr>
      </w:pPr>
    </w:p>
    <w:p>
      <w:pPr>
        <w:ind w:left="1480" w:right="3259"/>
        <w:spacing w:after="0" w:line="273" w:lineRule="auto"/>
        <w:rPr>
          <w:sz w:val="20"/>
          <w:szCs w:val="20"/>
          <w:color w:val="auto"/>
        </w:rPr>
      </w:pPr>
      <w:r>
        <w:rPr>
          <w:rFonts w:ascii="Courier New" w:cs="Courier New" w:eastAsia="Courier New" w:hAnsi="Courier New"/>
          <w:sz w:val="16"/>
          <w:szCs w:val="16"/>
          <w:color w:val="auto"/>
        </w:rPr>
        <w:t>No Power - 36,132 shares. This figure does not include 701,000 shares held by completely non-discretionary accounts over which the filing parties have neither voting nor dispositive power and for which the filing parties disclaim beneficial</w:t>
      </w:r>
    </w:p>
    <w:p>
      <w:pPr>
        <w:sectPr>
          <w:pgSz w:w="11900" w:h="16838" w:orient="portrait"/>
          <w:cols w:equalWidth="0" w:num="1">
            <w:col w:w="10219"/>
          </w:cols>
          <w:pgMar w:left="240" w:top="136" w:right="1440" w:bottom="0" w:gutter="0" w:footer="0" w:header="0"/>
        </w:sectPr>
      </w:pPr>
    </w:p>
    <w:bookmarkStart w:id="4" w:name="page5"/>
    <w:bookmarkEnd w:id="4"/>
    <w:p>
      <w:pPr>
        <w:ind w:left="1480"/>
        <w:spacing w:after="0"/>
        <w:rPr>
          <w:sz w:val="20"/>
          <w:szCs w:val="20"/>
          <w:color w:val="auto"/>
        </w:rPr>
      </w:pPr>
      <w:r>
        <w:rPr>
          <w:rFonts w:ascii="Courier New" w:cs="Courier New" w:eastAsia="Courier New" w:hAnsi="Courier New"/>
          <w:sz w:val="18"/>
          <w:szCs w:val="18"/>
          <w:color w:val="auto"/>
        </w:rPr>
        <w:t>ownership.</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February 6, 2004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and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Longleaf Partners Fund</w:t>
      </w:r>
    </w:p>
    <w:p>
      <w:pPr>
        <w:ind w:left="264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280"/>
        <w:spacing w:after="0"/>
        <w:rPr>
          <w:sz w:val="20"/>
          <w:szCs w:val="20"/>
          <w:color w:val="auto"/>
        </w:rPr>
      </w:pPr>
      <w:r>
        <w:rPr>
          <w:rFonts w:ascii="Courier New" w:cs="Courier New" w:eastAsia="Courier New" w:hAnsi="Courier New"/>
          <w:sz w:val="18"/>
          <w:szCs w:val="18"/>
          <w:color w:val="auto"/>
        </w:rPr>
        <w:t>/s/ Andrew R. McCarroll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&amp;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 Mason Hawkins, Individually</w:t>
      </w:r>
    </w:p>
    <w:p>
      <w:pPr>
        <w:ind w:left="3280"/>
        <w:spacing w:after="0" w:line="238" w:lineRule="auto"/>
        <w:rPr>
          <w:sz w:val="20"/>
          <w:szCs w:val="20"/>
          <w:color w:val="auto"/>
        </w:rPr>
      </w:pPr>
      <w:r>
        <w:rPr>
          <w:rFonts w:ascii="Courier New" w:cs="Courier New" w:eastAsia="Courier New" w:hAnsi="Courier New"/>
          <w:sz w:val="18"/>
          <w:szCs w:val="18"/>
          <w:color w:val="auto"/>
        </w:rPr>
        <w:t>/s/ O. Mason Hawkins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20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w:t>
      </w:r>
    </w:p>
    <w:p>
      <w:pPr>
        <w:spacing w:after="0" w:line="7"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evidence thereof, the undersigned hereby execute this Agreement as of February 6, 2004.</w:t>
      </w: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Vice President and General Counsel</w:t>
      </w:r>
    </w:p>
    <w:p>
      <w:pPr>
        <w:spacing w:after="0" w:line="2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Longleaf Partners Fund</w:t>
      </w:r>
    </w:p>
    <w:p>
      <w:pPr>
        <w:jc w:val="right"/>
        <w:ind w:right="3479"/>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280"/>
        <w:spacing w:after="0"/>
        <w:rPr>
          <w:sz w:val="20"/>
          <w:szCs w:val="20"/>
          <w:color w:val="auto"/>
        </w:rPr>
      </w:pPr>
      <w:r>
        <w:rPr>
          <w:rFonts w:ascii="Courier New" w:cs="Courier New" w:eastAsia="Courier New" w:hAnsi="Courier New"/>
          <w:sz w:val="18"/>
          <w:szCs w:val="18"/>
          <w:color w:val="auto"/>
        </w:rPr>
        <w:t>/s/ Andrew R. McCarroll</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640"/>
        <w:spacing w:after="0" w:line="238" w:lineRule="auto"/>
        <w:rPr>
          <w:sz w:val="20"/>
          <w:szCs w:val="20"/>
          <w:color w:val="auto"/>
        </w:rPr>
      </w:pPr>
      <w:r>
        <w:rPr>
          <w:rFonts w:ascii="Courier New" w:cs="Courier New" w:eastAsia="Courier New" w:hAnsi="Courier New"/>
          <w:sz w:val="18"/>
          <w:szCs w:val="18"/>
          <w:color w:val="auto"/>
        </w:rPr>
        <w:t>Andrew R. McCarroll</w:t>
      </w:r>
    </w:p>
    <w:p>
      <w:pPr>
        <w:ind w:left="3160"/>
        <w:spacing w:after="0"/>
        <w:rPr>
          <w:sz w:val="20"/>
          <w:szCs w:val="20"/>
          <w:color w:val="auto"/>
        </w:rPr>
      </w:pPr>
      <w:r>
        <w:rPr>
          <w:rFonts w:ascii="Courier New" w:cs="Courier New" w:eastAsia="Courier New" w:hAnsi="Courier New"/>
          <w:sz w:val="18"/>
          <w:szCs w:val="18"/>
          <w:color w:val="auto"/>
        </w:rPr>
        <w:t>Vice President &amp; General Counsel</w:t>
      </w:r>
    </w:p>
    <w:p>
      <w:pPr>
        <w:spacing w:after="0" w:line="200"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2"/>
    </w:lvl>
    <w:lvl w:ilvl="1">
      <w:lvlJc w:val="left"/>
      <w:lvlText w:val="(%2)"/>
      <w:numFmt w:val="lowerLetter"/>
      <w:start w:val="1"/>
    </w:lvl>
  </w:abstractNum>
  <w:abstractNum w:abstractNumId="4">
    <w:nsid w:val="216231B"/>
    <w:multiLevelType w:val="hybridMultilevel"/>
    <w:lvl w:ilvl="0">
      <w:lvlJc w:val="left"/>
      <w:lvlText w:val="(%1)"/>
      <w:numFmt w:val="decimal"/>
      <w:start w:val="9"/>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1"/>
    </w:lvl>
  </w:abstractNum>
  <w:abstractNum w:abstractNumId="7">
    <w:nsid w:val="66EF438D"/>
    <w:multiLevelType w:val="hybridMultilevel"/>
    <w:lvl w:ilvl="0">
      <w:lvlJc w:val="left"/>
      <w:lvlText w:val="(%1)"/>
      <w:numFmt w:val="decimal"/>
      <w:start w:val="12"/>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2"/>
    </w:lvl>
    <w:lvl w:ilvl="1">
      <w:lvlJc w:val="left"/>
      <w:lvlText w:val="(%2)"/>
      <w:numFmt w:val="lowerLetter"/>
      <w:start w:val="1"/>
    </w:lvl>
  </w:abstractNum>
  <w:abstractNum w:abstractNumId="10">
    <w:nsid w:val="109CF92E"/>
    <w:multiLevelType w:val="hybridMultilevel"/>
    <w:lvl w:ilvl="0">
      <w:lvlJc w:val="left"/>
      <w:lvlText w:val="(%1)"/>
      <w:numFmt w:val="decimal"/>
      <w:start w:val="9"/>
    </w:lvl>
  </w:abstractNum>
  <w:abstractNum w:abstractNumId="11">
    <w:nsid w:val="DED7263"/>
    <w:multiLevelType w:val="hybridMultilevel"/>
    <w:lvl w:ilvl="0">
      <w:lvlJc w:val="left"/>
      <w:lvlText w:val="(%1)"/>
      <w:numFmt w:val="decimal"/>
      <w:start w:val="10"/>
    </w:lvl>
  </w:abstractNum>
  <w:abstractNum w:abstractNumId="12">
    <w:nsid w:val="7FDCC233"/>
    <w:multiLevelType w:val="hybridMultilevel"/>
    <w:lvl w:ilvl="0">
      <w:lvlJc w:val="left"/>
      <w:lvlText w:val="(%1)"/>
      <w:numFmt w:val="decimal"/>
      <w:start w:val="11"/>
    </w:lvl>
  </w:abstractNum>
  <w:abstractNum w:abstractNumId="13">
    <w:nsid w:val="1BEFD79F"/>
    <w:multiLevelType w:val="hybridMultilevel"/>
    <w:lvl w:ilvl="0">
      <w:lvlJc w:val="left"/>
      <w:lvlText w:val="(%1)"/>
      <w:numFmt w:val="decimal"/>
      <w:start w:val="12"/>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2019-12-19T21:44:23Z</dcterms:created>
  <dcterms:modified xsi:type="dcterms:W3CDTF">2019-12-19T21:44:23Z</dcterms:modified>
</cp:coreProperties>
</file>