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505460</wp:posOffset>
            </wp:positionH>
            <wp:positionV relativeFrom="page">
              <wp:posOffset>317500</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363220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(Mark One)</w:t>
      </w:r>
    </w:p>
    <w:p>
      <w:pPr>
        <w:spacing w:after="0" w:line="57" w:lineRule="exact"/>
        <w:rPr>
          <w:sz w:val="24"/>
          <w:szCs w:val="24"/>
          <w:color w:val="auto"/>
        </w:rPr>
      </w:pPr>
    </w:p>
    <w:p>
      <w:pPr>
        <w:ind w:left="500" w:hanging="315"/>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1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00" w:lineRule="exact"/>
        <w:rPr>
          <w:sz w:val="24"/>
          <w:szCs w:val="24"/>
          <w:color w:val="auto"/>
        </w:rPr>
      </w:pPr>
    </w:p>
    <w:p>
      <w:pPr>
        <w:ind w:left="500" w:hanging="315"/>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320" w:type="dxa"/>
            <w:vAlign w:val="bottom"/>
          </w:tcPr>
          <w:p>
            <w:pPr>
              <w:ind w:left="48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61"/>
        </w:trPr>
        <w:tc>
          <w:tcPr>
            <w:tcW w:w="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Commission file number 1-12154</w:t>
            </w:r>
          </w:p>
        </w:tc>
        <w:tc>
          <w:tcPr>
            <w:tcW w:w="3420" w:type="dxa"/>
            <w:vAlign w:val="bottom"/>
          </w:tcPr>
          <w:p>
            <w:pPr>
              <w:spacing w:after="0"/>
              <w:rPr>
                <w:sz w:val="22"/>
                <w:szCs w:val="22"/>
                <w:color w:val="auto"/>
              </w:rPr>
            </w:pPr>
          </w:p>
        </w:tc>
      </w:tr>
      <w:tr>
        <w:trPr>
          <w:trHeight w:val="40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29"/>
                <w:szCs w:val="29"/>
                <w:b w:val="1"/>
                <w:bCs w:val="1"/>
                <w:color w:val="auto"/>
                <w:w w:val="98"/>
              </w:rPr>
              <w:t>Waste Management, Inc.</w:t>
            </w:r>
          </w:p>
        </w:tc>
        <w:tc>
          <w:tcPr>
            <w:tcW w:w="342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i w:val="1"/>
                <w:iCs w:val="1"/>
                <w:color w:val="auto"/>
                <w:w w:val="99"/>
              </w:rPr>
              <w:t>(Exact name of registrant as specified in its charter)</w:t>
            </w:r>
          </w:p>
        </w:tc>
        <w:tc>
          <w:tcPr>
            <w:tcW w:w="34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Pr>
          <w:p>
            <w:pPr>
              <w:jc w:val="center"/>
              <w:ind w:right="1625"/>
              <w:spacing w:after="0"/>
              <w:rPr>
                <w:sz w:val="20"/>
                <w:szCs w:val="20"/>
                <w:color w:val="auto"/>
              </w:rPr>
            </w:pPr>
            <w:r>
              <w:rPr>
                <w:rFonts w:ascii="Times New Roman" w:cs="Times New Roman" w:eastAsia="Times New Roman" w:hAnsi="Times New Roman"/>
                <w:sz w:val="12"/>
                <w:szCs w:val="12"/>
                <w:b w:val="1"/>
                <w:bCs w:val="1"/>
                <w:color w:val="auto"/>
                <w:w w:val="99"/>
              </w:rPr>
              <w:t>73-1309529</w:t>
            </w:r>
          </w:p>
        </w:tc>
      </w:tr>
      <w:tr>
        <w:trPr>
          <w:trHeight w:val="135"/>
        </w:trPr>
        <w:tc>
          <w:tcPr>
            <w:tcW w:w="20" w:type="dxa"/>
            <w:vAlign w:val="bottom"/>
          </w:tcPr>
          <w:p>
            <w:pPr>
              <w:spacing w:after="0"/>
              <w:rPr>
                <w:sz w:val="11"/>
                <w:szCs w:val="11"/>
                <w:color w:val="auto"/>
              </w:rPr>
            </w:pPr>
          </w:p>
        </w:tc>
        <w:tc>
          <w:tcPr>
            <w:tcW w:w="3580" w:type="dxa"/>
            <w:vAlign w:val="bottom"/>
            <w:gridSpan w:val="3"/>
          </w:tcPr>
          <w:p>
            <w:pPr>
              <w:jc w:val="center"/>
              <w:ind w:left="1525"/>
              <w:spacing w:after="0" w:line="135" w:lineRule="exact"/>
              <w:rPr>
                <w:sz w:val="20"/>
                <w:szCs w:val="20"/>
                <w:color w:val="auto"/>
              </w:rPr>
            </w:pPr>
            <w:r>
              <w:rPr>
                <w:rFonts w:ascii="Times New Roman" w:cs="Times New Roman" w:eastAsia="Times New Roman" w:hAnsi="Times New Roman"/>
                <w:sz w:val="12"/>
                <w:szCs w:val="12"/>
                <w:i w:val="1"/>
                <w:iCs w:val="1"/>
                <w:color w:val="auto"/>
                <w:w w:val="99"/>
              </w:rPr>
              <w:t>(State or other jurisdiction of</w:t>
            </w: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20" w:type="dxa"/>
            <w:vAlign w:val="bottom"/>
          </w:tcPr>
          <w:p>
            <w:pPr>
              <w:jc w:val="center"/>
              <w:ind w:right="1645"/>
              <w:spacing w:after="0" w:line="135" w:lineRule="exact"/>
              <w:rPr>
                <w:sz w:val="20"/>
                <w:szCs w:val="20"/>
                <w:color w:val="auto"/>
              </w:rPr>
            </w:pPr>
            <w:r>
              <w:rPr>
                <w:rFonts w:ascii="Times New Roman" w:cs="Times New Roman" w:eastAsia="Times New Roman" w:hAnsi="Times New Roman"/>
                <w:sz w:val="12"/>
                <w:szCs w:val="12"/>
                <w:i w:val="1"/>
                <w:iCs w:val="1"/>
                <w:color w:val="auto"/>
                <w:w w:val="99"/>
              </w:rPr>
              <w:t>(I.R.S. Employer</w:t>
            </w:r>
          </w:p>
        </w:tc>
      </w:tr>
      <w:tr>
        <w:trPr>
          <w:trHeight w:val="157"/>
        </w:trPr>
        <w:tc>
          <w:tcPr>
            <w:tcW w:w="20" w:type="dxa"/>
            <w:vAlign w:val="bottom"/>
          </w:tcPr>
          <w:p>
            <w:pPr>
              <w:spacing w:after="0"/>
              <w:rPr>
                <w:sz w:val="13"/>
                <w:szCs w:val="13"/>
                <w:color w:val="auto"/>
              </w:rPr>
            </w:pPr>
          </w:p>
        </w:tc>
        <w:tc>
          <w:tcPr>
            <w:tcW w:w="3580" w:type="dxa"/>
            <w:vAlign w:val="bottom"/>
            <w:gridSpan w:val="3"/>
          </w:tcPr>
          <w:p>
            <w:pPr>
              <w:jc w:val="center"/>
              <w:ind w:left="1525"/>
              <w:spacing w:after="0"/>
              <w:rPr>
                <w:sz w:val="20"/>
                <w:szCs w:val="20"/>
                <w:color w:val="auto"/>
              </w:rPr>
            </w:pPr>
            <w:r>
              <w:rPr>
                <w:rFonts w:ascii="Times New Roman" w:cs="Times New Roman" w:eastAsia="Times New Roman" w:hAnsi="Times New Roman"/>
                <w:sz w:val="12"/>
                <w:szCs w:val="12"/>
                <w:i w:val="1"/>
                <w:iCs w:val="1"/>
                <w:color w:val="auto"/>
                <w:w w:val="99"/>
              </w:rPr>
              <w:t>incorporation or organization)</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tcPr>
          <w:p>
            <w:pPr>
              <w:jc w:val="center"/>
              <w:ind w:right="1625"/>
              <w:spacing w:after="0"/>
              <w:rPr>
                <w:sz w:val="20"/>
                <w:szCs w:val="20"/>
                <w:color w:val="auto"/>
              </w:rPr>
            </w:pPr>
            <w:r>
              <w:rPr>
                <w:rFonts w:ascii="Times New Roman" w:cs="Times New Roman" w:eastAsia="Times New Roman" w:hAnsi="Times New Roman"/>
                <w:sz w:val="12"/>
                <w:szCs w:val="12"/>
                <w:i w:val="1"/>
                <w:iCs w:val="1"/>
                <w:color w:val="auto"/>
              </w:rPr>
              <w:t>Identification No.)</w:t>
            </w: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800 Capitol Street</w:t>
            </w:r>
          </w:p>
        </w:tc>
        <w:tc>
          <w:tcPr>
            <w:tcW w:w="3420" w:type="dxa"/>
            <w:vAlign w:val="bottom"/>
          </w:tcPr>
          <w:p>
            <w:pPr>
              <w:spacing w:after="0"/>
              <w:rPr>
                <w:sz w:val="18"/>
                <w:szCs w:val="18"/>
                <w:color w:val="auto"/>
              </w:rPr>
            </w:pPr>
          </w:p>
        </w:tc>
      </w:t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Suite 3000</w:t>
            </w:r>
          </w:p>
        </w:tc>
        <w:tc>
          <w:tcPr>
            <w:tcW w:w="34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Houston, Texas 77002</w:t>
            </w:r>
          </w:p>
        </w:tc>
        <w:tc>
          <w:tcPr>
            <w:tcW w:w="34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i w:val="1"/>
                <w:iCs w:val="1"/>
                <w:color w:val="auto"/>
                <w:w w:val="99"/>
              </w:rPr>
              <w:t>(Address of principal executive offices)</w:t>
            </w:r>
          </w:p>
        </w:tc>
        <w:tc>
          <w:tcPr>
            <w:tcW w:w="3420" w:type="dxa"/>
            <w:vAlign w:val="bottom"/>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(713) 512-6200</w:t>
            </w:r>
          </w:p>
        </w:tc>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i w:val="1"/>
                <w:iCs w:val="1"/>
                <w:color w:val="auto"/>
                <w:w w:val="98"/>
              </w:rPr>
              <w:t>(Registrant’s telephone number, including area code)</w:t>
            </w:r>
          </w:p>
        </w:tc>
        <w:tc>
          <w:tcPr>
            <w:tcW w:w="3420" w:type="dxa"/>
            <w:vAlign w:val="bottom"/>
          </w:tcPr>
          <w:p>
            <w:pPr>
              <w:spacing w:after="0"/>
              <w:rPr>
                <w:sz w:val="13"/>
                <w:szCs w:val="13"/>
                <w:color w:val="auto"/>
              </w:rPr>
            </w:pPr>
          </w:p>
        </w:tc>
      </w:tr>
      <w:tr>
        <w:trPr>
          <w:trHeight w:val="225"/>
        </w:trPr>
        <w:tc>
          <w:tcPr>
            <w:tcW w:w="36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2320" w:type="dxa"/>
            <w:vAlign w:val="bottom"/>
          </w:tcPr>
          <w:p>
            <w:pPr>
              <w:jc w:val="center"/>
              <w:ind w:left="1005"/>
              <w:spacing w:after="0"/>
              <w:rPr>
                <w:sz w:val="20"/>
                <w:szCs w:val="20"/>
                <w:color w:val="auto"/>
              </w:rPr>
            </w:pPr>
            <w:r>
              <w:rPr>
                <w:rFonts w:ascii="Times New Roman" w:cs="Times New Roman" w:eastAsia="Times New Roman" w:hAnsi="Times New Roman"/>
                <w:sz w:val="10"/>
                <w:szCs w:val="10"/>
                <w:b w:val="1"/>
                <w:bCs w:val="1"/>
                <w:color w:val="auto"/>
                <w:w w:val="97"/>
              </w:rPr>
              <w:t>Title of Each Class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Trading 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12"/>
        </w:trPr>
        <w:tc>
          <w:tcPr>
            <w:tcW w:w="20" w:type="dxa"/>
            <w:vAlign w:val="bottom"/>
          </w:tcPr>
          <w:p>
            <w:pPr>
              <w:spacing w:after="0"/>
              <w:rPr>
                <w:sz w:val="9"/>
                <w:szCs w:val="9"/>
                <w:color w:val="auto"/>
              </w:rPr>
            </w:pPr>
          </w:p>
        </w:tc>
        <w:tc>
          <w:tcPr>
            <w:tcW w:w="2320" w:type="dxa"/>
            <w:vAlign w:val="bottom"/>
            <w:tcBorders>
              <w:top w:val="single" w:sz="8" w:color="auto"/>
            </w:tcBorders>
          </w:tcPr>
          <w:p>
            <w:pPr>
              <w:jc w:val="center"/>
              <w:ind w:left="985"/>
              <w:spacing w:after="0" w:line="113" w:lineRule="exact"/>
              <w:rPr>
                <w:sz w:val="20"/>
                <w:szCs w:val="20"/>
                <w:color w:val="auto"/>
              </w:rPr>
            </w:pPr>
            <w:r>
              <w:rPr>
                <w:rFonts w:ascii="Times New Roman" w:cs="Times New Roman" w:eastAsia="Times New Roman" w:hAnsi="Times New Roman"/>
                <w:sz w:val="10"/>
                <w:szCs w:val="10"/>
                <w:color w:val="auto"/>
                <w:w w:val="95"/>
              </w:rPr>
              <w:t>Common Stock, $0.01 par value</w:t>
            </w:r>
          </w:p>
        </w:tc>
        <w:tc>
          <w:tcPr>
            <w:tcW w:w="10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WM</w:t>
            </w:r>
          </w:p>
        </w:tc>
        <w:tc>
          <w:tcPr>
            <w:tcW w:w="180" w:type="dxa"/>
            <w:vAlign w:val="bottom"/>
          </w:tcPr>
          <w:p>
            <w:pPr>
              <w:spacing w:after="0"/>
              <w:rPr>
                <w:sz w:val="9"/>
                <w:szCs w:val="9"/>
                <w:color w:val="auto"/>
              </w:rPr>
            </w:pPr>
          </w:p>
        </w:tc>
        <w:tc>
          <w:tcPr>
            <w:tcW w:w="342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0"/>
                <w:szCs w:val="10"/>
                <w:color w:val="auto"/>
                <w:w w:val="95"/>
              </w:rPr>
              <w:t>New York Stock Exchange</w:t>
            </w:r>
          </w:p>
        </w:tc>
      </w:tr>
    </w:tbl>
    <w:p>
      <w:pPr>
        <w:spacing w:after="0" w:line="64"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3" w:lineRule="exact"/>
        <w:rPr>
          <w:sz w:val="24"/>
          <w:szCs w:val="24"/>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00"/>
          </w:cols>
          <w:pgMar w:left="800" w:top="643" w:right="799" w:bottom="1440" w:gutter="0" w:footer="0" w:header="0"/>
        </w:sectPr>
      </w:pPr>
    </w:p>
    <w:p>
      <w:pPr>
        <w:spacing w:after="0" w:line="2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58"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00"/>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58"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18"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87" w:lineRule="exact"/>
        <w:rPr>
          <w:sz w:val="24"/>
          <w:szCs w:val="24"/>
          <w:color w:val="auto"/>
        </w:rPr>
      </w:pPr>
    </w:p>
    <w:p>
      <w:pPr>
        <w:sectPr>
          <w:pgSz w:w="11900" w:h="16838" w:orient="portrait"/>
          <w:cols w:equalWidth="0" w:num="2">
            <w:col w:w="8120" w:space="720"/>
            <w:col w:w="1460"/>
          </w:cols>
          <w:pgMar w:left="800" w:top="643" w:right="799" w:bottom="1440" w:gutter="0" w:footer="0" w:header="0"/>
          <w:type w:val="continuous"/>
        </w:sectPr>
      </w:pPr>
    </w:p>
    <w:p>
      <w:pP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4" w:lineRule="exact"/>
        <w:rPr>
          <w:sz w:val="24"/>
          <w:szCs w:val="24"/>
          <w:color w:val="auto"/>
        </w:rPr>
      </w:pPr>
    </w:p>
    <w:p>
      <w:pPr>
        <w:spacing w:after="0" w:line="138" w:lineRule="exact"/>
        <w:tabs>
          <w:tab w:leader="none" w:pos="504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Common Stock, $0.01 par value, of the registrant outstanding as of April 22, 2024 was 401,083,098 (excluding treasury shares of 229,199,363).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65379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6537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67945</wp:posOffset>
            </wp:positionV>
            <wp:extent cx="653796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ectPr>
          <w:pgSz w:w="11900" w:h="16838" w:orient="portrait"/>
          <w:cols w:equalWidth="0" w:num="1">
            <w:col w:w="10300"/>
          </w:cols>
          <w:pgMar w:left="800" w:top="643" w:right="7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i w:val="1"/>
          <w:iCs w:val="1"/>
          <w:color w:val="auto"/>
        </w:rPr>
        <w:t>Financial Statements.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 Except Share and Par Value Amounts)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40" w:type="dxa"/>
            <w:vAlign w:val="bottom"/>
          </w:tcPr>
          <w:p>
            <w:pPr>
              <w:spacing w:after="0"/>
              <w:rPr>
                <w:sz w:val="10"/>
                <w:szCs w:val="10"/>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6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88"/>
        </w:trPr>
        <w:tc>
          <w:tcPr>
            <w:tcW w:w="6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right="84"/>
              <w:spacing w:after="0" w:line="88" w:lineRule="exact"/>
              <w:rPr>
                <w:sz w:val="20"/>
                <w:szCs w:val="20"/>
                <w:color w:val="auto"/>
              </w:rPr>
            </w:pPr>
            <w:r>
              <w:rPr>
                <w:rFonts w:ascii="Times New Roman" w:cs="Times New Roman" w:eastAsia="Times New Roman" w:hAnsi="Times New Roman"/>
                <w:sz w:val="10"/>
                <w:szCs w:val="10"/>
                <w:b w:val="1"/>
                <w:bCs w:val="1"/>
                <w:color w:val="auto"/>
                <w:w w:val="96"/>
              </w:rPr>
              <w:t>(Unaudited)</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35"/>
        </w:trPr>
        <w:tc>
          <w:tcPr>
            <w:tcW w:w="688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688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w:t>
            </w:r>
          </w:p>
        </w:tc>
      </w:tr>
      <w:tr>
        <w:trPr>
          <w:trHeight w:val="135"/>
        </w:trPr>
        <w:tc>
          <w:tcPr>
            <w:tcW w:w="6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receivable, net of allowance for doubtful accounts of $27 and $30, respectively</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2,633</w:t>
            </w: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receivables, net of allowance for doubtful accounts of $5 and $4, respectively</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r>
      <w:tr>
        <w:trPr>
          <w:trHeight w:val="135"/>
        </w:trPr>
        <w:tc>
          <w:tcPr>
            <w:tcW w:w="6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Parts and supplies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r>
      <w:tr>
        <w:trPr>
          <w:trHeight w:val="124"/>
        </w:trPr>
        <w:tc>
          <w:tcPr>
            <w:tcW w:w="688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Total current assets</w:t>
            </w:r>
          </w:p>
        </w:tc>
        <w:tc>
          <w:tcPr>
            <w:tcW w:w="12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3,529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3,804</w:t>
            </w: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Property and equipment, net of accumulated depreciation and depletion of $23,144 and $22,826, respectively</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17,044</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16,968</w:t>
            </w:r>
          </w:p>
        </w:tc>
      </w:tr>
      <w:tr>
        <w:trPr>
          <w:trHeight w:val="135"/>
        </w:trPr>
        <w:tc>
          <w:tcPr>
            <w:tcW w:w="6880" w:type="dxa"/>
            <w:vAlign w:val="bottom"/>
          </w:tcPr>
          <w:p>
            <w:pPr>
              <w:spacing w:after="0"/>
              <w:rPr>
                <w:sz w:val="20"/>
                <w:szCs w:val="20"/>
                <w:color w:val="auto"/>
              </w:rPr>
            </w:pPr>
            <w:r>
              <w:rPr>
                <w:rFonts w:ascii="Times New Roman" w:cs="Times New Roman" w:eastAsia="Times New Roman" w:hAnsi="Times New Roman"/>
                <w:sz w:val="11"/>
                <w:szCs w:val="11"/>
                <w:color w:val="auto"/>
              </w:rPr>
              <w:t>Goodwill</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9,254</w:t>
            </w: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759</w:t>
            </w:r>
          </w:p>
        </w:tc>
      </w:tr>
      <w:tr>
        <w:trPr>
          <w:trHeight w:val="135"/>
        </w:trPr>
        <w:tc>
          <w:tcPr>
            <w:tcW w:w="6880" w:type="dxa"/>
            <w:vAlign w:val="bottom"/>
          </w:tcPr>
          <w:p>
            <w:pPr>
              <w:spacing w:after="0"/>
              <w:rPr>
                <w:sz w:val="20"/>
                <w:szCs w:val="20"/>
                <w:color w:val="auto"/>
              </w:rPr>
            </w:pPr>
            <w:r>
              <w:rPr>
                <w:rFonts w:ascii="Times New Roman" w:cs="Times New Roman" w:eastAsia="Times New Roman" w:hAnsi="Times New Roman"/>
                <w:sz w:val="11"/>
                <w:szCs w:val="11"/>
                <w:color w:val="auto"/>
              </w:rPr>
              <w:t>Restricted funds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Investments in unconsolidated entities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w:t>
            </w:r>
          </w:p>
        </w:tc>
      </w:tr>
      <w:tr>
        <w:trPr>
          <w:trHeight w:val="135"/>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w:t>
            </w:r>
          </w:p>
        </w:tc>
      </w:tr>
      <w:tr>
        <w:trPr>
          <w:trHeight w:val="144"/>
        </w:trPr>
        <w:tc>
          <w:tcPr>
            <w:tcW w:w="6880" w:type="dxa"/>
            <w:vAlign w:val="bottom"/>
            <w:tcBorders>
              <w:bottom w:val="single" w:sz="8" w:color="CCEEFF"/>
            </w:tcBorders>
            <w:shd w:val="clear" w:color="auto" w:fill="CCEEFF"/>
          </w:tcPr>
          <w:p>
            <w:pPr>
              <w:ind w:left="220"/>
              <w:spacing w:after="0" w:line="124" w:lineRule="exact"/>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tcBorders>
              <w:bottom w:val="single" w:sz="8" w:color="auto"/>
            </w:tcBorders>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32,666</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32,823</w:t>
            </w:r>
          </w:p>
        </w:tc>
      </w:tr>
      <w:tr>
        <w:trPr>
          <w:trHeight w:val="121"/>
        </w:trPr>
        <w:tc>
          <w:tcPr>
            <w:tcW w:w="6880" w:type="dxa"/>
            <w:vAlign w:val="bottom"/>
          </w:tcPr>
          <w:p>
            <w:pPr>
              <w:ind w:left="260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6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payable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200" w:type="dxa"/>
            <w:vAlign w:val="bottom"/>
          </w:tcPr>
          <w:p>
            <w:pPr>
              <w:spacing w:after="0"/>
              <w:rPr>
                <w:sz w:val="11"/>
                <w:szCs w:val="11"/>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w:t>
            </w: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Accrued liabilities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1,605</w:t>
            </w:r>
          </w:p>
        </w:tc>
      </w:tr>
      <w:tr>
        <w:trPr>
          <w:trHeight w:val="135"/>
        </w:trPr>
        <w:tc>
          <w:tcPr>
            <w:tcW w:w="6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revenues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w:t>
            </w: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r>
      <w:tr>
        <w:trPr>
          <w:trHeight w:val="124"/>
        </w:trPr>
        <w:tc>
          <w:tcPr>
            <w:tcW w:w="6880" w:type="dxa"/>
            <w:vAlign w:val="bottom"/>
          </w:tcPr>
          <w:p>
            <w:pPr>
              <w:ind w:left="140"/>
              <w:spacing w:after="0" w:line="124" w:lineRule="exact"/>
              <w:rPr>
                <w:sz w:val="20"/>
                <w:szCs w:val="20"/>
                <w:color w:val="auto"/>
              </w:rPr>
            </w:pPr>
            <w:r>
              <w:rPr>
                <w:rFonts w:ascii="Times New Roman" w:cs="Times New Roman" w:eastAsia="Times New Roman" w:hAnsi="Times New Roman"/>
                <w:sz w:val="11"/>
                <w:szCs w:val="11"/>
                <w:color w:val="auto"/>
              </w:rPr>
              <w:t>Total current liabilities</w:t>
            </w:r>
          </w:p>
        </w:tc>
        <w:tc>
          <w:tcPr>
            <w:tcW w:w="12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3,949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4,226</w:t>
            </w: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 less current portion</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15,762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15,895</w:t>
            </w:r>
          </w:p>
        </w:tc>
      </w:tr>
      <w:tr>
        <w:trPr>
          <w:trHeight w:val="135"/>
        </w:trPr>
        <w:tc>
          <w:tcPr>
            <w:tcW w:w="6880" w:type="dxa"/>
            <w:vAlign w:val="bottom"/>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w:t>
            </w: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Landfill and environmental remediation liabilities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2,888</w:t>
            </w:r>
          </w:p>
        </w:tc>
      </w:tr>
      <w:tr>
        <w:trPr>
          <w:trHeight w:val="135"/>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1,085</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w:t>
            </w:r>
          </w:p>
        </w:tc>
      </w:tr>
      <w:tr>
        <w:trPr>
          <w:trHeight w:val="124"/>
        </w:trPr>
        <w:tc>
          <w:tcPr>
            <w:tcW w:w="688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25,588</w:t>
            </w:r>
          </w:p>
        </w:tc>
        <w:tc>
          <w:tcPr>
            <w:tcW w:w="2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25,927</w:t>
            </w:r>
          </w:p>
        </w:tc>
      </w:tr>
      <w:tr>
        <w:trPr>
          <w:trHeight w:val="124"/>
        </w:trPr>
        <w:tc>
          <w:tcPr>
            <w:tcW w:w="688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Commitments and contingencies (Note 6)</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5"/>
        </w:trPr>
        <w:tc>
          <w:tcPr>
            <w:tcW w:w="6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Waste Management, Inc. stockholders’ equity:</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$0.01 par value; 1,500,000,000 shares authorized; 630,282,461 shares issued</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35"/>
        </w:trPr>
        <w:tc>
          <w:tcPr>
            <w:tcW w:w="6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5,351</w:t>
            </w:r>
          </w:p>
        </w:tc>
      </w:tr>
      <w:tr>
        <w:trPr>
          <w:trHeight w:val="135"/>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14,738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14,334</w:t>
            </w:r>
          </w:p>
        </w:tc>
      </w:tr>
      <w:tr>
        <w:trPr>
          <w:trHeight w:val="135"/>
        </w:trPr>
        <w:tc>
          <w:tcPr>
            <w:tcW w:w="6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 income</w:t>
            </w:r>
          </w:p>
        </w:tc>
        <w:tc>
          <w:tcPr>
            <w:tcW w:w="12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5"/>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Treasury stock at cost 228,979,512 and 228,827,218 shares, respectively</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(12,954)</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(12,751)</w:t>
            </w:r>
          </w:p>
        </w:tc>
      </w:tr>
      <w:tr>
        <w:trPr>
          <w:trHeight w:val="124"/>
        </w:trPr>
        <w:tc>
          <w:tcPr>
            <w:tcW w:w="6880" w:type="dxa"/>
            <w:vAlign w:val="bottom"/>
          </w:tcPr>
          <w:p>
            <w:pPr>
              <w:ind w:left="220"/>
              <w:spacing w:after="0" w:line="124" w:lineRule="exact"/>
              <w:rPr>
                <w:sz w:val="20"/>
                <w:szCs w:val="20"/>
                <w:color w:val="auto"/>
              </w:rPr>
            </w:pPr>
            <w:r>
              <w:rPr>
                <w:rFonts w:ascii="Times New Roman" w:cs="Times New Roman" w:eastAsia="Times New Roman" w:hAnsi="Times New Roman"/>
                <w:sz w:val="11"/>
                <w:szCs w:val="11"/>
                <w:color w:val="auto"/>
              </w:rPr>
              <w:t>Total Waste Management, Inc. stockholders’ equity</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7,082</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6,903</w:t>
            </w:r>
          </w:p>
        </w:tc>
      </w:tr>
      <w:tr>
        <w:trPr>
          <w:trHeight w:val="135"/>
        </w:trPr>
        <w:tc>
          <w:tcPr>
            <w:tcW w:w="6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Noncontrolling interests</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24"/>
        </w:trPr>
        <w:tc>
          <w:tcPr>
            <w:tcW w:w="6880" w:type="dxa"/>
            <w:vAlign w:val="bottom"/>
            <w:tcBorders>
              <w:bottom w:val="single" w:sz="8" w:color="CCEEFF"/>
            </w:tcBorders>
          </w:tcPr>
          <w:p>
            <w:pPr>
              <w:ind w:left="220"/>
              <w:spacing w:after="0" w:line="124" w:lineRule="exact"/>
              <w:rPr>
                <w:sz w:val="20"/>
                <w:szCs w:val="20"/>
                <w:color w:val="auto"/>
              </w:rPr>
            </w:pPr>
            <w:r>
              <w:rPr>
                <w:rFonts w:ascii="Times New Roman" w:cs="Times New Roman" w:eastAsia="Times New Roman" w:hAnsi="Times New Roman"/>
                <w:sz w:val="11"/>
                <w:szCs w:val="11"/>
                <w:color w:val="auto"/>
              </w:rPr>
              <w:t>Total equity</w:t>
            </w:r>
          </w:p>
        </w:tc>
        <w:tc>
          <w:tcPr>
            <w:tcW w:w="1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7,078</w:t>
            </w:r>
          </w:p>
        </w:tc>
        <w:tc>
          <w:tcPr>
            <w:tcW w:w="2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6,896</w:t>
            </w:r>
          </w:p>
        </w:tc>
      </w:tr>
      <w:tr>
        <w:trPr>
          <w:trHeight w:val="131"/>
        </w:trPr>
        <w:tc>
          <w:tcPr>
            <w:tcW w:w="6880" w:type="dxa"/>
            <w:vAlign w:val="bottom"/>
            <w:tcBorders>
              <w:bottom w:val="single" w:sz="8" w:color="CCEEFF"/>
            </w:tcBorders>
            <w:shd w:val="clear" w:color="auto" w:fill="CCEEFF"/>
          </w:tcPr>
          <w:p>
            <w:pPr>
              <w:ind w:left="220"/>
              <w:spacing w:after="0" w:line="124" w:lineRule="exact"/>
              <w:rPr>
                <w:sz w:val="20"/>
                <w:szCs w:val="20"/>
                <w:color w:val="auto"/>
              </w:rPr>
            </w:pPr>
            <w:r>
              <w:rPr>
                <w:rFonts w:ascii="Times New Roman" w:cs="Times New Roman" w:eastAsia="Times New Roman" w:hAnsi="Times New Roman"/>
                <w:sz w:val="11"/>
                <w:szCs w:val="11"/>
                <w:color w:val="auto"/>
              </w:rPr>
              <w:t>Total liabilities and equity</w:t>
            </w:r>
          </w:p>
        </w:tc>
        <w:tc>
          <w:tcPr>
            <w:tcW w:w="120" w:type="dxa"/>
            <w:vAlign w:val="bottom"/>
            <w:tcBorders>
              <w:bottom w:val="single" w:sz="8" w:color="auto"/>
            </w:tcBorders>
            <w:shd w:val="clear" w:color="auto" w:fill="CCEEFF"/>
          </w:tcPr>
          <w:p>
            <w:pPr>
              <w:jc w:val="right"/>
              <w:ind w:right="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32,666</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32,823</w:t>
            </w:r>
          </w:p>
        </w:tc>
      </w:tr>
    </w:tbl>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323850</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 Except per Share Amounts)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15"/>
        </w:trPr>
        <w:tc>
          <w:tcPr>
            <w:tcW w:w="7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40" w:type="dxa"/>
            <w:vAlign w:val="bottom"/>
            <w:tcBorders>
              <w:bottom w:val="single" w:sz="8" w:color="auto"/>
            </w:tcBorders>
          </w:tcPr>
          <w:p>
            <w:pPr>
              <w:spacing w:after="0"/>
              <w:rPr>
                <w:sz w:val="10"/>
                <w:szCs w:val="10"/>
                <w:color w:val="auto"/>
              </w:rPr>
            </w:pPr>
          </w:p>
        </w:tc>
      </w:tr>
      <w:tr>
        <w:trPr>
          <w:trHeight w:val="88"/>
        </w:trPr>
        <w:tc>
          <w:tcPr>
            <w:tcW w:w="708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gridSpan w:val="3"/>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81"/>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revenues</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5,159</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4,892</w:t>
            </w:r>
          </w:p>
        </w:tc>
      </w:tr>
      <w:tr>
        <w:trPr>
          <w:trHeight w:val="133"/>
        </w:trPr>
        <w:tc>
          <w:tcPr>
            <w:tcW w:w="7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Costs and expenses: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w:t>
            </w:r>
          </w:p>
        </w:tc>
      </w:tr>
      <w:tr>
        <w:trPr>
          <w:trHeight w:val="144"/>
        </w:trPr>
        <w:tc>
          <w:tcPr>
            <w:tcW w:w="7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w:t>
            </w: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r>
      <w:tr>
        <w:trPr>
          <w:trHeight w:val="144"/>
        </w:trPr>
        <w:tc>
          <w:tcPr>
            <w:tcW w:w="7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4"/>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(Gain) loss from divestitures, asset impairments and unusual items,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33"/>
        </w:trPr>
        <w:tc>
          <w:tcPr>
            <w:tcW w:w="70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4,143</w:t>
            </w: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4,067</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from operations</w:t>
            </w:r>
          </w:p>
        </w:tc>
        <w:tc>
          <w:tcPr>
            <w:tcW w:w="3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1,016</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825</w:t>
            </w:r>
          </w:p>
        </w:tc>
      </w:tr>
      <w:tr>
        <w:trPr>
          <w:trHeight w:val="133"/>
        </w:trPr>
        <w:tc>
          <w:tcPr>
            <w:tcW w:w="7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 (expense):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r>
      <w:tr>
        <w:trPr>
          <w:trHeight w:val="144"/>
        </w:trPr>
        <w:tc>
          <w:tcPr>
            <w:tcW w:w="7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Equity in net losses of unconsolidated entities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net</w:t>
            </w:r>
          </w:p>
        </w:tc>
        <w:tc>
          <w:tcPr>
            <w:tcW w:w="3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33"/>
        </w:trPr>
        <w:tc>
          <w:tcPr>
            <w:tcW w:w="70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(147)</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(129)</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696</w:t>
            </w:r>
          </w:p>
        </w:tc>
      </w:tr>
      <w:tr>
        <w:trPr>
          <w:trHeight w:val="144"/>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Consolidated net income</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707</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532</w:t>
            </w:r>
          </w:p>
        </w:tc>
      </w:tr>
      <w:tr>
        <w:trPr>
          <w:trHeight w:val="144"/>
        </w:trPr>
        <w:tc>
          <w:tcPr>
            <w:tcW w:w="7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Net income (loss) attributable to noncontrolling interests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70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attributable to Waste Management, Inc.</w:t>
            </w:r>
          </w:p>
        </w:tc>
        <w:tc>
          <w:tcPr>
            <w:tcW w:w="3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533</w:t>
            </w:r>
          </w:p>
        </w:tc>
      </w:tr>
      <w:tr>
        <w:trPr>
          <w:trHeight w:val="138"/>
        </w:trPr>
        <w:tc>
          <w:tcPr>
            <w:tcW w:w="708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Basic earnings per common share</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1.76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1.31</w:t>
            </w:r>
          </w:p>
        </w:tc>
      </w:tr>
      <w:tr>
        <w:trPr>
          <w:trHeight w:val="164"/>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r>
      <w:tr>
        <w:trPr>
          <w:trHeight w:val="413"/>
        </w:trPr>
        <w:tc>
          <w:tcPr>
            <w:tcW w:w="7080" w:type="dxa"/>
            <w:vAlign w:val="bottom"/>
          </w:tcPr>
          <w:p>
            <w:pPr>
              <w:jc w:val="center"/>
              <w:ind w:left="1840"/>
              <w:spacing w:after="0"/>
              <w:rPr>
                <w:sz w:val="20"/>
                <w:szCs w:val="20"/>
                <w:color w:val="auto"/>
              </w:rPr>
            </w:pPr>
            <w:r>
              <w:rPr>
                <w:rFonts w:ascii="Times New Roman" w:cs="Times New Roman" w:eastAsia="Times New Roman" w:hAnsi="Times New Roman"/>
                <w:sz w:val="12"/>
                <w:szCs w:val="12"/>
                <w:b w:val="1"/>
                <w:bCs w:val="1"/>
                <w:color w:val="auto"/>
                <w:w w:val="99"/>
              </w:rPr>
              <w:t>CONDENSED CONSOLIDATED STATEMENTS OF COMPREHENSIVE INCOME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4"/>
        </w:trPr>
        <w:tc>
          <w:tcPr>
            <w:tcW w:w="7080" w:type="dxa"/>
            <w:vAlign w:val="bottom"/>
          </w:tcPr>
          <w:p>
            <w:pPr>
              <w:jc w:val="center"/>
              <w:ind w:left="1820"/>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9"/>
        </w:trPr>
        <w:tc>
          <w:tcPr>
            <w:tcW w:w="7080" w:type="dxa"/>
            <w:vAlign w:val="bottom"/>
          </w:tcPr>
          <w:p>
            <w:pPr>
              <w:jc w:val="center"/>
              <w:ind w:left="184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36"/>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5"/>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15"/>
        </w:trPr>
        <w:tc>
          <w:tcPr>
            <w:tcW w:w="7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40" w:type="dxa"/>
            <w:vAlign w:val="bottom"/>
            <w:tcBorders>
              <w:bottom w:val="single" w:sz="8" w:color="auto"/>
            </w:tcBorders>
          </w:tcPr>
          <w:p>
            <w:pPr>
              <w:spacing w:after="0"/>
              <w:rPr>
                <w:sz w:val="10"/>
                <w:szCs w:val="10"/>
                <w:color w:val="auto"/>
              </w:rPr>
            </w:pPr>
          </w:p>
        </w:tc>
      </w:tr>
      <w:tr>
        <w:trPr>
          <w:trHeight w:val="88"/>
        </w:trPr>
        <w:tc>
          <w:tcPr>
            <w:tcW w:w="708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Consolidated net income</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707</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532</w:t>
            </w:r>
          </w:p>
        </w:tc>
      </w:tr>
      <w:tr>
        <w:trPr>
          <w:trHeight w:val="133"/>
        </w:trPr>
        <w:tc>
          <w:tcPr>
            <w:tcW w:w="7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 tax:</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Derivative instruments, net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70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Available-for-sale securities, 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7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Post-retirement benefit obligations, net</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 tax</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r>
      <w:tr>
        <w:trPr>
          <w:trHeight w:val="133"/>
        </w:trPr>
        <w:tc>
          <w:tcPr>
            <w:tcW w:w="7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544</w:t>
            </w:r>
          </w:p>
        </w:tc>
      </w:tr>
      <w:tr>
        <w:trPr>
          <w:trHeight w:val="14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Comprehensive income (loss) attributable to noncontrolling interests</w:t>
            </w: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40"/>
        </w:trPr>
        <w:tc>
          <w:tcPr>
            <w:tcW w:w="70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 attributable to Waste Management, Inc.</w:t>
            </w:r>
          </w:p>
        </w:tc>
        <w:tc>
          <w:tcPr>
            <w:tcW w:w="3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685</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545</w:t>
            </w:r>
          </w:p>
        </w:tc>
      </w:tr>
    </w:tbl>
    <w:p>
      <w:pPr>
        <w:spacing w:after="0" w:line="1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560" w:type="dxa"/>
            <w:vAlign w:val="bottom"/>
          </w:tcPr>
          <w:p>
            <w:pPr>
              <w:spacing w:after="0"/>
              <w:rPr>
                <w:sz w:val="10"/>
                <w:szCs w:val="10"/>
                <w:color w:val="auto"/>
              </w:rPr>
            </w:pPr>
          </w:p>
        </w:tc>
      </w:tr>
      <w:tr>
        <w:trPr>
          <w:trHeight w:val="115"/>
        </w:trPr>
        <w:tc>
          <w:tcPr>
            <w:tcW w:w="69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60" w:type="dxa"/>
            <w:vAlign w:val="bottom"/>
            <w:tcBorders>
              <w:bottom w:val="single" w:sz="8" w:color="auto"/>
            </w:tcBorders>
          </w:tcPr>
          <w:p>
            <w:pPr>
              <w:spacing w:after="0"/>
              <w:rPr>
                <w:sz w:val="10"/>
                <w:szCs w:val="10"/>
                <w:color w:val="auto"/>
              </w:rPr>
            </w:pPr>
          </w:p>
        </w:tc>
      </w:tr>
      <w:tr>
        <w:trPr>
          <w:trHeight w:val="88"/>
        </w:trPr>
        <w:tc>
          <w:tcPr>
            <w:tcW w:w="694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2023</w:t>
            </w:r>
          </w:p>
        </w:tc>
      </w:tr>
      <w:tr>
        <w:trPr>
          <w:trHeight w:val="124"/>
        </w:trPr>
        <w:tc>
          <w:tcPr>
            <w:tcW w:w="6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Cash flows from operating activities:</w:t>
            </w: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35"/>
        </w:trPr>
        <w:tc>
          <w:tcPr>
            <w:tcW w:w="6940" w:type="dxa"/>
            <w:vAlign w:val="bottom"/>
          </w:tcPr>
          <w:p>
            <w:pPr>
              <w:spacing w:after="0"/>
              <w:rPr>
                <w:sz w:val="20"/>
                <w:szCs w:val="20"/>
                <w:color w:val="auto"/>
              </w:rPr>
            </w:pPr>
            <w:r>
              <w:rPr>
                <w:rFonts w:ascii="Times New Roman" w:cs="Times New Roman" w:eastAsia="Times New Roman" w:hAnsi="Times New Roman"/>
                <w:sz w:val="11"/>
                <w:szCs w:val="11"/>
                <w:color w:val="auto"/>
              </w:rPr>
              <w:t>Consolidated net income</w:t>
            </w:r>
          </w:p>
        </w:tc>
        <w:tc>
          <w:tcPr>
            <w:tcW w:w="540" w:type="dxa"/>
            <w:vAlign w:val="bottom"/>
          </w:tcPr>
          <w:p>
            <w:pPr>
              <w:jc w:val="right"/>
              <w:ind w:right="4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w:t>
            </w:r>
          </w:p>
        </w:tc>
        <w:tc>
          <w:tcPr>
            <w:tcW w:w="200" w:type="dxa"/>
            <w:vAlign w:val="bottom"/>
          </w:tcPr>
          <w:p>
            <w:pPr>
              <w:spacing w:after="0"/>
              <w:rPr>
                <w:sz w:val="11"/>
                <w:szCs w:val="11"/>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r>
      <w:tr>
        <w:trPr>
          <w:trHeight w:val="13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consolidated net income to net cash provided by operating activities:</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depletion and amortization</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income tax expense (benefit)</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accretion on landfill and environmental remediation liabilities</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Provision for bad debts</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Equity-based compensation expense</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gain on disposal of assets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loss from divestitures, asset impairments and other, net</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 in net losses of unconsolidated entities, net of dividends</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 in operating assets and liabilities, net of effects of acquisitions and divestitures: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Receivables</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35"/>
        </w:trPr>
        <w:tc>
          <w:tcPr>
            <w:tcW w:w="69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Other current assets</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(45)</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35"/>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Other assets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35"/>
        </w:trPr>
        <w:tc>
          <w:tcPr>
            <w:tcW w:w="69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(102)</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r>
      <w:tr>
        <w:trPr>
          <w:trHeight w:val="135"/>
        </w:trPr>
        <w:tc>
          <w:tcPr>
            <w:tcW w:w="6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Deferred revenues and other liabilities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(16)</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24"/>
        </w:trPr>
        <w:tc>
          <w:tcPr>
            <w:tcW w:w="694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54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1,367</w:t>
            </w:r>
          </w:p>
        </w:tc>
        <w:tc>
          <w:tcPr>
            <w:tcW w:w="20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1,044</w:t>
            </w:r>
          </w:p>
        </w:tc>
      </w:tr>
      <w:tr>
        <w:trPr>
          <w:trHeight w:val="124"/>
        </w:trPr>
        <w:tc>
          <w:tcPr>
            <w:tcW w:w="6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Cash flows from investing activities:</w:t>
            </w: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Acquisitions of businesses, net of cash acquired</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Capital expenditures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(668)</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divestitures of businesses and other assets, net of cash divested</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(91)</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24"/>
        </w:trPr>
        <w:tc>
          <w:tcPr>
            <w:tcW w:w="694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54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(755)</w:t>
            </w:r>
          </w:p>
        </w:tc>
        <w:tc>
          <w:tcPr>
            <w:tcW w:w="200" w:type="dxa"/>
            <w:vAlign w:val="bottom"/>
            <w:tcBorders>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(778)</w:t>
            </w:r>
          </w:p>
        </w:tc>
      </w:tr>
      <w:tr>
        <w:trPr>
          <w:trHeight w:val="124"/>
        </w:trPr>
        <w:tc>
          <w:tcPr>
            <w:tcW w:w="6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Cash flows from financing activities:</w:t>
            </w: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New borrowings</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4,412</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6,885</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Debt repayments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w w:val="99"/>
              </w:rPr>
              <w:t>(4,570)</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(6,548)</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Common stock repurchase program</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(250)</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dividends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(307)</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Exercise of common stock options</w:t>
            </w:r>
          </w:p>
        </w:tc>
        <w:tc>
          <w:tcPr>
            <w:tcW w:w="5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3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 payments associated with equity-based compensation transactions</w:t>
            </w:r>
          </w:p>
        </w:tc>
        <w:tc>
          <w:tcPr>
            <w:tcW w:w="5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(48)</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35"/>
        </w:trPr>
        <w:tc>
          <w:tcPr>
            <w:tcW w:w="69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54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w:t>
            </w:r>
          </w:p>
        </w:tc>
        <w:tc>
          <w:tcPr>
            <w:tcW w:w="3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24"/>
        </w:trPr>
        <w:tc>
          <w:tcPr>
            <w:tcW w:w="69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(737)</w:t>
            </w:r>
          </w:p>
        </w:tc>
        <w:tc>
          <w:tcPr>
            <w:tcW w:w="2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(319)</w:t>
            </w:r>
          </w:p>
        </w:tc>
      </w:tr>
      <w:tr>
        <w:trPr>
          <w:trHeight w:val="124"/>
        </w:trPr>
        <w:tc>
          <w:tcPr>
            <w:tcW w:w="694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 and cash equivalents</w:t>
            </w: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24"/>
        </w:trPr>
        <w:tc>
          <w:tcPr>
            <w:tcW w:w="6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(Decrease) increase in cash, cash equivalents and restricted cash and cash equivalents</w:t>
            </w:r>
          </w:p>
        </w:tc>
        <w:tc>
          <w:tcPr>
            <w:tcW w:w="54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(127)</w:t>
            </w: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(53)</w:t>
            </w:r>
          </w:p>
        </w:tc>
      </w:tr>
      <w:tr>
        <w:trPr>
          <w:trHeight w:val="135"/>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and cash equivalents at beginning of period</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w:t>
            </w:r>
          </w:p>
        </w:tc>
      </w:tr>
      <w:tr>
        <w:trPr>
          <w:trHeight w:val="131"/>
        </w:trPr>
        <w:tc>
          <w:tcPr>
            <w:tcW w:w="69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Cash, cash equivalents and restricted cash and cash equivalents at end of period</w:t>
            </w:r>
          </w:p>
        </w:tc>
        <w:tc>
          <w:tcPr>
            <w:tcW w:w="5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425</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6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392</w:t>
            </w:r>
          </w:p>
        </w:tc>
      </w:tr>
      <w:tr>
        <w:trPr>
          <w:trHeight w:val="135"/>
        </w:trPr>
        <w:tc>
          <w:tcPr>
            <w:tcW w:w="6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Reconciliation of cash, cash equivalents and restricted cash and cash equivalents at end of period:</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694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540" w:type="dxa"/>
            <w:vAlign w:val="bottom"/>
          </w:tcPr>
          <w:p>
            <w:pPr>
              <w:jc w:val="right"/>
              <w:ind w:right="4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0" w:type="dxa"/>
            <w:vAlign w:val="bottom"/>
          </w:tcPr>
          <w:p>
            <w:pPr>
              <w:spacing w:after="0"/>
              <w:rPr>
                <w:sz w:val="11"/>
                <w:szCs w:val="11"/>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w:t>
            </w:r>
          </w:p>
        </w:tc>
      </w:tr>
      <w:tr>
        <w:trPr>
          <w:trHeight w:val="13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Restricted cash and cash equivalents included in other current assets</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135"/>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Restricted cash and cash equivalents included in restricted funds</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31"/>
        </w:trPr>
        <w:tc>
          <w:tcPr>
            <w:tcW w:w="694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Cash, cash equivalents and restricted cash and cash equivalents at end of period</w:t>
            </w:r>
          </w:p>
        </w:tc>
        <w:tc>
          <w:tcPr>
            <w:tcW w:w="54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425</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63"/>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392</w:t>
            </w:r>
          </w:p>
        </w:tc>
      </w:tr>
    </w:tbl>
    <w:p>
      <w:pPr>
        <w:spacing w:after="0" w:line="7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3680"/>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0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 Except Shares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10"/>
          </w:tcPr>
          <w:p>
            <w:pPr>
              <w:ind w:left="240"/>
              <w:spacing w:after="0"/>
              <w:rPr>
                <w:sz w:val="20"/>
                <w:szCs w:val="20"/>
                <w:color w:val="auto"/>
              </w:rPr>
            </w:pPr>
            <w:r>
              <w:rPr>
                <w:rFonts w:ascii="Times New Roman" w:cs="Times New Roman" w:eastAsia="Times New Roman" w:hAnsi="Times New Roman"/>
                <w:sz w:val="9"/>
                <w:szCs w:val="9"/>
                <w:b w:val="1"/>
                <w:bCs w:val="1"/>
                <w:color w:val="auto"/>
              </w:rPr>
              <w:t>Waste Management, Inc. Stockholders’ Equity</w:t>
            </w:r>
          </w:p>
        </w:tc>
        <w:tc>
          <w:tcPr>
            <w:tcW w:w="6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77"/>
        </w:trPr>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center"/>
              <w:ind w:right="160"/>
              <w:spacing w:after="0" w:line="77"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9"/>
                <w:szCs w:val="9"/>
                <w:b w:val="1"/>
                <w:bCs w:val="1"/>
                <w:color w:val="auto"/>
                <w:w w:val="97"/>
              </w:rPr>
              <w:t>Additional</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4"/>
          </w:tcPr>
          <w:p>
            <w:pPr>
              <w:jc w:val="right"/>
              <w:ind w:right="232"/>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6"/>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340" w:type="dxa"/>
            <w:vAlign w:val="bottom"/>
            <w:gridSpan w:val="6"/>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Noncontrolling</w:t>
            </w:r>
          </w:p>
        </w:tc>
      </w:tr>
      <w:tr>
        <w:trPr>
          <w:trHeight w:val="88"/>
        </w:trPr>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tcBorders>
              <w:top w:val="single" w:sz="8" w:color="auto"/>
            </w:tcBorders>
          </w:tcPr>
          <w:p>
            <w:pPr>
              <w:jc w:val="right"/>
              <w:ind w:right="112"/>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9"/>
                <w:szCs w:val="9"/>
                <w:b w:val="1"/>
                <w:bCs w:val="1"/>
                <w:color w:val="auto"/>
                <w:w w:val="96"/>
              </w:rPr>
              <w:t>Amounts</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9"/>
                <w:szCs w:val="9"/>
                <w:b w:val="1"/>
                <w:bCs w:val="1"/>
                <w:color w:val="auto"/>
                <w:w w:val="98"/>
              </w:rPr>
              <w:t>Capital</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160"/>
              <w:spacing w:after="0" w:line="88" w:lineRule="exact"/>
              <w:rPr>
                <w:sz w:val="20"/>
                <w:szCs w:val="20"/>
                <w:color w:val="auto"/>
              </w:rPr>
            </w:pPr>
            <w:r>
              <w:rPr>
                <w:rFonts w:ascii="Times New Roman" w:cs="Times New Roman" w:eastAsia="Times New Roman" w:hAnsi="Times New Roman"/>
                <w:sz w:val="9"/>
                <w:szCs w:val="9"/>
                <w:b w:val="1"/>
                <w:bCs w:val="1"/>
                <w:color w:val="auto"/>
                <w:w w:val="99"/>
              </w:rPr>
              <w:t>(Loss) Income</w:t>
            </w:r>
          </w:p>
        </w:tc>
        <w:tc>
          <w:tcPr>
            <w:tcW w:w="660" w:type="dxa"/>
            <w:vAlign w:val="bottom"/>
            <w:tcBorders>
              <w:top w:val="single" w:sz="8" w:color="auto"/>
            </w:tcBorders>
            <w:gridSpan w:val="2"/>
          </w:tcPr>
          <w:p>
            <w:pPr>
              <w:jc w:val="right"/>
              <w:ind w:right="22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ind w:right="92"/>
              <w:spacing w:after="0" w:line="88" w:lineRule="exact"/>
              <w:rPr>
                <w:sz w:val="20"/>
                <w:szCs w:val="20"/>
                <w:color w:val="auto"/>
              </w:rPr>
            </w:pPr>
            <w:r>
              <w:rPr>
                <w:rFonts w:ascii="Times New Roman" w:cs="Times New Roman" w:eastAsia="Times New Roman" w:hAnsi="Times New Roman"/>
                <w:sz w:val="9"/>
                <w:szCs w:val="9"/>
                <w:b w:val="1"/>
                <w:bCs w:val="1"/>
                <w:color w:val="auto"/>
              </w:rPr>
              <w:t>Amounts</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9"/>
                <w:szCs w:val="9"/>
                <w:b w:val="1"/>
                <w:bCs w:val="1"/>
                <w:color w:val="auto"/>
              </w:rPr>
              <w:t>Interests</w:t>
            </w:r>
          </w:p>
        </w:tc>
      </w:tr>
      <w:tr>
        <w:trPr>
          <w:trHeight w:val="79"/>
        </w:trPr>
        <w:tc>
          <w:tcPr>
            <w:tcW w:w="20" w:type="dxa"/>
            <w:vAlign w:val="bottom"/>
          </w:tcPr>
          <w:p>
            <w:pPr>
              <w:spacing w:after="0"/>
              <w:rPr>
                <w:sz w:val="6"/>
                <w:szCs w:val="6"/>
                <w:color w:val="auto"/>
              </w:rPr>
            </w:pPr>
          </w:p>
        </w:tc>
        <w:tc>
          <w:tcPr>
            <w:tcW w:w="180" w:type="dxa"/>
            <w:vAlign w:val="bottom"/>
            <w:tcBorders>
              <w:top w:val="single" w:sz="8" w:color="CCEEFF"/>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w w:val="99"/>
              </w:rPr>
              <w:t>2024</w:t>
            </w:r>
          </w:p>
        </w:tc>
        <w:tc>
          <w:tcPr>
            <w:tcW w:w="2100" w:type="dxa"/>
            <w:vAlign w:val="bottom"/>
            <w:tcBorders>
              <w:top w:val="single" w:sz="8" w:color="CCEEFF"/>
              <w:bottom w:val="single" w:sz="8" w:color="CCEEFF"/>
            </w:tcBorders>
            <w:shd w:val="clear" w:color="auto" w:fill="CCEEFF"/>
          </w:tcPr>
          <w:p>
            <w:pPr>
              <w:spacing w:after="0"/>
              <w:rPr>
                <w:sz w:val="6"/>
                <w:szCs w:val="6"/>
                <w:color w:val="auto"/>
              </w:rPr>
            </w:pPr>
          </w:p>
        </w:tc>
        <w:tc>
          <w:tcPr>
            <w:tcW w:w="280" w:type="dxa"/>
            <w:vAlign w:val="bottom"/>
            <w:tcBorders>
              <w:top w:val="single" w:sz="8" w:color="CCEEFF"/>
              <w:bottom w:val="single" w:sz="8" w:color="CCEEFF"/>
            </w:tcBorders>
            <w:shd w:val="clear" w:color="auto" w:fill="CCEEFF"/>
          </w:tcPr>
          <w:p>
            <w:pPr>
              <w:spacing w:after="0"/>
              <w:rPr>
                <w:sz w:val="6"/>
                <w:szCs w:val="6"/>
                <w:color w:val="auto"/>
              </w:rPr>
            </w:pPr>
          </w:p>
        </w:tc>
        <w:tc>
          <w:tcPr>
            <w:tcW w:w="100" w:type="dxa"/>
            <w:vAlign w:val="bottom"/>
            <w:tcBorders>
              <w:top w:val="single" w:sz="8" w:color="auto"/>
              <w:bottom w:val="single" w:sz="8" w:color="CCEEFF"/>
            </w:tcBorders>
            <w:shd w:val="clear" w:color="auto" w:fill="CCEEFF"/>
          </w:tcPr>
          <w:p>
            <w:pPr>
              <w:spacing w:after="0"/>
              <w:rPr>
                <w:sz w:val="6"/>
                <w:szCs w:val="6"/>
                <w:color w:val="auto"/>
              </w:rPr>
            </w:pPr>
          </w:p>
        </w:tc>
        <w:tc>
          <w:tcPr>
            <w:tcW w:w="400" w:type="dxa"/>
            <w:vAlign w:val="bottom"/>
            <w:tcBorders>
              <w:top w:val="single" w:sz="8" w:color="auto"/>
              <w:bottom w:val="single" w:sz="8" w:color="CCEEFF"/>
            </w:tcBorders>
            <w:shd w:val="clear" w:color="auto" w:fill="CCEEFF"/>
          </w:tcPr>
          <w:p>
            <w:pPr>
              <w:spacing w:after="0"/>
              <w:rPr>
                <w:sz w:val="6"/>
                <w:szCs w:val="6"/>
                <w:color w:val="auto"/>
              </w:rPr>
            </w:pPr>
          </w:p>
        </w:tc>
        <w:tc>
          <w:tcPr>
            <w:tcW w:w="60" w:type="dxa"/>
            <w:vAlign w:val="bottom"/>
            <w:tcBorders>
              <w:top w:val="single" w:sz="8" w:color="CCEEFF"/>
              <w:bottom w:val="single" w:sz="8" w:color="CCEEFF"/>
            </w:tcBorders>
            <w:shd w:val="clear" w:color="auto" w:fill="CCEEFF"/>
          </w:tcPr>
          <w:p>
            <w:pPr>
              <w:spacing w:after="0"/>
              <w:rPr>
                <w:sz w:val="6"/>
                <w:szCs w:val="6"/>
                <w:color w:val="auto"/>
              </w:rPr>
            </w:pPr>
          </w:p>
        </w:tc>
        <w:tc>
          <w:tcPr>
            <w:tcW w:w="560" w:type="dxa"/>
            <w:vAlign w:val="bottom"/>
            <w:tcBorders>
              <w:top w:val="single" w:sz="8" w:color="auto"/>
              <w:bottom w:val="single" w:sz="8" w:color="CCEEFF"/>
            </w:tcBorders>
            <w:shd w:val="clear" w:color="auto" w:fill="CCEEFF"/>
          </w:tcPr>
          <w:p>
            <w:pPr>
              <w:spacing w:after="0"/>
              <w:rPr>
                <w:sz w:val="6"/>
                <w:szCs w:val="6"/>
                <w:color w:val="auto"/>
              </w:rPr>
            </w:pPr>
          </w:p>
        </w:tc>
        <w:tc>
          <w:tcPr>
            <w:tcW w:w="60" w:type="dxa"/>
            <w:vAlign w:val="bottom"/>
            <w:tcBorders>
              <w:top w:val="single" w:sz="8" w:color="CCEEFF"/>
              <w:bottom w:val="single" w:sz="8" w:color="CCEEFF"/>
            </w:tcBorders>
            <w:shd w:val="clear" w:color="auto" w:fill="CCEEFF"/>
          </w:tcPr>
          <w:p>
            <w:pPr>
              <w:spacing w:after="0"/>
              <w:rPr>
                <w:sz w:val="6"/>
                <w:szCs w:val="6"/>
                <w:color w:val="auto"/>
              </w:rPr>
            </w:pPr>
          </w:p>
        </w:tc>
        <w:tc>
          <w:tcPr>
            <w:tcW w:w="80" w:type="dxa"/>
            <w:vAlign w:val="bottom"/>
            <w:tcBorders>
              <w:top w:val="single" w:sz="8" w:color="auto"/>
              <w:bottom w:val="single" w:sz="8" w:color="CCEEFF"/>
            </w:tcBorders>
            <w:shd w:val="clear" w:color="auto" w:fill="CCEEFF"/>
          </w:tcPr>
          <w:p>
            <w:pPr>
              <w:spacing w:after="0"/>
              <w:rPr>
                <w:sz w:val="6"/>
                <w:szCs w:val="6"/>
                <w:color w:val="auto"/>
              </w:rPr>
            </w:pPr>
          </w:p>
        </w:tc>
        <w:tc>
          <w:tcPr>
            <w:tcW w:w="440" w:type="dxa"/>
            <w:vAlign w:val="bottom"/>
            <w:tcBorders>
              <w:top w:val="single" w:sz="8" w:color="auto"/>
              <w:bottom w:val="single" w:sz="8" w:color="CCEEFF"/>
            </w:tcBorders>
            <w:shd w:val="clear" w:color="auto" w:fill="CCEEFF"/>
          </w:tcPr>
          <w:p>
            <w:pPr>
              <w:spacing w:after="0"/>
              <w:rPr>
                <w:sz w:val="6"/>
                <w:szCs w:val="6"/>
                <w:color w:val="auto"/>
              </w:rPr>
            </w:pPr>
          </w:p>
        </w:tc>
        <w:tc>
          <w:tcPr>
            <w:tcW w:w="60" w:type="dxa"/>
            <w:vAlign w:val="bottom"/>
            <w:tcBorders>
              <w:top w:val="single" w:sz="8" w:color="CCEEFF"/>
              <w:bottom w:val="single" w:sz="8" w:color="CCEEFF"/>
            </w:tcBorders>
            <w:shd w:val="clear" w:color="auto" w:fill="CCEEFF"/>
          </w:tcPr>
          <w:p>
            <w:pPr>
              <w:spacing w:after="0"/>
              <w:rPr>
                <w:sz w:val="6"/>
                <w:szCs w:val="6"/>
                <w:color w:val="auto"/>
              </w:rPr>
            </w:pPr>
          </w:p>
        </w:tc>
        <w:tc>
          <w:tcPr>
            <w:tcW w:w="80" w:type="dxa"/>
            <w:vAlign w:val="bottom"/>
            <w:tcBorders>
              <w:top w:val="single" w:sz="8" w:color="auto"/>
              <w:bottom w:val="single" w:sz="8" w:color="CCEEFF"/>
            </w:tcBorders>
            <w:shd w:val="clear" w:color="auto" w:fill="CCEEFF"/>
          </w:tcPr>
          <w:p>
            <w:pPr>
              <w:spacing w:after="0"/>
              <w:rPr>
                <w:sz w:val="6"/>
                <w:szCs w:val="6"/>
                <w:color w:val="auto"/>
              </w:rPr>
            </w:pPr>
          </w:p>
        </w:tc>
        <w:tc>
          <w:tcPr>
            <w:tcW w:w="560" w:type="dxa"/>
            <w:vAlign w:val="bottom"/>
            <w:tcBorders>
              <w:top w:val="single" w:sz="8" w:color="auto"/>
              <w:bottom w:val="single" w:sz="8" w:color="CCEEFF"/>
            </w:tcBorders>
            <w:shd w:val="clear" w:color="auto" w:fill="CCEEFF"/>
          </w:tcPr>
          <w:p>
            <w:pPr>
              <w:spacing w:after="0"/>
              <w:rPr>
                <w:sz w:val="6"/>
                <w:szCs w:val="6"/>
                <w:color w:val="auto"/>
              </w:rPr>
            </w:pP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20" w:type="dxa"/>
            <w:vAlign w:val="bottom"/>
            <w:tcBorders>
              <w:top w:val="single" w:sz="8" w:color="CCEEFF"/>
              <w:bottom w:val="single" w:sz="8" w:color="CCEEFF"/>
            </w:tcBorders>
            <w:shd w:val="clear" w:color="auto" w:fill="CCEEFF"/>
          </w:tcPr>
          <w:p>
            <w:pPr>
              <w:spacing w:after="0"/>
              <w:rPr>
                <w:sz w:val="6"/>
                <w:szCs w:val="6"/>
                <w:color w:val="auto"/>
              </w:rPr>
            </w:pPr>
          </w:p>
        </w:tc>
        <w:tc>
          <w:tcPr>
            <w:tcW w:w="80" w:type="dxa"/>
            <w:vAlign w:val="bottom"/>
            <w:tcBorders>
              <w:top w:val="single" w:sz="8" w:color="auto"/>
              <w:bottom w:val="single" w:sz="8" w:color="CCEEFF"/>
            </w:tcBorders>
            <w:shd w:val="clear" w:color="auto" w:fill="CCEEFF"/>
          </w:tcPr>
          <w:p>
            <w:pPr>
              <w:spacing w:after="0"/>
              <w:rPr>
                <w:sz w:val="6"/>
                <w:szCs w:val="6"/>
                <w:color w:val="auto"/>
              </w:rPr>
            </w:pPr>
          </w:p>
        </w:tc>
        <w:tc>
          <w:tcPr>
            <w:tcW w:w="500" w:type="dxa"/>
            <w:vAlign w:val="bottom"/>
            <w:tcBorders>
              <w:top w:val="single" w:sz="8" w:color="auto"/>
              <w:bottom w:val="single" w:sz="8" w:color="CCEEFF"/>
            </w:tcBorders>
            <w:shd w:val="clear" w:color="auto" w:fill="CCEEFF"/>
          </w:tcPr>
          <w:p>
            <w:pPr>
              <w:spacing w:after="0"/>
              <w:rPr>
                <w:sz w:val="6"/>
                <w:szCs w:val="6"/>
                <w:color w:val="auto"/>
              </w:rPr>
            </w:pPr>
          </w:p>
        </w:tc>
        <w:tc>
          <w:tcPr>
            <w:tcW w:w="20" w:type="dxa"/>
            <w:vAlign w:val="bottom"/>
            <w:tcBorders>
              <w:top w:val="single" w:sz="8" w:color="CCEEFF"/>
              <w:bottom w:val="single" w:sz="8" w:color="CCEEFF"/>
            </w:tcBorders>
            <w:shd w:val="clear" w:color="auto" w:fill="CCEEFF"/>
          </w:tcPr>
          <w:p>
            <w:pPr>
              <w:spacing w:after="0"/>
              <w:rPr>
                <w:sz w:val="6"/>
                <w:szCs w:val="6"/>
                <w:color w:val="auto"/>
              </w:rPr>
            </w:pP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100" w:type="dxa"/>
            <w:vAlign w:val="bottom"/>
            <w:tcBorders>
              <w:top w:val="single" w:sz="8" w:color="auto"/>
              <w:bottom w:val="single" w:sz="8" w:color="CCEEFF"/>
            </w:tcBorders>
            <w:shd w:val="clear" w:color="auto" w:fill="CCEEFF"/>
          </w:tcPr>
          <w:p>
            <w:pPr>
              <w:spacing w:after="0"/>
              <w:rPr>
                <w:sz w:val="6"/>
                <w:szCs w:val="6"/>
                <w:color w:val="auto"/>
              </w:rPr>
            </w:pPr>
          </w:p>
        </w:tc>
        <w:tc>
          <w:tcPr>
            <w:tcW w:w="840" w:type="dxa"/>
            <w:vAlign w:val="bottom"/>
            <w:tcBorders>
              <w:top w:val="single" w:sz="8" w:color="auto"/>
              <w:bottom w:val="single" w:sz="8" w:color="CCEEFF"/>
            </w:tcBorders>
            <w:shd w:val="clear" w:color="auto" w:fill="CCEEFF"/>
          </w:tcPr>
          <w:p>
            <w:pPr>
              <w:spacing w:after="0"/>
              <w:rPr>
                <w:sz w:val="6"/>
                <w:szCs w:val="6"/>
                <w:color w:val="auto"/>
              </w:rPr>
            </w:pPr>
          </w:p>
        </w:tc>
        <w:tc>
          <w:tcPr>
            <w:tcW w:w="60" w:type="dxa"/>
            <w:vAlign w:val="bottom"/>
            <w:tcBorders>
              <w:top w:val="single" w:sz="8" w:color="CCEEFF"/>
              <w:bottom w:val="single" w:sz="8" w:color="CCEEFF"/>
            </w:tcBorders>
            <w:shd w:val="clear" w:color="auto" w:fill="CCEEFF"/>
          </w:tcPr>
          <w:p>
            <w:pPr>
              <w:spacing w:after="0"/>
              <w:rPr>
                <w:sz w:val="6"/>
                <w:szCs w:val="6"/>
                <w:color w:val="auto"/>
              </w:rPr>
            </w:pPr>
          </w:p>
        </w:tc>
        <w:tc>
          <w:tcPr>
            <w:tcW w:w="620" w:type="dxa"/>
            <w:vAlign w:val="bottom"/>
            <w:tcBorders>
              <w:top w:val="single" w:sz="8" w:color="auto"/>
              <w:bottom w:val="single" w:sz="8" w:color="CCEEFF"/>
            </w:tcBorders>
            <w:shd w:val="clear" w:color="auto" w:fill="CCEEFF"/>
          </w:tcPr>
          <w:p>
            <w:pPr>
              <w:spacing w:after="0"/>
              <w:rPr>
                <w:sz w:val="6"/>
                <w:szCs w:val="6"/>
                <w:color w:val="auto"/>
              </w:rPr>
            </w:pP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20" w:type="dxa"/>
            <w:vAlign w:val="bottom"/>
            <w:tcBorders>
              <w:top w:val="single" w:sz="8" w:color="CCEEFF"/>
              <w:bottom w:val="single" w:sz="8" w:color="CCEEFF"/>
            </w:tcBorders>
            <w:shd w:val="clear" w:color="auto" w:fill="CCEEFF"/>
          </w:tcPr>
          <w:p>
            <w:pPr>
              <w:spacing w:after="0"/>
              <w:rPr>
                <w:sz w:val="6"/>
                <w:szCs w:val="6"/>
                <w:color w:val="auto"/>
              </w:rPr>
            </w:pPr>
          </w:p>
        </w:tc>
        <w:tc>
          <w:tcPr>
            <w:tcW w:w="100" w:type="dxa"/>
            <w:vAlign w:val="bottom"/>
            <w:tcBorders>
              <w:top w:val="single" w:sz="8" w:color="auto"/>
              <w:bottom w:val="single" w:sz="8" w:color="CCEEFF"/>
            </w:tcBorders>
            <w:shd w:val="clear" w:color="auto" w:fill="CCEEFF"/>
          </w:tcPr>
          <w:p>
            <w:pPr>
              <w:spacing w:after="0"/>
              <w:rPr>
                <w:sz w:val="6"/>
                <w:szCs w:val="6"/>
                <w:color w:val="auto"/>
              </w:rPr>
            </w:pPr>
          </w:p>
        </w:tc>
        <w:tc>
          <w:tcPr>
            <w:tcW w:w="520" w:type="dxa"/>
            <w:vAlign w:val="bottom"/>
            <w:tcBorders>
              <w:top w:val="single" w:sz="8" w:color="auto"/>
              <w:bottom w:val="single" w:sz="8" w:color="CCEEFF"/>
            </w:tcBorders>
            <w:shd w:val="clear" w:color="auto" w:fill="CCEEFF"/>
          </w:tcPr>
          <w:p>
            <w:pPr>
              <w:spacing w:after="0"/>
              <w:rPr>
                <w:sz w:val="6"/>
                <w:szCs w:val="6"/>
                <w:color w:val="auto"/>
              </w:rPr>
            </w:pPr>
          </w:p>
        </w:tc>
        <w:tc>
          <w:tcPr>
            <w:tcW w:w="40" w:type="dxa"/>
            <w:vAlign w:val="bottom"/>
            <w:tcBorders>
              <w:top w:val="single" w:sz="8" w:color="CCEEFF"/>
              <w:bottom w:val="single" w:sz="8" w:color="CCEEFF"/>
            </w:tcBorders>
            <w:shd w:val="clear" w:color="auto" w:fill="CCEEFF"/>
          </w:tcPr>
          <w:p>
            <w:pPr>
              <w:spacing w:after="0"/>
              <w:rPr>
                <w:sz w:val="6"/>
                <w:szCs w:val="6"/>
                <w:color w:val="auto"/>
              </w:rPr>
            </w:pPr>
          </w:p>
        </w:tc>
        <w:tc>
          <w:tcPr>
            <w:tcW w:w="20" w:type="dxa"/>
            <w:vAlign w:val="bottom"/>
            <w:tcBorders>
              <w:top w:val="single" w:sz="8" w:color="CCEEFF"/>
              <w:bottom w:val="single" w:sz="8" w:color="CCEEFF"/>
            </w:tcBorders>
            <w:shd w:val="clear" w:color="auto" w:fill="CCEEFF"/>
          </w:tcPr>
          <w:p>
            <w:pPr>
              <w:spacing w:after="0"/>
              <w:rPr>
                <w:sz w:val="6"/>
                <w:szCs w:val="6"/>
                <w:color w:val="auto"/>
              </w:rPr>
            </w:pPr>
          </w:p>
        </w:tc>
        <w:tc>
          <w:tcPr>
            <w:tcW w:w="120" w:type="dxa"/>
            <w:vAlign w:val="bottom"/>
            <w:tcBorders>
              <w:top w:val="single" w:sz="8" w:color="auto"/>
              <w:bottom w:val="single" w:sz="8" w:color="CCEEFF"/>
            </w:tcBorders>
            <w:shd w:val="clear" w:color="auto" w:fill="CCEEFF"/>
          </w:tcPr>
          <w:p>
            <w:pPr>
              <w:spacing w:after="0"/>
              <w:rPr>
                <w:sz w:val="6"/>
                <w:szCs w:val="6"/>
                <w:color w:val="auto"/>
              </w:rPr>
            </w:pPr>
          </w:p>
        </w:tc>
        <w:tc>
          <w:tcPr>
            <w:tcW w:w="800" w:type="dxa"/>
            <w:vAlign w:val="bottom"/>
            <w:tcBorders>
              <w:top w:val="single" w:sz="8" w:color="auto"/>
              <w:bottom w:val="single" w:sz="8" w:color="CCEEFF"/>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88"/>
        </w:trPr>
        <w:tc>
          <w:tcPr>
            <w:tcW w:w="20" w:type="dxa"/>
            <w:vAlign w:val="bottom"/>
          </w:tcPr>
          <w:p>
            <w:pPr>
              <w:spacing w:after="0"/>
              <w:rPr>
                <w:sz w:val="7"/>
                <w:szCs w:val="7"/>
                <w:color w:val="auto"/>
              </w:rPr>
            </w:pPr>
          </w:p>
        </w:tc>
        <w:tc>
          <w:tcPr>
            <w:tcW w:w="22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Balance, December 31, 2023</w:t>
            </w:r>
          </w:p>
        </w:tc>
        <w:tc>
          <w:tcPr>
            <w:tcW w:w="380" w:type="dxa"/>
            <w:vAlign w:val="bottom"/>
            <w:gridSpan w:val="2"/>
          </w:tcPr>
          <w:p>
            <w:pPr>
              <w:jc w:val="right"/>
              <w:ind w:right="36"/>
              <w:spacing w:after="0" w:line="8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6,896</w:t>
            </w:r>
          </w:p>
        </w:tc>
        <w:tc>
          <w:tcPr>
            <w:tcW w:w="60" w:type="dxa"/>
            <w:vAlign w:val="bottom"/>
          </w:tcPr>
          <w:p>
            <w:pPr>
              <w:spacing w:after="0"/>
              <w:rPr>
                <w:sz w:val="7"/>
                <w:szCs w:val="7"/>
                <w:color w:val="auto"/>
              </w:rPr>
            </w:pP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630,282</w:t>
            </w:r>
          </w:p>
        </w:tc>
        <w:tc>
          <w:tcPr>
            <w:tcW w:w="1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w:t>
            </w:r>
          </w:p>
        </w:tc>
        <w:tc>
          <w:tcPr>
            <w:tcW w:w="1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5,351</w:t>
            </w:r>
          </w:p>
        </w:tc>
        <w:tc>
          <w:tcPr>
            <w:tcW w:w="40" w:type="dxa"/>
            <w:vAlign w:val="bottom"/>
          </w:tcPr>
          <w:p>
            <w:pPr>
              <w:spacing w:after="0"/>
              <w:rPr>
                <w:sz w:val="7"/>
                <w:szCs w:val="7"/>
                <w:color w:val="auto"/>
              </w:rPr>
            </w:pPr>
          </w:p>
        </w:tc>
        <w:tc>
          <w:tcPr>
            <w:tcW w:w="100" w:type="dxa"/>
            <w:vAlign w:val="bottom"/>
            <w:gridSpan w:val="2"/>
          </w:tcPr>
          <w:p>
            <w:pPr>
              <w:jc w:val="right"/>
              <w:ind w:right="16"/>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14,334</w:t>
            </w:r>
          </w:p>
        </w:tc>
        <w:tc>
          <w:tcPr>
            <w:tcW w:w="20" w:type="dxa"/>
            <w:vAlign w:val="bottom"/>
          </w:tcPr>
          <w:p>
            <w:pPr>
              <w:spacing w:after="0"/>
              <w:rPr>
                <w:sz w:val="7"/>
                <w:szCs w:val="7"/>
                <w:color w:val="auto"/>
              </w:rPr>
            </w:pPr>
          </w:p>
        </w:tc>
        <w:tc>
          <w:tcPr>
            <w:tcW w:w="140" w:type="dxa"/>
            <w:vAlign w:val="bottom"/>
            <w:gridSpan w:val="2"/>
          </w:tcPr>
          <w:p>
            <w:pPr>
              <w:jc w:val="right"/>
              <w:ind w:right="36"/>
              <w:spacing w:after="0" w:line="8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60"/>
              <w:spacing w:after="0" w:line="88" w:lineRule="exact"/>
              <w:rPr>
                <w:sz w:val="20"/>
                <w:szCs w:val="20"/>
                <w:color w:val="auto"/>
              </w:rPr>
            </w:pPr>
            <w:r>
              <w:rPr>
                <w:rFonts w:ascii="Times New Roman" w:cs="Times New Roman" w:eastAsia="Times New Roman" w:hAnsi="Times New Roman"/>
                <w:sz w:val="10"/>
                <w:szCs w:val="10"/>
                <w:color w:val="auto"/>
              </w:rPr>
              <w:t>(37)</w:t>
            </w:r>
          </w:p>
        </w:tc>
        <w:tc>
          <w:tcPr>
            <w:tcW w:w="66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(228,827)</w:t>
            </w:r>
          </w:p>
        </w:tc>
        <w:tc>
          <w:tcPr>
            <w:tcW w:w="12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(12,751)</w:t>
            </w:r>
          </w:p>
        </w:tc>
        <w:tc>
          <w:tcPr>
            <w:tcW w:w="140" w:type="dxa"/>
            <w:vAlign w:val="bottom"/>
            <w:gridSpan w:val="2"/>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(7)</w:t>
            </w:r>
          </w:p>
        </w:tc>
        <w:tc>
          <w:tcPr>
            <w:tcW w:w="20" w:type="dxa"/>
            <w:vAlign w:val="bottom"/>
          </w:tcPr>
          <w:p>
            <w:pPr>
              <w:spacing w:after="0"/>
              <w:rPr>
                <w:sz w:val="7"/>
                <w:szCs w:val="7"/>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Consolidated net income</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707</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708</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 (loss), net of tax</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(23)</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(23)</w:t>
            </w:r>
          </w:p>
        </w:tc>
        <w:tc>
          <w:tcPr>
            <w:tcW w:w="6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dividends declared of $0.75 per common share</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(307)</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(307)</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transactions, net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51</w:t>
            </w:r>
          </w:p>
        </w:tc>
        <w:tc>
          <w:tcPr>
            <w:tcW w:w="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1,075</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Common stock repurchase program</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(253)</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(1,228)</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(263)</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Other, net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w:t>
            </w:r>
          </w:p>
        </w:tc>
        <w:tc>
          <w:tcPr>
            <w:tcW w:w="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w:t>
            </w:r>
          </w:p>
        </w:tc>
        <w:tc>
          <w:tcPr>
            <w:tcW w:w="2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2280" w:type="dxa"/>
            <w:vAlign w:val="bottom"/>
            <w:tcBorders>
              <w:top w:val="single" w:sz="8" w:color="CCEEFF"/>
              <w:bottom w:val="single" w:sz="8" w:color="CCEEFF"/>
            </w:tcBorders>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March 31, 2024</w:t>
            </w:r>
          </w:p>
        </w:tc>
        <w:tc>
          <w:tcPr>
            <w:tcW w:w="2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7,078</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630,282</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5,352</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14,738</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(60)</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(228,980)</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(12,954)</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w:t>
            </w:r>
          </w:p>
        </w:tc>
        <w:tc>
          <w:tcPr>
            <w:tcW w:w="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2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2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30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color w:val="auto"/>
              </w:rPr>
              <w:t>Balance, December 31, 2022</w:t>
            </w:r>
          </w:p>
        </w:tc>
        <w:tc>
          <w:tcPr>
            <w:tcW w:w="380" w:type="dxa"/>
            <w:vAlign w:val="bottom"/>
            <w:gridSpan w:val="2"/>
          </w:tcPr>
          <w:p>
            <w:pPr>
              <w:jc w:val="right"/>
              <w:ind w:right="36"/>
              <w:spacing w:after="0" w:line="8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6,864</w:t>
            </w:r>
          </w:p>
        </w:tc>
        <w:tc>
          <w:tcPr>
            <w:tcW w:w="60" w:type="dxa"/>
            <w:vAlign w:val="bottom"/>
          </w:tcPr>
          <w:p>
            <w:pPr>
              <w:spacing w:after="0"/>
              <w:rPr>
                <w:sz w:val="7"/>
                <w:szCs w:val="7"/>
                <w:color w:val="auto"/>
              </w:rPr>
            </w:pP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630,282</w:t>
            </w:r>
          </w:p>
        </w:tc>
        <w:tc>
          <w:tcPr>
            <w:tcW w:w="1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6</w:t>
            </w:r>
          </w:p>
        </w:tc>
        <w:tc>
          <w:tcPr>
            <w:tcW w:w="14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5,314</w:t>
            </w:r>
          </w:p>
        </w:tc>
        <w:tc>
          <w:tcPr>
            <w:tcW w:w="40" w:type="dxa"/>
            <w:vAlign w:val="bottom"/>
          </w:tcPr>
          <w:p>
            <w:pPr>
              <w:spacing w:after="0"/>
              <w:rPr>
                <w:sz w:val="7"/>
                <w:szCs w:val="7"/>
                <w:color w:val="auto"/>
              </w:rPr>
            </w:pPr>
          </w:p>
        </w:tc>
        <w:tc>
          <w:tcPr>
            <w:tcW w:w="100" w:type="dxa"/>
            <w:vAlign w:val="bottom"/>
            <w:gridSpan w:val="2"/>
          </w:tcPr>
          <w:p>
            <w:pPr>
              <w:jc w:val="right"/>
              <w:ind w:right="16"/>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13,167</w:t>
            </w:r>
          </w:p>
        </w:tc>
        <w:tc>
          <w:tcPr>
            <w:tcW w:w="20" w:type="dxa"/>
            <w:vAlign w:val="bottom"/>
          </w:tcPr>
          <w:p>
            <w:pPr>
              <w:spacing w:after="0"/>
              <w:rPr>
                <w:sz w:val="7"/>
                <w:szCs w:val="7"/>
                <w:color w:val="auto"/>
              </w:rPr>
            </w:pPr>
          </w:p>
        </w:tc>
        <w:tc>
          <w:tcPr>
            <w:tcW w:w="140" w:type="dxa"/>
            <w:vAlign w:val="bottom"/>
            <w:gridSpan w:val="2"/>
          </w:tcPr>
          <w:p>
            <w:pPr>
              <w:jc w:val="right"/>
              <w:ind w:right="36"/>
              <w:spacing w:after="0" w:line="8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60"/>
              <w:spacing w:after="0" w:line="88" w:lineRule="exact"/>
              <w:rPr>
                <w:sz w:val="20"/>
                <w:szCs w:val="20"/>
                <w:color w:val="auto"/>
              </w:rPr>
            </w:pPr>
            <w:r>
              <w:rPr>
                <w:rFonts w:ascii="Times New Roman" w:cs="Times New Roman" w:eastAsia="Times New Roman" w:hAnsi="Times New Roman"/>
                <w:sz w:val="10"/>
                <w:szCs w:val="10"/>
                <w:color w:val="auto"/>
              </w:rPr>
              <w:t>(69)</w:t>
            </w:r>
          </w:p>
        </w:tc>
        <w:tc>
          <w:tcPr>
            <w:tcW w:w="66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(222,396)</w:t>
            </w:r>
          </w:p>
        </w:tc>
        <w:tc>
          <w:tcPr>
            <w:tcW w:w="12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(11,569)</w:t>
            </w:r>
          </w:p>
        </w:tc>
        <w:tc>
          <w:tcPr>
            <w:tcW w:w="140" w:type="dxa"/>
            <w:vAlign w:val="bottom"/>
            <w:gridSpan w:val="2"/>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15</w:t>
            </w:r>
          </w:p>
        </w:tc>
        <w:tc>
          <w:tcPr>
            <w:tcW w:w="20" w:type="dxa"/>
            <w:vAlign w:val="bottom"/>
          </w:tcPr>
          <w:p>
            <w:pPr>
              <w:spacing w:after="0"/>
              <w:rPr>
                <w:sz w:val="7"/>
                <w:szCs w:val="7"/>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Consolidated net income</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532</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533</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 (loss), net of tax</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w:t>
            </w:r>
          </w:p>
        </w:tc>
        <w:tc>
          <w:tcPr>
            <w:tcW w:w="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w:t>
            </w:r>
          </w:p>
        </w:tc>
        <w:tc>
          <w:tcPr>
            <w:tcW w:w="60" w:type="dxa"/>
            <w:vAlign w:val="bottom"/>
          </w:tcPr>
          <w:p>
            <w:pPr>
              <w:spacing w:after="0"/>
              <w:rPr>
                <w:sz w:val="8"/>
                <w:szCs w:val="8"/>
                <w:color w:val="auto"/>
              </w:rPr>
            </w:pPr>
          </w:p>
        </w:tc>
        <w:tc>
          <w:tcPr>
            <w:tcW w:w="6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dividends declared of $0.70 per common share</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(289)</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(289)</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Equity-based compensation transactions, net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42</w:t>
            </w:r>
          </w:p>
        </w:tc>
        <w:tc>
          <w:tcPr>
            <w:tcW w:w="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766</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Common stock repurchase program</w:t>
            </w: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(353)</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(70)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(1,862)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(283)</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23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Other, net</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2280" w:type="dxa"/>
            <w:vAlign w:val="bottom"/>
            <w:tcBorders>
              <w:top w:val="single" w:sz="8" w:color="CCEEFF"/>
              <w:bottom w:val="single" w:sz="8" w:color="CCEEFF"/>
            </w:tcBorders>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Balance, March 31, 2023</w:t>
            </w:r>
          </w:p>
        </w:tc>
        <w:tc>
          <w:tcPr>
            <w:tcW w:w="2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6,808</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630,282</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5,244</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13,414</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(57)</w:t>
            </w: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(223,491)</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(11,813)</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14</w:t>
            </w:r>
          </w:p>
        </w:tc>
        <w:tc>
          <w:tcPr>
            <w:tcW w:w="20" w:type="dxa"/>
            <w:vAlign w:val="bottom"/>
          </w:tcPr>
          <w:p>
            <w:pPr>
              <w:spacing w:after="0"/>
              <w:rPr>
                <w:sz w:val="8"/>
                <w:szCs w:val="8"/>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79" w:lineRule="exact"/>
        <w:rPr>
          <w:sz w:val="20"/>
          <w:szCs w:val="20"/>
          <w:color w:val="auto"/>
        </w:rPr>
      </w:pPr>
    </w:p>
    <w:p>
      <w:pPr>
        <w:ind w:left="240" w:hanging="218"/>
        <w:spacing w:after="0"/>
        <w:tabs>
          <w:tab w:leader="none" w:pos="24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11.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25"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business is operated and managed locally by our subsidiaries that focus on distinct geographic areas and provide collection, transfer, disposal, and recycling and resource recovery services. Through our subsidiaries including Waste Management Renewable Energy (“WM Renewable Energy”) business,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25"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 along with certain ancillary services (“Other Ancillary”) not managed through our Tier segments, but that support our collection and disposal operations, form our “Collection and Disposal” businesses. We also provide additional services not managed through our four reportable segments, which are presented as Corporate and Other. Refer to Note 7 for further discussion.</w:t>
      </w:r>
    </w:p>
    <w:p>
      <w:pPr>
        <w:spacing w:after="0" w:line="122" w:lineRule="exact"/>
        <w:rPr>
          <w:sz w:val="20"/>
          <w:szCs w:val="20"/>
          <w:color w:val="auto"/>
        </w:rPr>
      </w:pPr>
    </w:p>
    <w:p>
      <w:pPr>
        <w:jc w:val="both"/>
        <w:ind w:left="20" w:right="39" w:firstLine="216"/>
        <w:spacing w:after="0" w:line="291" w:lineRule="auto"/>
        <w:rPr>
          <w:sz w:val="20"/>
          <w:szCs w:val="20"/>
          <w:color w:val="auto"/>
        </w:rPr>
      </w:pPr>
      <w:r>
        <w:rPr>
          <w:rFonts w:ascii="Times New Roman" w:cs="Times New Roman" w:eastAsia="Times New Roman" w:hAnsi="Times New Roman"/>
          <w:sz w:val="11"/>
          <w:szCs w:val="11"/>
          <w:color w:val="auto"/>
        </w:rPr>
        <w:t>The Condensed Consolidated Financial Statements as of March 31, 2024 and for the three months ended March 31, 2024 and 2023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2023.</w:t>
      </w:r>
    </w:p>
    <w:p>
      <w:pPr>
        <w:spacing w:after="0" w:line="107"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54" w:lineRule="exact"/>
        <w:rPr>
          <w:sz w:val="20"/>
          <w:szCs w:val="20"/>
          <w:color w:val="auto"/>
        </w:rPr>
      </w:pPr>
    </w:p>
    <w:p>
      <w:pPr>
        <w:jc w:val="both"/>
        <w:ind w:left="20" w:right="39" w:firstLine="216"/>
        <w:spacing w:after="0" w:line="259" w:lineRule="auto"/>
        <w:rPr>
          <w:sz w:val="20"/>
          <w:szCs w:val="20"/>
          <w:color w:val="auto"/>
        </w:rPr>
      </w:pPr>
      <w:r>
        <w:rPr>
          <w:rFonts w:ascii="Times New Roman" w:cs="Times New Roman" w:eastAsia="Times New Roman" w:hAnsi="Times New Roman"/>
          <w:sz w:val="12"/>
          <w:szCs w:val="12"/>
          <w:color w:val="auto"/>
        </w:rPr>
        <w:t>We generally recognize revenue as services are performed or products are delivered. For example, revenue typically is recognized as waste is collected, tons are received at our landfills or transfer stations, or recycling and other commodities,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323850</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such as RNG, electricity and capacity, Renewable Identification Numbers (“RINs”) and Renewable Energy Credits (“RECs”), are sold.</w:t>
      </w:r>
    </w:p>
    <w:p>
      <w:pPr>
        <w:spacing w:after="0" w:line="150"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Contract Acquisition Costs</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March 31, 2024 and December 31, 2023, we had $209 million and $207 million, respectively, of deferred contract costs, of which $150 million and $148 million, respectively, were related to deferred sales incentives.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Concentrations of Credit Risk</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Reclassifications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When necessary, reclassifications have been made to our prior period financial information to conform to the current year presentation and are not material to our consolidated financial statements.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0" w:lineRule="exact"/>
        <w:rPr>
          <w:sz w:val="20"/>
          <w:szCs w:val="20"/>
          <w:color w:val="auto"/>
        </w:rPr>
      </w:pPr>
    </w:p>
    <w:p>
      <w:pPr>
        <w:ind w:left="240" w:hanging="218"/>
        <w:spacing w:after="0"/>
        <w:tabs>
          <w:tab w:leader="none" w:pos="24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Landfill and Environmental Remediation Liabilities</w:t>
      </w:r>
    </w:p>
    <w:p>
      <w:pPr>
        <w:spacing w:after="0" w:line="154" w:lineRule="exact"/>
        <w:rPr>
          <w:rFonts w:ascii="Times New Roman" w:cs="Times New Roman" w:eastAsia="Times New Roman" w:hAnsi="Times New Roman"/>
          <w:sz w:val="12"/>
          <w:szCs w:val="12"/>
          <w:b w:val="1"/>
          <w:bCs w:val="1"/>
          <w:color w:val="auto"/>
        </w:rPr>
      </w:pPr>
    </w:p>
    <w:p>
      <w:pPr>
        <w:ind w:left="2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Liabilities for landfill and environmental remediation costs are presented in the table below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March 31, 2024</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100" w:type="dxa"/>
            <w:vAlign w:val="bottom"/>
          </w:tcPr>
          <w:p>
            <w:pPr>
              <w:spacing w:after="0"/>
              <w:rPr>
                <w:sz w:val="6"/>
                <w:szCs w:val="6"/>
                <w:color w:val="auto"/>
              </w:rPr>
            </w:pPr>
          </w:p>
        </w:tc>
        <w:tc>
          <w:tcPr>
            <w:tcW w:w="98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Environmental</w:t>
            </w:r>
          </w:p>
        </w:tc>
        <w:tc>
          <w:tcPr>
            <w:tcW w:w="160" w:type="dxa"/>
            <w:vAlign w:val="bottom"/>
          </w:tcPr>
          <w:p>
            <w:pPr>
              <w:spacing w:after="0"/>
              <w:rPr>
                <w:sz w:val="6"/>
                <w:szCs w:val="6"/>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80" w:type="dxa"/>
            <w:vAlign w:val="bottom"/>
          </w:tcPr>
          <w:p>
            <w:pPr>
              <w:spacing w:after="0"/>
              <w:rPr>
                <w:sz w:val="6"/>
                <w:szCs w:val="6"/>
                <w:color w:val="auto"/>
              </w:rPr>
            </w:pPr>
          </w:p>
        </w:tc>
        <w:tc>
          <w:tcPr>
            <w:tcW w:w="102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8"/>
                <w:szCs w:val="8"/>
                <w:b w:val="1"/>
                <w:bCs w:val="1"/>
                <w:color w:val="auto"/>
              </w:rPr>
              <w:t>Environmental</w:t>
            </w:r>
          </w:p>
        </w:tc>
        <w:tc>
          <w:tcPr>
            <w:tcW w:w="160" w:type="dxa"/>
            <w:vAlign w:val="bottom"/>
          </w:tcPr>
          <w:p>
            <w:pPr>
              <w:spacing w:after="0"/>
              <w:rPr>
                <w:sz w:val="6"/>
                <w:szCs w:val="6"/>
                <w:color w:val="auto"/>
              </w:rPr>
            </w:pPr>
          </w:p>
        </w:tc>
        <w:tc>
          <w:tcPr>
            <w:tcW w:w="560" w:type="dxa"/>
            <w:vAlign w:val="bottom"/>
            <w:vMerge w:val="restart"/>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Remediation</w:t>
            </w:r>
          </w:p>
        </w:tc>
        <w:tc>
          <w:tcPr>
            <w:tcW w:w="1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Remediation</w:t>
            </w: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(in accrued liabilities)</w:t>
            </w: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Long-term</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2,888</w:t>
            </w:r>
          </w:p>
        </w:tc>
        <w:tc>
          <w:tcPr>
            <w:tcW w:w="0" w:type="dxa"/>
            <w:vAlign w:val="bottom"/>
          </w:tcPr>
          <w:p>
            <w:pPr>
              <w:spacing w:after="0"/>
              <w:rPr>
                <w:sz w:val="1"/>
                <w:szCs w:val="1"/>
                <w:color w:val="auto"/>
              </w:rPr>
            </w:pPr>
          </w:p>
        </w:tc>
      </w:tr>
      <w:tr>
        <w:trPr>
          <w:trHeight w:val="140"/>
        </w:trPr>
        <w:tc>
          <w:tcPr>
            <w:tcW w:w="3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2,875</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3,086</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2,853</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3,062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changes to landfill and environmental remediation liabilities for the three months ended March 31, 2024 are reflected in the table below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Environmental</w:t>
            </w:r>
          </w:p>
        </w:tc>
        <w:tc>
          <w:tcPr>
            <w:tcW w:w="0" w:type="dxa"/>
            <w:vAlign w:val="bottom"/>
          </w:tcPr>
          <w:p>
            <w:pPr>
              <w:spacing w:after="0"/>
              <w:rPr>
                <w:sz w:val="1"/>
                <w:szCs w:val="1"/>
                <w:color w:val="auto"/>
              </w:rPr>
            </w:pPr>
          </w:p>
        </w:tc>
      </w:tr>
      <w:tr>
        <w:trPr>
          <w:trHeight w:val="115"/>
        </w:trPr>
        <w:tc>
          <w:tcPr>
            <w:tcW w:w="6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0" w:type="dxa"/>
            <w:vAlign w:val="bottom"/>
          </w:tcPr>
          <w:p>
            <w:pPr>
              <w:spacing w:after="0"/>
              <w:rPr>
                <w:sz w:val="1"/>
                <w:szCs w:val="1"/>
                <w:color w:val="auto"/>
              </w:rPr>
            </w:pPr>
          </w:p>
        </w:tc>
      </w:tr>
      <w:tr>
        <w:trPr>
          <w:trHeight w:val="133"/>
        </w:trPr>
        <w:tc>
          <w:tcPr>
            <w:tcW w:w="69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December 31, 2023</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w:t>
            </w:r>
          </w:p>
        </w:tc>
        <w:tc>
          <w:tcPr>
            <w:tcW w:w="0" w:type="dxa"/>
            <w:vAlign w:val="bottom"/>
          </w:tcPr>
          <w:p>
            <w:pPr>
              <w:spacing w:after="0"/>
              <w:rPr>
                <w:sz w:val="1"/>
                <w:szCs w:val="1"/>
                <w:color w:val="auto"/>
              </w:rPr>
            </w:pPr>
          </w:p>
        </w:tc>
      </w:tr>
      <w:tr>
        <w:trPr>
          <w:trHeight w:val="144"/>
        </w:trPr>
        <w:tc>
          <w:tcPr>
            <w:tcW w:w="6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Obligations incurred and capitalized</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Obligations settled</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4"/>
        </w:trPr>
        <w:tc>
          <w:tcPr>
            <w:tcW w:w="6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accretion</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Revisions in estimates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44"/>
        </w:trPr>
        <w:tc>
          <w:tcPr>
            <w:tcW w:w="6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divestitures and other adjustments</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69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March 31, 2024</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11 for additional information related to these trusts.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0" w:lineRule="exact"/>
        <w:rPr>
          <w:sz w:val="20"/>
          <w:szCs w:val="20"/>
          <w:color w:val="auto"/>
        </w:rPr>
      </w:pPr>
    </w:p>
    <w:p>
      <w:pPr>
        <w:ind w:left="240" w:hanging="218"/>
        <w:spacing w:after="0"/>
        <w:tabs>
          <w:tab w:leader="none" w:pos="240"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Debt</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major components of debt at principal amounts as of each balance sheet date (in millions) and provides the maturities and interest rate ranges of each major category as of March 31, 2024:</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20" w:type="dxa"/>
            <w:vAlign w:val="bottom"/>
          </w:tcPr>
          <w:p>
            <w:pPr>
              <w:spacing w:after="0"/>
              <w:rPr>
                <w:sz w:val="10"/>
                <w:szCs w:val="10"/>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2240" w:type="dxa"/>
            <w:vAlign w:val="bottom"/>
            <w:tcBorders>
              <w:bottom w:val="single" w:sz="8" w:color="CCEEFF"/>
            </w:tcBorders>
          </w:tcPr>
          <w:p>
            <w:pPr>
              <w:spacing w:after="0"/>
              <w:rPr>
                <w:sz w:val="10"/>
                <w:szCs w:val="10"/>
                <w:color w:val="auto"/>
              </w:rPr>
            </w:pPr>
          </w:p>
        </w:tc>
        <w:tc>
          <w:tcPr>
            <w:tcW w:w="47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6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Commercial paper program (weighted average interest rate of 5.5% as of March 31, 2024 and 5.6% as of December 31, 2023)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860</w:t>
            </w:r>
          </w:p>
        </w:tc>
      </w:tr>
      <w:tr>
        <w:trPr>
          <w:trHeight w:val="133"/>
        </w:trPr>
        <w:tc>
          <w:tcPr>
            <w:tcW w:w="69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Senior notes, maturing through 2050, interest rates ranging from 0.75% to 7.75% (weighted average interest rate of 3.7% as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5"/>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March 31, 2024 and 3.7% as of December 31, 2023)</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11,376</w:t>
            </w: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Canadian senior notes, C$500 million maturing September 2026, interest rate of 2.6%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w:t>
            </w:r>
          </w:p>
        </w:tc>
      </w:tr>
      <w:tr>
        <w:trPr>
          <w:trHeight w:val="133"/>
        </w:trPr>
        <w:tc>
          <w:tcPr>
            <w:tcW w:w="69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Tax-exempt bonds, maturing through 2053, fixed and variable interest rates ranging from 0.55% to 5.0% (weighted average interest rate of</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5"/>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 as of March 31, 2024 and 3.3% as of December 31, 2023)</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2,883</w:t>
            </w:r>
          </w:p>
        </w:tc>
      </w:tr>
      <w:tr>
        <w:trPr>
          <w:trHeight w:val="133"/>
        </w:trPr>
        <w:tc>
          <w:tcPr>
            <w:tcW w:w="6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Financing leases and other, maturing through 2082 (weighted average interest rate of 4.9% as of March 31, 2024 and 5.0% as of December</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5"/>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31, 2023) (a)</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w:t>
            </w: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issuance costs, discounts and other</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(118)</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33"/>
        </w:trPr>
        <w:tc>
          <w:tcPr>
            <w:tcW w:w="2240" w:type="dxa"/>
            <w:vAlign w:val="bottom"/>
            <w:tcBorders>
              <w:top w:val="single" w:sz="8" w:color="CCEEFF"/>
            </w:tcBorders>
            <w:shd w:val="clear" w:color="auto" w:fill="CCEEFF"/>
          </w:tcPr>
          <w:p>
            <w:pPr>
              <w:spacing w:after="0"/>
              <w:rPr>
                <w:sz w:val="11"/>
                <w:szCs w:val="11"/>
                <w:color w:val="auto"/>
              </w:rPr>
            </w:pPr>
          </w:p>
        </w:tc>
        <w:tc>
          <w:tcPr>
            <w:tcW w:w="47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16,098</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16,229</w:t>
            </w:r>
          </w:p>
        </w:tc>
      </w:tr>
      <w:tr>
        <w:trPr>
          <w:trHeight w:val="144"/>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w:t>
            </w:r>
          </w:p>
        </w:tc>
      </w:tr>
      <w:tr>
        <w:trPr>
          <w:trHeight w:val="140"/>
        </w:trPr>
        <w:tc>
          <w:tcPr>
            <w:tcW w:w="69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Long-term debt, less current portion</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15,895</w:t>
            </w:r>
          </w:p>
        </w:tc>
      </w:tr>
      <w:tr>
        <w:trPr>
          <w:trHeight w:val="72"/>
        </w:trPr>
        <w:tc>
          <w:tcPr>
            <w:tcW w:w="2240" w:type="dxa"/>
            <w:vAlign w:val="bottom"/>
            <w:tcBorders>
              <w:bottom w:val="single" w:sz="8" w:color="auto"/>
            </w:tcBorders>
          </w:tcPr>
          <w:p>
            <w:pPr>
              <w:spacing w:after="0"/>
              <w:rPr>
                <w:sz w:val="6"/>
                <w:szCs w:val="6"/>
                <w:color w:val="auto"/>
              </w:rPr>
            </w:pPr>
          </w:p>
        </w:tc>
        <w:tc>
          <w:tcPr>
            <w:tcW w:w="4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r>
    </w:tbl>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  Excluding our landfill financing leases, the maturities of our financing leases and other debt obligations extend through 2059.</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Debt Classification</w:t>
      </w:r>
    </w:p>
    <w:p>
      <w:pPr>
        <w:spacing w:after="0" w:line="154"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As of March 31, 2024, we had approximately $3.1 billion of debt maturing within the next 12 months, including (i) $750 million of short-term borrowings under our commercial paper program (net of related discount on issuance); (ii) $1.6 billion of tax-exempt bonds with term interest rate periods that expire within the next 12 months, which is prior to their scheduled maturities; (iii) $156 million of 3.5% senior notes that mature in May 2024; (iv) $422 million of 3.125% senior notes that mature in March 2025 and (v) $180 million of other debt with scheduled maturities within the next 12 months, including $60 million of tax-exempt bonds. As of March 31, 2024, we have classified $2.8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$336 million of debt maturing in the next 12 months is classified as current obligations.</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Access to and Utilization of Credit Facilities and Commercial Paper Program</w:t>
      </w:r>
    </w:p>
    <w:p>
      <w:pPr>
        <w:spacing w:after="0" w:line="152"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$3.5 Billion Revolving Credit Facility — </w:t>
      </w:r>
      <w:r>
        <w:rPr>
          <w:rFonts w:ascii="Times New Roman" w:cs="Times New Roman" w:eastAsia="Times New Roman" w:hAnsi="Times New Roman"/>
          <w:sz w:val="12"/>
          <w:szCs w:val="12"/>
          <w:color w:val="auto"/>
        </w:rPr>
        <w:t>Our $3.5 billion revolving credit facility, maturing May 2027, provides us with credit capacity to be used for cash borrowings, to support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letters of credit and to support our commercial paper program. The interest rates we pay on outstanding U.S. or Canadian loans are based on the Secured Overnight Financing Rate (“SOFR”) administered by the Federal Reserve Bank of New York or the Canadian Dollar Offered Rate (“CDOR”), respectively, plus a spread depending on WMI’s senior public debt rating assigned by Moody’s Investors Service, Inc. and Standard and Poor’s Global Ratings. As of March 31, 2024, we had no outstanding borrowings under this facility. We had $181 million of letters of credit issued and $750 million of outstanding borrowings (net of related discount on issuance) under our commercial paper program, both supported by the facility, leaving unused and available credit capacity of $2.6 billion as of March 31, 2024. WM Holdings, a wholly-owned subsidiary of WMI, guarantees all of the obligations under the $3.5 billion revolving credit facility.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2"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Commercial Paper Program </w:t>
      </w:r>
      <w:r>
        <w:rPr>
          <w:rFonts w:ascii="Times New Roman" w:cs="Times New Roman" w:eastAsia="Times New Roman" w:hAnsi="Times New Roman"/>
          <w:sz w:val="12"/>
          <w:szCs w:val="12"/>
          <w:color w:val="auto"/>
        </w:rPr>
        <w:t>— We have a commercial paper program that enables us to borrow funds for up to 397 days at competitive interest rates. The rates we pay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outstanding borrowings are based on the term of the notes. The commercial paper program is fully supported by our $3.5 billion revolving credit facility. As of March 31, 2024, we had $750 million of outstanding borrowings (net of related discount on issuance) under our commercial paper program.</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Other Letter of Credit Lines — </w:t>
      </w:r>
      <w:r>
        <w:rPr>
          <w:rFonts w:ascii="Times New Roman" w:cs="Times New Roman" w:eastAsia="Times New Roman" w:hAnsi="Times New Roman"/>
          <w:sz w:val="12"/>
          <w:szCs w:val="12"/>
          <w:color w:val="auto"/>
        </w:rPr>
        <w:t>As of March 31, 2024, we had utilized $846 million of other uncommitted letter of credit lines, with terms maturing through December 2027.</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Debt Borrowings and Repayments</w:t>
      </w:r>
    </w:p>
    <w:p>
      <w:pPr>
        <w:spacing w:after="0" w:line="152"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Commercial Paper Program — </w:t>
      </w:r>
      <w:r>
        <w:rPr>
          <w:rFonts w:ascii="Times New Roman" w:cs="Times New Roman" w:eastAsia="Times New Roman" w:hAnsi="Times New Roman"/>
          <w:sz w:val="12"/>
          <w:szCs w:val="12"/>
          <w:color w:val="auto"/>
        </w:rPr>
        <w:t>During the three months ended March 31, 2024, we made cash repayments of $4.5 billion, which were partially offset by $4.4 billion of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borrowings (net of related discount on issuance).</w:t>
      </w:r>
    </w:p>
    <w:p>
      <w:pPr>
        <w:spacing w:after="0" w:line="10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Financing Leases and Other </w:t>
      </w:r>
      <w:r>
        <w:rPr>
          <w:rFonts w:ascii="Times New Roman" w:cs="Times New Roman" w:eastAsia="Times New Roman" w:hAnsi="Times New Roman"/>
          <w:sz w:val="12"/>
          <w:szCs w:val="12"/>
          <w:color w:val="auto"/>
        </w:rPr>
        <w:t>— The decrease in our financing leases and other debt obligations during the three months ended March 31, 2024 is due to $42 million of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repayments at debt maturity, partially offset by an increase of $25 million primarily related to non-cash financing leases.</w:t>
      </w:r>
    </w:p>
    <w:p>
      <w:pPr>
        <w:spacing w:after="0" w:line="105" w:lineRule="exact"/>
        <w:rPr>
          <w:sz w:val="20"/>
          <w:szCs w:val="20"/>
          <w:color w:val="auto"/>
        </w:rPr>
      </w:pPr>
    </w:p>
    <w:p>
      <w:pPr>
        <w:ind w:left="240" w:hanging="218"/>
        <w:spacing w:after="0"/>
        <w:tabs>
          <w:tab w:leader="none" w:pos="24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effective income tax rate was 18.6% and 23.6% for the three months ended March 31, 2024 and 2023, respectively. The decrease in our effective income tax rate when comparing the three months ended March 31, 2024 and 2023 was primarily driven by (i) an increase in federal tax credits and (ii) an increase in the excess tax benefits associated with equity-based compensation; partially offset by an increase in pre-tax income in the current period. We evaluate our effective income tax rate at each interim period and adjust it as facts and circumstances warrant.</w: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Investments Qualifying for Federal Tax Credits</w:t>
      </w:r>
    </w:p>
    <w:p>
      <w:pPr>
        <w:spacing w:after="0" w:line="152"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Renewable Natural Gas </w:t>
      </w:r>
      <w:r>
        <w:rPr>
          <w:rFonts w:ascii="Times New Roman" w:cs="Times New Roman" w:eastAsia="Times New Roman" w:hAnsi="Times New Roman"/>
          <w:sz w:val="12"/>
          <w:szCs w:val="12"/>
          <w:color w:val="auto"/>
        </w:rPr>
        <w:t>— Through our subsidiaries including our WM Renewable Energy segment, we have invested in building landfill gas-to-energy facilities in the U.S.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Canada that produce renewable electricity and RNG. We expect our new RNG facilities to qualify for federal tax credits and to realize those credits through 2027 under Sections 48 and 45Z of the Internal Revenue Code.</w:t>
      </w:r>
    </w:p>
    <w:p>
      <w:pPr>
        <w:spacing w:after="0" w:line="119"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2024 and 2023, we recognized a reduction in our income tax expense of $37 million and $2 million, respectively due to federal tax credits expected to be realized from our RNG investments.</w:t>
      </w:r>
    </w:p>
    <w:p>
      <w:pPr>
        <w:spacing w:after="0" w:line="109"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Low-Income Housing </w:t>
      </w:r>
      <w:r>
        <w:rPr>
          <w:rFonts w:ascii="Times New Roman" w:cs="Times New Roman" w:eastAsia="Times New Roman" w:hAnsi="Times New Roman"/>
          <w:sz w:val="12"/>
          <w:szCs w:val="12"/>
          <w:color w:val="auto"/>
        </w:rPr>
        <w:t>— We have significant financial interests in entities established to invest in and manage low-income housing properties. We support the operations of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entities in exchange for a pro-rata share of the tax credits they generate. The low-income housing investments qualify for federal tax credits that we expect to realize through 2033 under Section 42 or Section 45D of the Internal Revenue Code.</w:t>
      </w:r>
    </w:p>
    <w:p>
      <w:pPr>
        <w:spacing w:after="0" w:line="119"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11"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During the three months ended March 31, 2024 and 2023, we recognized $20 million and $13 million of net losses, respectively, and a reduction in our income tax expense of $28 million and $22 million, respectively, primarily due to federal tax credits realized from these investments as well as the tax benefits from the pre-tax losses realized. In addition, during the three months ended March 31, 2024 and 2023, we recognized interest expense of $6 million and $4 million, respectively, associated with our investments in low-income housing properties. See Note 11 for additional information related to these unconsolidated variable interest entities.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2" w:lineRule="exact"/>
        <w:rPr>
          <w:sz w:val="20"/>
          <w:szCs w:val="20"/>
          <w:color w:val="auto"/>
        </w:rPr>
      </w:pPr>
    </w:p>
    <w:p>
      <w:pPr>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Equity-Based Compensation </w:t>
      </w:r>
      <w:r>
        <w:rPr>
          <w:rFonts w:ascii="Times New Roman" w:cs="Times New Roman" w:eastAsia="Times New Roman" w:hAnsi="Times New Roman"/>
          <w:sz w:val="12"/>
          <w:szCs w:val="12"/>
          <w:color w:val="auto"/>
        </w:rPr>
        <w:t>— During the three months ended March 31, 2024 and 2023, we recognized a reduction in our income tax expense of $21 million and $7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respectively, for excess tax benefits related to the vesting or exercise of equity-based compensation awards.</w:t>
      </w:r>
    </w:p>
    <w:p>
      <w:pPr>
        <w:spacing w:after="0" w:line="105" w:lineRule="exact"/>
        <w:rPr>
          <w:sz w:val="20"/>
          <w:szCs w:val="20"/>
          <w:color w:val="auto"/>
        </w:rPr>
      </w:pPr>
    </w:p>
    <w:p>
      <w:pPr>
        <w:ind w:left="240" w:hanging="218"/>
        <w:spacing w:after="0"/>
        <w:tabs>
          <w:tab w:leader="none" w:pos="240"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Earnings Per Share</w:t>
      </w:r>
    </w:p>
    <w:p>
      <w:pPr>
        <w:spacing w:after="0" w:line="154" w:lineRule="exact"/>
        <w:rPr>
          <w:rFonts w:ascii="Times New Roman" w:cs="Times New Roman" w:eastAsia="Times New Roman" w:hAnsi="Times New Roman"/>
          <w:sz w:val="12"/>
          <w:szCs w:val="12"/>
          <w:b w:val="1"/>
          <w:bCs w:val="1"/>
          <w:color w:val="auto"/>
        </w:rPr>
      </w:pPr>
    </w:p>
    <w:p>
      <w:pPr>
        <w:ind w:left="2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Basic and diluted earnings per share for the three months ended March 31 were computed using the following common share data (shares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29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10"/>
                <w:szCs w:val="10"/>
                <w:color w:val="auto"/>
              </w:rPr>
            </w:pPr>
          </w:p>
        </w:tc>
        <w:tc>
          <w:tcPr>
            <w:tcW w:w="76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5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Number of common shares outstanding at end of period</w:t>
            </w:r>
          </w:p>
        </w:tc>
        <w:tc>
          <w:tcPr>
            <w:tcW w:w="2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401.3</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406.8</w:t>
            </w:r>
          </w:p>
        </w:tc>
      </w:tr>
      <w:tr>
        <w:trPr>
          <w:trHeight w:val="144"/>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using weighted average common shares outstanding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33"/>
        </w:trPr>
        <w:tc>
          <w:tcPr>
            <w:tcW w:w="5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 average basic common shares outstanding</w:t>
            </w:r>
          </w:p>
        </w:tc>
        <w:tc>
          <w:tcPr>
            <w:tcW w:w="2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401.7</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407.4</w:t>
            </w:r>
          </w:p>
        </w:tc>
      </w:tr>
      <w:tr>
        <w:trPr>
          <w:trHeight w:val="144"/>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Dilutive effect of equity-based compensation awards and other contingently issuable shares</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5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Weighted average diluted common shares outstanding</w:t>
            </w:r>
          </w:p>
        </w:tc>
        <w:tc>
          <w:tcPr>
            <w:tcW w:w="21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409.0</w:t>
            </w:r>
          </w:p>
        </w:tc>
      </w:tr>
      <w:tr>
        <w:trPr>
          <w:trHeight w:val="131"/>
        </w:trPr>
        <w:tc>
          <w:tcPr>
            <w:tcW w:w="50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Potentially issuable shares</w:t>
            </w:r>
          </w:p>
        </w:tc>
        <w:tc>
          <w:tcPr>
            <w:tcW w:w="21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5.6</w:t>
            </w:r>
          </w:p>
        </w:tc>
      </w:tr>
      <w:tr>
        <w:trPr>
          <w:trHeight w:val="14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anti-dilutive potentially issuable shares excluded from diluted common shares outstanding</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288"/>
        </w:trPr>
        <w:tc>
          <w:tcPr>
            <w:tcW w:w="50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Refer to the Condensed Consolidated Statements of Operations for net income attributable to Waste</w:t>
            </w: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Management, Inc.</w:t>
            </w:r>
          </w:p>
        </w:tc>
        <w:tc>
          <w:tcPr>
            <w:tcW w:w="760" w:type="dxa"/>
            <w:vAlign w:val="bottom"/>
          </w:tcPr>
          <w:p>
            <w:pPr>
              <w:spacing w:after="0"/>
              <w:rPr>
                <w:sz w:val="24"/>
                <w:szCs w:val="24"/>
                <w:color w:val="auto"/>
              </w:rPr>
            </w:pPr>
          </w:p>
        </w:tc>
      </w:tr>
    </w:tbl>
    <w:p>
      <w:pPr>
        <w:spacing w:after="0" w:line="129" w:lineRule="exact"/>
        <w:rPr>
          <w:sz w:val="20"/>
          <w:szCs w:val="20"/>
          <w:color w:val="auto"/>
        </w:rPr>
      </w:pPr>
    </w:p>
    <w:p>
      <w:pPr>
        <w:ind w:left="240" w:hanging="218"/>
        <w:spacing w:after="0"/>
        <w:tabs>
          <w:tab w:leader="none" w:pos="24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w:t>
      </w:r>
    </w:p>
    <w:p>
      <w:pPr>
        <w:spacing w:after="0" w:line="152" w:lineRule="exact"/>
        <w:rPr>
          <w:sz w:val="20"/>
          <w:szCs w:val="20"/>
          <w:color w:val="auto"/>
        </w:rPr>
      </w:pPr>
    </w:p>
    <w:p>
      <w:pPr>
        <w:jc w:val="both"/>
        <w:ind w:left="20" w:right="39"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Financial Instruments — </w:t>
      </w:r>
      <w:r>
        <w:rPr>
          <w:rFonts w:ascii="Times New Roman" w:cs="Times New Roman" w:eastAsia="Times New Roman" w:hAnsi="Times New Roman"/>
          <w:sz w:val="12"/>
          <w:szCs w:val="12"/>
          <w:color w:val="auto"/>
        </w:rPr>
        <w:t>We have obtained letters of credit, surety bonds and insurance policies and have established 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2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17" w:lineRule="exact"/>
        <w:rPr>
          <w:sz w:val="20"/>
          <w:szCs w:val="20"/>
          <w:color w:val="auto"/>
        </w:rPr>
      </w:pPr>
    </w:p>
    <w:p>
      <w:pPr>
        <w:jc w:val="both"/>
        <w:ind w:left="20" w:right="39"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Insurance — </w:t>
      </w:r>
      <w:r>
        <w:rPr>
          <w:rFonts w:ascii="Times New Roman" w:cs="Times New Roman" w:eastAsia="Times New Roman" w:hAnsi="Times New Roman"/>
          <w:sz w:val="12"/>
          <w:szCs w:val="12"/>
          <w:color w:val="auto"/>
        </w:rPr>
        <w:t>We carry insurance coverage for protection of our assets and operations from certain risks including general liability, automobile liability, workers’ compensation, real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2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We do not expect the impact of any known casualty, property, environmental or other contingency to have a material impact on our financial condition, results of operations or cash flows.</w:t>
      </w:r>
    </w:p>
    <w:p>
      <w:pPr>
        <w:spacing w:after="0" w:line="109"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Guarantees — </w:t>
      </w:r>
      <w:r>
        <w:rPr>
          <w:rFonts w:ascii="Times New Roman" w:cs="Times New Roman" w:eastAsia="Times New Roman" w:hAnsi="Times New Roman"/>
          <w:sz w:val="12"/>
          <w:szCs w:val="12"/>
          <w:color w:val="auto"/>
        </w:rPr>
        <w:t>In the ordinary course of our business, WMI and WM Holdings enter into guarantee agreements associated with their subsidiaries’ operations. Additionally, WMI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As of March 31, 2024,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19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20" w:lineRule="exact"/>
        <w:rPr>
          <w:sz w:val="20"/>
          <w:szCs w:val="20"/>
          <w:color w:val="auto"/>
        </w:rPr>
      </w:pPr>
    </w:p>
    <w:p>
      <w:pPr>
        <w:jc w:val="both"/>
        <w:ind w:left="20" w:right="39"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Environmental Matters — </w:t>
      </w:r>
      <w:r>
        <w:rPr>
          <w:rFonts w:ascii="Times New Roman" w:cs="Times New Roman" w:eastAsia="Times New Roman" w:hAnsi="Times New Roman"/>
          <w:sz w:val="12"/>
          <w:szCs w:val="12"/>
          <w:color w:val="auto"/>
        </w:rPr>
        <w:t>A significant portion of our operating costs and capital expenditures could be characterized as costs of environmental protection. The nature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24"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$18 million higher than the $211 million recorded in the Condensed Consolidated Balance Sheet as of March 31, 2024.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26"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As of March 31, 2024, we had been notified by the government that we are a PRP in connection with 73 locations listed on the Environmental Protection Agency’s (“EPA’s”) Superfund National Priorities List, or NPL. Of the 73 sites at which claims have been made against us, 14 are sites we own. Each of the NPL sites we own were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other 59 NPL sites, which we do not own, are at various procedural stages under the Comprehensive Environmental Response, Compensation and Liability Act of 1980, as amended, known as CERCLA or Superfund.</w:t>
      </w:r>
    </w:p>
    <w:p>
      <w:pPr>
        <w:spacing w:after="0" w:line="111"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25"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has serious deficiencies. MIMC and IPC have engaged with the EPA and provided responses to the EPA letter. Due to increases in the estimated cost of the remedy, we recorded an additional $17 million liability for MIMC’s estimated potential share of such costs in 2023. As of March 31, 2024 and December 31, 2023, the recorded liability was $85 million. MIMC’s ultimate liability could be materially different from current estimates, including potential increases resulting from MIMC’s continued engagement with the EPA regarding a final remedial design for the site.</w:t>
      </w:r>
    </w:p>
    <w:p>
      <w:pPr>
        <w:spacing w:after="0" w:line="128"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22"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26"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Litigation — </w:t>
      </w:r>
      <w:r>
        <w:rPr>
          <w:rFonts w:ascii="Times New Roman" w:cs="Times New Roman" w:eastAsia="Times New Roman" w:hAnsi="Times New Roman"/>
          <w:sz w:val="12"/>
          <w:szCs w:val="12"/>
          <w:color w:val="auto"/>
        </w:rPr>
        <w:t>We are subject to various proceedings, lawsuits, disputes and claims arising in the ordinary course of our business. Many of these actions raise complex factual and legal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issues and are subject to uncertainties. Actions that have been filed against us, and that may be filed against us in the future, include personal injury, property damage,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22"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based on alleged misrepresentations and omissions concerning the time for completion of our acquisition of Advanced Disposal. On March 27, 2024, the Court denied our motion to dismiss except as to one of our officers, and the case will proceed to discovery. We intend to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26"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23"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Multiemployer Defined Benefit Pension Plans — </w:t>
      </w:r>
      <w:r>
        <w:rPr>
          <w:rFonts w:ascii="Times New Roman" w:cs="Times New Roman" w:eastAsia="Times New Roman" w:hAnsi="Times New Roman"/>
          <w:sz w:val="12"/>
          <w:szCs w:val="12"/>
          <w:color w:val="auto"/>
        </w:rPr>
        <w:t>About 20% of our workforce is covered by collective bargaining agreements with various local unions across the U.S. and Canada.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a result of some of these agreements, certain of our subsidiaries are participating employers in a number of trustee-managed multiemployer defined benefit pension plans (“Multiemployer Pension Plans”) for the covered employees.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2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20"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Tax Matters — </w:t>
      </w:r>
      <w:r>
        <w:rPr>
          <w:rFonts w:ascii="Times New Roman" w:cs="Times New Roman" w:eastAsia="Times New Roman" w:hAnsi="Times New Roman"/>
          <w:sz w:val="12"/>
          <w:szCs w:val="12"/>
          <w:color w:val="auto"/>
        </w:rPr>
        <w:t>We maintain a liability for uncertain tax positions, the balance of which management believes is adequate. Results of audit assessments by taxing authorities are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The Company expects to seek a refund of the entire amount deposited with the IRS and litigate any denial of the claim for refund. As of March 31, 2024 and December 31, 2023, the IRS deposit, net of reserve for uncertain tax positions, is classified as a component of other long-term assets in the Company’s Condensed Consolidated Balance Sheets.</w:t>
      </w:r>
    </w:p>
    <w:p>
      <w:pPr>
        <w:spacing w:after="0" w:line="118" w:lineRule="exact"/>
        <w:rPr>
          <w:sz w:val="20"/>
          <w:szCs w:val="20"/>
          <w:color w:val="auto"/>
        </w:rPr>
      </w:pPr>
    </w:p>
    <w:p>
      <w:pPr>
        <w:ind w:left="240" w:hanging="218"/>
        <w:spacing w:after="0"/>
        <w:tabs>
          <w:tab w:leader="none" w:pos="240"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Segment and Related Information</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senior management evaluates, oversees and manages the financial performance of our business through four reportable segments, referred to as (i) East Tier; (ii) West Tier;</w:t>
      </w:r>
    </w:p>
    <w:p>
      <w:pPr>
        <w:spacing w:after="0" w:line="17" w:lineRule="exact"/>
        <w:rPr>
          <w:sz w:val="20"/>
          <w:szCs w:val="20"/>
          <w:color w:val="auto"/>
        </w:rPr>
      </w:pPr>
    </w:p>
    <w:p>
      <w:pPr>
        <w:jc w:val="both"/>
        <w:ind w:left="20" w:right="39" w:firstLine="2"/>
        <w:spacing w:after="0" w:line="255" w:lineRule="auto"/>
        <w:tabs>
          <w:tab w:leader="none" w:pos="2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Recycling Processing and Sales and (iv) WM Renewable Energy. Our East Tier and West Tier, combined with certain “Other Ancillary” services that are not managed through the Tier segments, but that support our collection and disposal operations, form our Collection and Disposal businesses. We also provide additional services not managed through our four reportable segments, which are presented as Corporate and Other.</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Summarized financial information concerning our reportable segments for the three months ended March 31 is shown in the following table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Intercompany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42"/>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62"/>
              <w:spacing w:after="0" w:line="99" w:lineRule="exact"/>
              <w:rPr>
                <w:sz w:val="20"/>
                <w:szCs w:val="20"/>
                <w:color w:val="auto"/>
              </w:rPr>
            </w:pPr>
            <w:r>
              <w:rPr>
                <w:rFonts w:ascii="Times New Roman" w:cs="Times New Roman" w:eastAsia="Times New Roman" w:hAnsi="Times New Roman"/>
                <w:sz w:val="10"/>
                <w:szCs w:val="10"/>
                <w:b w:val="1"/>
                <w:bCs w:val="1"/>
                <w:color w:val="auto"/>
                <w:w w:val="94"/>
              </w:rPr>
              <w:t>from</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8"/>
              </w:rPr>
              <w:t>Revenues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Revenues(a)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2"/>
              <w:spacing w:after="0"/>
              <w:rPr>
                <w:sz w:val="20"/>
                <w:szCs w:val="20"/>
                <w:color w:val="auto"/>
              </w:rPr>
            </w:pPr>
            <w:r>
              <w:rPr>
                <w:rFonts w:ascii="Times New Roman" w:cs="Times New Roman" w:eastAsia="Times New Roman" w:hAnsi="Times New Roman"/>
                <w:sz w:val="10"/>
                <w:szCs w:val="10"/>
                <w:b w:val="1"/>
                <w:bCs w:val="1"/>
                <w:color w:val="auto"/>
                <w:w w:val="98"/>
              </w:rPr>
              <w:t>Revenues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6"/>
              </w:rPr>
              <w:t>Operations(b)</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3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East Tier</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2,616</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2,081</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West Tier</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Ancillary</w:t>
            </w:r>
          </w:p>
        </w:tc>
        <w:tc>
          <w:tcPr>
            <w:tcW w:w="3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auto"/>
              </w:rPr>
              <w:t>Collection and Disposal</w:t>
            </w:r>
          </w:p>
        </w:tc>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5,799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5,159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East Tier</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2,561</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2,045</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West Tier</w:t>
            </w: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Ancillary</w:t>
            </w:r>
          </w:p>
        </w:tc>
        <w:tc>
          <w:tcPr>
            <w:tcW w:w="3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Collection and Disposal</w:t>
            </w:r>
          </w:p>
        </w:tc>
        <w:tc>
          <w:tcPr>
            <w:tcW w:w="3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4,523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3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tcBorders>
              <w:top w:val="single" w:sz="8" w:color="CCEEFF"/>
              <w:bottom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825</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40" w:right="39" w:hanging="218"/>
        <w:spacing w:after="0" w:line="279" w:lineRule="auto"/>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39"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those items included in the determination of income from operations, the accounting policies of the segments are the same as those described in Note 1.</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mix of operating revenues from our major lines of business for the three months ended March 31 are as follows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Intercompany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61"/>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w w:val="93"/>
              </w:rPr>
              <w:t>Revenues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Revenues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Revenues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2024</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Commercial</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Residential</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2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4,062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3,615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Transfer</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2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5,799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4,716</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Borders>
              <w:top w:val="single" w:sz="8" w:color="CCEEFF"/>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3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Commercial</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1,412</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(161)</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Residential</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2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3,888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Transfer</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Borders>
              <w:top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2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4,523</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Borders>
              <w:top w:val="single" w:sz="8" w:color="CCEEFF"/>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3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Accumulated Other Comprehensive (Loss) Income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changes in the balances of each component of accumulated other comprehensive (loss) income, net of tax, which is included as a component of Waste Management, Inc.</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stockholders’ equity, are as follows (in millions, with amounts in parentheses representing decreases to accumulated other comprehensive income):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1"/>
              </w:rPr>
              <w:t>Available-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2"/>
              </w:rPr>
              <w:t>Post-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Derivative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5"/>
              </w:rPr>
              <w:t>Retirement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4"/>
              </w:rPr>
              <w:t>for-Sale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5"/>
              </w:rPr>
              <w:t>Translation</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1"/>
              </w:rPr>
              <w:t>Benefit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restart"/>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w w:val="95"/>
              </w:rPr>
              <w:t>Instruments</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Adjustments</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6"/>
              </w:rPr>
              <w:t>Obligations</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33"/>
        </w:trPr>
        <w:tc>
          <w:tcPr>
            <w:tcW w:w="47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before reclassifications, net of tax expense (benefit) of $0,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$0, $0 and $0, respectively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33"/>
        </w:trPr>
        <w:tc>
          <w:tcPr>
            <w:tcW w:w="47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 comprehensive (income) loss, net of tax</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 benefit of $0, $0, $0 and $0, respectively</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33"/>
        </w:trPr>
        <w:tc>
          <w:tcPr>
            <w:tcW w:w="47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40"/>
        </w:trPr>
        <w:tc>
          <w:tcPr>
            <w:tcW w:w="47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March 31, 2024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Common Stock Repurchase Program</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 repurchases shares of its common stock as part of capital allocation programs authorized by our Board of Directors.</w:t>
      </w:r>
    </w:p>
    <w:p>
      <w:pPr>
        <w:spacing w:after="0" w:line="150"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In February 2024, we entered into an accelerated share repurchase (“ASR”) agreement to repurchase $250 million of our common stock. At the beginning of the repurchase period, we delivered $250 million cash and initially received 1.0 million shares based on a stock price of $199.16, exclusive of the applicable 1% excise tax. The ASR agreement completed in April 2024 and we received 0.2 million additional shares based on a final weighted average price of $206.23.</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As of March 31, 2024, the Company has authorization for $1.25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Fair Value Measurements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Assets and Liabilities Accounted for at Fair Value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assets and liabilities that are measured at fair value on a recurring basis include the following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2240" w:type="dxa"/>
            <w:vAlign w:val="bottom"/>
            <w:tcBorders>
              <w:bottom w:val="single" w:sz="8" w:color="CCEEFF"/>
            </w:tcBorders>
          </w:tcPr>
          <w:p>
            <w:pPr>
              <w:spacing w:after="0"/>
              <w:rPr>
                <w:sz w:val="10"/>
                <w:szCs w:val="10"/>
                <w:color w:val="auto"/>
              </w:rPr>
            </w:pPr>
          </w:p>
        </w:tc>
        <w:tc>
          <w:tcPr>
            <w:tcW w:w="45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68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Quoted prices in active markets (Level 1):</w:t>
            </w: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44"/>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equivalents and money market funds</w:t>
            </w:r>
          </w:p>
        </w:tc>
        <w:tc>
          <w:tcPr>
            <w:tcW w:w="700" w:type="dxa"/>
            <w:vAlign w:val="bottom"/>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w:t>
            </w:r>
          </w:p>
        </w:tc>
      </w:tr>
      <w:tr>
        <w:trPr>
          <w:trHeight w:val="144"/>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Equity securities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Significant other observable inputs (Level 2):</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Available-for-sale securities (a)</w:t>
            </w:r>
          </w:p>
        </w:tc>
        <w:tc>
          <w:tcPr>
            <w:tcW w:w="7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r>
      <w:tr>
        <w:trPr>
          <w:trHeight w:val="140"/>
        </w:trPr>
        <w:tc>
          <w:tcPr>
            <w:tcW w:w="68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7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819</w:t>
            </w:r>
          </w:p>
        </w:tc>
      </w:tr>
      <w:tr>
        <w:trPr>
          <w:trHeight w:val="72"/>
        </w:trPr>
        <w:tc>
          <w:tcPr>
            <w:tcW w:w="2240" w:type="dxa"/>
            <w:vAlign w:val="bottom"/>
            <w:tcBorders>
              <w:bottom w:val="single" w:sz="8" w:color="auto"/>
            </w:tcBorders>
          </w:tcPr>
          <w:p>
            <w:pPr>
              <w:spacing w:after="0"/>
              <w:rPr>
                <w:sz w:val="6"/>
                <w:szCs w:val="6"/>
                <w:color w:val="auto"/>
              </w:rPr>
            </w:pPr>
          </w:p>
        </w:tc>
        <w:tc>
          <w:tcPr>
            <w:tcW w:w="4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  Our available-for-sale securities primarily relate to debt securities with maturities over the next ten years.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(Continued)</w:t>
      </w: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Fair Value of Debt</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As of March 31, 2024 and December 31, 2023, the carrying value of our debt was $16.1 billion and $16.2 billion, respectively. The estimated fair value of our debt was approximately $15.1 billion and $15.6 billion as of March 31, 2024 and December 31, 2023, respectively.</w:t>
      </w:r>
    </w:p>
    <w:p>
      <w:pPr>
        <w:spacing w:after="0" w:line="111"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2024 and December 31, 2023. These amounts have not been revalued since those dates, and current estimates of fair value could differ significantly from the amounts presented.</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Variable Interest Entities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 description of our financial interests in unconsolidated and consolidated variable interest entities that we consider significant:</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Low-Income Housing Properties</w:t>
      </w:r>
    </w:p>
    <w:p>
      <w:pPr>
        <w:spacing w:after="0" w:line="154" w:lineRule="exact"/>
        <w:rPr>
          <w:sz w:val="20"/>
          <w:szCs w:val="20"/>
          <w:color w:val="auto"/>
        </w:rPr>
      </w:pPr>
    </w:p>
    <w:p>
      <w:pPr>
        <w:jc w:val="both"/>
        <w:ind w:left="20" w:right="39" w:firstLine="216"/>
        <w:spacing w:after="0" w:line="291" w:lineRule="auto"/>
        <w:rPr>
          <w:sz w:val="20"/>
          <w:szCs w:val="20"/>
          <w:color w:val="auto"/>
        </w:rPr>
      </w:pPr>
      <w:r>
        <w:rPr>
          <w:rFonts w:ascii="Times New Roman" w:cs="Times New Roman" w:eastAsia="Times New Roman" w:hAnsi="Times New Roman"/>
          <w:sz w:val="11"/>
          <w:szCs w:val="11"/>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$438 million and $458 million as of March 31, 2024 and December 31, 2023, respectively. The debt balance related to our investments in low-income housing properties was $395 million and $408 million as of March 31, 2024 and December 31, 2023, respectively. Additional information related to these investments is discussed in Note 4.</w:t>
      </w:r>
    </w:p>
    <w:p>
      <w:pPr>
        <w:spacing w:after="0" w:line="1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Trust Funds for Final Capping, Closure, Post-Closure or Environmental Remediation Obligations</w:t>
      </w:r>
    </w:p>
    <w:p>
      <w:pPr>
        <w:spacing w:after="0" w:line="152"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Unconsolidated Variable Interest Entities — </w:t>
      </w:r>
      <w:r>
        <w:rPr>
          <w:rFonts w:ascii="Times New Roman" w:cs="Times New Roman" w:eastAsia="Times New Roman" w:hAnsi="Times New Roman"/>
          <w:sz w:val="12"/>
          <w:szCs w:val="12"/>
          <w:color w:val="auto"/>
        </w:rPr>
        <w:t>Trust funds that are established for both the benefit of the Company and the host community in which we operate are not consolidated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$107 million and $104 million as of March 31, 2024 and December 31, 2023, respectively.</w:t>
      </w:r>
    </w:p>
    <w:p>
      <w:pPr>
        <w:spacing w:after="0" w:line="121"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Consolidated Variable Interest Entities — </w:t>
      </w:r>
      <w:r>
        <w:rPr>
          <w:rFonts w:ascii="Times New Roman" w:cs="Times New Roman" w:eastAsia="Times New Roman" w:hAnsi="Times New Roman"/>
          <w:sz w:val="12"/>
          <w:szCs w:val="12"/>
          <w:color w:val="auto"/>
        </w:rPr>
        <w:t>Trust funds for which we are the sole beneficiary are consolidated because we are the primary beneficiary. These trust funds are recorded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restricted funds in our Condensed Consolidated Balance Sheets. Unrealized gains and losses on available-for-sale securities held by these trusts are recorded as a component of accumulated other comprehensive income (loss). These trusts had a fair value of $120 million and $119 million as of March 31, 2024 and December 31, 2023, respectively.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19" w:name="page20"/>
    <w:bookmarkEnd w:id="19"/>
    <w:p>
      <w:pPr>
        <w:ind w:left="2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i w:val="1"/>
          <w:iCs w:val="1"/>
          <w:color w:val="auto"/>
        </w:rPr>
        <w:t>Management’s Discussion and Analysis of Financial Condition and Results of Operations.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2023.</w:t>
      </w:r>
    </w:p>
    <w:p>
      <w:pPr>
        <w:spacing w:after="0" w:line="119" w:lineRule="exact"/>
        <w:rPr>
          <w:sz w:val="20"/>
          <w:szCs w:val="20"/>
          <w:color w:val="auto"/>
        </w:rPr>
      </w:pPr>
    </w:p>
    <w:p>
      <w:pPr>
        <w:jc w:val="both"/>
        <w:ind w:left="20" w:right="39" w:firstLine="216"/>
        <w:spacing w:after="0" w:line="251" w:lineRule="auto"/>
        <w:rPr>
          <w:sz w:val="20"/>
          <w:szCs w:val="20"/>
          <w:color w:val="auto"/>
        </w:rPr>
      </w:pPr>
      <w:r>
        <w:rPr>
          <w:rFonts w:ascii="Times New Roman" w:cs="Times New Roman" w:eastAsia="Times New Roman" w:hAnsi="Times New Roman"/>
          <w:sz w:val="12"/>
          <w:szCs w:val="12"/>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and decisions or developments that result in impairment charges and other risks discussed in our filings with the SEC, including Part I, Item 1A of our Annual Report on Form 10-K for the year ended December 31, 2023. We assume no obligation to update any forward-looking statement, including financial estimates and forecasts, whether as a result of future events, circumstances or developments or otherwise.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business is operated and managed locally by our subsidiaries that focus on distinct geographic areas and provide collection, transfer, disposal, recycling and resource recovery services. Through our subsidiaries, including our Waste Management Renewable Energy (“WM Renewable Energy”) business, we are also a leading developer, operator and owner of landfill gas-to-energy facilities in the U.S. and Canada that produce renewable electricity and renewable natural gas (“RNG”), which is a significant source of fuel that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color w:val="auto"/>
        </w:rPr>
        <w:t>we allocate to our natural gas fleet. Additionally, we are a leading recycler in the U.S. and Canada, handling materials that include paper, cardboard, glass, plastic and metal.</w:t>
      </w:r>
    </w:p>
    <w:p>
      <w:pPr>
        <w:spacing w:after="0" w:line="150"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senior management evaluates, oversees and manages the financial performance of our business through four reportable segments, referred to as (i) Collection and Disposal - East Tier (“East Tier”); (ii) Collection and Disposal - West Tier (“West Tier”); (iii) Recycling Processing and Sales and (iv) WM Renewable Energy. Our East and West Tiers, along with certain ancillary services (“Other Ancillary”) not managed through our Tier segments, but that support our collection and disposal operations, form our “Collection and Disposal” businesses.</w: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Strategy</w:t>
      </w:r>
    </w:p>
    <w:p>
      <w:pPr>
        <w:spacing w:after="0" w:line="154" w:lineRule="exact"/>
        <w:rPr>
          <w:sz w:val="20"/>
          <w:szCs w:val="20"/>
          <w:color w:val="auto"/>
        </w:rPr>
      </w:pPr>
    </w:p>
    <w:p>
      <w:pPr>
        <w:jc w:val="both"/>
        <w:ind w:left="20" w:right="39" w:firstLine="216"/>
        <w:spacing w:after="0" w:line="253" w:lineRule="auto"/>
        <w:rPr>
          <w:sz w:val="20"/>
          <w:szCs w:val="20"/>
          <w:color w:val="auto"/>
        </w:rPr>
      </w:pPr>
      <w:r>
        <w:rPr>
          <w:rFonts w:ascii="Times New Roman" w:cs="Times New Roman" w:eastAsia="Times New Roman" w:hAnsi="Times New Roman"/>
          <w:sz w:val="12"/>
          <w:szCs w:val="12"/>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 will yield an attractive profit margin and enhanced service quality. We are furthering our strategy of focused differentiation and continuous improvement beyond our traditional waste operations through our sustainability growth strategy that includes significant planned investments in our WM Renewable Energy and Recycling Processing and Sales segments, while increasing automation and reducing labor dependency. We are also evaluating and pursuing emerging diversion technologies that may generate additional value.</w:t>
      </w:r>
    </w:p>
    <w:p>
      <w:pPr>
        <w:spacing w:after="0" w:line="1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Business Environment</w:t>
      </w:r>
    </w:p>
    <w:p>
      <w:pPr>
        <w:spacing w:after="0" w:line="154" w:lineRule="exact"/>
        <w:rPr>
          <w:sz w:val="20"/>
          <w:szCs w:val="20"/>
          <w:color w:val="auto"/>
        </w:rPr>
      </w:pPr>
    </w:p>
    <w:p>
      <w:pPr>
        <w:jc w:val="both"/>
        <w:ind w:left="20" w:right="39" w:firstLine="216"/>
        <w:spacing w:after="0" w:line="253" w:lineRule="auto"/>
        <w:rPr>
          <w:sz w:val="20"/>
          <w:szCs w:val="20"/>
          <w:color w:val="auto"/>
        </w:rPr>
      </w:pPr>
      <w:r>
        <w:rPr>
          <w:rFonts w:ascii="Times New Roman" w:cs="Times New Roman" w:eastAsia="Times New Roman" w:hAnsi="Times New Roman"/>
          <w:sz w:val="12"/>
          <w:szCs w:val="12"/>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2023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https://sustainability.wm.com but it does not constitute a part of, and is not incorporated by reference into, this Quarterly Report on Form 10-Q.</w:t>
      </w:r>
    </w:p>
    <w:p>
      <w:pPr>
        <w:spacing w:after="0" w:line="128"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21" w:name="page22"/>
    <w:bookmarkEnd w:id="21"/>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2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w:t>
      </w:r>
    </w:p>
    <w:p>
      <w:pPr>
        <w:spacing w:after="0" w:line="122"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Macroeconomic pressures continue, including sustained inflationary pressures and high interest rates, with geopolitical events causing further market disruptions. Inflation moderately improved from the high levels observed during the first half of 2023; however, inflation remained above typical levels during the first quarter of 2024. While supply chain activity has begun to normalize, risks persist related to higher operating costs, ongoing supply shortages, labor and transportation challenges and impacts from global events.</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continue to experience margin pressures from our commodity-driven businesses, specifically within our Recycling Processing and Sales and WM Renewable Energy segments. While still below prices seen at the beginning of 2022, recycling commodity prices began to improve in the fourth quarter of 2023 and continued to improve in the first quarter of 2024. While there may be short term fluctuations in our commodity-driven businesses as prices change, we continue to take proactive steps to adjust our business models to protect against the down-side risk of changes in commodity prices.</w:t>
      </w:r>
    </w:p>
    <w:p>
      <w:pPr>
        <w:spacing w:after="0" w:line="122"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extent and duration of the impact of labor, supply chain, transportation and commodity price challenges are subject to numerous external factors beyond our control, including broader macroeconomic conditions; recessionary fears and/or an economic recession; size, location, and qualifications of the labor pool; wage and price structures; adoption of new or revised regulations; geopolitical conflicts and responses and supply and demand for commodities. As we experience inflationary cost pressures, we focus on our pricing efforts, as well as operating efficiencies and cost controls, to maintain our earnings and cash flow and facilitate growth. With these macroeconomic pressures,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Current Quarter Financial Results</w:t>
      </w:r>
    </w:p>
    <w:p>
      <w:pPr>
        <w:spacing w:after="0" w:line="154"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During the first quarter of 2024, we continued to focus on our priorities to advance our strategy—enhancing employee engagement, permanently reducing our cost to serve through the use of technology and automation, and investing in growth through our Recycling Processing and Sales and WM Renewable Energy segments. This strategic focus, combined with strong operational execution resulted in increased revenue, income from operations and income from operations margin. We remain diligent in offering a competitively profitable service that meets the needs of our customers, and we are focused on driving operating efficiencies and reducing discretionary spend. We continue to invest in our people through paying a competitive market wage, investments in our digital platform and training for our team members. We also continue to make investments in automation and optimization to enhance our operational efficiency and improve labor productivity for all lines of business. During the first quarter of 2024, we allocated $668 million of available cash to capital expenditures and $557 million to our shareholders through dividends and common stock repurchases.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Key elements of our financial results for the first quarter include:</w:t>
      </w:r>
    </w:p>
    <w:p>
      <w:pPr>
        <w:spacing w:after="0" w:line="78" w:lineRule="exact"/>
        <w:rPr>
          <w:sz w:val="20"/>
          <w:szCs w:val="20"/>
          <w:color w:val="auto"/>
        </w:rPr>
      </w:pPr>
    </w:p>
    <w:p>
      <w:pPr>
        <w:ind w:left="480" w:right="39" w:hanging="224"/>
        <w:spacing w:after="0" w:line="279" w:lineRule="auto"/>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of $5,159 million, compared with $4,892 million in the prior year period, an increase of $267 million, or 5.5%. The increase is primarily attributable to higher yield in our Collection and Disposal businesses and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22" w:name="page23"/>
    <w:bookmarkEnd w:id="22"/>
    <w:p>
      <w:pPr>
        <w:ind w:left="480" w:right="39"/>
        <w:spacing w:after="0" w:line="279" w:lineRule="auto"/>
        <w:rPr>
          <w:sz w:val="20"/>
          <w:szCs w:val="20"/>
          <w:color w:val="auto"/>
        </w:rPr>
      </w:pPr>
      <w:r>
        <w:rPr>
          <w:rFonts w:ascii="Times New Roman" w:cs="Times New Roman" w:eastAsia="Times New Roman" w:hAnsi="Times New Roman"/>
          <w:sz w:val="12"/>
          <w:szCs w:val="12"/>
          <w:color w:val="auto"/>
        </w:rPr>
        <w:t>Recycling Processing and Sales segment, partially offset by, (i) decreased revenue from our energy surcharge program due to a decline in the price of fuel, particularly diesel, and (ii) lower industrial and residential collection volumes;</w:t>
      </w:r>
    </w:p>
    <w:p>
      <w:pPr>
        <w:spacing w:after="0" w:line="39" w:lineRule="exact"/>
        <w:rPr>
          <w:sz w:val="20"/>
          <w:szCs w:val="20"/>
          <w:color w:val="auto"/>
        </w:rPr>
      </w:pPr>
    </w:p>
    <w:p>
      <w:pPr>
        <w:jc w:val="both"/>
        <w:ind w:left="480" w:right="39" w:hanging="224"/>
        <w:spacing w:after="0" w:line="283" w:lineRule="auto"/>
        <w:tabs>
          <w:tab w:leader="none" w:pos="4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Operating expenses of $3,140 million, or 60.9% of revenues, compared with $3,086 million, or 63.1% of revenues, in the prior year period. The $54 million increase is primarily attributable to (i) commodity-driven business impacts from higher recycling rebates; (ii) an increase in volumes in our Strategic Business Solutions (“WMSBS”) business and</w:t>
      </w:r>
    </w:p>
    <w:p>
      <w:pPr>
        <w:ind w:left="480" w:right="39" w:hanging="8"/>
        <w:spacing w:after="0" w:line="260" w:lineRule="auto"/>
        <w:tabs>
          <w:tab w:leader="none" w:pos="705"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inflationary pressures. These increases were offset in part by (i) lower fuel prices and (ii) improved operating efficiency, reduced repair and maintenance costs due to improved truck deliveries and cost control;</w:t>
      </w:r>
    </w:p>
    <w:p>
      <w:pPr>
        <w:spacing w:after="0" w:line="50" w:lineRule="exact"/>
        <w:rPr>
          <w:rFonts w:ascii="Times New Roman" w:cs="Times New Roman" w:eastAsia="Times New Roman" w:hAnsi="Times New Roman"/>
          <w:sz w:val="12"/>
          <w:szCs w:val="12"/>
          <w:color w:val="auto"/>
        </w:rPr>
      </w:pPr>
    </w:p>
    <w:p>
      <w:pPr>
        <w:jc w:val="both"/>
        <w:ind w:left="480" w:right="39" w:hanging="224"/>
        <w:spacing w:after="0" w:line="265" w:lineRule="auto"/>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general and administrative expenses were $491 million, or 9.5% of revenues, compared with $476 million, or 9.7% of revenues, in the prior year period. The $15 million increase is primarily attributable to (i) increased labor costs from higher annual incentive compensation costs and annual wage increases and (ii) increased technology spend;</w:t>
      </w:r>
    </w:p>
    <w:p>
      <w:pPr>
        <w:spacing w:after="0" w:line="46" w:lineRule="exact"/>
        <w:rPr>
          <w:rFonts w:ascii="Times New Roman" w:cs="Times New Roman" w:eastAsia="Times New Roman" w:hAnsi="Times New Roman"/>
          <w:sz w:val="12"/>
          <w:szCs w:val="12"/>
          <w:color w:val="auto"/>
        </w:rPr>
      </w:pPr>
    </w:p>
    <w:p>
      <w:pPr>
        <w:ind w:left="480" w:right="39" w:hanging="224"/>
        <w:spacing w:after="0" w:line="279" w:lineRule="auto"/>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from operations was $1,016 million, or 19.7% of revenues, compared with $825 million, or 16.9% of revenues, in the prior year period. The increase in the current year earnings was primarily driven by revenue growth in our Collection and Disposal businesses partially offset by higher annual incentive compensation;</w:t>
      </w:r>
    </w:p>
    <w:p>
      <w:pPr>
        <w:spacing w:after="0" w:line="39" w:lineRule="exact"/>
        <w:rPr>
          <w:rFonts w:ascii="Times New Roman" w:cs="Times New Roman" w:eastAsia="Times New Roman" w:hAnsi="Times New Roman"/>
          <w:sz w:val="12"/>
          <w:szCs w:val="12"/>
          <w:color w:val="auto"/>
        </w:rPr>
      </w:pPr>
    </w:p>
    <w:p>
      <w:pPr>
        <w:jc w:val="both"/>
        <w:ind w:left="480" w:right="39" w:hanging="224"/>
        <w:spacing w:after="0" w:line="260" w:lineRule="auto"/>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attributable to Waste Management, Inc. was $708 million, or $1.75 per diluted share, compared with $533 million, or $1.30 per diluted share, in the prior year period. The primary drivers of the increase in net income are the increase in income from operations, discussed above and, to a lesser extent, a reduction in income tax expense of $37 million, or $0.09 per diluted share, associated with federal tax credits expected to be realized from our RNG investments. These increases were partially offset by higher interest expense and an increase in net losses of our unconsolidated entities.</w:t>
      </w:r>
    </w:p>
    <w:p>
      <w:pPr>
        <w:spacing w:after="0" w:line="50" w:lineRule="exact"/>
        <w:rPr>
          <w:rFonts w:ascii="Times New Roman" w:cs="Times New Roman" w:eastAsia="Times New Roman" w:hAnsi="Times New Roman"/>
          <w:sz w:val="12"/>
          <w:szCs w:val="12"/>
          <w:color w:val="auto"/>
        </w:rPr>
      </w:pPr>
    </w:p>
    <w:p>
      <w:pPr>
        <w:jc w:val="both"/>
        <w:ind w:left="480" w:right="39" w:hanging="224"/>
        <w:spacing w:after="0" w:line="259" w:lineRule="auto"/>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provided by operating activities was $1,367 million compared with $1,044 million in the prior year period, with the increase driven by (i) higher earnings in our Collection and Disposal businesses and Recycling Processing and Sales segment, (ii) favorable changes in working capital, net of effects of acquisitions and divestitures, and</w:t>
      </w:r>
    </w:p>
    <w:p>
      <w:pPr>
        <w:spacing w:after="0" w:line="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lower incentive compensation payments. This increase was partially offset by higher cash interest payments; and</w:t>
      </w:r>
    </w:p>
    <w:p>
      <w:pPr>
        <w:spacing w:after="0" w:line="67" w:lineRule="exact"/>
        <w:rPr>
          <w:rFonts w:ascii="Times New Roman" w:cs="Times New Roman" w:eastAsia="Times New Roman" w:hAnsi="Times New Roman"/>
          <w:sz w:val="12"/>
          <w:szCs w:val="12"/>
          <w:color w:val="auto"/>
        </w:rPr>
      </w:pPr>
    </w:p>
    <w:p>
      <w:pPr>
        <w:jc w:val="both"/>
        <w:ind w:left="480" w:right="39" w:hanging="224"/>
        <w:spacing w:after="0" w:line="265" w:lineRule="auto"/>
        <w:tabs>
          <w:tab w:leader="none" w:pos="4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Free cash flow was $714 million compared with $395 million in the prior year period. The increase in free cash flow is attributable to the increase in net cash provided by operating activities discussed above. Free cash flow is a non-GAAP measure of liquidity. Refer to </w:t>
      </w:r>
      <w:r>
        <w:rPr>
          <w:rFonts w:ascii="Times New Roman" w:cs="Times New Roman" w:eastAsia="Times New Roman" w:hAnsi="Times New Roman"/>
          <w:sz w:val="12"/>
          <w:szCs w:val="12"/>
          <w:i w:val="1"/>
          <w:iCs w:val="1"/>
          <w:color w:val="auto"/>
        </w:rPr>
        <w:t>Free Cash Flow</w:t>
      </w:r>
      <w:r>
        <w:rPr>
          <w:rFonts w:ascii="Times New Roman" w:cs="Times New Roman" w:eastAsia="Times New Roman" w:hAnsi="Times New Roman"/>
          <w:sz w:val="12"/>
          <w:szCs w:val="12"/>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Operating Revenues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mix of operating revenues for the three months ended March 31 are as follows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12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Intercompany</w:t>
            </w:r>
          </w:p>
        </w:tc>
        <w:tc>
          <w:tcPr>
            <w:tcW w:w="12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Net</w:t>
            </w:r>
          </w:p>
        </w:tc>
      </w:tr>
      <w:tr>
        <w:trPr>
          <w:trHeight w:val="99"/>
        </w:trPr>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12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c>
          <w:tcPr>
            <w:tcW w:w="12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Operating</w:t>
            </w:r>
          </w:p>
        </w:tc>
      </w:tr>
      <w:tr>
        <w:trPr>
          <w:trHeight w:val="115"/>
        </w:trPr>
        <w:tc>
          <w:tcPr>
            <w:tcW w:w="6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Revenues</w:t>
            </w:r>
          </w:p>
        </w:tc>
        <w:tc>
          <w:tcPr>
            <w:tcW w:w="12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Revenues (a)</w:t>
            </w:r>
          </w:p>
        </w:tc>
        <w:tc>
          <w:tcPr>
            <w:tcW w:w="12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Revenues</w:t>
            </w:r>
          </w:p>
        </w:tc>
      </w:tr>
      <w:tr>
        <w:trPr>
          <w:trHeight w:val="124"/>
        </w:trPr>
        <w:tc>
          <w:tcPr>
            <w:tcW w:w="6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16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Residential</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160" w:type="dxa"/>
            <w:vAlign w:val="bottom"/>
            <w:shd w:val="clear" w:color="auto" w:fill="CCEEFF"/>
          </w:tcPr>
          <w:p>
            <w:pPr>
              <w:spacing w:after="0"/>
              <w:rPr>
                <w:sz w:val="12"/>
                <w:szCs w:val="12"/>
                <w:color w:val="auto"/>
              </w:rPr>
            </w:pPr>
          </w:p>
        </w:tc>
      </w:tr>
      <w:tr>
        <w:trPr>
          <w:trHeight w:val="133"/>
        </w:trPr>
        <w:tc>
          <w:tcPr>
            <w:tcW w:w="6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4,062</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(447)</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3,615</w:t>
            </w:r>
          </w:p>
        </w:tc>
        <w:tc>
          <w:tcPr>
            <w:tcW w:w="160" w:type="dxa"/>
            <w:vAlign w:val="bottom"/>
          </w:tcPr>
          <w:p>
            <w:pPr>
              <w:spacing w:after="0"/>
              <w:rPr>
                <w:sz w:val="11"/>
                <w:szCs w:val="11"/>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(385)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Transfer</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(251)</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60" w:type="dxa"/>
            <w:vAlign w:val="bottom"/>
          </w:tcPr>
          <w:p>
            <w:pPr>
              <w:spacing w:after="0"/>
              <w:rPr>
                <w:sz w:val="12"/>
                <w:szCs w:val="12"/>
                <w:color w:val="auto"/>
              </w:rPr>
            </w:pPr>
          </w:p>
        </w:tc>
      </w:tr>
      <w:tr>
        <w:trPr>
          <w:trHeight w:val="133"/>
        </w:trPr>
        <w:tc>
          <w:tcPr>
            <w:tcW w:w="61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5,799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4,716</w:t>
            </w:r>
          </w:p>
        </w:tc>
        <w:tc>
          <w:tcPr>
            <w:tcW w:w="160" w:type="dxa"/>
            <w:vAlign w:val="bottom"/>
            <w:tcBorders>
              <w:top w:val="single" w:sz="8" w:color="CCEEFF"/>
            </w:tcBorders>
            <w:shd w:val="clear" w:color="auto" w:fill="CCEEFF"/>
          </w:tcPr>
          <w:p>
            <w:pPr>
              <w:spacing w:after="0"/>
              <w:rPr>
                <w:sz w:val="11"/>
                <w:szCs w:val="11"/>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(68)</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r>
      <w:tr>
        <w:trPr>
          <w:trHeight w:val="140"/>
        </w:trPr>
        <w:tc>
          <w:tcPr>
            <w:tcW w:w="616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5,159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1,412</w:t>
            </w:r>
          </w:p>
        </w:tc>
        <w:tc>
          <w:tcPr>
            <w:tcW w:w="16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Residential</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60" w:type="dxa"/>
            <w:vAlign w:val="bottom"/>
            <w:shd w:val="clear" w:color="auto" w:fill="CCEEFF"/>
          </w:tcPr>
          <w:p>
            <w:pPr>
              <w:spacing w:after="0"/>
              <w:rPr>
                <w:sz w:val="12"/>
                <w:szCs w:val="12"/>
                <w:color w:val="auto"/>
              </w:rPr>
            </w:pPr>
          </w:p>
        </w:tc>
      </w:tr>
      <w:tr>
        <w:trPr>
          <w:trHeight w:val="133"/>
        </w:trPr>
        <w:tc>
          <w:tcPr>
            <w:tcW w:w="6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3,888</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3,475</w:t>
            </w:r>
          </w:p>
        </w:tc>
        <w:tc>
          <w:tcPr>
            <w:tcW w:w="160" w:type="dxa"/>
            <w:vAlign w:val="bottom"/>
          </w:tcPr>
          <w:p>
            <w:pPr>
              <w:spacing w:after="0"/>
              <w:rPr>
                <w:sz w:val="11"/>
                <w:szCs w:val="11"/>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(391)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Transfer</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(251)</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60" w:type="dxa"/>
            <w:vAlign w:val="bottom"/>
          </w:tcPr>
          <w:p>
            <w:pPr>
              <w:spacing w:after="0"/>
              <w:rPr>
                <w:sz w:val="12"/>
                <w:szCs w:val="12"/>
                <w:color w:val="auto"/>
              </w:rPr>
            </w:pPr>
          </w:p>
        </w:tc>
      </w:tr>
      <w:tr>
        <w:trPr>
          <w:trHeight w:val="133"/>
        </w:trPr>
        <w:tc>
          <w:tcPr>
            <w:tcW w:w="61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5,578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4,523</w:t>
            </w:r>
          </w:p>
        </w:tc>
        <w:tc>
          <w:tcPr>
            <w:tcW w:w="160" w:type="dxa"/>
            <w:vAlign w:val="bottom"/>
            <w:tcBorders>
              <w:top w:val="single" w:sz="8" w:color="CCEEFF"/>
            </w:tcBorders>
            <w:shd w:val="clear" w:color="auto" w:fill="CCEEFF"/>
          </w:tcPr>
          <w:p>
            <w:pPr>
              <w:spacing w:after="0"/>
              <w:rPr>
                <w:sz w:val="11"/>
                <w:szCs w:val="11"/>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(80)</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60" w:type="dxa"/>
            <w:vAlign w:val="bottom"/>
          </w:tcPr>
          <w:p>
            <w:pPr>
              <w:spacing w:after="0"/>
              <w:rPr>
                <w:sz w:val="12"/>
                <w:szCs w:val="12"/>
                <w:color w:val="auto"/>
              </w:rPr>
            </w:pPr>
          </w:p>
        </w:tc>
      </w:tr>
      <w:tr>
        <w:trPr>
          <w:trHeight w:val="14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60" w:type="dxa"/>
            <w:vAlign w:val="bottom"/>
            <w:shd w:val="clear" w:color="auto" w:fill="CCEEFF"/>
          </w:tcPr>
          <w:p>
            <w:pPr>
              <w:spacing w:after="0"/>
              <w:rPr>
                <w:sz w:val="12"/>
                <w:szCs w:val="12"/>
                <w:color w:val="auto"/>
              </w:rPr>
            </w:pPr>
          </w:p>
        </w:tc>
      </w:tr>
      <w:tr>
        <w:trPr>
          <w:trHeight w:val="144"/>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2"/>
                <w:szCs w:val="12"/>
                <w:color w:val="auto"/>
              </w:rPr>
            </w:pPr>
          </w:p>
        </w:tc>
      </w:tr>
      <w:tr>
        <w:trPr>
          <w:trHeight w:val="140"/>
        </w:trPr>
        <w:tc>
          <w:tcPr>
            <w:tcW w:w="616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4,892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108585</wp:posOffset>
            </wp:positionV>
            <wp:extent cx="14230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12" w:lineRule="exact"/>
        <w:rPr>
          <w:sz w:val="20"/>
          <w:szCs w:val="20"/>
          <w:color w:val="auto"/>
        </w:rPr>
      </w:pPr>
    </w:p>
    <w:p>
      <w:pPr>
        <w:ind w:left="240" w:right="39" w:hanging="218"/>
        <w:spacing w:after="0" w:line="279" w:lineRule="auto"/>
        <w:tabs>
          <w:tab w:leader="none" w:pos="2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12"/>
          <w:szCs w:val="12"/>
          <w:color w:val="auto"/>
        </w:rPr>
        <w:t>The following table provides details associated with the period-to-period change in revenues and average yield (dollars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5"/>
          </w:tcPr>
          <w:p>
            <w:pPr>
              <w:jc w:val="center"/>
              <w:ind w:left="28"/>
              <w:spacing w:after="0"/>
              <w:rPr>
                <w:sz w:val="20"/>
                <w:szCs w:val="20"/>
                <w:color w:val="auto"/>
              </w:rPr>
            </w:pPr>
            <w:r>
              <w:rPr>
                <w:rFonts w:ascii="Times New Roman" w:cs="Times New Roman" w:eastAsia="Times New Roman" w:hAnsi="Times New Roman"/>
                <w:sz w:val="10"/>
                <w:szCs w:val="10"/>
                <w:b w:val="1"/>
                <w:bCs w:val="1"/>
                <w:color w:val="auto"/>
                <w:w w:val="95"/>
              </w:rPr>
              <w:t>Period-to-Period Change for the</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5"/>
          </w:tcPr>
          <w:p>
            <w:pPr>
              <w:jc w:val="center"/>
              <w:ind w:left="48"/>
              <w:spacing w:after="0" w:line="99" w:lineRule="exact"/>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w w:val="95"/>
              </w:rPr>
              <w:t>March 31, 2024 vs. 2023</w:t>
            </w:r>
          </w:p>
        </w:tc>
        <w:tc>
          <w:tcPr>
            <w:tcW w:w="8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3"/>
          </w:tcPr>
          <w:p>
            <w:pPr>
              <w:jc w:val="center"/>
              <w:ind w:right="366"/>
              <w:spacing w:after="0" w:line="72" w:lineRule="exact"/>
              <w:rPr>
                <w:sz w:val="20"/>
                <w:szCs w:val="20"/>
                <w:color w:val="auto"/>
              </w:rPr>
            </w:pPr>
            <w:r>
              <w:rPr>
                <w:rFonts w:ascii="Times New Roman" w:cs="Times New Roman" w:eastAsia="Times New Roman" w:hAnsi="Times New Roman"/>
                <w:sz w:val="8"/>
                <w:szCs w:val="8"/>
                <w:b w:val="1"/>
                <w:bCs w:val="1"/>
                <w:color w:val="auto"/>
              </w:rPr>
              <w:t>As a % of</w:t>
            </w: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As a % of</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140" w:type="dxa"/>
            <w:vAlign w:val="bottom"/>
            <w:gridSpan w:val="3"/>
          </w:tcPr>
          <w:p>
            <w:pPr>
              <w:jc w:val="center"/>
              <w:ind w:right="366"/>
              <w:spacing w:after="0" w:line="99" w:lineRule="exact"/>
              <w:rPr>
                <w:sz w:val="20"/>
                <w:szCs w:val="20"/>
                <w:color w:val="auto"/>
              </w:rPr>
            </w:pPr>
            <w:r>
              <w:rPr>
                <w:rFonts w:ascii="Times New Roman" w:cs="Times New Roman" w:eastAsia="Times New Roman" w:hAnsi="Times New Roman"/>
                <w:sz w:val="10"/>
                <w:szCs w:val="10"/>
                <w:b w:val="1"/>
                <w:bCs w:val="1"/>
                <w:color w:val="auto"/>
                <w:w w:val="97"/>
              </w:rPr>
              <w:t>Related</w:t>
            </w: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9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140" w:type="dxa"/>
            <w:vAlign w:val="bottom"/>
            <w:gridSpan w:val="3"/>
          </w:tcPr>
          <w:p>
            <w:pPr>
              <w:jc w:val="center"/>
              <w:ind w:right="346"/>
              <w:spacing w:after="0"/>
              <w:rPr>
                <w:sz w:val="20"/>
                <w:szCs w:val="20"/>
                <w:color w:val="auto"/>
              </w:rPr>
            </w:pPr>
            <w:r>
              <w:rPr>
                <w:rFonts w:ascii="Times New Roman" w:cs="Times New Roman" w:eastAsia="Times New Roman" w:hAnsi="Times New Roman"/>
                <w:sz w:val="10"/>
                <w:szCs w:val="10"/>
                <w:b w:val="1"/>
                <w:bCs w:val="1"/>
                <w:color w:val="auto"/>
                <w:w w:val="95"/>
              </w:rPr>
              <w:t>Business(a)</w:t>
            </w:r>
          </w:p>
        </w:tc>
        <w:tc>
          <w:tcPr>
            <w:tcW w:w="700" w:type="dxa"/>
            <w:vAlign w:val="bottom"/>
            <w:gridSpan w:val="2"/>
            <w:vMerge w:val="continue"/>
          </w:tcPr>
          <w:p>
            <w:pPr>
              <w:spacing w:after="0"/>
              <w:rPr>
                <w:sz w:val="10"/>
                <w:szCs w:val="10"/>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Company(b)</w:t>
            </w:r>
          </w:p>
        </w:tc>
        <w:tc>
          <w:tcPr>
            <w:tcW w:w="0" w:type="dxa"/>
            <w:vAlign w:val="bottom"/>
          </w:tcPr>
          <w:p>
            <w:pPr>
              <w:spacing w:after="0"/>
              <w:rPr>
                <w:sz w:val="1"/>
                <w:szCs w:val="1"/>
                <w:color w:val="auto"/>
              </w:rPr>
            </w:pPr>
          </w:p>
        </w:tc>
      </w:tr>
      <w:tr>
        <w:trPr>
          <w:trHeight w:val="133"/>
        </w:trPr>
        <w:tc>
          <w:tcPr>
            <w:tcW w:w="53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Collection and Disposal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30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Recycling Processing and Sales and WM Renewable Energy (c)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Energy surcharge and mandated fees (d)</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3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average yield (e)</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250</w:t>
            </w:r>
          </w:p>
        </w:tc>
        <w:tc>
          <w:tcPr>
            <w:tcW w:w="160" w:type="dxa"/>
            <w:vAlign w:val="bottom"/>
          </w:tcPr>
          <w:p>
            <w:pPr>
              <w:spacing w:after="0"/>
              <w:rPr>
                <w:sz w:val="11"/>
                <w:szCs w:val="11"/>
                <w:color w:val="auto"/>
              </w:rPr>
            </w:pPr>
          </w:p>
        </w:tc>
        <w:tc>
          <w:tcPr>
            <w:tcW w:w="9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5.1 %</w:t>
            </w:r>
          </w:p>
        </w:tc>
        <w:tc>
          <w:tcPr>
            <w:tcW w:w="0" w:type="dxa"/>
            <w:vAlign w:val="bottom"/>
          </w:tcPr>
          <w:p>
            <w:pPr>
              <w:spacing w:after="0"/>
              <w:rPr>
                <w:sz w:val="1"/>
                <w:szCs w:val="1"/>
                <w:color w:val="auto"/>
              </w:rPr>
            </w:pPr>
          </w:p>
        </w:tc>
      </w:tr>
      <w:tr>
        <w:trPr>
          <w:trHeight w:val="144"/>
        </w:trPr>
        <w:tc>
          <w:tcPr>
            <w:tcW w:w="5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Volume (f)</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3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Internal revenue growth</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249</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Divestitures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36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267</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40" w:right="39" w:hanging="218"/>
        <w:spacing w:after="0" w:line="279" w:lineRule="auto"/>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by dividing the increase or decrease for the current year period by the prior year period’s related business revenue adjusted to exclude the impacts of divestitures for the current year period.</w:t>
      </w:r>
    </w:p>
    <w:p>
      <w:pPr>
        <w:spacing w:after="0" w:line="39" w:lineRule="exact"/>
        <w:rPr>
          <w:rFonts w:ascii="Times New Roman" w:cs="Times New Roman" w:eastAsia="Times New Roman" w:hAnsi="Times New Roman"/>
          <w:sz w:val="12"/>
          <w:szCs w:val="12"/>
          <w:color w:val="auto"/>
        </w:rPr>
      </w:pPr>
    </w:p>
    <w:p>
      <w:pPr>
        <w:ind w:left="240" w:right="39" w:hanging="218"/>
        <w:spacing w:after="0" w:line="279" w:lineRule="auto"/>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by dividing the increase or decrease for the current year period by the prior year period’s total Company revenue adjusted to exclude the impacts of divestitures for the current year period.</w:t>
      </w:r>
    </w:p>
    <w:p>
      <w:pPr>
        <w:spacing w:after="0" w:line="39" w:lineRule="exact"/>
        <w:rPr>
          <w:rFonts w:ascii="Times New Roman" w:cs="Times New Roman" w:eastAsia="Times New Roman" w:hAnsi="Times New Roman"/>
          <w:sz w:val="12"/>
          <w:szCs w:val="12"/>
          <w:color w:val="auto"/>
        </w:rPr>
      </w:pPr>
    </w:p>
    <w:p>
      <w:pPr>
        <w:ind w:left="240" w:right="39" w:hanging="218"/>
        <w:spacing w:after="0" w:line="279" w:lineRule="auto"/>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39"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energy surcharge was revised in the second quarter of 2023 to incorporate market prices for both diesel and compressed natural gas (“CNG”).</w:t>
      </w:r>
    </w:p>
    <w:p>
      <w:pPr>
        <w:spacing w:after="0" w:line="150"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herein represent the changes in our revenue attributable to average yield for the total Company.</w:t>
      </w:r>
    </w:p>
    <w:p>
      <w:pPr>
        <w:spacing w:after="0" w:line="150"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activities from our Corporate and Other businesses.</w:t>
      </w:r>
    </w:p>
    <w:p>
      <w:pPr>
        <w:spacing w:after="0" w:line="150" w:lineRule="exact"/>
        <w:rPr>
          <w:rFonts w:ascii="Times New Roman" w:cs="Times New Roman" w:eastAsia="Times New Roman" w:hAnsi="Times New Roman"/>
          <w:sz w:val="12"/>
          <w:szCs w:val="12"/>
          <w:color w:val="auto"/>
        </w:rPr>
      </w:pPr>
    </w:p>
    <w:p>
      <w:pPr>
        <w:ind w:left="2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provides further details about our period-to-period change in revenues:</w:t>
      </w:r>
    </w:p>
    <w:p>
      <w:pPr>
        <w:spacing w:after="0" w:line="1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Average Yield</w:t>
      </w:r>
    </w:p>
    <w:p>
      <w:pPr>
        <w:spacing w:after="0" w:line="150" w:lineRule="exact"/>
        <w:rPr>
          <w:sz w:val="20"/>
          <w:szCs w:val="20"/>
          <w:color w:val="auto"/>
        </w:rPr>
      </w:pPr>
    </w:p>
    <w:p>
      <w:pPr>
        <w:jc w:val="both"/>
        <w:ind w:left="20" w:right="39"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Collection and Disposal Average Yield </w:t>
      </w:r>
      <w:r>
        <w:rPr>
          <w:rFonts w:ascii="Times New Roman" w:cs="Times New Roman" w:eastAsia="Times New Roman" w:hAnsi="Times New Roman"/>
          <w:sz w:val="12"/>
          <w:szCs w:val="12"/>
          <w:color w:val="auto"/>
        </w:rPr>
        <w:t>— This measure reflects the effect on our revenue from the pricing activities of our collection, transfer and landfill operations, exclusive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2"/>
          <w:szCs w:val="12"/>
          <w:color w:val="auto"/>
        </w:rPr>
        <w:t>The details of our revenue growth from Collection and Disposal average yield are as follows (dollars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80" w:type="dxa"/>
            <w:vAlign w:val="bottom"/>
            <w:gridSpan w:val="4"/>
          </w:tcPr>
          <w:p>
            <w:pPr>
              <w:jc w:val="center"/>
              <w:ind w:left="190"/>
              <w:spacing w:after="0"/>
              <w:rPr>
                <w:sz w:val="20"/>
                <w:szCs w:val="20"/>
                <w:color w:val="auto"/>
              </w:rPr>
            </w:pPr>
            <w:r>
              <w:rPr>
                <w:rFonts w:ascii="Times New Roman" w:cs="Times New Roman" w:eastAsia="Times New Roman" w:hAnsi="Times New Roman"/>
                <w:sz w:val="10"/>
                <w:szCs w:val="10"/>
                <w:b w:val="1"/>
                <w:bCs w:val="1"/>
                <w:color w:val="auto"/>
                <w:w w:val="95"/>
              </w:rPr>
              <w:t>Period-to-Period Change for the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9"/>
        </w:trPr>
        <w:tc>
          <w:tcPr>
            <w:tcW w:w="4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80" w:type="dxa"/>
            <w:vAlign w:val="bottom"/>
            <w:gridSpan w:val="4"/>
          </w:tcPr>
          <w:p>
            <w:pPr>
              <w:jc w:val="center"/>
              <w:ind w:left="190"/>
              <w:spacing w:after="0" w:line="99" w:lineRule="exact"/>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5"/>
        </w:trPr>
        <w:tc>
          <w:tcPr>
            <w:tcW w:w="4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880" w:type="dxa"/>
            <w:vAlign w:val="bottom"/>
            <w:tcBorders>
              <w:bottom w:val="single" w:sz="8" w:color="auto"/>
            </w:tcBorders>
            <w:gridSpan w:val="4"/>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5"/>
              </w:rPr>
              <w:t>March 31, 2024 vs. 2023</w:t>
            </w:r>
          </w:p>
        </w:tc>
        <w:tc>
          <w:tcPr>
            <w:tcW w:w="2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72"/>
        </w:trPr>
        <w:tc>
          <w:tcPr>
            <w:tcW w:w="4140" w:type="dxa"/>
            <w:vAlign w:val="bottom"/>
          </w:tcPr>
          <w:p>
            <w:pPr>
              <w:spacing w:after="0"/>
              <w:rPr>
                <w:sz w:val="6"/>
                <w:szCs w:val="6"/>
                <w:color w:val="auto"/>
              </w:rPr>
            </w:pPr>
          </w:p>
        </w:tc>
        <w:tc>
          <w:tcPr>
            <w:tcW w:w="2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jc w:val="center"/>
              <w:ind w:left="174"/>
              <w:spacing w:after="0" w:line="72" w:lineRule="exact"/>
              <w:rPr>
                <w:sz w:val="20"/>
                <w:szCs w:val="20"/>
                <w:color w:val="auto"/>
              </w:rPr>
            </w:pPr>
            <w:r>
              <w:rPr>
                <w:rFonts w:ascii="Times New Roman" w:cs="Times New Roman" w:eastAsia="Times New Roman" w:hAnsi="Times New Roman"/>
                <w:sz w:val="8"/>
                <w:szCs w:val="8"/>
                <w:b w:val="1"/>
                <w:bCs w:val="1"/>
                <w:color w:val="auto"/>
              </w:rPr>
              <w:t>As a % of</w:t>
            </w: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117"/>
        </w:trPr>
        <w:tc>
          <w:tcPr>
            <w:tcW w:w="4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center"/>
              <w:ind w:left="174"/>
              <w:spacing w:after="0"/>
              <w:rPr>
                <w:sz w:val="20"/>
                <w:szCs w:val="20"/>
                <w:color w:val="auto"/>
              </w:rPr>
            </w:pPr>
            <w:r>
              <w:rPr>
                <w:rFonts w:ascii="Times New Roman" w:cs="Times New Roman" w:eastAsia="Times New Roman" w:hAnsi="Times New Roman"/>
                <w:sz w:val="10"/>
                <w:szCs w:val="10"/>
                <w:b w:val="1"/>
                <w:bCs w:val="1"/>
                <w:color w:val="auto"/>
                <w:w w:val="91"/>
              </w:rPr>
              <w:t>Related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5"/>
        </w:trPr>
        <w:tc>
          <w:tcPr>
            <w:tcW w:w="4140" w:type="dxa"/>
            <w:vAlign w:val="bottom"/>
            <w:tcBorders>
              <w:bottom w:val="single" w:sz="8" w:color="CCEEFF"/>
            </w:tcBorders>
          </w:tcPr>
          <w:p>
            <w:pPr>
              <w:spacing w:after="0"/>
              <w:rPr>
                <w:sz w:val="10"/>
                <w:szCs w:val="10"/>
                <w:color w:val="auto"/>
              </w:rPr>
            </w:pPr>
          </w:p>
        </w:tc>
        <w:tc>
          <w:tcPr>
            <w:tcW w:w="25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0"/>
                <w:szCs w:val="10"/>
                <w:b w:val="1"/>
                <w:bCs w:val="1"/>
                <w:color w:val="auto"/>
                <w:w w:val="92"/>
              </w:rPr>
              <w:t>Business</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33"/>
        </w:trPr>
        <w:tc>
          <w:tcPr>
            <w:tcW w:w="4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Commercial</w:t>
            </w:r>
          </w:p>
        </w:tc>
        <w:tc>
          <w:tcPr>
            <w:tcW w:w="25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6.8</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Industrial</w:t>
            </w:r>
          </w:p>
        </w:tc>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5.8</w:t>
            </w:r>
          </w:p>
        </w:tc>
        <w:tc>
          <w:tcPr>
            <w:tcW w:w="160" w:type="dxa"/>
            <w:vAlign w:val="bottom"/>
          </w:tcPr>
          <w:p>
            <w:pPr>
              <w:spacing w:after="0"/>
              <w:rPr>
                <w:sz w:val="12"/>
                <w:szCs w:val="12"/>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w:t>
            </w:r>
          </w:p>
        </w:tc>
        <w:tc>
          <w:tcPr>
            <w:tcW w:w="25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6.4</w:t>
            </w:r>
          </w:p>
        </w:tc>
        <w:tc>
          <w:tcPr>
            <w:tcW w:w="160" w:type="dxa"/>
            <w:vAlign w:val="bottom"/>
            <w:shd w:val="clear" w:color="auto" w:fill="CCEEFF"/>
          </w:tcPr>
          <w:p>
            <w:pPr>
              <w:spacing w:after="0"/>
              <w:rPr>
                <w:sz w:val="12"/>
                <w:szCs w:val="12"/>
                <w:color w:val="auto"/>
              </w:rPr>
            </w:pPr>
          </w:p>
        </w:tc>
      </w:tr>
      <w:tr>
        <w:trPr>
          <w:trHeight w:val="133"/>
        </w:trPr>
        <w:tc>
          <w:tcPr>
            <w:tcW w:w="41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2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186</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160" w:type="dxa"/>
            <w:vAlign w:val="bottom"/>
          </w:tcPr>
          <w:p>
            <w:pPr>
              <w:spacing w:after="0"/>
              <w:rPr>
                <w:sz w:val="11"/>
                <w:szCs w:val="1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2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shd w:val="clear" w:color="auto" w:fill="CCEEFF"/>
          </w:tcPr>
          <w:p>
            <w:pPr>
              <w:spacing w:after="0"/>
              <w:rPr>
                <w:sz w:val="12"/>
                <w:szCs w:val="12"/>
                <w:color w:val="auto"/>
              </w:rPr>
            </w:pPr>
          </w:p>
        </w:tc>
      </w:tr>
      <w:tr>
        <w:trPr>
          <w:trHeight w:val="144"/>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Transfer</w:t>
            </w:r>
          </w:p>
        </w:tc>
        <w:tc>
          <w:tcPr>
            <w:tcW w:w="25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color w:val="auto"/>
              </w:rPr>
              <w:t>5.5</w:t>
            </w:r>
          </w:p>
        </w:tc>
        <w:tc>
          <w:tcPr>
            <w:tcW w:w="160" w:type="dxa"/>
            <w:vAlign w:val="bottom"/>
            <w:tcBorders>
              <w:bottom w:val="single" w:sz="8" w:color="CCEEFF"/>
            </w:tcBorders>
          </w:tcPr>
          <w:p>
            <w:pPr>
              <w:spacing w:after="0"/>
              <w:rPr>
                <w:sz w:val="12"/>
                <w:szCs w:val="12"/>
                <w:color w:val="auto"/>
              </w:rPr>
            </w:pPr>
          </w:p>
        </w:tc>
      </w:tr>
      <w:tr>
        <w:trPr>
          <w:trHeight w:val="140"/>
        </w:trPr>
        <w:tc>
          <w:tcPr>
            <w:tcW w:w="414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25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w:t>
            </w:r>
          </w:p>
        </w:tc>
        <w:tc>
          <w:tcPr>
            <w:tcW w:w="2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5.1 %</w:t>
            </w:r>
          </w:p>
        </w:tc>
      </w:tr>
    </w:tbl>
    <w:p>
      <w:pPr>
        <w:spacing w:after="0" w:line="133"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Our overall pricing efforts are focused on keeping pace with the increasing costs and capital needs of our business. We are also continuing to focus on price increases in our disposal business with our municipal solid waste business experiencing average yield of 4.6% for the first quarter of 2024.</w:t>
      </w:r>
    </w:p>
    <w:p>
      <w:pPr>
        <w:spacing w:after="0" w:line="109" w:lineRule="exact"/>
        <w:rPr>
          <w:sz w:val="20"/>
          <w:szCs w:val="20"/>
          <w:color w:val="auto"/>
        </w:rPr>
      </w:pPr>
    </w:p>
    <w:p>
      <w:pPr>
        <w:jc w:val="both"/>
        <w:ind w:left="20" w:right="39"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Recycling Processing and Sales and WM Renewable Energy </w:t>
      </w:r>
      <w:r>
        <w:rPr>
          <w:rFonts w:ascii="Times New Roman" w:cs="Times New Roman" w:eastAsia="Times New Roman" w:hAnsi="Times New Roman"/>
          <w:sz w:val="12"/>
          <w:szCs w:val="12"/>
          <w:color w:val="auto"/>
        </w:rPr>
        <w:t>— Recycling Processing and Sales revenues attributable to yield increased $58 million in the first quarter of 2024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compared with prior year period. During the first quarter of 2024, average market prices for single-stream recycled commodities were up 57% as compared with the prior year period. Yield from the WM Renewable Energy segment was essentially flat with increases in Renewable Identification Numbers (“RINs”) values largely offset by a decrease in market prices for power. While there may be short-term fluctuations in our commodity-driven businesses as prices change, we continue to take proactive steps to adjust our business models to protect against the downside risk of changes in commodity prices.</w:t>
      </w:r>
    </w:p>
    <w:p>
      <w:pPr>
        <w:spacing w:after="0" w:line="122" w:lineRule="exact"/>
        <w:rPr>
          <w:sz w:val="20"/>
          <w:szCs w:val="20"/>
          <w:color w:val="auto"/>
        </w:rPr>
      </w:pPr>
    </w:p>
    <w:p>
      <w:pPr>
        <w:jc w:val="both"/>
        <w:ind w:left="20" w:right="39"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Energy Surcharge and Mandated Fees — </w:t>
      </w:r>
      <w:r>
        <w:rPr>
          <w:rFonts w:ascii="Times New Roman" w:cs="Times New Roman" w:eastAsia="Times New Roman" w:hAnsi="Times New Roman"/>
          <w:sz w:val="12"/>
          <w:szCs w:val="12"/>
          <w:color w:val="auto"/>
        </w:rPr>
        <w:t>These fees, which include our energy surcharge program and other mandated fees, decreased $28 million for the first quarter of 2024,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compared with the prior year period. Beginning in the second quarter of 2023, our energy surcharge was revised to incorporate market prices for both diesel and CNG. The decrease in energy surcharge revenues in the first quarter of 2024 is primarily due to a decline of approximately 10% in market prices for diesel fuel as compared to the prior year period. The mandated fees are primarily related to fees and taxes assessed by various state, county and municipal government agencies at our landfills and transfer stations. These amounts have not significantly impacted the change in revenue for the first quarter of 2024, as compared with the prior year period.</w:t>
      </w:r>
    </w:p>
    <w:p>
      <w:pPr>
        <w:spacing w:after="0" w:line="1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i w:val="1"/>
          <w:iCs w:val="1"/>
          <w:color w:val="auto"/>
        </w:rPr>
        <w:t>Volume</w:t>
      </w:r>
    </w:p>
    <w:p>
      <w:pPr>
        <w:spacing w:after="0" w:line="152"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Our revenues from volume (excluding volumes from acquisitions and divestitures) decreased $1 million for the first quarter of 2024 as compared with the prior year period. Special waste volumes at our landfills continue to be strong primarily due to higher contributions from event-driven projects. In addition, our WMSBS business volumes grew as a result of our continued focus on a differentiated service model for national accounts customers. However, these increases have been offset by a decline in our industrial collection volumes primarily due to lower contributions from temporary business as well as our intentional shedding of low-margin residential collection volumes. Furthermore, our construction and demolition landfill volumes have declined on a year-over-year basis due to the impact of clean-up efforts in our East Tier from Hurricane Ian in the prior year.</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26" w:name="page27"/>
    <w:bookmarkEnd w:id="26"/>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the major components of our operating expenses for the three months ended March 31 (in millions of dollars and as a percentage of revenues):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0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33"/>
        </w:trPr>
        <w:tc>
          <w:tcPr>
            <w:tcW w:w="6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Labor and related benefits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893</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17.3</w:t>
            </w:r>
          </w:p>
        </w:tc>
        <w:tc>
          <w:tcPr>
            <w:tcW w:w="320" w:type="dxa"/>
            <w:vAlign w:val="bottom"/>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914</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Transfer and disposal costs</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6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Maintenance and repairs</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shd w:val="clear" w:color="auto" w:fill="CCEEFF"/>
          </w:tcPr>
          <w:p>
            <w:pPr>
              <w:spacing w:after="0"/>
              <w:rPr>
                <w:sz w:val="12"/>
                <w:szCs w:val="12"/>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Subcontractor costs</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shd w:val="clear" w:color="auto" w:fill="CCEEFF"/>
          </w:tcPr>
          <w:p>
            <w:pPr>
              <w:spacing w:after="0"/>
              <w:rPr>
                <w:sz w:val="12"/>
                <w:szCs w:val="12"/>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Fuel</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6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 and franchise fees and taxes</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60" w:type="dxa"/>
            <w:vAlign w:val="bottom"/>
            <w:shd w:val="clear" w:color="auto" w:fill="CCEEFF"/>
          </w:tcPr>
          <w:p>
            <w:pPr>
              <w:spacing w:after="0"/>
              <w:rPr>
                <w:sz w:val="12"/>
                <w:szCs w:val="12"/>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Landfill operating costs</w:t>
            </w:r>
          </w:p>
        </w:tc>
        <w:tc>
          <w:tcPr>
            <w:tcW w:w="1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60" w:type="dxa"/>
            <w:vAlign w:val="bottom"/>
          </w:tcPr>
          <w:p>
            <w:pPr>
              <w:spacing w:after="0"/>
              <w:rPr>
                <w:sz w:val="12"/>
                <w:szCs w:val="12"/>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 management</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shd w:val="clear" w:color="auto" w:fill="CCEEFF"/>
          </w:tcPr>
          <w:p>
            <w:pPr>
              <w:spacing w:after="0"/>
              <w:rPr>
                <w:sz w:val="12"/>
                <w:szCs w:val="12"/>
                <w:color w:val="auto"/>
              </w:rPr>
            </w:pPr>
          </w:p>
        </w:tc>
      </w:tr>
      <w:tr>
        <w:trPr>
          <w:trHeight w:val="144"/>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0" w:type="dxa"/>
            <w:vAlign w:val="bottom"/>
            <w:tcBorders>
              <w:bottom w:val="single" w:sz="8" w:color="CCEEFF"/>
            </w:tcBorders>
          </w:tcPr>
          <w:p>
            <w:pPr>
              <w:spacing w:after="0"/>
              <w:rPr>
                <w:sz w:val="12"/>
                <w:szCs w:val="12"/>
                <w:color w:val="auto"/>
              </w:rPr>
            </w:pPr>
          </w:p>
        </w:tc>
      </w:tr>
      <w:tr>
        <w:trPr>
          <w:trHeight w:val="140"/>
        </w:trPr>
        <w:tc>
          <w:tcPr>
            <w:tcW w:w="60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3,140</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60.9</w:t>
            </w:r>
          </w:p>
        </w:tc>
        <w:tc>
          <w:tcPr>
            <w:tcW w:w="320" w:type="dxa"/>
            <w:vAlign w:val="bottom"/>
            <w:tcBorders>
              <w:bottom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3,086</w:t>
            </w:r>
          </w:p>
        </w:tc>
        <w:tc>
          <w:tcPr>
            <w:tcW w:w="1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63.1</w:t>
            </w:r>
          </w:p>
        </w:tc>
        <w:tc>
          <w:tcPr>
            <w:tcW w:w="16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Our operating expenses for the first quarter of 2024 increased, as compared with the first quarter of 2023, primarily due to (i) commodity-driven business impacts from higher recycling rebates reflected in costs of goods sold; (ii) an increase in volumes in our WMSBS business, which relies more extensively on subcontracted hauling and services than our Collection and Disposal businesses and (iii) inflationary pressures which have moderately declined from the high levels observed during the first half of 2023. These increases were offset, in part, by (i) commodity-driven business impacts from lower fuel prices and (ii) improved operating efficiency and cost control initiatives in our Collection and Disposal businesses, as reflected in lower labor and benefits and maintenance and repairs costs as compared with the first quarter of 2023. Although our operating expenses increased overall, efficiency gains, improved turnover, and momentum in truck deliveries combined with the benefit of price increases positioned us to significantly reduce our operating expenses as a percentage of revenue when compared with prior period.</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Significant items affecting the comparison of operating expenses for the reported periods include:</w:t>
      </w:r>
    </w:p>
    <w:p>
      <w:pPr>
        <w:spacing w:after="0" w:line="148"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Labor and Related Benefits </w:t>
      </w:r>
      <w:r>
        <w:rPr>
          <w:rFonts w:ascii="Times New Roman" w:cs="Times New Roman" w:eastAsia="Times New Roman" w:hAnsi="Times New Roman"/>
          <w:sz w:val="12"/>
          <w:szCs w:val="12"/>
          <w:color w:val="auto"/>
        </w:rPr>
        <w:t>— The decrease in labor and related benefits costs was largely driven by efficiency improvements in the Collection and Disposal businesses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demonstrated by (i) lower headcount; (ii) decreased overtime and (iii) a significant reduction in training hours. Improved driver retention was an important contributing factor to accomplish this result. The efficiency and turnover driven decreases in costs were offset, in part, by annual employee wage increases.</w:t>
      </w:r>
    </w:p>
    <w:p>
      <w:pPr>
        <w:spacing w:after="0" w:line="11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Transfer and Disposal Costs </w:t>
      </w:r>
      <w:r>
        <w:rPr>
          <w:rFonts w:ascii="Times New Roman" w:cs="Times New Roman" w:eastAsia="Times New Roman" w:hAnsi="Times New Roman"/>
          <w:sz w:val="12"/>
          <w:szCs w:val="12"/>
          <w:color w:val="auto"/>
        </w:rPr>
        <w:t>— The increase in transfer and disposal costs was primarily due to inflationary cost increases, which includes increased disposal fees at third-party sites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higher rates from our third-party haulers offset, in part, by decreases in industrial and residential collection volumes.</w:t>
      </w:r>
    </w:p>
    <w:p>
      <w:pPr>
        <w:spacing w:after="0" w:line="10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Maintenance and Repairs </w:t>
      </w:r>
      <w:r>
        <w:rPr>
          <w:rFonts w:ascii="Times New Roman" w:cs="Times New Roman" w:eastAsia="Times New Roman" w:hAnsi="Times New Roman"/>
          <w:sz w:val="12"/>
          <w:szCs w:val="12"/>
          <w:color w:val="auto"/>
        </w:rPr>
        <w:t>— The slight decrease in maintenance and repairs costs was largely driven by an improvement in new truck deliveries, which lowered average fleet age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reduced demand for third-party services, parts and supplies.</w:t>
      </w:r>
    </w:p>
    <w:p>
      <w:pPr>
        <w:spacing w:after="0" w:line="107"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Subcontractor Costs — </w:t>
      </w:r>
      <w:r>
        <w:rPr>
          <w:rFonts w:ascii="Times New Roman" w:cs="Times New Roman" w:eastAsia="Times New Roman" w:hAnsi="Times New Roman"/>
          <w:sz w:val="12"/>
          <w:szCs w:val="12"/>
          <w:color w:val="auto"/>
        </w:rPr>
        <w:t>The increase in subcontractor costs was primarily due to (i) an increase in volumes in our WMSBS business, which relies more extensively on subcontracted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hauling and services than our Collection and Disposal businesses and (ii) continued inflationary cost increases, particularly labor costs from third-party haulers. These increases were offset, in part, by the impact of lower fuel prices on third-party subcontracted hauling and services as compared with the first quarter of 2023.</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Cost of Goods Sold </w:t>
      </w:r>
      <w:r>
        <w:rPr>
          <w:rFonts w:ascii="Times New Roman" w:cs="Times New Roman" w:eastAsia="Times New Roman" w:hAnsi="Times New Roman"/>
          <w:sz w:val="12"/>
          <w:szCs w:val="12"/>
          <w:color w:val="auto"/>
        </w:rPr>
        <w:t>— The increase in cost of goods sold was primarily driven by a 57% increase in recycling commodity prices compared to the prior year period.</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27" w:name="page28"/>
    <w:bookmarkEnd w:id="27"/>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Fuel </w:t>
      </w:r>
      <w:r>
        <w:rPr>
          <w:rFonts w:ascii="Times New Roman" w:cs="Times New Roman" w:eastAsia="Times New Roman" w:hAnsi="Times New Roman"/>
          <w:sz w:val="12"/>
          <w:szCs w:val="12"/>
          <w:color w:val="auto"/>
        </w:rPr>
        <w:t>— The decrease in fuel costs was primarily due to a decrease of approximately 10% in market prices for diesel fuel.</w:t>
      </w:r>
    </w:p>
    <w:p>
      <w:pPr>
        <w:spacing w:after="0" w:line="150"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Disposal and Franchise Fees and Taxes </w:t>
      </w:r>
      <w:r>
        <w:rPr>
          <w:rFonts w:ascii="Times New Roman" w:cs="Times New Roman" w:eastAsia="Times New Roman" w:hAnsi="Times New Roman"/>
          <w:sz w:val="12"/>
          <w:szCs w:val="12"/>
          <w:color w:val="auto"/>
        </w:rPr>
        <w:t>— The slight increase in disposal and franchise fees and taxes was primarily driven by higher franchise and host community fees paid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certain municipalities where we operate.</w:t>
      </w:r>
    </w:p>
    <w:p>
      <w:pPr>
        <w:spacing w:after="0" w:line="10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Landfill Operating Costs </w:t>
      </w:r>
      <w:r>
        <w:rPr>
          <w:rFonts w:ascii="Times New Roman" w:cs="Times New Roman" w:eastAsia="Times New Roman" w:hAnsi="Times New Roman"/>
          <w:sz w:val="12"/>
          <w:szCs w:val="12"/>
          <w:color w:val="auto"/>
        </w:rPr>
        <w:t>— The increase in landfill operating costs was primarily due to (i) certain adjustments to our environmental remediation reserve during the first quarter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2024, and (ii) higher costs across our landfills for leachate collection and treatment.</w:t>
      </w:r>
    </w:p>
    <w:p>
      <w:pPr>
        <w:spacing w:after="0" w:line="10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Risk Management </w:t>
      </w:r>
      <w:r>
        <w:rPr>
          <w:rFonts w:ascii="Times New Roman" w:cs="Times New Roman" w:eastAsia="Times New Roman" w:hAnsi="Times New Roman"/>
          <w:sz w:val="12"/>
          <w:szCs w:val="12"/>
          <w:color w:val="auto"/>
        </w:rPr>
        <w:t>— Risk management costs increased during the first quarter of 2024 as compared with the first quarter of 2023 primarily due to expected increases in premiums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property coverage.</w:t>
      </w:r>
    </w:p>
    <w:p>
      <w:pPr>
        <w:spacing w:after="0" w:line="107"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Other </w:t>
      </w:r>
      <w:r>
        <w:rPr>
          <w:rFonts w:ascii="Times New Roman" w:cs="Times New Roman" w:eastAsia="Times New Roman" w:hAnsi="Times New Roman"/>
          <w:sz w:val="12"/>
          <w:szCs w:val="12"/>
          <w:color w:val="auto"/>
        </w:rPr>
        <w:t>— Other operating cost increases were primarily due to a favorable litigation settlement during the first quarter of 2023, which reduced our expense, and an increase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property taxes. These increases were offset, in part, by (i) lower equipment rental costs attributable, in part, to improved truck deliveries in late 2023 and early 2024 and (ii) security costs during the first quarter of 2023 attributable to a labor dispute which did not recur in 2024.</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major components of our selling, general and administrative expenses for the three months ended March 31 (in millions of dollars and as a percentage of revenues):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3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r>
      <w:tr>
        <w:trPr>
          <w:trHeight w:val="133"/>
        </w:trPr>
        <w:tc>
          <w:tcPr>
            <w:tcW w:w="6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Labor and related benefits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321</w:t>
            </w:r>
          </w:p>
        </w:tc>
        <w:tc>
          <w:tcPr>
            <w:tcW w:w="66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340" w:type="dxa"/>
            <w:vAlign w:val="bottom"/>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312</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w:t>
            </w:r>
          </w:p>
        </w:tc>
        <w:tc>
          <w:tcPr>
            <w:tcW w:w="1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fees</w:t>
            </w: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tcPr>
          <w:p>
            <w:pPr>
              <w:spacing w:after="0"/>
              <w:rPr>
                <w:sz w:val="12"/>
                <w:szCs w:val="12"/>
                <w:color w:val="auto"/>
              </w:rPr>
            </w:pPr>
          </w:p>
        </w:tc>
      </w:tr>
      <w:tr>
        <w:trPr>
          <w:trHeight w:val="14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bad debts</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EFF"/>
          </w:tcPr>
          <w:p>
            <w:pPr>
              <w:spacing w:after="0"/>
              <w:rPr>
                <w:sz w:val="12"/>
                <w:szCs w:val="12"/>
                <w:color w:val="auto"/>
              </w:rPr>
            </w:pPr>
          </w:p>
        </w:tc>
      </w:tr>
      <w:tr>
        <w:trPr>
          <w:trHeight w:val="144"/>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tcPr>
          <w:p>
            <w:pPr>
              <w:spacing w:after="0"/>
              <w:rPr>
                <w:sz w:val="12"/>
                <w:szCs w:val="12"/>
                <w:color w:val="auto"/>
              </w:rPr>
            </w:pPr>
          </w:p>
        </w:tc>
      </w:tr>
      <w:tr>
        <w:trPr>
          <w:trHeight w:val="140"/>
        </w:trPr>
        <w:tc>
          <w:tcPr>
            <w:tcW w:w="62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340" w:type="dxa"/>
            <w:vAlign w:val="bottom"/>
            <w:tcBorders>
              <w:top w:val="single" w:sz="8" w:color="CCEEFF"/>
              <w:bottom w:val="single" w:sz="8" w:color="CCEEFF"/>
            </w:tcBorders>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w:t>
            </w:r>
          </w:p>
        </w:tc>
        <w:tc>
          <w:tcPr>
            <w:tcW w:w="180" w:type="dxa"/>
            <w:vAlign w:val="bottom"/>
            <w:tcBorders>
              <w:top w:val="single" w:sz="8" w:color="CCEEFF"/>
              <w:bottom w:val="single" w:sz="8" w:color="CCEEFF"/>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Selling, general and administrative expenses have increased primarily due to (i) increased labor costs from higher annual incentive compensation costs and annual wage increases and</w:t>
      </w:r>
    </w:p>
    <w:p>
      <w:pPr>
        <w:spacing w:after="0" w:line="28" w:lineRule="exact"/>
        <w:rPr>
          <w:sz w:val="20"/>
          <w:szCs w:val="20"/>
          <w:color w:val="auto"/>
        </w:rPr>
      </w:pPr>
    </w:p>
    <w:p>
      <w:pPr>
        <w:ind w:left="20" w:right="39" w:firstLine="2"/>
        <w:spacing w:after="0" w:line="260" w:lineRule="auto"/>
        <w:tabs>
          <w:tab w:leader="none" w:pos="21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technology spend. Although our costs increased, the significant revenue increases positioned us to reduce our overall selling, general and administrative expenses as a percentage of revenue when compared with the prior period.</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Significant items affecting the comparison of our selling, general and administrative expenses for the reported periods include:</w:t>
      </w:r>
    </w:p>
    <w:p>
      <w:pPr>
        <w:spacing w:after="0" w:line="148"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Labor and Related Benefits — </w:t>
      </w:r>
      <w:r>
        <w:rPr>
          <w:rFonts w:ascii="Times New Roman" w:cs="Times New Roman" w:eastAsia="Times New Roman" w:hAnsi="Times New Roman"/>
          <w:sz w:val="12"/>
          <w:szCs w:val="12"/>
          <w:color w:val="auto"/>
        </w:rPr>
        <w:t>The increase in labor and related benefits costs was primarily related to (i) higher annual incentive compensation costs and (ii) annual employee wage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increases. These increases were partially offset by a reduction in the hourly workforce as we have leveraged automation and technology to address attrition, particularly in our customer experience function.</w:t>
      </w:r>
    </w:p>
    <w:p>
      <w:pPr>
        <w:spacing w:after="0" w:line="11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Professional Fees </w:t>
      </w:r>
      <w:r>
        <w:rPr>
          <w:rFonts w:ascii="Times New Roman" w:cs="Times New Roman" w:eastAsia="Times New Roman" w:hAnsi="Times New Roman"/>
          <w:sz w:val="12"/>
          <w:szCs w:val="12"/>
          <w:color w:val="auto"/>
        </w:rPr>
        <w:t>—The decrease in professional fees was primarily attributable to reduced expenses in connection with investments in our digital platform, as certain strategic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projects have now been implemented.</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Other — </w:t>
      </w:r>
      <w:r>
        <w:rPr>
          <w:rFonts w:ascii="Times New Roman" w:cs="Times New Roman" w:eastAsia="Times New Roman" w:hAnsi="Times New Roman"/>
          <w:sz w:val="12"/>
          <w:szCs w:val="12"/>
          <w:color w:val="auto"/>
        </w:rPr>
        <w:t>The increase in other expenses was primarily related to increased spend across multiple cost categories such as computers, travel, and other support costs.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Depreciation, Depletion and Amortization Expenses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components of our depreciation, depletion and amortization expenses for the three months ended March 31 (in millions of dollars and as a percentage of revenues):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2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r>
      <w:tr>
        <w:trPr>
          <w:trHeight w:val="133"/>
        </w:trPr>
        <w:tc>
          <w:tcPr>
            <w:tcW w:w="6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Depreciation of tangible property and equipment</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293</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1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Depletion of landfill airspace</w:t>
            </w:r>
          </w:p>
        </w:tc>
        <w:tc>
          <w:tcPr>
            <w:tcW w:w="2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80" w:type="dxa"/>
            <w:vAlign w:val="bottom"/>
          </w:tcPr>
          <w:p>
            <w:pPr>
              <w:spacing w:after="0"/>
              <w:rPr>
                <w:sz w:val="12"/>
                <w:szCs w:val="12"/>
                <w:color w:val="auto"/>
              </w:rPr>
            </w:pPr>
          </w:p>
        </w:tc>
      </w:tr>
      <w:tr>
        <w:trPr>
          <w:trHeight w:val="14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80" w:type="dxa"/>
            <w:vAlign w:val="bottom"/>
            <w:shd w:val="clear" w:color="auto" w:fill="CCEEFF"/>
          </w:tcPr>
          <w:p>
            <w:pPr>
              <w:spacing w:after="0"/>
              <w:rPr>
                <w:sz w:val="12"/>
                <w:szCs w:val="12"/>
                <w:color w:val="auto"/>
              </w:rPr>
            </w:pPr>
          </w:p>
        </w:tc>
      </w:tr>
      <w:tr>
        <w:trPr>
          <w:trHeight w:val="140"/>
        </w:trPr>
        <w:tc>
          <w:tcPr>
            <w:tcW w:w="624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514</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32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505</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18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increase in depreciation of tangible property and equipment during the first quarter of 2024, as compared with the first quarter of 2023, was primarily driven by additional depreciation due to investments in capital assets to service our customers, such as trucks, machinery and equipment, and containers. The decrease in depletion of landfill airspace during the first quarter of 2024, as compared with the first quarter of 2023, was driven by the closure of a previously reopened landfill in our East Tier. The decrease in amortization of intangible assets during the first quarter of 2024, as compared with the first quarter of 2023, was primarily driven by the amortization of acquired intangible assets.</w:t>
      </w:r>
    </w:p>
    <w:p>
      <w:pPr>
        <w:spacing w:after="0" w:line="1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Income from Operations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income from operations for our reportable segments for the three months ended March 31 (dollars 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Period-to-Period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CCEEFF"/>
            </w:tcBorders>
          </w:tcPr>
          <w:p>
            <w:pPr>
              <w:spacing w:after="0"/>
              <w:rPr>
                <w:sz w:val="10"/>
                <w:szCs w:val="10"/>
                <w:color w:val="auto"/>
              </w:rPr>
            </w:pPr>
          </w:p>
        </w:tc>
        <w:tc>
          <w:tcPr>
            <w:tcW w:w="37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Collection and Disposal:</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East Tier</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1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16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46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23.2 %</w:t>
            </w: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West Tier</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Other Ancillary</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Collection and Disposal</w:t>
            </w: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1,064</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215</w:t>
            </w:r>
          </w:p>
        </w:tc>
        <w:tc>
          <w:tcPr>
            <w:tcW w:w="4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20.2</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46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46.2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(272)</w:t>
            </w:r>
          </w:p>
        </w:tc>
        <w:tc>
          <w:tcPr>
            <w:tcW w:w="180" w:type="dxa"/>
            <w:vAlign w:val="bottom"/>
          </w:tcPr>
          <w:p>
            <w:pPr>
              <w:spacing w:after="0"/>
              <w:rPr>
                <w:sz w:val="12"/>
                <w:szCs w:val="12"/>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(31)</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tcBorders>
              <w:top w:val="single" w:sz="8" w:color="CCEEFF"/>
              <w:bottom w:val="single" w:sz="8" w:color="CCEEFF"/>
            </w:tcBorders>
            <w:gridSpan w:val="2"/>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color w:val="auto"/>
              </w:rPr>
              <w:t>Total (a)</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w:t>
            </w: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23.2 %</w:t>
            </w:r>
          </w:p>
        </w:tc>
        <w:tc>
          <w:tcPr>
            <w:tcW w:w="0" w:type="dxa"/>
            <w:vAlign w:val="bottom"/>
          </w:tcPr>
          <w:p>
            <w:pPr>
              <w:spacing w:after="0"/>
              <w:rPr>
                <w:sz w:val="1"/>
                <w:szCs w:val="1"/>
                <w:color w:val="auto"/>
              </w:rPr>
            </w:pPr>
          </w:p>
        </w:tc>
      </w:tr>
      <w:tr>
        <w:trPr>
          <w:trHeight w:val="138"/>
        </w:trPr>
        <w:tc>
          <w:tcPr>
            <w:tcW w:w="600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Percentage of revenues</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19.7</w:t>
            </w:r>
          </w:p>
        </w:tc>
        <w:tc>
          <w:tcPr>
            <w:tcW w:w="180" w:type="dxa"/>
            <w:vAlign w:val="bottom"/>
          </w:tcPr>
          <w:p>
            <w:pPr>
              <w:jc w:val="right"/>
              <w:ind w:right="20"/>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16.9</w:t>
            </w:r>
          </w:p>
        </w:tc>
        <w:tc>
          <w:tcPr>
            <w:tcW w:w="1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Percentage change does not provide a meaningful comparison.</w:t>
      </w:r>
    </w:p>
    <w:p>
      <w:pPr>
        <w:spacing w:after="0" w:line="78" w:lineRule="exact"/>
        <w:rPr>
          <w:sz w:val="20"/>
          <w:szCs w:val="20"/>
          <w:color w:val="auto"/>
        </w:rPr>
      </w:pPr>
    </w:p>
    <w:p>
      <w:pPr>
        <w:ind w:left="240" w:right="39" w:hanging="218"/>
        <w:spacing w:after="0" w:line="279" w:lineRule="auto"/>
        <w:tabs>
          <w:tab w:leader="none" w:pos="2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the operating results of our reportable segments are significantly affected by certain transactions or events that management believes are not indicative or representative of our results.</w:t>
      </w:r>
    </w:p>
    <w:p>
      <w:pPr>
        <w:spacing w:after="0" w:line="39" w:lineRule="exact"/>
        <w:rPr>
          <w:rFonts w:ascii="Times New Roman" w:cs="Times New Roman" w:eastAsia="Times New Roman" w:hAnsi="Times New Roman"/>
          <w:sz w:val="12"/>
          <w:szCs w:val="12"/>
          <w:color w:val="auto"/>
        </w:rPr>
      </w:pPr>
    </w:p>
    <w:p>
      <w:pPr>
        <w:ind w:left="2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significant items affecting income from operations for our segments during the first quarter of 2024, as compared with the prior year period, are summarized below:</w:t>
      </w:r>
    </w:p>
    <w:p>
      <w:pPr>
        <w:spacing w:after="0" w:line="148" w:lineRule="exact"/>
        <w:rPr>
          <w:sz w:val="20"/>
          <w:szCs w:val="20"/>
          <w:color w:val="auto"/>
        </w:rPr>
      </w:pPr>
    </w:p>
    <w:p>
      <w:pPr>
        <w:jc w:val="both"/>
        <w:ind w:left="20" w:right="39"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Collection and Disposal </w:t>
      </w:r>
      <w:r>
        <w:rPr>
          <w:rFonts w:ascii="Times New Roman" w:cs="Times New Roman" w:eastAsia="Times New Roman" w:hAnsi="Times New Roman"/>
          <w:sz w:val="12"/>
          <w:szCs w:val="12"/>
          <w:color w:val="auto"/>
        </w:rPr>
        <w:t>— Income from operations in our Collection and Disposal businesses increased primarily due to intentional efforts to improve the efficiency and operating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costs incurred to serve our customers. Revenue growth from price increases, which translate into increased yield or average unit price, also contributed to the increase in income from operations. These increases were partially offset by (i) increased subcontractor costs within our WMSBS business which relies more extensively on subcontracted hauling and services than other parts of our Collection and Disposal</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29" w:name="page30"/>
    <w:bookmarkEnd w:id="29"/>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businesses and (ii) a decline in industrial collection volumes primarily due to lower contributions from temporary businesses as well as our intentional efforts to reduce unprofitable residential collection volumes.</w:t>
      </w:r>
    </w:p>
    <w:p>
      <w:pPr>
        <w:spacing w:after="0" w:line="109"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Recycling Processing and Sales </w:t>
      </w:r>
      <w:r>
        <w:rPr>
          <w:rFonts w:ascii="Times New Roman" w:cs="Times New Roman" w:eastAsia="Times New Roman" w:hAnsi="Times New Roman"/>
          <w:sz w:val="12"/>
          <w:szCs w:val="12"/>
          <w:color w:val="auto"/>
        </w:rPr>
        <w:t>— The increase in income from operations in Recycling Processing and Sales was primarily driven by an increase in the price for recycled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commodities compared to the prior year.</w:t>
      </w:r>
    </w:p>
    <w:p>
      <w:pPr>
        <w:spacing w:after="0" w:line="107" w:lineRule="exact"/>
        <w:rPr>
          <w:sz w:val="20"/>
          <w:szCs w:val="20"/>
          <w:color w:val="auto"/>
        </w:rPr>
      </w:pPr>
    </w:p>
    <w:p>
      <w:pPr>
        <w:jc w:val="both"/>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WM Renewable Energy </w:t>
      </w:r>
      <w:r>
        <w:rPr>
          <w:rFonts w:ascii="Times New Roman" w:cs="Times New Roman" w:eastAsia="Times New Roman" w:hAnsi="Times New Roman"/>
          <w:sz w:val="12"/>
          <w:szCs w:val="12"/>
          <w:color w:val="auto"/>
        </w:rPr>
        <w:t>— The increase in income from operations in WM Renewable Energy was primarily driven by (i) increased revenue due to higher RINs pricing and (ii)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reduction in professional fees.</w:t>
      </w:r>
    </w:p>
    <w:p>
      <w:pPr>
        <w:spacing w:after="0" w:line="107"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Corporate and Other </w:t>
      </w:r>
      <w:r>
        <w:rPr>
          <w:rFonts w:ascii="Times New Roman" w:cs="Times New Roman" w:eastAsia="Times New Roman" w:hAnsi="Times New Roman"/>
          <w:sz w:val="12"/>
          <w:szCs w:val="12"/>
          <w:color w:val="auto"/>
        </w:rPr>
        <w:t>— The decrease in income from operations was primarily driven by (i) higher annual incentive compensation and (ii) certain adjustments to our environmental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remediation reserve during the first quarter of 2024. The decrease was partially offset by a decrease in health and welfare costs attributable to a headcount driven decline in plan participants.</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p>
      <w:pPr>
        <w:spacing w:after="0" w:line="154" w:lineRule="exact"/>
        <w:rPr>
          <w:sz w:val="20"/>
          <w:szCs w:val="20"/>
          <w:color w:val="auto"/>
        </w:rPr>
      </w:pPr>
    </w:p>
    <w:p>
      <w:pPr>
        <w:jc w:val="both"/>
        <w:ind w:left="20" w:right="39" w:firstLine="173"/>
        <w:spacing w:after="0" w:line="264" w:lineRule="auto"/>
        <w:rPr>
          <w:sz w:val="20"/>
          <w:szCs w:val="20"/>
          <w:color w:val="auto"/>
        </w:rPr>
      </w:pPr>
      <w:r>
        <w:rPr>
          <w:rFonts w:ascii="Times New Roman" w:cs="Times New Roman" w:eastAsia="Times New Roman" w:hAnsi="Times New Roman"/>
          <w:sz w:val="12"/>
          <w:szCs w:val="12"/>
          <w:color w:val="auto"/>
        </w:rPr>
        <w:t>Our interest expense, net was $130 million and $120 million during the three months ended March 31, 2024 and 2023, respectively. The increase is primarily related to an increase in our weighted average borrowing rate of approximately 15 basis points.</w:t>
      </w:r>
    </w:p>
    <w:p>
      <w:pPr>
        <w:spacing w:after="0" w:line="1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Equity in Net Losses of Unconsolidated Entities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recognized equity in net losses of unconsolidated entities of $19 million and $11 million during the three months ended March 31, 2024 and 2023,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further in Note 4 to the Condensed Consolidated Financial Statements.</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income tax expense and effective income tax rates were $162 million, or 18.6%, and $164 million, or 23.6%, for the three months ended March 31, 2024 and 2023, respectively.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 4 to the Condensed Consolidated Financial Statements for more information related to income taxes.</w:t>
      </w:r>
    </w:p>
    <w:p>
      <w:pPr>
        <w:spacing w:after="0" w:line="137" w:lineRule="exact"/>
        <w:rPr>
          <w:sz w:val="20"/>
          <w:szCs w:val="20"/>
          <w:color w:val="auto"/>
        </w:rPr>
      </w:pPr>
    </w:p>
    <w:p>
      <w:pPr>
        <w:jc w:val="both"/>
        <w:ind w:left="20" w:right="39"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Tax Legislation </w:t>
      </w:r>
      <w:r>
        <w:rPr>
          <w:rFonts w:ascii="Times New Roman" w:cs="Times New Roman" w:eastAsia="Times New Roman" w:hAnsi="Times New Roman"/>
          <w:sz w:val="12"/>
          <w:szCs w:val="12"/>
          <w:color w:val="auto"/>
        </w:rPr>
        <w:t>— The Inflation Reduction Act of 2022 (“IRA”) was signed into law by President Biden on August 16, 2022 and contains several tax-related provisions,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related to alternative fuel tax credits secure approximately $55 million of annual pre-tax benefit (recorded as a reduction in our operating expense) for tax credits in 2022, 2023 and 2024.</w:t>
      </w:r>
    </w:p>
    <w:p>
      <w:pPr>
        <w:spacing w:after="0" w:line="12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With respect to the investment tax credit, as expanded by the IRA, we expect the cumulative benefit to be between $250 million and $350 million, a large portion of which is anticipated to be realized in 2024 through 2026. The Company projects a full year investment tax credit benefit of approximately $145 million, which is derived from the projected completion of five new RNG facilities by the end of 2024. The amount of the projected investment tax credit benefit for 2024 is based on a number of estimates and assumptions, including the timing of project completion and interpretation of the IRA.</w:t>
      </w:r>
    </w:p>
    <w:p>
      <w:pPr>
        <w:spacing w:after="0" w:line="122"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Recently, however, the IRS issued proposed regulations applicable to the investment tax credits that could call into question our ability to realize some, or all, of this tax benefit, which would negatively impact financial expectations in connection with our significant planned and ongoing investments in sustainability growth projects in our WM Renewable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30" w:name="page31"/>
    <w:bookmarkEnd w:id="30"/>
    <w:p>
      <w:pPr>
        <w:jc w:val="both"/>
        <w:ind w:left="20" w:right="39"/>
        <w:spacing w:after="0" w:line="256" w:lineRule="auto"/>
        <w:rPr>
          <w:sz w:val="20"/>
          <w:szCs w:val="20"/>
          <w:color w:val="auto"/>
        </w:rPr>
      </w:pPr>
      <w:r>
        <w:rPr>
          <w:rFonts w:ascii="Times New Roman" w:cs="Times New Roman" w:eastAsia="Times New Roman" w:hAnsi="Times New Roman"/>
          <w:sz w:val="12"/>
          <w:szCs w:val="12"/>
          <w:color w:val="auto"/>
        </w:rPr>
        <w:t>Energy segment. The proposed regulations provide a public comment period to allow taxpayers to provide input prior to the issuance of final regulations. In coordination with other members of the RNG industry, we are actively using this public comment period to work with external advisors, the U.S. Congress, the current federal administration, and other biogas sector stakeholders to encourage the Treasury Department to further refine its analysis prior to publication of final regulations that more accurately reflect the express language and legislative intent of the statute with respect to the investment tax credit. However, there is no guarantee that such efforts will be successful. We expect that the production tax credit incentives for investments in renewable energy and carbon capture, as expanded by the IRA, will likely result in an incremental benefit to the Company, although at this time, the anticipated amount of such benefit has not been quantified.</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additional ability to manage liquidity during periods of significant financial market disruption through temporary modification of our capital expenditure and share repurchase plans.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Summary of Cash and Cash Equivalents, Restricted Funds and Debt Obligations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 summary of our cash and cash equivalents, restricted funds and debt balances (in millions):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120" w:type="dxa"/>
            <w:vAlign w:val="bottom"/>
          </w:tcPr>
          <w:p>
            <w:pPr>
              <w:spacing w:after="0"/>
              <w:rPr>
                <w:sz w:val="10"/>
                <w:szCs w:val="10"/>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2240" w:type="dxa"/>
            <w:vAlign w:val="bottom"/>
            <w:tcBorders>
              <w:bottom w:val="single" w:sz="8" w:color="CCEEFF"/>
            </w:tcBorders>
          </w:tcPr>
          <w:p>
            <w:pPr>
              <w:spacing w:after="0"/>
              <w:rPr>
                <w:sz w:val="10"/>
                <w:szCs w:val="10"/>
                <w:color w:val="auto"/>
              </w:rPr>
            </w:pPr>
          </w:p>
        </w:tc>
        <w:tc>
          <w:tcPr>
            <w:tcW w:w="47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3"/>
        </w:trPr>
        <w:tc>
          <w:tcPr>
            <w:tcW w:w="69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322</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458</w:t>
            </w:r>
          </w:p>
        </w:tc>
      </w:tr>
      <w:tr>
        <w:trPr>
          <w:trHeight w:val="131"/>
        </w:trPr>
        <w:tc>
          <w:tcPr>
            <w:tcW w:w="698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Restricted funds: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4"/>
        </w:trPr>
        <w:tc>
          <w:tcPr>
            <w:tcW w:w="6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Insurance reserves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r>
      <w:tr>
        <w:trPr>
          <w:trHeight w:val="144"/>
        </w:trPr>
        <w:tc>
          <w:tcPr>
            <w:tcW w:w="69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Final capping, closure, post-closure and environmental remediation funds</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44"/>
        </w:trPr>
        <w:tc>
          <w:tcPr>
            <w:tcW w:w="6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40"/>
        </w:trPr>
        <w:tc>
          <w:tcPr>
            <w:tcW w:w="6980" w:type="dxa"/>
            <w:vAlign w:val="bottom"/>
            <w:tcBorders>
              <w:bottom w:val="single" w:sz="8" w:color="CCEEFF"/>
            </w:tcBorders>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restricted funds (a)</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512</w:t>
            </w: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4"/>
        </w:trPr>
        <w:tc>
          <w:tcPr>
            <w:tcW w:w="69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Current portion</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2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r>
      <w:tr>
        <w:trPr>
          <w:trHeight w:val="144"/>
        </w:trPr>
        <w:tc>
          <w:tcPr>
            <w:tcW w:w="6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Long-term portion</w:t>
            </w: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15,895</w:t>
            </w:r>
          </w:p>
        </w:tc>
      </w:tr>
      <w:tr>
        <w:trPr>
          <w:trHeight w:val="140"/>
        </w:trPr>
        <w:tc>
          <w:tcPr>
            <w:tcW w:w="69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debt</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16,098</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16,229</w:t>
            </w:r>
          </w:p>
        </w:tc>
      </w:tr>
      <w:tr>
        <w:trPr>
          <w:trHeight w:val="72"/>
        </w:trPr>
        <w:tc>
          <w:tcPr>
            <w:tcW w:w="2240" w:type="dxa"/>
            <w:vAlign w:val="bottom"/>
            <w:tcBorders>
              <w:bottom w:val="single" w:sz="8" w:color="auto"/>
            </w:tcBorders>
          </w:tcPr>
          <w:p>
            <w:pPr>
              <w:spacing w:after="0"/>
              <w:rPr>
                <w:sz w:val="6"/>
                <w:szCs w:val="6"/>
                <w:color w:val="auto"/>
              </w:rPr>
            </w:pPr>
          </w:p>
        </w:tc>
        <w:tc>
          <w:tcPr>
            <w:tcW w:w="4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r>
    </w:tbl>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  As of March 31, 2024 and December 31, 2023, $90 million of these account balances were included in other current assets in our Condensed Consolidated Balance Sheets.</w:t>
      </w:r>
    </w:p>
    <w:p>
      <w:pPr>
        <w:spacing w:after="0" w:line="150"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As of March 31, 2024, we had approximately $3.1 billion of debt maturing within the next 12 months, including (i) $750 million of short-term borrowings under our commercial paper program (net of related discount on issuance); (ii) $1.6 billion of tax-exempt bonds with term interest rate periods that expire within the next 12 months, which is prior to their scheduled maturities; (iii) $156 million of 3.5% senior notes that mature in May 2024; (iv) $422 million of 3.125% senior notes that mature in March 2025 and (v) $180 million of other debt with scheduled maturities within the next 12 months, including $60 million of tax-exempt bonds. As of March 31, 2024, we have classified $2.8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$336 million of debt maturing in the next 12 months is classified as current obligations.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31" w:name="page32"/>
    <w:bookmarkEnd w:id="31"/>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Guarantor Financial Information</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33"/>
        </w:trPr>
        <w:tc>
          <w:tcPr>
            <w:tcW w:w="5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Sheet Information:</w:t>
            </w:r>
          </w:p>
        </w:tc>
        <w:tc>
          <w:tcPr>
            <w:tcW w:w="8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200" w:type="dxa"/>
            <w:vAlign w:val="bottom"/>
            <w:gridSpan w:val="2"/>
          </w:tcPr>
          <w:p>
            <w:pPr>
              <w:jc w:val="right"/>
              <w:ind w:right="21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0" w:type="dxa"/>
            <w:vAlign w:val="bottom"/>
          </w:tcPr>
          <w:p>
            <w:pPr>
              <w:spacing w:after="0"/>
              <w:rPr>
                <w:sz w:val="12"/>
                <w:szCs w:val="12"/>
                <w:color w:val="auto"/>
              </w:rPr>
            </w:pPr>
          </w:p>
        </w:tc>
      </w:tr>
      <w:tr>
        <w:trPr>
          <w:trHeight w:val="14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assets</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44"/>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w:t>
            </w:r>
          </w:p>
        </w:tc>
        <w:tc>
          <w:tcPr>
            <w:tcW w:w="20" w:type="dxa"/>
            <w:vAlign w:val="bottom"/>
          </w:tcPr>
          <w:p>
            <w:pPr>
              <w:spacing w:after="0"/>
              <w:rPr>
                <w:sz w:val="12"/>
                <w:szCs w:val="12"/>
                <w:color w:val="auto"/>
              </w:rPr>
            </w:pPr>
          </w:p>
        </w:tc>
      </w:tr>
      <w:tr>
        <w:trPr>
          <w:trHeight w:val="14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Advances due to affiliates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21,847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21,228</w:t>
            </w:r>
          </w:p>
        </w:tc>
        <w:tc>
          <w:tcPr>
            <w:tcW w:w="20" w:type="dxa"/>
            <w:vAlign w:val="bottom"/>
          </w:tcPr>
          <w:p>
            <w:pPr>
              <w:spacing w:after="0"/>
              <w:rPr>
                <w:sz w:val="12"/>
                <w:szCs w:val="12"/>
                <w:color w:val="auto"/>
              </w:rPr>
            </w:pPr>
          </w:p>
        </w:tc>
      </w:tr>
      <w:tr>
        <w:trPr>
          <w:trHeight w:val="144"/>
        </w:trPr>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13,798</w:t>
            </w:r>
          </w:p>
        </w:tc>
        <w:tc>
          <w:tcPr>
            <w:tcW w:w="20" w:type="dxa"/>
            <w:vAlign w:val="bottom"/>
          </w:tcPr>
          <w:p>
            <w:pPr>
              <w:spacing w:after="0"/>
              <w:rPr>
                <w:sz w:val="12"/>
                <w:szCs w:val="12"/>
                <w:color w:val="auto"/>
              </w:rPr>
            </w:pPr>
          </w:p>
        </w:tc>
      </w:tr>
      <w:tr>
        <w:trPr>
          <w:trHeight w:val="236"/>
        </w:trPr>
        <w:tc>
          <w:tcPr>
            <w:tcW w:w="5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5"/>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r>
      <w:tr>
        <w:trPr>
          <w:trHeight w:val="115"/>
        </w:trPr>
        <w:tc>
          <w:tcPr>
            <w:tcW w:w="5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3"/>
              </w:rPr>
              <w:t>March 31, 2024</w:t>
            </w:r>
          </w:p>
        </w:tc>
      </w:tr>
      <w:tr>
        <w:trPr>
          <w:trHeight w:val="133"/>
        </w:trPr>
        <w:tc>
          <w:tcPr>
            <w:tcW w:w="57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Statement Information:</w:t>
            </w:r>
          </w:p>
        </w:tc>
        <w:tc>
          <w:tcPr>
            <w:tcW w:w="8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0" w:type="dxa"/>
            <w:vAlign w:val="bottom"/>
          </w:tcPr>
          <w:p>
            <w:pPr>
              <w:spacing w:after="0"/>
              <w:rPr>
                <w:sz w:val="12"/>
                <w:szCs w:val="12"/>
                <w:color w:val="auto"/>
              </w:rPr>
            </w:pPr>
          </w:p>
        </w:tc>
      </w:tr>
      <w:tr>
        <w:trPr>
          <w:trHeight w:val="155"/>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0" w:type="dxa"/>
            <w:vAlign w:val="bottom"/>
          </w:tcPr>
          <w:p>
            <w:pPr>
              <w:spacing w:after="0"/>
              <w:rPr>
                <w:sz w:val="13"/>
                <w:szCs w:val="13"/>
                <w:color w:val="auto"/>
              </w:rPr>
            </w:pPr>
          </w:p>
        </w:tc>
      </w:tr>
      <w:tr>
        <w:trPr>
          <w:trHeight w:val="286"/>
        </w:trPr>
        <w:tc>
          <w:tcPr>
            <w:tcW w:w="5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i w:val="1"/>
                <w:iCs w:val="1"/>
                <w:color w:val="auto"/>
              </w:rPr>
              <w:t>Summary of Cash Flow Activity</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7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following is a summary of our cash flows for the three months ended March 31 (in millions):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57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5"/>
                <w:szCs w:val="15"/>
                <w:color w:val="auto"/>
              </w:rPr>
            </w:pPr>
          </w:p>
        </w:tc>
      </w:tr>
      <w:tr>
        <w:trPr>
          <w:trHeight w:val="153"/>
        </w:trPr>
        <w:tc>
          <w:tcPr>
            <w:tcW w:w="57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200" w:type="dxa"/>
            <w:vAlign w:val="bottom"/>
            <w:tcBorders>
              <w:bottom w:val="single" w:sz="8" w:color="CCEEFF"/>
            </w:tcBorders>
            <w:gridSpan w:val="2"/>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5"/>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1,367</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1,044</w:t>
            </w:r>
          </w:p>
        </w:tc>
        <w:tc>
          <w:tcPr>
            <w:tcW w:w="20" w:type="dxa"/>
            <w:vAlign w:val="bottom"/>
          </w:tcPr>
          <w:p>
            <w:pPr>
              <w:spacing w:after="0"/>
              <w:rPr>
                <w:sz w:val="13"/>
                <w:szCs w:val="13"/>
                <w:color w:val="auto"/>
              </w:rPr>
            </w:pPr>
          </w:p>
        </w:tc>
      </w:tr>
      <w:tr>
        <w:trPr>
          <w:trHeight w:val="138"/>
        </w:trPr>
        <w:tc>
          <w:tcPr>
            <w:tcW w:w="578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200" w:type="dxa"/>
            <w:vAlign w:val="bottom"/>
            <w:tcBorders>
              <w:bottom w:val="single" w:sz="8" w:color="CCEEFF"/>
            </w:tcBorders>
            <w:gridSpan w:val="2"/>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3"/>
          </w:tcPr>
          <w:p>
            <w:pPr>
              <w:jc w:val="right"/>
              <w:spacing w:after="0" w:line="131" w:lineRule="exact"/>
              <w:rPr>
                <w:sz w:val="20"/>
                <w:szCs w:val="20"/>
                <w:color w:val="auto"/>
              </w:rPr>
            </w:pPr>
            <w:r>
              <w:rPr>
                <w:rFonts w:ascii="Times New Roman" w:cs="Times New Roman" w:eastAsia="Times New Roman" w:hAnsi="Times New Roman"/>
                <w:sz w:val="12"/>
                <w:szCs w:val="12"/>
                <w:color w:val="auto"/>
                <w:w w:val="92"/>
              </w:rPr>
              <w:t>(755)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(778)</w:t>
            </w:r>
          </w:p>
        </w:tc>
        <w:tc>
          <w:tcPr>
            <w:tcW w:w="20" w:type="dxa"/>
            <w:vAlign w:val="bottom"/>
          </w:tcPr>
          <w:p>
            <w:pPr>
              <w:spacing w:after="0"/>
              <w:rPr>
                <w:sz w:val="12"/>
                <w:szCs w:val="12"/>
                <w:color w:val="auto"/>
              </w:rPr>
            </w:pPr>
          </w:p>
        </w:tc>
      </w:tr>
      <w:tr>
        <w:trPr>
          <w:trHeight w:val="15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200" w:type="dxa"/>
            <w:vAlign w:val="bottom"/>
            <w:tcBorders>
              <w:bottom w:val="single" w:sz="8" w:color="CCEEFF"/>
            </w:tcBorders>
            <w:gridSpan w:val="2"/>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(737)</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20" w:type="dxa"/>
            <w:vAlign w:val="bottom"/>
          </w:tcPr>
          <w:p>
            <w:pPr>
              <w:spacing w:after="0"/>
              <w:rPr>
                <w:sz w:val="13"/>
                <w:szCs w:val="13"/>
                <w:color w:val="auto"/>
              </w:rPr>
            </w:pPr>
          </w:p>
        </w:tc>
      </w:tr>
    </w:tbl>
    <w:p>
      <w:pPr>
        <w:spacing w:after="0" w:line="149" w:lineRule="exact"/>
        <w:rPr>
          <w:sz w:val="20"/>
          <w:szCs w:val="20"/>
          <w:color w:val="auto"/>
        </w:rPr>
      </w:pPr>
    </w:p>
    <w:p>
      <w:pPr>
        <w:jc w:val="both"/>
        <w:ind w:left="20" w:right="39"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Net Cash Provided by Operating Activities — </w:t>
      </w:r>
      <w:r>
        <w:rPr>
          <w:rFonts w:ascii="Times New Roman" w:cs="Times New Roman" w:eastAsia="Times New Roman" w:hAnsi="Times New Roman"/>
          <w:sz w:val="12"/>
          <w:szCs w:val="12"/>
          <w:color w:val="auto"/>
        </w:rPr>
        <w:t>Our operating cash flows increased by $323 million for the three months ended March 31, 2024, as compared with the prior year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driven by (i) higher earnings in our Collection and Disposal businesses and Recycling Processing and Sales segment, (ii) favorable changes in working capital, net of effects of acquisitions and divestitures, and (iii) lower annual incentive compensation payments. This increase was partially offset by higher cash interest payments.</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Net Cash Used in Investing Activities — </w:t>
      </w:r>
      <w:r>
        <w:rPr>
          <w:rFonts w:ascii="Times New Roman" w:cs="Times New Roman" w:eastAsia="Times New Roman" w:hAnsi="Times New Roman"/>
          <w:sz w:val="12"/>
          <w:szCs w:val="12"/>
          <w:color w:val="auto"/>
        </w:rPr>
        <w:t>The most significant items included in our investing cash flows for the three months ended March 31, 2024 and 2023 are summarized below:</w:t>
      </w:r>
    </w:p>
    <w:p>
      <w:pPr>
        <w:spacing w:after="0" w:line="150" w:lineRule="exact"/>
        <w:rPr>
          <w:sz w:val="20"/>
          <w:szCs w:val="20"/>
          <w:color w:val="auto"/>
        </w:rPr>
      </w:pPr>
    </w:p>
    <w:p>
      <w:pPr>
        <w:ind w:left="480" w:right="39" w:hanging="224"/>
        <w:spacing w:after="0" w:line="283"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Capital Expenditures — </w:t>
      </w:r>
      <w:r>
        <w:rPr>
          <w:rFonts w:ascii="Times New Roman" w:cs="Times New Roman" w:eastAsia="Times New Roman" w:hAnsi="Times New Roman"/>
          <w:sz w:val="12"/>
          <w:szCs w:val="12"/>
          <w:color w:val="auto"/>
        </w:rPr>
        <w:t>We used $668 million and $660 million for capital expenditures during the three months ended March 31, 2024 and 2023, respectively. The increase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capital spending is primarily driven by our planned and ongoing investments in our Recycling Processing and Sales and WM Renewable Energy segments.</w:t>
      </w:r>
    </w:p>
    <w:p>
      <w:pPr>
        <w:spacing w:after="0" w:line="34" w:lineRule="exact"/>
        <w:rPr>
          <w:rFonts w:ascii="Times New Roman" w:cs="Times New Roman" w:eastAsia="Times New Roman" w:hAnsi="Times New Roman"/>
          <w:sz w:val="12"/>
          <w:szCs w:val="12"/>
          <w:color w:val="auto"/>
        </w:rPr>
      </w:pPr>
    </w:p>
    <w:p>
      <w:pPr>
        <w:jc w:val="both"/>
        <w:ind w:left="480" w:right="3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Other, Net — </w:t>
      </w:r>
      <w:r>
        <w:rPr>
          <w:rFonts w:ascii="Times New Roman" w:cs="Times New Roman" w:eastAsia="Times New Roman" w:hAnsi="Times New Roman"/>
          <w:sz w:val="12"/>
          <w:szCs w:val="12"/>
          <w:color w:val="auto"/>
        </w:rPr>
        <w:t>The year-over-year changes in other investing activities were primarily driven by changes in our investment portfolio associated with a wholly-owned insurance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captive. During the three months ended March 31, 2024 and 2023, we used $90 million and $85 million, respectively, of cash from restricted cash and cash equivalents to invest in available-for-sale securities.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32" w:name="page33"/>
    <w:bookmarkEnd w:id="32"/>
    <w:p>
      <w:pPr>
        <w:ind w:left="20" w:right="39"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Net Cash Used in Financing Activities — </w:t>
      </w:r>
      <w:r>
        <w:rPr>
          <w:rFonts w:ascii="Times New Roman" w:cs="Times New Roman" w:eastAsia="Times New Roman" w:hAnsi="Times New Roman"/>
          <w:sz w:val="12"/>
          <w:szCs w:val="12"/>
          <w:color w:val="auto"/>
        </w:rPr>
        <w:t>The most significant items affecting the comparison of our financing cash flows for the three months ended March 31, 2024 and 2023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summarized below:</w:t>
      </w:r>
    </w:p>
    <w:p>
      <w:pPr>
        <w:spacing w:after="0" w:line="35" w:lineRule="exact"/>
        <w:rPr>
          <w:sz w:val="20"/>
          <w:szCs w:val="20"/>
          <w:color w:val="auto"/>
        </w:rPr>
      </w:pPr>
    </w:p>
    <w:p>
      <w:pPr>
        <w:ind w:left="480" w:hanging="224"/>
        <w:spacing w:after="0"/>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Debt Borrowings and Repayments — </w:t>
      </w:r>
      <w:r>
        <w:rPr>
          <w:rFonts w:ascii="Times New Roman" w:cs="Times New Roman" w:eastAsia="Times New Roman" w:hAnsi="Times New Roman"/>
          <w:sz w:val="12"/>
          <w:szCs w:val="12"/>
          <w:color w:val="auto"/>
        </w:rPr>
        <w:t>The following summarizes our cash borrowings and repayments of debt for the three months ended March 31 (in millions):</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3780" w:type="dxa"/>
            <w:vAlign w:val="bottom"/>
            <w:tcBorders>
              <w:bottom w:val="single" w:sz="8" w:color="CCEEFF"/>
            </w:tcBorders>
          </w:tcPr>
          <w:p>
            <w:pPr>
              <w:spacing w:after="0"/>
              <w:rPr>
                <w:sz w:val="10"/>
                <w:szCs w:val="10"/>
                <w:color w:val="auto"/>
              </w:rPr>
            </w:pPr>
          </w:p>
        </w:tc>
        <w:tc>
          <w:tcPr>
            <w:tcW w:w="20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3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i w:val="1"/>
                <w:iCs w:val="1"/>
                <w:color w:val="auto"/>
              </w:rPr>
              <w:t>Borrowings</w:t>
            </w:r>
            <w:r>
              <w:rPr>
                <w:rFonts w:ascii="Times New Roman" w:cs="Times New Roman" w:eastAsia="Times New Roman" w:hAnsi="Times New Roman"/>
                <w:sz w:val="12"/>
                <w:szCs w:val="12"/>
                <w:color w:val="auto"/>
              </w:rPr>
              <w:t>:</w:t>
            </w: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4"/>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Commercial paper</w:t>
            </w:r>
          </w:p>
        </w:tc>
        <w:tc>
          <w:tcPr>
            <w:tcW w:w="222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4,412</w:t>
            </w:r>
          </w:p>
        </w:tc>
        <w:tc>
          <w:tcPr>
            <w:tcW w:w="80" w:type="dxa"/>
            <w:vAlign w:val="bottom"/>
          </w:tcPr>
          <w:p>
            <w:pPr>
              <w:spacing w:after="0"/>
              <w:rPr>
                <w:sz w:val="12"/>
                <w:szCs w:val="12"/>
                <w:color w:val="auto"/>
              </w:rPr>
            </w:pP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5,643</w:t>
            </w:r>
          </w:p>
        </w:tc>
      </w:tr>
      <w:tr>
        <w:trPr>
          <w:trHeight w:val="144"/>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Senior notes</w:t>
            </w: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w:t>
            </w:r>
          </w:p>
        </w:tc>
      </w:tr>
      <w:tr>
        <w:trPr>
          <w:trHeight w:val="133"/>
        </w:trPr>
        <w:tc>
          <w:tcPr>
            <w:tcW w:w="3780" w:type="dxa"/>
            <w:vAlign w:val="bottom"/>
            <w:tcBorders>
              <w:bottom w:val="single" w:sz="8" w:color="CCEEFF"/>
            </w:tcBorders>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4,412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6,885</w:t>
            </w:r>
          </w:p>
        </w:tc>
      </w:tr>
      <w:tr>
        <w:trPr>
          <w:trHeight w:val="133"/>
        </w:trPr>
        <w:tc>
          <w:tcPr>
            <w:tcW w:w="3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i w:val="1"/>
                <w:iCs w:val="1"/>
                <w:color w:val="auto"/>
              </w:rPr>
              <w:t>Repayments</w:t>
            </w:r>
            <w:r>
              <w:rPr>
                <w:rFonts w:ascii="Times New Roman" w:cs="Times New Roman" w:eastAsia="Times New Roman" w:hAnsi="Times New Roman"/>
                <w:sz w:val="12"/>
                <w:szCs w:val="12"/>
                <w:color w:val="auto"/>
              </w:rPr>
              <w:t>:</w:t>
            </w: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4"/>
        </w:trPr>
        <w:tc>
          <w:tcPr>
            <w:tcW w:w="3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Commercial paper</w:t>
            </w:r>
          </w:p>
        </w:tc>
        <w:tc>
          <w:tcPr>
            <w:tcW w:w="222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(4,528)</w:t>
            </w:r>
          </w:p>
        </w:tc>
        <w:tc>
          <w:tcPr>
            <w:tcW w:w="2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(6,520)</w:t>
            </w:r>
          </w:p>
        </w:tc>
      </w:tr>
      <w:tr>
        <w:trPr>
          <w:trHeight w:val="144"/>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debt</w:t>
            </w: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33"/>
        </w:trPr>
        <w:tc>
          <w:tcPr>
            <w:tcW w:w="3780" w:type="dxa"/>
            <w:vAlign w:val="bottom"/>
            <w:tcBorders>
              <w:bottom w:val="single" w:sz="8" w:color="CCEEFF"/>
            </w:tcBorders>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(4,570)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(6,548)</w:t>
            </w:r>
          </w:p>
        </w:tc>
      </w:tr>
      <w:tr>
        <w:trPr>
          <w:trHeight w:val="140"/>
        </w:trPr>
        <w:tc>
          <w:tcPr>
            <w:tcW w:w="378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i w:val="1"/>
                <w:iCs w:val="1"/>
                <w:color w:val="auto"/>
              </w:rPr>
              <w:t>Net cash borrowings (repayments)</w:t>
            </w:r>
          </w:p>
        </w:tc>
        <w:tc>
          <w:tcPr>
            <w:tcW w:w="20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w:t>
            </w:r>
          </w:p>
        </w:tc>
      </w:tr>
    </w:tbl>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Refer to Note 3 to the Condensed Consolidated Financial Statements for additional information related to our debt borrowings and repayments.</w:t>
      </w:r>
    </w:p>
    <w:p>
      <w:pPr>
        <w:spacing w:after="0" w:line="76" w:lineRule="exact"/>
        <w:rPr>
          <w:sz w:val="20"/>
          <w:szCs w:val="20"/>
          <w:color w:val="auto"/>
        </w:rPr>
      </w:pPr>
    </w:p>
    <w:p>
      <w:pPr>
        <w:ind w:left="480" w:right="39" w:hanging="224"/>
        <w:spacing w:after="0" w:line="283" w:lineRule="auto"/>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Common Stock Repurchase Program — </w:t>
      </w:r>
      <w:r>
        <w:rPr>
          <w:rFonts w:ascii="Times New Roman" w:cs="Times New Roman" w:eastAsia="Times New Roman" w:hAnsi="Times New Roman"/>
          <w:sz w:val="12"/>
          <w:szCs w:val="12"/>
          <w:color w:val="auto"/>
        </w:rPr>
        <w:t>During the three months ended March 31, 2024 and 2023, we used $250 million and $350 million, respectively, to repurchase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common stock under accelerated share repurchase agreements. See Note 9 to the Condensed Consolidated Financial Statements for additional information.</w:t>
      </w:r>
    </w:p>
    <w:p>
      <w:pPr>
        <w:spacing w:after="0" w:line="34" w:lineRule="exact"/>
        <w:rPr>
          <w:rFonts w:ascii="Times New Roman" w:cs="Times New Roman" w:eastAsia="Times New Roman" w:hAnsi="Times New Roman"/>
          <w:sz w:val="12"/>
          <w:szCs w:val="12"/>
          <w:color w:val="auto"/>
        </w:rPr>
      </w:pPr>
    </w:p>
    <w:p>
      <w:pPr>
        <w:jc w:val="both"/>
        <w:ind w:left="480" w:right="39" w:hanging="224"/>
        <w:spacing w:after="0" w:line="266" w:lineRule="auto"/>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Cash Dividends — </w:t>
      </w:r>
      <w:r>
        <w:rPr>
          <w:rFonts w:ascii="Times New Roman" w:cs="Times New Roman" w:eastAsia="Times New Roman" w:hAnsi="Times New Roman"/>
          <w:sz w:val="12"/>
          <w:szCs w:val="12"/>
          <w:color w:val="auto"/>
        </w:rPr>
        <w:t>For the periods presented, all dividends have been declared by our Board of Directors. We paid cash dividends of $307 million and $289 million during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three months ended March 31, 2024 and 2023, respectively. The increase in dividend payments is primarily due to our quarterly per share dividend increasing from $0.70 in 2023 to $0.75 in 2024.</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Free Cash Flow</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33" w:name="page34"/>
    <w:bookmarkEnd w:id="33"/>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Our calculation of free cash flow and reconciliation to net cash provided by operating activities for the three months ended March 31 is shown in the table below (in millions), and may not be calculated the same as similarly-titled measures presented by other companies: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Borders>
              <w:bottom w:val="single" w:sz="8" w:color="CCEEFF"/>
            </w:tcBorders>
          </w:tcPr>
          <w:p>
            <w:pPr>
              <w:spacing w:after="0"/>
              <w:rPr>
                <w:sz w:val="10"/>
                <w:szCs w:val="10"/>
                <w:color w:val="auto"/>
              </w:rPr>
            </w:pPr>
          </w:p>
        </w:tc>
        <w:tc>
          <w:tcPr>
            <w:tcW w:w="46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69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5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1,367</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1,044</w:t>
            </w:r>
          </w:p>
        </w:tc>
      </w:tr>
      <w:tr>
        <w:trPr>
          <w:trHeight w:val="144"/>
        </w:trPr>
        <w:tc>
          <w:tcPr>
            <w:tcW w:w="69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Capital expenditures to support the business</w:t>
            </w:r>
          </w:p>
        </w:tc>
        <w:tc>
          <w:tcPr>
            <w:tcW w:w="58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w:t>
            </w:r>
          </w:p>
        </w:tc>
      </w:tr>
      <w:tr>
        <w:trPr>
          <w:trHeight w:val="144"/>
        </w:trPr>
        <w:tc>
          <w:tcPr>
            <w:tcW w:w="6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Capital expenditures - sustainability growth investments (a)</w:t>
            </w:r>
          </w:p>
        </w:tc>
        <w:tc>
          <w:tcPr>
            <w:tcW w:w="5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r>
      <w:tr>
        <w:trPr>
          <w:trHeight w:val="133"/>
        </w:trPr>
        <w:tc>
          <w:tcPr>
            <w:tcW w:w="69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capital expenditures</w:t>
            </w:r>
          </w:p>
        </w:tc>
        <w:tc>
          <w:tcPr>
            <w:tcW w:w="5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(668)</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(660)</w:t>
            </w:r>
          </w:p>
        </w:tc>
      </w:tr>
      <w:tr>
        <w:trPr>
          <w:trHeight w:val="144"/>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divestitures of businesses and other assets, net of cash divested</w:t>
            </w:r>
          </w:p>
        </w:tc>
        <w:tc>
          <w:tcPr>
            <w:tcW w:w="5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0"/>
        </w:trPr>
        <w:tc>
          <w:tcPr>
            <w:tcW w:w="69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2"/>
                <w:szCs w:val="12"/>
                <w:color w:val="auto"/>
              </w:rPr>
              <w:t>Free cash flow</w:t>
            </w:r>
          </w:p>
        </w:tc>
        <w:tc>
          <w:tcPr>
            <w:tcW w:w="5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714</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395</w:t>
            </w:r>
          </w:p>
        </w:tc>
      </w:tr>
      <w:tr>
        <w:trPr>
          <w:trHeight w:val="81"/>
        </w:trPr>
        <w:tc>
          <w:tcPr>
            <w:tcW w:w="224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52" w:lineRule="exact"/>
        <w:rPr>
          <w:sz w:val="20"/>
          <w:szCs w:val="20"/>
          <w:color w:val="auto"/>
        </w:rPr>
      </w:pPr>
    </w:p>
    <w:p>
      <w:pPr>
        <w:ind w:left="240" w:right="39" w:hanging="218"/>
        <w:spacing w:after="0" w:line="279" w:lineRule="auto"/>
        <w:tabs>
          <w:tab w:leader="none" w:pos="2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Estimates and Assumptions</w:t>
      </w:r>
    </w:p>
    <w:p>
      <w:pPr>
        <w:spacing w:after="0" w:line="154"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2023. Actual results could differ materially from the estimates and assumptions that we use in the preparation of our financial statements.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Seasonal Trends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Inflation</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Macroeconomic pressures continue, including sustained inflationary pressures and high interest rates, with geopolitical events causing further market disruptions. Inflation moderately declined from the high levels observed during the first half of 2023; however, inflation remained above typical levels during the first quarter of 2024. While supply chain activity has begun to normalize, risks persist related to higher operating costs, ongoing supply shortages, labor and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34" w:name="page35"/>
    <w:bookmarkEnd w:id="34"/>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transportation challenges and impacts from global events. We continue to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1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i w:val="1"/>
          <w:iCs w:val="1"/>
          <w:color w:val="auto"/>
        </w:rPr>
        <w:t>Quantitative and Qualitative Disclosures About Market Risk.</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Information about market risks as of March 31, 2024 does not materially differ from that discussed under Item 7A in our Annual Report on Form 10-K for the year ended December 31, 2023.</w:t>
      </w:r>
    </w:p>
    <w:p>
      <w:pPr>
        <w:spacing w:after="0" w:line="10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i w:val="1"/>
          <w:iCs w:val="1"/>
          <w:color w:val="auto"/>
        </w:rPr>
        <w:t>Controls and Procedures.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Effectiveness of Disclosure Controls and Procedures</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2024 (the end of the period covered by this Quarterly Report on Form 10-Q) at a reasonable assurance level.</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Management, together with our CEO and CFO, evaluated the changes in our internal control over financial reporting during the quarter ended March 31, 2024. We determined that there were no changes in our internal control over financial reporting during the quarter ended March 31, 2024 that have materially affected, or are reasonably likely to materially affect, our internal control over financial reporting.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1. </w:t>
      </w:r>
      <w:r>
        <w:rPr>
          <w:rFonts w:ascii="Times New Roman" w:cs="Times New Roman" w:eastAsia="Times New Roman" w:hAnsi="Times New Roman"/>
          <w:sz w:val="12"/>
          <w:szCs w:val="12"/>
          <w:b w:val="1"/>
          <w:bCs w:val="1"/>
          <w:i w:val="1"/>
          <w:iCs w:val="1"/>
          <w:color w:val="auto"/>
        </w:rPr>
        <w:t>Legal Proceedings.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xml:space="preserve">Information regarding our legal proceedings can be found under the </w:t>
      </w:r>
      <w:r>
        <w:rPr>
          <w:rFonts w:ascii="Times New Roman" w:cs="Times New Roman" w:eastAsia="Times New Roman" w:hAnsi="Times New Roman"/>
          <w:sz w:val="12"/>
          <w:szCs w:val="12"/>
          <w:i w:val="1"/>
          <w:iCs w:val="1"/>
          <w:color w:val="auto"/>
        </w:rPr>
        <w:t>Environmental Matters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Litigation</w:t>
      </w:r>
      <w:r>
        <w:rPr>
          <w:rFonts w:ascii="Times New Roman" w:cs="Times New Roman" w:eastAsia="Times New Roman" w:hAnsi="Times New Roman"/>
          <w:sz w:val="12"/>
          <w:szCs w:val="12"/>
          <w:color w:val="auto"/>
        </w:rPr>
        <w:t xml:space="preserve"> sections of Note 6 to the Condensed Consolidated Financial Statements.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3"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1A. </w:t>
      </w:r>
      <w:r>
        <w:rPr>
          <w:rFonts w:ascii="Times New Roman" w:cs="Times New Roman" w:eastAsia="Times New Roman" w:hAnsi="Times New Roman"/>
          <w:sz w:val="12"/>
          <w:szCs w:val="12"/>
          <w:b w:val="1"/>
          <w:bCs w:val="1"/>
          <w:i w:val="1"/>
          <w:iCs w:val="1"/>
          <w:color w:val="auto"/>
        </w:rPr>
        <w:t>Risk Factors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There have been no material changes to the risk factors previously disclosed in Part I, Item 1A of our Annual Report on Form 10-K for the year ended December 31, 2023.</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2. </w:t>
      </w:r>
      <w:r>
        <w:rPr>
          <w:rFonts w:ascii="Times New Roman" w:cs="Times New Roman" w:eastAsia="Times New Roman" w:hAnsi="Times New Roman"/>
          <w:sz w:val="12"/>
          <w:szCs w:val="12"/>
          <w:b w:val="1"/>
          <w:bCs w:val="1"/>
          <w:i w:val="1"/>
          <w:iCs w:val="1"/>
          <w:color w:val="auto"/>
        </w:rPr>
        <w:t>Unregistered Sales of Equity Securities and Use of Proceeds.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common stock repurchases made during the first quarter of 2024 (shares in millions):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Total Number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Approximate Maximum</w:t>
            </w: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Purchased as</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Part of Publicly</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99"/>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6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4"/>
              </w:rPr>
              <w:t>Price Paid</w:t>
            </w:r>
          </w:p>
        </w:tc>
        <w:tc>
          <w:tcPr>
            <w:tcW w:w="13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Announced Plans or</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4"/>
              </w:rPr>
              <w:t>May Yet be Purchased Under</w:t>
            </w:r>
          </w:p>
        </w:tc>
        <w:tc>
          <w:tcPr>
            <w:tcW w:w="0" w:type="dxa"/>
            <w:vAlign w:val="bottom"/>
          </w:tcPr>
          <w:p>
            <w:pPr>
              <w:spacing w:after="0"/>
              <w:rPr>
                <w:sz w:val="1"/>
                <w:szCs w:val="1"/>
                <w:color w:val="auto"/>
              </w:rPr>
            </w:pPr>
          </w:p>
        </w:tc>
      </w:tr>
      <w:tr>
        <w:trPr>
          <w:trHeight w:val="115"/>
        </w:trPr>
        <w:tc>
          <w:tcPr>
            <w:tcW w:w="3240" w:type="dxa"/>
            <w:vAlign w:val="bottom"/>
            <w:gridSpan w:val="3"/>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Purchased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per Share(a)</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Programs</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the Plans or Programs(a)</w:t>
            </w:r>
          </w:p>
        </w:tc>
        <w:tc>
          <w:tcPr>
            <w:tcW w:w="0" w:type="dxa"/>
            <w:vAlign w:val="bottom"/>
          </w:tcPr>
          <w:p>
            <w:pPr>
              <w:spacing w:after="0"/>
              <w:rPr>
                <w:sz w:val="1"/>
                <w:szCs w:val="1"/>
                <w:color w:val="auto"/>
              </w:rPr>
            </w:pPr>
          </w:p>
        </w:tc>
      </w:tr>
      <w:tr>
        <w:trPr>
          <w:trHeight w:val="133"/>
        </w:trPr>
        <w:tc>
          <w:tcPr>
            <w:tcW w:w="30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January 1 — 31</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 billion</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February 1 — 29 (b)</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194.80</w:t>
            </w:r>
          </w:p>
        </w:tc>
        <w:tc>
          <w:tcPr>
            <w:tcW w:w="3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50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1.25 billion</w:t>
            </w:r>
          </w:p>
        </w:tc>
        <w:tc>
          <w:tcPr>
            <w:tcW w:w="0" w:type="dxa"/>
            <w:vAlign w:val="bottom"/>
          </w:tcPr>
          <w:p>
            <w:pPr>
              <w:spacing w:after="0"/>
              <w:rPr>
                <w:sz w:val="1"/>
                <w:szCs w:val="1"/>
                <w:color w:val="auto"/>
              </w:rPr>
            </w:pPr>
          </w:p>
        </w:tc>
      </w:tr>
      <w:tr>
        <w:trPr>
          <w:trHeight w:val="144"/>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rPr>
              <w:t>1.25 billion (c)</w:t>
            </w:r>
          </w:p>
        </w:tc>
        <w:tc>
          <w:tcPr>
            <w:tcW w:w="0" w:type="dxa"/>
            <w:vAlign w:val="bottom"/>
          </w:tcPr>
          <w:p>
            <w:pPr>
              <w:spacing w:after="0"/>
              <w:rPr>
                <w:sz w:val="1"/>
                <w:szCs w:val="1"/>
                <w:color w:val="auto"/>
              </w:rPr>
            </w:pPr>
          </w:p>
        </w:tc>
      </w:tr>
      <w:tr>
        <w:trPr>
          <w:trHeight w:val="140"/>
        </w:trPr>
        <w:tc>
          <w:tcPr>
            <w:tcW w:w="3240" w:type="dxa"/>
            <w:vAlign w:val="bottom"/>
            <w:gridSpan w:val="3"/>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3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194.80</w:t>
            </w:r>
          </w:p>
        </w:tc>
        <w:tc>
          <w:tcPr>
            <w:tcW w:w="30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right="39" w:hanging="218"/>
        <w:spacing w:after="0" w:line="279" w:lineRule="auto"/>
        <w:tabs>
          <w:tab w:leader="none" w:pos="2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table above and footnotes below, the average price paid per share, total repurchase costs and approximate maximum dollar value of shares that may yet be purchased under the plans or programs exclude the 1% excise tax.</w:t>
      </w:r>
    </w:p>
    <w:p>
      <w:pPr>
        <w:spacing w:after="0" w:line="111" w:lineRule="exact"/>
        <w:rPr>
          <w:rFonts w:ascii="Times New Roman" w:cs="Times New Roman" w:eastAsia="Times New Roman" w:hAnsi="Times New Roman"/>
          <w:sz w:val="12"/>
          <w:szCs w:val="12"/>
          <w:color w:val="auto"/>
        </w:rPr>
      </w:pPr>
    </w:p>
    <w:p>
      <w:pPr>
        <w:jc w:val="both"/>
        <w:ind w:left="240" w:right="39" w:hanging="218"/>
        <w:spacing w:after="0" w:line="265" w:lineRule="auto"/>
        <w:tabs>
          <w:tab w:leader="none" w:pos="2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2023, we executed an accelerated share repurchase (“ASR”) agreement to repurchase $300 million of our common stock. At the beginning of the repurchase period, we delivered $300 million in cash and initially received 1.5 million shares based on a stock price of $161.38. The ASR agreement completed in February 2024, at which time we received 0.2 million additional shares based on a final weighted average price of $175.29.</w:t>
      </w:r>
    </w:p>
    <w:p>
      <w:pPr>
        <w:spacing w:after="0" w:line="118" w:lineRule="exact"/>
        <w:rPr>
          <w:rFonts w:ascii="Times New Roman" w:cs="Times New Roman" w:eastAsia="Times New Roman" w:hAnsi="Times New Roman"/>
          <w:sz w:val="12"/>
          <w:szCs w:val="12"/>
          <w:color w:val="auto"/>
        </w:rPr>
      </w:pPr>
    </w:p>
    <w:p>
      <w:pPr>
        <w:jc w:val="both"/>
        <w:ind w:left="240" w:right="3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2024, we entered into an accelerated share repurchase (“ASR”) agreement to repurchase $250 million of our common stock. At the beginning of the repurchase period, we delivered $250 million cash and initially received 1.0 million shares based on a stock price of $199.16. The ASR agreement completed in April 2024, and we received 0.2 million additional shares based on a final weighted average price of $206.23.</w:t>
      </w:r>
    </w:p>
    <w:p>
      <w:pPr>
        <w:spacing w:after="0" w:line="118" w:lineRule="exact"/>
        <w:rPr>
          <w:rFonts w:ascii="Times New Roman" w:cs="Times New Roman" w:eastAsia="Times New Roman" w:hAnsi="Times New Roman"/>
          <w:sz w:val="12"/>
          <w:szCs w:val="12"/>
          <w:color w:val="auto"/>
        </w:rPr>
      </w:pPr>
    </w:p>
    <w:p>
      <w:pPr>
        <w:ind w:left="240" w:right="39"/>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average price per share reported in the table reflects the weighted average price of (i) the final share delivery from the October 2023 ASR, which was made in February 2024, and (ii) the initial share delivery of the February 2024 ASR.</w:t>
      </w:r>
    </w:p>
    <w:p>
      <w:pPr>
        <w:spacing w:after="0" w:line="111" w:lineRule="exact"/>
        <w:rPr>
          <w:rFonts w:ascii="Times New Roman" w:cs="Times New Roman" w:eastAsia="Times New Roman" w:hAnsi="Times New Roman"/>
          <w:sz w:val="12"/>
          <w:szCs w:val="12"/>
          <w:color w:val="auto"/>
        </w:rPr>
      </w:pPr>
    </w:p>
    <w:p>
      <w:pPr>
        <w:jc w:val="both"/>
        <w:ind w:left="240" w:right="39" w:hanging="218"/>
        <w:spacing w:after="0" w:line="265" w:lineRule="auto"/>
        <w:tabs>
          <w:tab w:leader="none" w:pos="2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March 31, 2024, the Company has authorization for $1.25 billion of future share repurchases. The amount of future share repurchases executed under our Board of Directors’ authorization is determined in management’s discretion, based on various factors, including our net earnings, financial condition and cash required for future business plans, growth and acquisitions.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3. </w:t>
      </w:r>
      <w:r>
        <w:rPr>
          <w:rFonts w:ascii="Times New Roman" w:cs="Times New Roman" w:eastAsia="Times New Roman" w:hAnsi="Times New Roman"/>
          <w:sz w:val="12"/>
          <w:szCs w:val="12"/>
          <w:b w:val="1"/>
          <w:bCs w:val="1"/>
          <w:i w:val="1"/>
          <w:iCs w:val="1"/>
          <w:color w:val="auto"/>
        </w:rPr>
        <w:t>Defaults Upon Senior Securities.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4. </w:t>
      </w:r>
      <w:r>
        <w:rPr>
          <w:rFonts w:ascii="Times New Roman" w:cs="Times New Roman" w:eastAsia="Times New Roman" w:hAnsi="Times New Roman"/>
          <w:sz w:val="12"/>
          <w:szCs w:val="12"/>
          <w:b w:val="1"/>
          <w:bCs w:val="1"/>
          <w:i w:val="1"/>
          <w:iCs w:val="1"/>
          <w:color w:val="auto"/>
        </w:rPr>
        <w:t>Mine Safety Disclosures.</w:t>
      </w:r>
    </w:p>
    <w:p>
      <w:pPr>
        <w:spacing w:after="0" w:line="154"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5. </w:t>
      </w:r>
      <w:r>
        <w:rPr>
          <w:rFonts w:ascii="Times New Roman" w:cs="Times New Roman" w:eastAsia="Times New Roman" w:hAnsi="Times New Roman"/>
          <w:sz w:val="12"/>
          <w:szCs w:val="12"/>
          <w:b w:val="1"/>
          <w:bCs w:val="1"/>
          <w:i w:val="1"/>
          <w:iCs w:val="1"/>
          <w:color w:val="auto"/>
        </w:rPr>
        <w:t>Other Information</w:t>
      </w:r>
      <w:r>
        <w:rPr>
          <w:rFonts w:ascii="Times New Roman" w:cs="Times New Roman" w:eastAsia="Times New Roman" w:hAnsi="Times New Roman"/>
          <w:sz w:val="12"/>
          <w:szCs w:val="12"/>
          <w:b w:val="1"/>
          <w:bCs w:val="1"/>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Trading Plans of Directors and Executive Officers</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On February 20, 2024, James C. Fish, Jr., President, Chief Executive Officer and member of our Board of Directors, adopted a written net share settlement instruction, which provided that automatically upon the vesting of 32,850 stock options on February 23, 2024, the Company would exercise the options and withhold shares of common stock necessary to cover tax requirements and the exercise price. All remaining shares of common stock resulting from the option exercise after the net share settlement process were delivered to Mr. Fish. The net share settlement instruction was not intended to satisfy the affirmative defense of Rule 10b5-1(c) under the Exchange Act.</w:t>
      </w:r>
    </w:p>
    <w:p>
      <w:pPr>
        <w:spacing w:after="0" w:line="122"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On March 2, 2024, Mr. Fish adopted a stock trading plan (the “Fish Trading Plan”) intended to satisfy the affirmative defense of Rule 10b5-1(c) under the Exchange Act. The Fish Trading Plan will commence on June 3, 2024 and will automatically terminate on the earlier of June 3, 2025 and the completion of all of the contemplated transactions set forth therein. The Fish Trading Plan provides for the potential sale of up to 86,209 shares of our common stock upon our common stock reaching specified market prices.</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On March 6, 2024, Mr. Michael J. Watson, Senior Vice President and Chief Customer Officer, adopted a stock trading plan (the “Watson Trading Plan”) intended to satisfy the affirmative defense of Rule 10b5-1(c) under the Exchange Act. The Watson Trading Plan will commence on June 6, 2024 and will automatically terminate on the earlier of October 31, 2024 and the completion of all of the contemplated stock sales set forth therein. The Watson Trading Plan provides for the potential sale of up to 8,708 shares of our common stock upon our common stock reaching specified market prices.</w:t>
      </w:r>
    </w:p>
    <w:p>
      <w:pPr>
        <w:spacing w:after="0" w:line="122" w:lineRule="exact"/>
        <w:rPr>
          <w:sz w:val="20"/>
          <w:szCs w:val="20"/>
          <w:color w:val="auto"/>
        </w:rPr>
      </w:pPr>
    </w:p>
    <w:p>
      <w:pPr>
        <w:jc w:val="both"/>
        <w:ind w:left="20" w:right="39" w:firstLine="216"/>
        <w:spacing w:after="0" w:line="286" w:lineRule="auto"/>
        <w:rPr>
          <w:sz w:val="20"/>
          <w:szCs w:val="20"/>
          <w:color w:val="auto"/>
        </w:rPr>
      </w:pPr>
      <w:r>
        <w:rPr>
          <w:rFonts w:ascii="Times New Roman" w:cs="Times New Roman" w:eastAsia="Times New Roman" w:hAnsi="Times New Roman"/>
          <w:sz w:val="11"/>
          <w:szCs w:val="11"/>
          <w:color w:val="auto"/>
        </w:rPr>
        <w:t>On March 7, 2024, Mr. Charles C. Boettcher, Executive Vice President, Corporate Development and Chief Legal Officer, adopted a stock trading plan (the “Boettcher Trading Plan”) intended to satisfy the affirmative defense of Rule 10b5-1(c) under the Exchange Act. The Boettcher Trading Plan will commence on June 5, 2024 and will automatically terminate on the earlier of October 30, 2024 and the completion of all of the contemplated transactions set forth therein. The Boettcher Trading Plan provides for the potential cashless exercise of 10,639 vested stock options, upon our common stock reaching specified market prices, pursuant to which the Company would withhold shares of common stock necessary to cover tax requirements and the exercise price. All remaining shares of common stock resulting from the option exercise after the net share settlement process will be delivered to Mr. Boettcher.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31"/>
        </w:trPr>
        <w:tc>
          <w:tcPr>
            <w:tcW w:w="1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Item 6. </w:t>
            </w:r>
            <w:r>
              <w:rPr>
                <w:rFonts w:ascii="Times New Roman" w:cs="Times New Roman" w:eastAsia="Times New Roman" w:hAnsi="Times New Roman"/>
                <w:sz w:val="11"/>
                <w:szCs w:val="11"/>
                <w:b w:val="1"/>
                <w:bCs w:val="1"/>
                <w:i w:val="1"/>
                <w:iCs w:val="1"/>
                <w:color w:val="auto"/>
              </w:rPr>
              <w:t>Exhibits.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0" w:type="dxa"/>
            <w:vAlign w:val="bottom"/>
            <w:gridSpan w:val="6"/>
          </w:tcPr>
          <w:p>
            <w:pPr>
              <w:ind w:left="2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87"/>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10.1</w:t>
            </w:r>
          </w:p>
        </w:tc>
        <w:tc>
          <w:tcPr>
            <w:tcW w:w="240" w:type="dxa"/>
            <w:vAlign w:val="bottom"/>
          </w:tcPr>
          <w:p>
            <w:pPr>
              <w:spacing w:after="0"/>
              <w:rPr>
                <w:sz w:val="16"/>
                <w:szCs w:val="16"/>
                <w:color w:val="auto"/>
              </w:rPr>
            </w:pPr>
          </w:p>
        </w:tc>
        <w:tc>
          <w:tcPr>
            <w:tcW w:w="7800" w:type="dxa"/>
            <w:vAlign w:val="bottom"/>
            <w:tcBorders>
              <w:top w:val="single" w:sz="8" w:color="auto"/>
              <w:bottom w:val="single" w:sz="8" w:color="0000EE"/>
            </w:tcBorders>
            <w:gridSpan w:val="10"/>
          </w:tcPr>
          <w:p>
            <w:pPr>
              <w:spacing w:after="0"/>
              <w:rPr>
                <w:rFonts w:ascii="Times New Roman" w:cs="Times New Roman" w:eastAsia="Times New Roman" w:hAnsi="Times New Roman"/>
                <w:sz w:val="12"/>
                <w:szCs w:val="12"/>
                <w:color w:val="0000EE"/>
              </w:rPr>
            </w:pPr>
            <w:hyperlink r:id="rId50">
              <w:r>
                <w:rPr>
                  <w:rFonts w:ascii="Times New Roman" w:cs="Times New Roman" w:eastAsia="Times New Roman" w:hAnsi="Times New Roman"/>
                  <w:sz w:val="12"/>
                  <w:szCs w:val="12"/>
                  <w:color w:val="0000EE"/>
                </w:rPr>
                <w:t>Form of 2024 Long Term Incentive Compensation Award Agreement for Senior Leadership Team [Incorporated by reference to Exhibit 10.1 to Form 8-K filed</w:t>
              </w:r>
            </w:hyperlink>
          </w:p>
        </w:tc>
      </w:tr>
      <w:tr>
        <w:trPr>
          <w:trHeight w:val="124"/>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0" w:type="dxa"/>
            <w:vAlign w:val="bottom"/>
            <w:gridSpan w:val="10"/>
          </w:tcPr>
          <w:p>
            <w:pPr>
              <w:spacing w:after="0" w:line="124" w:lineRule="exact"/>
              <w:rPr>
                <w:rFonts w:ascii="Times New Roman" w:cs="Times New Roman" w:eastAsia="Times New Roman" w:hAnsi="Times New Roman"/>
                <w:sz w:val="12"/>
                <w:szCs w:val="12"/>
                <w:color w:val="0000EE"/>
              </w:rPr>
            </w:pPr>
            <w:hyperlink r:id="rId50">
              <w:r>
                <w:rPr>
                  <w:rFonts w:ascii="Times New Roman" w:cs="Times New Roman" w:eastAsia="Times New Roman" w:hAnsi="Times New Roman"/>
                  <w:sz w:val="12"/>
                  <w:szCs w:val="12"/>
                  <w:color w:val="0000EE"/>
                </w:rPr>
                <w:t>March 6, 2024].</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240" w:type="dxa"/>
            <w:vAlign w:val="bottom"/>
          </w:tcPr>
          <w:p>
            <w:pPr>
              <w:spacing w:after="0"/>
              <w:rPr>
                <w:sz w:val="17"/>
                <w:szCs w:val="17"/>
                <w:color w:val="auto"/>
              </w:rPr>
            </w:pPr>
          </w:p>
        </w:tc>
        <w:tc>
          <w:tcPr>
            <w:tcW w:w="7800" w:type="dxa"/>
            <w:vAlign w:val="bottom"/>
            <w:gridSpan w:val="10"/>
          </w:tcPr>
          <w:p>
            <w:pPr>
              <w:spacing w:after="0"/>
              <w:rPr>
                <w:rFonts w:ascii="Times New Roman" w:cs="Times New Roman" w:eastAsia="Times New Roman" w:hAnsi="Times New Roman"/>
                <w:sz w:val="12"/>
                <w:szCs w:val="12"/>
                <w:color w:val="0000EE"/>
              </w:rPr>
            </w:pPr>
            <w:hyperlink r:id="rId51">
              <w:r>
                <w:rPr>
                  <w:rFonts w:ascii="Times New Roman" w:cs="Times New Roman" w:eastAsia="Times New Roman" w:hAnsi="Times New Roman"/>
                  <w:sz w:val="12"/>
                  <w:szCs w:val="12"/>
                  <w:color w:val="0000EE"/>
                </w:rPr>
                <w:t>Form of 2024 Executive Officer Annual Incentive Award Agreement [Incorporated by reference to Exhibit 10.2 to Form 8-K filed March 6, 2024].</w:t>
              </w:r>
            </w:hyperlink>
          </w:p>
        </w:tc>
      </w:tr>
      <w:tr>
        <w:trPr>
          <w:trHeight w:val="28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240" w:type="dxa"/>
            <w:vAlign w:val="bottom"/>
          </w:tcPr>
          <w:p>
            <w:pPr>
              <w:spacing w:after="0"/>
              <w:rPr>
                <w:sz w:val="24"/>
                <w:szCs w:val="24"/>
                <w:color w:val="auto"/>
              </w:rPr>
            </w:pPr>
          </w:p>
        </w:tc>
        <w:tc>
          <w:tcPr>
            <w:tcW w:w="56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9"/>
              </w:rPr>
              <w:t>Form of 2024 Long Term Incentive Compensation Award Agreement for Leadership Tier (Chief Accounting Officer).</w:t>
            </w:r>
          </w:p>
        </w:tc>
        <w:tc>
          <w:tcPr>
            <w:tcW w:w="1380" w:type="dxa"/>
            <w:vAlign w:val="bottom"/>
            <w:tcBorders>
              <w:top w:val="single" w:sz="8" w:color="0000EE"/>
            </w:tcBorders>
            <w:gridSpan w:val="2"/>
          </w:tcPr>
          <w:p>
            <w:pPr>
              <w:spacing w:after="0"/>
              <w:rPr>
                <w:sz w:val="24"/>
                <w:szCs w:val="24"/>
                <w:color w:val="auto"/>
              </w:rPr>
            </w:pPr>
          </w:p>
        </w:tc>
        <w:tc>
          <w:tcPr>
            <w:tcW w:w="760" w:type="dxa"/>
            <w:vAlign w:val="bottom"/>
            <w:gridSpan w:val="2"/>
          </w:tcPr>
          <w:p>
            <w:pPr>
              <w:spacing w:after="0"/>
              <w:rPr>
                <w:sz w:val="24"/>
                <w:szCs w:val="24"/>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22.1*</w:t>
            </w:r>
          </w:p>
        </w:tc>
        <w:tc>
          <w:tcPr>
            <w:tcW w:w="240" w:type="dxa"/>
            <w:vAlign w:val="bottom"/>
          </w:tcPr>
          <w:p>
            <w:pPr>
              <w:spacing w:after="0"/>
              <w:rPr>
                <w:sz w:val="17"/>
                <w:szCs w:val="17"/>
                <w:color w:val="auto"/>
              </w:rPr>
            </w:pP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0000EE"/>
              </w:rPr>
              <w:t>Guarantor Subsidiary.</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240" w:type="dxa"/>
            <w:vAlign w:val="bottom"/>
          </w:tcPr>
          <w:p>
            <w:pPr>
              <w:spacing w:after="0"/>
              <w:rPr>
                <w:sz w:val="17"/>
                <w:szCs w:val="17"/>
                <w:color w:val="auto"/>
              </w:rPr>
            </w:pP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0000EE"/>
              </w:rPr>
              <w:t>Certification Pursuant to Rules 13a-14(a) and 15d-14(a) under the Securities Exchange Act of 1934 of James C. Fish, Jr., President and Chief Executive Officer.</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240" w:type="dxa"/>
            <w:vAlign w:val="bottom"/>
          </w:tcPr>
          <w:p>
            <w:pPr>
              <w:spacing w:after="0"/>
              <w:rPr>
                <w:sz w:val="17"/>
                <w:szCs w:val="17"/>
                <w:color w:val="auto"/>
              </w:rPr>
            </w:pPr>
          </w:p>
        </w:tc>
        <w:tc>
          <w:tcPr>
            <w:tcW w:w="7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2"/>
                <w:szCs w:val="12"/>
                <w:color w:val="0000EE"/>
              </w:rPr>
              <w:t>Certification Pursuant to Rules 13a-14(a) and 15d-14(a) under the Securities Exchange Act of 1934 of Devina A. Rankin, Executive Vice President and Chief</w:t>
            </w:r>
          </w:p>
        </w:tc>
      </w:tr>
      <w:tr>
        <w:trPr>
          <w:trHeight w:val="124"/>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6"/>
              </w:rPr>
              <w:t>Financial Officer.</w:t>
            </w:r>
          </w:p>
        </w:tc>
        <w:tc>
          <w:tcPr>
            <w:tcW w:w="6960" w:type="dxa"/>
            <w:vAlign w:val="bottom"/>
            <w:gridSpan w:val="8"/>
          </w:tcPr>
          <w:p>
            <w:pPr>
              <w:spacing w:after="0"/>
              <w:rPr>
                <w:sz w:val="10"/>
                <w:szCs w:val="10"/>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240" w:type="dxa"/>
            <w:vAlign w:val="bottom"/>
          </w:tcPr>
          <w:p>
            <w:pPr>
              <w:spacing w:after="0"/>
              <w:rPr>
                <w:sz w:val="17"/>
                <w:szCs w:val="17"/>
                <w:color w:val="auto"/>
              </w:rPr>
            </w:pPr>
          </w:p>
        </w:tc>
        <w:tc>
          <w:tcPr>
            <w:tcW w:w="4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Certification Pursuant to 18 U.S.C. §1350 of James C. Fish, Jr., President and Chief Executive Officer.</w:t>
            </w:r>
          </w:p>
        </w:tc>
        <w:tc>
          <w:tcPr>
            <w:tcW w:w="2880" w:type="dxa"/>
            <w:vAlign w:val="bottom"/>
            <w:gridSpan w:val="5"/>
          </w:tcPr>
          <w:p>
            <w:pPr>
              <w:spacing w:after="0"/>
              <w:rPr>
                <w:sz w:val="17"/>
                <w:szCs w:val="17"/>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240" w:type="dxa"/>
            <w:vAlign w:val="bottom"/>
          </w:tcPr>
          <w:p>
            <w:pPr>
              <w:spacing w:after="0"/>
              <w:rPr>
                <w:sz w:val="17"/>
                <w:szCs w:val="17"/>
                <w:color w:val="auto"/>
              </w:rPr>
            </w:pPr>
          </w:p>
        </w:tc>
        <w:tc>
          <w:tcPr>
            <w:tcW w:w="5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Certification Pursuant to 18 U.S.C. §1350 of Devina A. Rankin, Executive Vice President and Chief Financial Officer.</w:t>
            </w:r>
          </w:p>
        </w:tc>
        <w:tc>
          <w:tcPr>
            <w:tcW w:w="2120" w:type="dxa"/>
            <w:vAlign w:val="bottom"/>
            <w:gridSpan w:val="3"/>
          </w:tcPr>
          <w:p>
            <w:pPr>
              <w:spacing w:after="0"/>
              <w:rPr>
                <w:sz w:val="17"/>
                <w:szCs w:val="17"/>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95*</w:t>
            </w:r>
          </w:p>
        </w:tc>
        <w:tc>
          <w:tcPr>
            <w:tcW w:w="240" w:type="dxa"/>
            <w:vAlign w:val="bottom"/>
          </w:tcPr>
          <w:p>
            <w:pPr>
              <w:spacing w:after="0"/>
              <w:rPr>
                <w:sz w:val="17"/>
                <w:szCs w:val="17"/>
                <w:color w:val="auto"/>
              </w:rPr>
            </w:pP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0000EE"/>
              </w:rPr>
              <w:t>Mine Safety Disclosures.</w:t>
            </w:r>
          </w:p>
        </w:tc>
      </w:tr>
      <w:tr>
        <w:trPr>
          <w:trHeight w:val="232"/>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p>
        </w:tc>
        <w:tc>
          <w:tcPr>
            <w:tcW w:w="1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auto"/>
              </w:rPr>
              <w:t>Inline XBRL Instance.</w:t>
            </w:r>
          </w:p>
        </w:tc>
        <w:tc>
          <w:tcPr>
            <w:tcW w:w="6600" w:type="dxa"/>
            <w:vAlign w:val="bottom"/>
            <w:gridSpan w:val="6"/>
          </w:tcPr>
          <w:p>
            <w:pPr>
              <w:spacing w:after="0"/>
              <w:rPr>
                <w:sz w:val="20"/>
                <w:szCs w:val="20"/>
                <w:color w:val="auto"/>
              </w:rPr>
            </w:pPr>
          </w:p>
        </w:tc>
      </w:tr>
      <w:tr>
        <w:trPr>
          <w:trHeight w:val="225"/>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Inline XBRL Taxonomy Extension Schema.</w:t>
            </w:r>
          </w:p>
        </w:tc>
      </w:tr>
      <w:tr>
        <w:trPr>
          <w:trHeight w:val="225"/>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101.CAL*</w:t>
            </w: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w:t>
            </w:r>
          </w:p>
        </w:tc>
      </w:tr>
      <w:tr>
        <w:trPr>
          <w:trHeight w:val="225"/>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101.LAB*</w:t>
            </w: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Inline XBRL Taxonomy Extension Labels.</w:t>
            </w:r>
          </w:p>
        </w:tc>
      </w:tr>
      <w:tr>
        <w:trPr>
          <w:trHeight w:val="225"/>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w:t>
            </w:r>
          </w:p>
        </w:tc>
      </w:tr>
      <w:tr>
        <w:trPr>
          <w:trHeight w:val="225"/>
        </w:trPr>
        <w:tc>
          <w:tcPr>
            <w:tcW w:w="1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Inline XBRL Taxonomy Extension Definition.</w:t>
            </w:r>
          </w:p>
        </w:tc>
      </w:tr>
      <w:tr>
        <w:trPr>
          <w:trHeight w:val="22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40" w:type="dxa"/>
            <w:vAlign w:val="bottom"/>
          </w:tcPr>
          <w:p>
            <w:pPr>
              <w:spacing w:after="0"/>
              <w:rPr>
                <w:sz w:val="19"/>
                <w:szCs w:val="19"/>
                <w:color w:val="auto"/>
              </w:rPr>
            </w:pPr>
          </w:p>
        </w:tc>
        <w:tc>
          <w:tcPr>
            <w:tcW w:w="780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51435</wp:posOffset>
            </wp:positionV>
            <wp:extent cx="14230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122" w:lineRule="exact"/>
        <w:rPr>
          <w:sz w:val="20"/>
          <w:szCs w:val="20"/>
          <w:color w:val="auto"/>
        </w:rPr>
      </w:pPr>
    </w:p>
    <w:p>
      <w:pPr>
        <w:ind w:left="160" w:hanging="138"/>
        <w:spacing w:after="0"/>
        <w:tabs>
          <w:tab w:leader="none" w:pos="160" w:val="left"/>
        </w:tabs>
        <w:numPr>
          <w:ilvl w:val="0"/>
          <w:numId w:val="2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Filed herewith.</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  Furnished herewith.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32"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authorized.</w:t>
            </w:r>
          </w:p>
        </w:tc>
        <w:tc>
          <w:tcPr>
            <w:tcW w:w="2780" w:type="dxa"/>
            <w:vAlign w:val="bottom"/>
          </w:tcPr>
          <w:p>
            <w:pPr>
              <w:spacing w:after="0"/>
              <w:rPr>
                <w:sz w:val="13"/>
                <w:szCs w:val="13"/>
                <w:color w:val="auto"/>
              </w:rPr>
            </w:pPr>
          </w:p>
        </w:tc>
      </w:tr>
      <w:tr>
        <w:trPr>
          <w:trHeight w:val="286"/>
        </w:trPr>
        <w:tc>
          <w:tcPr>
            <w:tcW w:w="6180" w:type="dxa"/>
            <w:vAlign w:val="bottom"/>
            <w:gridSpan w:val="2"/>
          </w:tcPr>
          <w:p>
            <w:pPr>
              <w:ind w:left="4560"/>
              <w:spacing w:after="0"/>
              <w:rPr>
                <w:sz w:val="20"/>
                <w:szCs w:val="20"/>
                <w:color w:val="auto"/>
              </w:rPr>
            </w:pPr>
            <w:r>
              <w:rPr>
                <w:rFonts w:ascii="Times New Roman" w:cs="Times New Roman" w:eastAsia="Times New Roman" w:hAnsi="Times New Roman"/>
                <w:sz w:val="12"/>
                <w:szCs w:val="12"/>
                <w:color w:val="auto"/>
                <w:w w:val="99"/>
              </w:rPr>
              <w:t>WASTE MANAGEMENT, INC.</w:t>
            </w:r>
          </w:p>
        </w:tc>
        <w:tc>
          <w:tcPr>
            <w:tcW w:w="2780" w:type="dxa"/>
            <w:vAlign w:val="bottom"/>
          </w:tcPr>
          <w:p>
            <w:pPr>
              <w:spacing w:after="0"/>
              <w:rPr>
                <w:sz w:val="24"/>
                <w:szCs w:val="24"/>
                <w:color w:val="auto"/>
              </w:rPr>
            </w:pPr>
          </w:p>
        </w:tc>
      </w:tr>
      <w:tr>
        <w:trPr>
          <w:trHeight w:val="288"/>
        </w:trPr>
        <w:tc>
          <w:tcPr>
            <w:tcW w:w="6180" w:type="dxa"/>
            <w:vAlign w:val="bottom"/>
            <w:gridSpan w:val="2"/>
          </w:tcPr>
          <w:p>
            <w:pPr>
              <w:ind w:left="4560"/>
              <w:spacing w:after="0"/>
              <w:rPr>
                <w:sz w:val="20"/>
                <w:szCs w:val="20"/>
                <w:color w:val="auto"/>
              </w:rPr>
            </w:pPr>
            <w:r>
              <w:rPr>
                <w:rFonts w:ascii="Times New Roman" w:cs="Times New Roman" w:eastAsia="Times New Roman" w:hAnsi="Times New Roman"/>
                <w:sz w:val="12"/>
                <w:szCs w:val="12"/>
                <w:color w:val="auto"/>
              </w:rPr>
              <w:t>By:</w:t>
            </w: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color w:val="auto"/>
                <w:w w:val="99"/>
              </w:rPr>
              <w:t>/s/ DEVINA A. RANKIN</w:t>
            </w:r>
          </w:p>
        </w:tc>
      </w:tr>
      <w:tr>
        <w:trPr>
          <w:trHeight w:val="120"/>
        </w:trPr>
        <w:tc>
          <w:tcPr>
            <w:tcW w:w="49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jc w:val="center"/>
              <w:ind w:right="1200"/>
              <w:spacing w:after="0" w:line="120" w:lineRule="exact"/>
              <w:rPr>
                <w:sz w:val="20"/>
                <w:szCs w:val="20"/>
                <w:color w:val="auto"/>
              </w:rPr>
            </w:pPr>
            <w:r>
              <w:rPr>
                <w:rFonts w:ascii="Times New Roman" w:cs="Times New Roman" w:eastAsia="Times New Roman" w:hAnsi="Times New Roman"/>
                <w:sz w:val="12"/>
                <w:szCs w:val="12"/>
                <w:color w:val="auto"/>
              </w:rPr>
              <w:t>Devina A. Rankin</w:t>
            </w:r>
          </w:p>
        </w:tc>
      </w:tr>
      <w:tr>
        <w:trPr>
          <w:trHeight w:val="144"/>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i w:val="1"/>
                <w:iCs w:val="1"/>
                <w:color w:val="auto"/>
                <w:w w:val="99"/>
              </w:rPr>
              <w:t>Executive Vice President and</w:t>
            </w:r>
          </w:p>
        </w:tc>
      </w:tr>
      <w:tr>
        <w:trPr>
          <w:trHeight w:val="144"/>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r>
        <w:trPr>
          <w:trHeight w:val="157"/>
        </w:trPr>
        <w:tc>
          <w:tcPr>
            <w:tcW w:w="4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r>
        <w:trPr>
          <w:trHeight w:val="288"/>
        </w:trPr>
        <w:tc>
          <w:tcPr>
            <w:tcW w:w="6180" w:type="dxa"/>
            <w:vAlign w:val="bottom"/>
            <w:gridSpan w:val="2"/>
          </w:tcPr>
          <w:p>
            <w:pPr>
              <w:ind w:left="4560"/>
              <w:spacing w:after="0"/>
              <w:rPr>
                <w:sz w:val="20"/>
                <w:szCs w:val="20"/>
                <w:color w:val="auto"/>
              </w:rPr>
            </w:pPr>
            <w:r>
              <w:rPr>
                <w:rFonts w:ascii="Times New Roman" w:cs="Times New Roman" w:eastAsia="Times New Roman" w:hAnsi="Times New Roman"/>
                <w:sz w:val="12"/>
                <w:szCs w:val="12"/>
                <w:color w:val="auto"/>
                <w:w w:val="99"/>
              </w:rPr>
              <w:t>WASTE MANAGEMENT, INC.</w:t>
            </w:r>
          </w:p>
        </w:tc>
        <w:tc>
          <w:tcPr>
            <w:tcW w:w="2780" w:type="dxa"/>
            <w:vAlign w:val="bottom"/>
          </w:tcPr>
          <w:p>
            <w:pPr>
              <w:spacing w:after="0"/>
              <w:rPr>
                <w:sz w:val="24"/>
                <w:szCs w:val="24"/>
                <w:color w:val="auto"/>
              </w:rPr>
            </w:pPr>
          </w:p>
        </w:tc>
      </w:tr>
      <w:tr>
        <w:trPr>
          <w:trHeight w:val="288"/>
        </w:trPr>
        <w:tc>
          <w:tcPr>
            <w:tcW w:w="6180" w:type="dxa"/>
            <w:vAlign w:val="bottom"/>
            <w:gridSpan w:val="2"/>
          </w:tcPr>
          <w:p>
            <w:pPr>
              <w:ind w:left="4560"/>
              <w:spacing w:after="0"/>
              <w:rPr>
                <w:sz w:val="20"/>
                <w:szCs w:val="20"/>
                <w:color w:val="auto"/>
              </w:rPr>
            </w:pPr>
            <w:r>
              <w:rPr>
                <w:rFonts w:ascii="Times New Roman" w:cs="Times New Roman" w:eastAsia="Times New Roman" w:hAnsi="Times New Roman"/>
                <w:sz w:val="12"/>
                <w:szCs w:val="12"/>
                <w:color w:val="auto"/>
              </w:rPr>
              <w:t>By:</w:t>
            </w: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color w:val="auto"/>
                <w:w w:val="99"/>
              </w:rPr>
              <w:t>/s/ JOHN CARROLL</w:t>
            </w:r>
          </w:p>
        </w:tc>
      </w:tr>
      <w:tr>
        <w:trPr>
          <w:trHeight w:val="120"/>
        </w:trPr>
        <w:tc>
          <w:tcPr>
            <w:tcW w:w="49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jc w:val="center"/>
              <w:ind w:right="1200"/>
              <w:spacing w:after="0" w:line="120" w:lineRule="exact"/>
              <w:rPr>
                <w:sz w:val="20"/>
                <w:szCs w:val="20"/>
                <w:color w:val="auto"/>
              </w:rPr>
            </w:pPr>
            <w:r>
              <w:rPr>
                <w:rFonts w:ascii="Times New Roman" w:cs="Times New Roman" w:eastAsia="Times New Roman" w:hAnsi="Times New Roman"/>
                <w:sz w:val="12"/>
                <w:szCs w:val="12"/>
                <w:color w:val="auto"/>
              </w:rPr>
              <w:t>John Carroll</w:t>
            </w:r>
          </w:p>
        </w:tc>
      </w:tr>
      <w:tr>
        <w:trPr>
          <w:trHeight w:val="144"/>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780" w:type="dxa"/>
            <w:vAlign w:val="bottom"/>
          </w:tcPr>
          <w:p>
            <w:pPr>
              <w:jc w:val="center"/>
              <w:ind w:right="1220"/>
              <w:spacing w:after="0"/>
              <w:rPr>
                <w:sz w:val="20"/>
                <w:szCs w:val="20"/>
                <w:color w:val="auto"/>
              </w:rPr>
            </w:pPr>
            <w:r>
              <w:rPr>
                <w:rFonts w:ascii="Times New Roman" w:cs="Times New Roman" w:eastAsia="Times New Roman" w:hAnsi="Times New Roman"/>
                <w:sz w:val="12"/>
                <w:szCs w:val="12"/>
                <w:i w:val="1"/>
                <w:iCs w:val="1"/>
                <w:color w:val="auto"/>
                <w:w w:val="98"/>
              </w:rPr>
              <w:t>Vice President and</w:t>
            </w:r>
          </w:p>
        </w:tc>
      </w:tr>
      <w:tr>
        <w:trPr>
          <w:trHeight w:val="144"/>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i w:val="1"/>
                <w:iCs w:val="1"/>
                <w:color w:val="auto"/>
                <w:w w:val="99"/>
              </w:rPr>
              <w:t>Chief Accounting Officer</w:t>
            </w:r>
          </w:p>
        </w:tc>
      </w:tr>
      <w:tr>
        <w:trPr>
          <w:trHeight w:val="157"/>
        </w:trPr>
        <w:tc>
          <w:tcPr>
            <w:tcW w:w="4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780" w:type="dxa"/>
            <w:vAlign w:val="bottom"/>
          </w:tcPr>
          <w:p>
            <w:pPr>
              <w:jc w:val="center"/>
              <w:ind w:right="1200"/>
              <w:spacing w:after="0"/>
              <w:rPr>
                <w:sz w:val="20"/>
                <w:szCs w:val="20"/>
                <w:color w:val="auto"/>
              </w:rPr>
            </w:pPr>
            <w:r>
              <w:rPr>
                <w:rFonts w:ascii="Times New Roman" w:cs="Times New Roman" w:eastAsia="Times New Roman" w:hAnsi="Times New Roman"/>
                <w:sz w:val="12"/>
                <w:szCs w:val="12"/>
                <w:i w:val="1"/>
                <w:iCs w:val="1"/>
                <w:color w:val="auto"/>
                <w:w w:val="99"/>
              </w:rPr>
              <w:t>(Principal Accounting Officer)</w:t>
            </w:r>
          </w:p>
        </w:tc>
      </w:tr>
      <w:tr>
        <w:trPr>
          <w:trHeight w:val="576"/>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Date: April 25, 2024</w:t>
            </w:r>
          </w:p>
        </w:tc>
        <w:tc>
          <w:tcPr>
            <w:tcW w:w="2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629" w:right="1440" w:bottom="1440" w:gutter="0" w:footer="0" w:header="0"/>
        </w:sectPr>
      </w:pPr>
    </w:p>
    <w:bookmarkStart w:id="39" w:name="page40"/>
    <w:bookmarkEnd w:id="39"/>
    <w:p>
      <w:pPr>
        <w:jc w:val="right"/>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495935</wp:posOffset>
            </wp:positionH>
            <wp:positionV relativeFrom="page">
              <wp:posOffset>91440</wp:posOffset>
            </wp:positionV>
            <wp:extent cx="6556375" cy="4578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556375" cy="4578985"/>
                    </a:xfrm>
                    <a:prstGeom prst="rect">
                      <a:avLst/>
                    </a:prstGeom>
                    <a:noFill/>
                  </pic:spPr>
                </pic:pic>
              </a:graphicData>
            </a:graphic>
          </wp:anchor>
        </w:drawing>
        <w:t>EXHIBIT 10.3</w:t>
      </w:r>
    </w:p>
    <w:p>
      <w:pPr>
        <w:jc w:val="center"/>
        <w:spacing w:after="0" w:line="235" w:lineRule="auto"/>
        <w:rPr>
          <w:sz w:val="20"/>
          <w:szCs w:val="20"/>
          <w:color w:val="auto"/>
        </w:rPr>
      </w:pPr>
      <w:r>
        <w:rPr>
          <w:rFonts w:ascii="Calibri" w:cs="Calibri" w:eastAsia="Calibri" w:hAnsi="Calibri"/>
          <w:sz w:val="19"/>
          <w:szCs w:val="19"/>
          <w:b w:val="1"/>
          <w:bCs w:val="1"/>
          <w:color w:val="auto"/>
        </w:rPr>
        <w:t>2024 Long Term Incentve Compensaton</w:t>
      </w:r>
    </w:p>
    <w:p>
      <w:pPr>
        <w:spacing w:after="0" w:line="3"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Award Agreement</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for the Leadership Tier (CAO) under the</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Waste Management, Inc. 2023 Stock Incentve Plan</w:t>
      </w:r>
    </w:p>
    <w:p>
      <w:pPr>
        <w:spacing w:after="0" w:line="171" w:lineRule="exact"/>
        <w:rPr>
          <w:sz w:val="20"/>
          <w:szCs w:val="20"/>
          <w:color w:val="auto"/>
        </w:rPr>
      </w:pPr>
    </w:p>
    <w:p>
      <w:pPr>
        <w:ind w:right="60"/>
        <w:spacing w:after="0" w:line="244" w:lineRule="auto"/>
        <w:rPr>
          <w:sz w:val="20"/>
          <w:szCs w:val="20"/>
          <w:color w:val="auto"/>
        </w:rPr>
      </w:pPr>
      <w:r>
        <w:rPr>
          <w:rFonts w:ascii="Calibri" w:cs="Calibri" w:eastAsia="Calibri" w:hAnsi="Calibri"/>
          <w:sz w:val="13"/>
          <w:szCs w:val="13"/>
          <w:color w:val="auto"/>
        </w:rPr>
        <w:t>This Award Agreement (this “</w:t>
      </w:r>
      <w:r>
        <w:rPr>
          <w:rFonts w:ascii="Calibri" w:cs="Calibri" w:eastAsia="Calibri" w:hAnsi="Calibri"/>
          <w:sz w:val="13"/>
          <w:szCs w:val="13"/>
          <w:b w:val="1"/>
          <w:bCs w:val="1"/>
          <w:i w:val="1"/>
          <w:iCs w:val="1"/>
          <w:color w:val="auto"/>
        </w:rPr>
        <w:t>Agreement</w:t>
      </w:r>
      <w:r>
        <w:rPr>
          <w:rFonts w:ascii="Calibri" w:cs="Calibri" w:eastAsia="Calibri" w:hAnsi="Calibri"/>
          <w:sz w:val="13"/>
          <w:szCs w:val="13"/>
          <w:color w:val="auto"/>
        </w:rPr>
        <w:t>”) is entered into efectve as of March 1, 2024 (the “</w:t>
      </w:r>
      <w:r>
        <w:rPr>
          <w:rFonts w:ascii="Calibri" w:cs="Calibri" w:eastAsia="Calibri" w:hAnsi="Calibri"/>
          <w:sz w:val="13"/>
          <w:szCs w:val="13"/>
          <w:b w:val="1"/>
          <w:bCs w:val="1"/>
          <w:i w:val="1"/>
          <w:iCs w:val="1"/>
          <w:color w:val="auto"/>
        </w:rPr>
        <w:t>Grant Date</w:t>
      </w:r>
      <w:r>
        <w:rPr>
          <w:rFonts w:ascii="Calibri" w:cs="Calibri" w:eastAsia="Calibri" w:hAnsi="Calibri"/>
          <w:sz w:val="13"/>
          <w:szCs w:val="13"/>
          <w:color w:val="auto"/>
        </w:rPr>
        <w:t>”), by and between Waste Management, Inc., a Delaware corporaton (the “</w:t>
      </w:r>
      <w:r>
        <w:rPr>
          <w:rFonts w:ascii="Calibri" w:cs="Calibri" w:eastAsia="Calibri" w:hAnsi="Calibri"/>
          <w:sz w:val="13"/>
          <w:szCs w:val="13"/>
          <w:b w:val="1"/>
          <w:bCs w:val="1"/>
          <w:i w:val="1"/>
          <w:iCs w:val="1"/>
          <w:color w:val="auto"/>
        </w:rPr>
        <w:t>Company</w:t>
      </w:r>
      <w:r>
        <w:rPr>
          <w:rFonts w:ascii="Calibri" w:cs="Calibri" w:eastAsia="Calibri" w:hAnsi="Calibri"/>
          <w:sz w:val="13"/>
          <w:szCs w:val="13"/>
          <w:color w:val="auto"/>
        </w:rPr>
        <w:t>”) (together with its Subsidiaries and Afliates, “</w:t>
      </w:r>
      <w:r>
        <w:rPr>
          <w:rFonts w:ascii="Calibri" w:cs="Calibri" w:eastAsia="Calibri" w:hAnsi="Calibri"/>
          <w:sz w:val="13"/>
          <w:szCs w:val="13"/>
          <w:b w:val="1"/>
          <w:bCs w:val="1"/>
          <w:i w:val="1"/>
          <w:iCs w:val="1"/>
          <w:color w:val="auto"/>
        </w:rPr>
        <w:t>WM</w:t>
      </w:r>
      <w:r>
        <w:rPr>
          <w:rFonts w:ascii="Calibri" w:cs="Calibri" w:eastAsia="Calibri" w:hAnsi="Calibri"/>
          <w:sz w:val="13"/>
          <w:szCs w:val="13"/>
          <w:color w:val="auto"/>
        </w:rPr>
        <w:t>”), and you (“</w:t>
      </w:r>
      <w:r>
        <w:rPr>
          <w:rFonts w:ascii="Calibri" w:cs="Calibri" w:eastAsia="Calibri" w:hAnsi="Calibri"/>
          <w:sz w:val="13"/>
          <w:szCs w:val="13"/>
          <w:b w:val="1"/>
          <w:bCs w:val="1"/>
          <w:i w:val="1"/>
          <w:iCs w:val="1"/>
          <w:color w:val="auto"/>
        </w:rPr>
        <w:t>Employee</w:t>
      </w:r>
      <w:r>
        <w:rPr>
          <w:rFonts w:ascii="Calibri" w:cs="Calibri" w:eastAsia="Calibri" w:hAnsi="Calibri"/>
          <w:sz w:val="13"/>
          <w:szCs w:val="13"/>
          <w:color w:val="auto"/>
        </w:rPr>
        <w:t>”). At all tmes, the Awards under this Agreement are subject to the terms and conditons of the Waste Management, Inc. 2023 Stock Incentve Plan (the “</w:t>
      </w:r>
      <w:r>
        <w:rPr>
          <w:rFonts w:ascii="Calibri" w:cs="Calibri" w:eastAsia="Calibri" w:hAnsi="Calibri"/>
          <w:sz w:val="13"/>
          <w:szCs w:val="13"/>
          <w:b w:val="1"/>
          <w:bCs w:val="1"/>
          <w:i w:val="1"/>
          <w:iCs w:val="1"/>
          <w:color w:val="auto"/>
        </w:rPr>
        <w:t>Plan</w:t>
      </w:r>
      <w:r>
        <w:rPr>
          <w:rFonts w:ascii="Calibri" w:cs="Calibri" w:eastAsia="Calibri" w:hAnsi="Calibri"/>
          <w:sz w:val="13"/>
          <w:szCs w:val="13"/>
          <w:color w:val="auto"/>
        </w:rPr>
        <w:t>”), this Agreement, and all applicable administratve interpretatons and practces. A copy of the Plan and the Plan Prospectus is available online at www.benefts.ml.com . Please also see the Company’s Form 10-K included in its most recent Annual Report, available on the Investor Relatons page of www.wm.com under Financial Reportng – Annual Reports, for informaton about the Company. By executng this Agreement, you consent to receipt of the Plan, the Prospectus, and the Annual Reports by electronic access as set forth in this paragraph.</w:t>
      </w:r>
    </w:p>
    <w:p>
      <w:pPr>
        <w:spacing w:after="0" w:line="166" w:lineRule="exact"/>
        <w:rPr>
          <w:sz w:val="20"/>
          <w:szCs w:val="20"/>
          <w:color w:val="auto"/>
        </w:rPr>
      </w:pPr>
    </w:p>
    <w:p>
      <w:pPr>
        <w:ind w:right="160"/>
        <w:spacing w:after="0" w:line="242" w:lineRule="auto"/>
        <w:rPr>
          <w:sz w:val="20"/>
          <w:szCs w:val="20"/>
          <w:color w:val="auto"/>
        </w:rPr>
      </w:pPr>
      <w:r>
        <w:rPr>
          <w:rFonts w:ascii="Calibri" w:cs="Calibri" w:eastAsia="Calibri" w:hAnsi="Calibri"/>
          <w:sz w:val="13"/>
          <w:szCs w:val="13"/>
          <w:b w:val="1"/>
          <w:bCs w:val="1"/>
          <w:color w:val="auto"/>
        </w:rPr>
        <w:t>You must execute this Agreement in full, online in accordance with the instructons below, prior to April 1, 2024, in order for this Agreement to become efectve. If you do not execute this Agreement by correctly following the instructons below, your Awards may be cancelled.</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Important Instructons for Executng this Agreement</w:t>
      </w:r>
    </w:p>
    <w:p>
      <w:pPr>
        <w:spacing w:after="0" w:line="171" w:lineRule="exact"/>
        <w:rPr>
          <w:sz w:val="20"/>
          <w:szCs w:val="20"/>
          <w:color w:val="auto"/>
        </w:rPr>
      </w:pPr>
    </w:p>
    <w:p>
      <w:pPr>
        <w:ind w:right="140"/>
        <w:spacing w:after="0" w:line="243" w:lineRule="auto"/>
        <w:rPr>
          <w:sz w:val="20"/>
          <w:szCs w:val="20"/>
          <w:color w:val="auto"/>
        </w:rPr>
      </w:pPr>
      <w:r>
        <w:rPr>
          <w:rFonts w:ascii="Calibri" w:cs="Calibri" w:eastAsia="Calibri" w:hAnsi="Calibri"/>
          <w:sz w:val="13"/>
          <w:szCs w:val="13"/>
          <w:color w:val="auto"/>
        </w:rPr>
        <w:t>If you are a new equity award partcipant, you must open a Limited Individual Investor Account (LIIA) before you can accept your awards. To open your LIIA, log in to www.benefts.ml.com at the secure website maintained by the third-party stock administrator. Once logged in, follow the prompts to “Open a Brokerage Account”. When you have successfully created your account, follow the online instructons, and complete all the steps required to accept the award.</w:t>
      </w:r>
    </w:p>
    <w:p>
      <w:pPr>
        <w:spacing w:after="0" w:line="166" w:lineRule="exact"/>
        <w:rPr>
          <w:sz w:val="20"/>
          <w:szCs w:val="20"/>
          <w:color w:val="auto"/>
        </w:rPr>
      </w:pPr>
    </w:p>
    <w:p>
      <w:pPr>
        <w:ind w:right="220"/>
        <w:spacing w:after="0" w:line="242" w:lineRule="auto"/>
        <w:rPr>
          <w:sz w:val="20"/>
          <w:szCs w:val="20"/>
          <w:color w:val="auto"/>
        </w:rPr>
      </w:pPr>
      <w:r>
        <w:rPr>
          <w:rFonts w:ascii="Calibri" w:cs="Calibri" w:eastAsia="Calibri" w:hAnsi="Calibri"/>
          <w:sz w:val="13"/>
          <w:szCs w:val="13"/>
          <w:color w:val="auto"/>
        </w:rPr>
        <w:t>If you have previously received a stock-based incentve award, log on to www.benefts.ml.com at the secure website maintained by the third-party stock administrator. Follow the online instructons and complete all the steps required to accept the award.</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Performance Share Units</w:t>
      </w:r>
    </w:p>
    <w:p>
      <w:pPr>
        <w:spacing w:after="0" w:line="171" w:lineRule="exact"/>
        <w:rPr>
          <w:sz w:val="20"/>
          <w:szCs w:val="20"/>
          <w:color w:val="auto"/>
        </w:rPr>
      </w:pPr>
    </w:p>
    <w:p>
      <w:pPr>
        <w:ind w:left="220" w:hanging="218"/>
        <w:spacing w:after="0" w:line="243" w:lineRule="auto"/>
        <w:tabs>
          <w:tab w:leader="none" w:pos="220" w:val="left"/>
        </w:tabs>
        <w:numPr>
          <w:ilvl w:val="0"/>
          <w:numId w:val="24"/>
        </w:numPr>
        <w:rPr>
          <w:rFonts w:ascii="Calibri" w:cs="Calibri" w:eastAsia="Calibri" w:hAnsi="Calibri"/>
          <w:sz w:val="13"/>
          <w:szCs w:val="13"/>
          <w:color w:val="auto"/>
        </w:rPr>
      </w:pPr>
      <w:r>
        <w:rPr>
          <w:rFonts w:ascii="Calibri" w:cs="Calibri" w:eastAsia="Calibri" w:hAnsi="Calibri"/>
          <w:sz w:val="13"/>
          <w:szCs w:val="13"/>
          <w:u w:val="single" w:color="auto"/>
          <w:color w:val="auto"/>
        </w:rPr>
        <w:t>PSU Grant</w:t>
      </w:r>
      <w:r>
        <w:rPr>
          <w:rFonts w:ascii="Calibri" w:cs="Calibri" w:eastAsia="Calibri" w:hAnsi="Calibri"/>
          <w:sz w:val="13"/>
          <w:szCs w:val="13"/>
          <w:color w:val="auto"/>
        </w:rPr>
        <w:t>. The Company grants to Employee a Restricted Stock Unit Award subject to performance-based vestng conditons (a “</w:t>
      </w:r>
      <w:r>
        <w:rPr>
          <w:rFonts w:ascii="Calibri" w:cs="Calibri" w:eastAsia="Calibri" w:hAnsi="Calibri"/>
          <w:sz w:val="13"/>
          <w:szCs w:val="13"/>
          <w:b w:val="1"/>
          <w:bCs w:val="1"/>
          <w:i w:val="1"/>
          <w:iCs w:val="1"/>
          <w:color w:val="auto"/>
        </w:rPr>
        <w:t>PSU Award</w:t>
      </w:r>
      <w:r>
        <w:rPr>
          <w:rFonts w:ascii="Calibri" w:cs="Calibri" w:eastAsia="Calibri" w:hAnsi="Calibri"/>
          <w:sz w:val="13"/>
          <w:szCs w:val="13"/>
          <w:color w:val="auto"/>
        </w:rPr>
        <w:t>”), as provided in the Notce of Long-Term Incentve Award (the “</w:t>
      </w:r>
      <w:r>
        <w:rPr>
          <w:rFonts w:ascii="Calibri" w:cs="Calibri" w:eastAsia="Calibri" w:hAnsi="Calibri"/>
          <w:sz w:val="13"/>
          <w:szCs w:val="13"/>
          <w:b w:val="1"/>
          <w:bCs w:val="1"/>
          <w:i w:val="1"/>
          <w:iCs w:val="1"/>
          <w:color w:val="auto"/>
        </w:rPr>
        <w:t>Notce</w:t>
      </w:r>
      <w:r>
        <w:rPr>
          <w:rFonts w:ascii="Calibri" w:cs="Calibri" w:eastAsia="Calibri" w:hAnsi="Calibri"/>
          <w:sz w:val="13"/>
          <w:szCs w:val="13"/>
          <w:color w:val="auto"/>
        </w:rPr>
        <w:t>”). Each Restricted Stock Unit subject to performance-based vestng conditons (a “</w:t>
      </w:r>
      <w:r>
        <w:rPr>
          <w:rFonts w:ascii="Calibri" w:cs="Calibri" w:eastAsia="Calibri" w:hAnsi="Calibri"/>
          <w:sz w:val="13"/>
          <w:szCs w:val="13"/>
          <w:b w:val="1"/>
          <w:bCs w:val="1"/>
          <w:i w:val="1"/>
          <w:iCs w:val="1"/>
          <w:color w:val="auto"/>
        </w:rPr>
        <w:t>Performance Share Unit</w:t>
      </w:r>
      <w:r>
        <w:rPr>
          <w:rFonts w:ascii="Calibri" w:cs="Calibri" w:eastAsia="Calibri" w:hAnsi="Calibri"/>
          <w:sz w:val="13"/>
          <w:szCs w:val="13"/>
          <w:color w:val="auto"/>
        </w:rPr>
        <w:t>” or “</w:t>
      </w:r>
      <w:r>
        <w:rPr>
          <w:rFonts w:ascii="Calibri" w:cs="Calibri" w:eastAsia="Calibri" w:hAnsi="Calibri"/>
          <w:sz w:val="13"/>
          <w:szCs w:val="13"/>
          <w:b w:val="1"/>
          <w:bCs w:val="1"/>
          <w:i w:val="1"/>
          <w:iCs w:val="1"/>
          <w:color w:val="auto"/>
        </w:rPr>
        <w:t>PSU</w:t>
      </w:r>
      <w:r>
        <w:rPr>
          <w:rFonts w:ascii="Calibri" w:cs="Calibri" w:eastAsia="Calibri" w:hAnsi="Calibri"/>
          <w:sz w:val="13"/>
          <w:szCs w:val="13"/>
          <w:color w:val="auto"/>
        </w:rPr>
        <w:t>”) is a notatonal unit of measurement denominated in Common Stock.</w:t>
      </w:r>
    </w:p>
    <w:p>
      <w:pPr>
        <w:spacing w:after="0" w:line="164" w:lineRule="exact"/>
        <w:rPr>
          <w:rFonts w:ascii="Calibri" w:cs="Calibri" w:eastAsia="Calibri" w:hAnsi="Calibri"/>
          <w:sz w:val="13"/>
          <w:szCs w:val="13"/>
          <w:color w:val="auto"/>
        </w:rPr>
      </w:pPr>
    </w:p>
    <w:p>
      <w:pPr>
        <w:ind w:left="220" w:hanging="218"/>
        <w:spacing w:after="0"/>
        <w:tabs>
          <w:tab w:leader="none" w:pos="220" w:val="left"/>
        </w:tabs>
        <w:numPr>
          <w:ilvl w:val="0"/>
          <w:numId w:val="24"/>
        </w:numPr>
        <w:rPr>
          <w:rFonts w:ascii="Calibri" w:cs="Calibri" w:eastAsia="Calibri" w:hAnsi="Calibri"/>
          <w:sz w:val="13"/>
          <w:szCs w:val="13"/>
          <w:color w:val="auto"/>
        </w:rPr>
      </w:pPr>
      <w:r>
        <w:rPr>
          <w:rFonts w:ascii="Calibri" w:cs="Calibri" w:eastAsia="Calibri" w:hAnsi="Calibri"/>
          <w:sz w:val="13"/>
          <w:szCs w:val="13"/>
          <w:u w:val="single" w:color="auto"/>
          <w:color w:val="auto"/>
        </w:rPr>
        <w:t>PSU Metrics.</w:t>
      </w:r>
    </w:p>
    <w:p>
      <w:pPr>
        <w:spacing w:after="0" w:line="167" w:lineRule="exact"/>
        <w:rPr>
          <w:rFonts w:ascii="Calibri" w:cs="Calibri" w:eastAsia="Calibri" w:hAnsi="Calibri"/>
          <w:sz w:val="13"/>
          <w:szCs w:val="13"/>
          <w:color w:val="auto"/>
        </w:rPr>
      </w:pPr>
    </w:p>
    <w:p>
      <w:pPr>
        <w:ind w:left="440" w:right="20" w:hanging="222"/>
        <w:spacing w:after="0" w:line="243" w:lineRule="auto"/>
        <w:tabs>
          <w:tab w:leader="none" w:pos="440" w:val="left"/>
        </w:tabs>
        <w:numPr>
          <w:ilvl w:val="1"/>
          <w:numId w:val="24"/>
        </w:numPr>
        <w:rPr>
          <w:rFonts w:ascii="Calibri" w:cs="Calibri" w:eastAsia="Calibri" w:hAnsi="Calibri"/>
          <w:sz w:val="13"/>
          <w:szCs w:val="13"/>
          <w:color w:val="auto"/>
        </w:rPr>
      </w:pPr>
      <w:r>
        <w:rPr>
          <w:rFonts w:ascii="Calibri" w:cs="Calibri" w:eastAsia="Calibri" w:hAnsi="Calibri"/>
          <w:sz w:val="13"/>
          <w:szCs w:val="13"/>
          <w:color w:val="auto"/>
        </w:rPr>
        <w:t xml:space="preserve">The </w:t>
      </w:r>
      <w:r>
        <w:rPr>
          <w:rFonts w:ascii="Calibri" w:cs="Calibri" w:eastAsia="Calibri" w:hAnsi="Calibri"/>
          <w:sz w:val="13"/>
          <w:szCs w:val="13"/>
          <w:b w:val="1"/>
          <w:bCs w:val="1"/>
          <w:i w:val="1"/>
          <w:iCs w:val="1"/>
          <w:color w:val="auto"/>
        </w:rPr>
        <w:t>Performance Period</w:t>
      </w:r>
      <w:r>
        <w:rPr>
          <w:rFonts w:ascii="Calibri" w:cs="Calibri" w:eastAsia="Calibri" w:hAnsi="Calibri"/>
          <w:sz w:val="13"/>
          <w:szCs w:val="13"/>
          <w:color w:val="auto"/>
        </w:rPr>
        <w:t xml:space="preserve"> for this PSU Award is the 36-month period beginning January 1, 2024, and ending on December 31, 2026. Vestng and payout of your PSU Award is based upon the level of achievement of the </w:t>
      </w:r>
      <w:r>
        <w:rPr>
          <w:rFonts w:ascii="Calibri" w:cs="Calibri" w:eastAsia="Calibri" w:hAnsi="Calibri"/>
          <w:sz w:val="13"/>
          <w:szCs w:val="13"/>
          <w:b w:val="1"/>
          <w:bCs w:val="1"/>
          <w:i w:val="1"/>
          <w:iCs w:val="1"/>
          <w:color w:val="auto"/>
        </w:rPr>
        <w:t>Performance Goals</w:t>
      </w:r>
      <w:r>
        <w:rPr>
          <w:rFonts w:ascii="Calibri" w:cs="Calibri" w:eastAsia="Calibri" w:hAnsi="Calibri"/>
          <w:sz w:val="13"/>
          <w:szCs w:val="13"/>
          <w:color w:val="auto"/>
        </w:rPr>
        <w:t xml:space="preserve"> that have been set by the Commitee. The Performance Goals set by the Commitee for your PSU Awards are described in paragraph 3 below.</w:t>
      </w:r>
    </w:p>
    <w:p>
      <w:pPr>
        <w:spacing w:after="0" w:line="164" w:lineRule="exact"/>
        <w:rPr>
          <w:rFonts w:ascii="Calibri" w:cs="Calibri" w:eastAsia="Calibri" w:hAnsi="Calibri"/>
          <w:sz w:val="13"/>
          <w:szCs w:val="13"/>
          <w:color w:val="auto"/>
        </w:rPr>
      </w:pPr>
    </w:p>
    <w:p>
      <w:pPr>
        <w:ind w:left="440" w:hanging="222"/>
        <w:spacing w:after="0"/>
        <w:tabs>
          <w:tab w:leader="none" w:pos="440" w:val="left"/>
        </w:tabs>
        <w:numPr>
          <w:ilvl w:val="1"/>
          <w:numId w:val="24"/>
        </w:numPr>
        <w:rPr>
          <w:rFonts w:ascii="Calibri" w:cs="Calibri" w:eastAsia="Calibri" w:hAnsi="Calibri"/>
          <w:sz w:val="13"/>
          <w:szCs w:val="13"/>
          <w:color w:val="auto"/>
        </w:rPr>
      </w:pPr>
      <w:r>
        <w:rPr>
          <w:rFonts w:ascii="Calibri" w:cs="Calibri" w:eastAsia="Calibri" w:hAnsi="Calibri"/>
          <w:sz w:val="13"/>
          <w:szCs w:val="13"/>
          <w:color w:val="auto"/>
        </w:rPr>
        <w:t xml:space="preserve">The performance measure selected by the Commitee to serve as the Performance Goal for half (50%) of your Target PSU Award is </w:t>
      </w:r>
      <w:r>
        <w:rPr>
          <w:rFonts w:ascii="Calibri" w:cs="Calibri" w:eastAsia="Calibri" w:hAnsi="Calibri"/>
          <w:sz w:val="13"/>
          <w:szCs w:val="13"/>
          <w:b w:val="1"/>
          <w:bCs w:val="1"/>
          <w:i w:val="1"/>
          <w:iCs w:val="1"/>
          <w:color w:val="auto"/>
        </w:rPr>
        <w:t>Cash Flow Generaton</w:t>
      </w:r>
      <w:r>
        <w:rPr>
          <w:rFonts w:ascii="Calibri" w:cs="Calibri" w:eastAsia="Calibri" w:hAnsi="Calibri"/>
          <w:sz w:val="13"/>
          <w:szCs w:val="13"/>
          <w:color w:val="auto"/>
        </w:rPr>
        <w:t xml:space="preserve"> (as defned below).</w:t>
      </w:r>
    </w:p>
    <w:p>
      <w:pPr>
        <w:spacing w:after="0" w:line="5" w:lineRule="exact"/>
        <w:rPr>
          <w:sz w:val="20"/>
          <w:szCs w:val="20"/>
          <w:color w:val="auto"/>
        </w:rPr>
      </w:pPr>
    </w:p>
    <w:p>
      <w:pPr>
        <w:ind w:left="4920" w:right="1520" w:hanging="4494"/>
        <w:spacing w:after="0" w:line="241" w:lineRule="auto"/>
        <w:rPr>
          <w:sz w:val="20"/>
          <w:szCs w:val="20"/>
          <w:color w:val="auto"/>
        </w:rPr>
      </w:pPr>
      <w:r>
        <w:rPr>
          <w:rFonts w:ascii="Calibri" w:cs="Calibri" w:eastAsia="Calibri" w:hAnsi="Calibri"/>
          <w:sz w:val="13"/>
          <w:szCs w:val="13"/>
          <w:color w:val="auto"/>
        </w:rPr>
        <w:t xml:space="preserve">The performance measure selected by the Commitee to serve as the Performance Goal for the other half (50%) of your Target PSU Award is </w:t>
      </w:r>
      <w:r>
        <w:rPr>
          <w:rFonts w:ascii="Calibri" w:cs="Calibri" w:eastAsia="Calibri" w:hAnsi="Calibri"/>
          <w:sz w:val="13"/>
          <w:szCs w:val="13"/>
          <w:b w:val="1"/>
          <w:bCs w:val="1"/>
          <w:i w:val="1"/>
          <w:iCs w:val="1"/>
          <w:color w:val="auto"/>
        </w:rPr>
        <w:t>Total</w:t>
      </w:r>
      <w:r>
        <w:rPr>
          <w:rFonts w:ascii="Calibri" w:cs="Calibri" w:eastAsia="Calibri" w:hAnsi="Calibri"/>
          <w:sz w:val="13"/>
          <w:szCs w:val="13"/>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435610</wp:posOffset>
            </wp:positionV>
            <wp:extent cx="66179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273" w:right="999" w:bottom="1440" w:gutter="0" w:footer="0" w:header="0"/>
        </w:sectPr>
      </w:pPr>
    </w:p>
    <w:bookmarkStart w:id="40" w:name="page41"/>
    <w:bookmarkEnd w:id="40"/>
    <w:p>
      <w:pPr>
        <w:ind w:left="222" w:right="60"/>
        <w:spacing w:after="0" w:line="244" w:lineRule="auto"/>
        <w:rPr>
          <w:sz w:val="20"/>
          <w:szCs w:val="20"/>
          <w:color w:val="auto"/>
        </w:rPr>
      </w:pPr>
      <w:r>
        <w:rPr>
          <w:rFonts w:ascii="Calibri" w:cs="Calibri" w:eastAsia="Calibri" w:hAnsi="Calibri"/>
          <w:sz w:val="13"/>
          <w:szCs w:val="13"/>
          <w:b w:val="1"/>
          <w:bCs w:val="1"/>
          <w:i w:val="1"/>
          <w:iCs w:val="1"/>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37674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556375" cy="3767455"/>
                    </a:xfrm>
                    <a:prstGeom prst="rect">
                      <a:avLst/>
                    </a:prstGeom>
                    <a:noFill/>
                  </pic:spPr>
                </pic:pic>
              </a:graphicData>
            </a:graphic>
          </wp:anchor>
        </w:drawing>
        <w:t>Shareholder Return Relatve to the S&amp;P 500</w:t>
      </w:r>
      <w:r>
        <w:rPr>
          <w:rFonts w:ascii="Calibri" w:cs="Calibri" w:eastAsia="Calibri" w:hAnsi="Calibri"/>
          <w:sz w:val="13"/>
          <w:szCs w:val="13"/>
          <w:color w:val="auto"/>
        </w:rPr>
        <w:t>, or</w:t>
      </w:r>
      <w:r>
        <w:rPr>
          <w:rFonts w:ascii="Calibri" w:cs="Calibri" w:eastAsia="Calibri" w:hAnsi="Calibri"/>
          <w:sz w:val="13"/>
          <w:szCs w:val="13"/>
          <w:b w:val="1"/>
          <w:bCs w:val="1"/>
          <w:i w:val="1"/>
          <w:iCs w:val="1"/>
          <w:color w:val="auto"/>
        </w:rPr>
        <w:t xml:space="preserve"> TSR </w:t>
      </w:r>
      <w:r>
        <w:rPr>
          <w:rFonts w:ascii="Calibri" w:cs="Calibri" w:eastAsia="Calibri" w:hAnsi="Calibri"/>
          <w:sz w:val="13"/>
          <w:szCs w:val="13"/>
          <w:color w:val="auto"/>
        </w:rPr>
        <w:t>(as defned below). To determine the payout (if any) under your PSU Award, the Commitee will determine the level of</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the Performance Goal reached (“</w:t>
      </w:r>
      <w:r>
        <w:rPr>
          <w:rFonts w:ascii="Calibri" w:cs="Calibri" w:eastAsia="Calibri" w:hAnsi="Calibri"/>
          <w:sz w:val="13"/>
          <w:szCs w:val="13"/>
          <w:b w:val="1"/>
          <w:bCs w:val="1"/>
          <w:i w:val="1"/>
          <w:iCs w:val="1"/>
          <w:color w:val="auto"/>
        </w:rPr>
        <w:t>Achievement</w:t>
      </w:r>
      <w:r>
        <w:rPr>
          <w:rFonts w:ascii="Calibri" w:cs="Calibri" w:eastAsia="Calibri" w:hAnsi="Calibri"/>
          <w:sz w:val="13"/>
          <w:szCs w:val="13"/>
          <w:color w:val="auto"/>
        </w:rPr>
        <w:t>”) and the corresponding payout percentage applicable to each half of your Target PSU Award under paragraph 3 below. The Commitee’s determinatons, and the related calculatons, including the calculaton of Cash Flow Generaton and TSR, are made by, and in the sole discreton of, the Commitee, and are fnal and not subject to appeal.</w:t>
      </w:r>
    </w:p>
    <w:p>
      <w:pPr>
        <w:spacing w:after="0" w:line="163" w:lineRule="exact"/>
        <w:rPr>
          <w:sz w:val="20"/>
          <w:szCs w:val="20"/>
          <w:color w:val="auto"/>
        </w:rPr>
      </w:pPr>
    </w:p>
    <w:p>
      <w:pPr>
        <w:ind w:left="222" w:hanging="222"/>
        <w:spacing w:after="0"/>
        <w:tabs>
          <w:tab w:leader="none" w:pos="222" w:val="left"/>
        </w:tabs>
        <w:numPr>
          <w:ilvl w:val="0"/>
          <w:numId w:val="25"/>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Cash Flow Generaton </w:t>
      </w:r>
      <w:r>
        <w:rPr>
          <w:rFonts w:ascii="Calibri" w:cs="Calibri" w:eastAsia="Calibri" w:hAnsi="Calibri"/>
          <w:sz w:val="13"/>
          <w:szCs w:val="13"/>
          <w:color w:val="auto"/>
        </w:rPr>
        <w:t>is the net cash fow provided by operatng actvites of WM for the Performance Period, less capital expenditures, with the following adjustments:</w:t>
      </w:r>
    </w:p>
    <w:p>
      <w:pPr>
        <w:spacing w:after="0" w:line="5" w:lineRule="exact"/>
        <w:rPr>
          <w:rFonts w:ascii="Calibri" w:cs="Calibri" w:eastAsia="Calibri" w:hAnsi="Calibri"/>
          <w:sz w:val="13"/>
          <w:szCs w:val="13"/>
          <w:color w:val="auto"/>
        </w:rPr>
      </w:pPr>
    </w:p>
    <w:p>
      <w:pPr>
        <w:ind w:left="642" w:right="140" w:hanging="426"/>
        <w:spacing w:after="0" w:line="242" w:lineRule="auto"/>
        <w:tabs>
          <w:tab w:leader="none" w:pos="642" w:val="left"/>
        </w:tabs>
        <w:numPr>
          <w:ilvl w:val="1"/>
          <w:numId w:val="25"/>
        </w:numPr>
        <w:rPr>
          <w:rFonts w:ascii="Calibri" w:cs="Calibri" w:eastAsia="Calibri" w:hAnsi="Calibri"/>
          <w:sz w:val="13"/>
          <w:szCs w:val="13"/>
          <w:color w:val="auto"/>
        </w:rPr>
      </w:pPr>
      <w:r>
        <w:rPr>
          <w:rFonts w:ascii="Calibri" w:cs="Calibri" w:eastAsia="Calibri" w:hAnsi="Calibri"/>
          <w:sz w:val="13"/>
          <w:szCs w:val="13"/>
          <w:color w:val="auto"/>
        </w:rPr>
        <w:t>Payments related to costs (including legal costs) associated with labor disruptons (e.g., strikes) and actual or potental multemployer plan withdrawal liability(ies) are excluded as expenditures required as a result of past labor commitments combined with changing economic conditons of the present business climate;</w:t>
      </w:r>
    </w:p>
    <w:p>
      <w:pPr>
        <w:spacing w:after="0" w:line="3" w:lineRule="exact"/>
        <w:rPr>
          <w:rFonts w:ascii="Calibri" w:cs="Calibri" w:eastAsia="Calibri" w:hAnsi="Calibri"/>
          <w:sz w:val="13"/>
          <w:szCs w:val="13"/>
          <w:color w:val="auto"/>
        </w:rPr>
      </w:pPr>
    </w:p>
    <w:p>
      <w:pPr>
        <w:ind w:left="642" w:right="20" w:hanging="426"/>
        <w:spacing w:after="0" w:line="242" w:lineRule="auto"/>
        <w:tabs>
          <w:tab w:leader="none" w:pos="642" w:val="left"/>
        </w:tabs>
        <w:numPr>
          <w:ilvl w:val="1"/>
          <w:numId w:val="25"/>
        </w:numPr>
        <w:rPr>
          <w:rFonts w:ascii="Calibri" w:cs="Calibri" w:eastAsia="Calibri" w:hAnsi="Calibri"/>
          <w:sz w:val="13"/>
          <w:szCs w:val="13"/>
          <w:color w:val="auto"/>
        </w:rPr>
      </w:pPr>
      <w:r>
        <w:rPr>
          <w:rFonts w:ascii="Calibri" w:cs="Calibri" w:eastAsia="Calibri" w:hAnsi="Calibri"/>
          <w:sz w:val="13"/>
          <w:szCs w:val="13"/>
          <w:color w:val="auto"/>
        </w:rPr>
        <w:t>Strategic acquisiton, restructuring, transformaton and reorganizaton costs are excluded in recogniton of WM’s goals to increase customer and business base while minimizing operatng costs; and</w:t>
      </w:r>
    </w:p>
    <w:p>
      <w:pPr>
        <w:spacing w:after="0" w:line="2" w:lineRule="exact"/>
        <w:rPr>
          <w:rFonts w:ascii="Calibri" w:cs="Calibri" w:eastAsia="Calibri" w:hAnsi="Calibri"/>
          <w:sz w:val="13"/>
          <w:szCs w:val="13"/>
          <w:color w:val="auto"/>
        </w:rPr>
      </w:pPr>
    </w:p>
    <w:p>
      <w:pPr>
        <w:ind w:left="642" w:hanging="426"/>
        <w:spacing w:after="0"/>
        <w:tabs>
          <w:tab w:leader="none" w:pos="642" w:val="left"/>
        </w:tabs>
        <w:numPr>
          <w:ilvl w:val="1"/>
          <w:numId w:val="25"/>
        </w:numPr>
        <w:rPr>
          <w:rFonts w:ascii="Calibri" w:cs="Calibri" w:eastAsia="Calibri" w:hAnsi="Calibri"/>
          <w:sz w:val="13"/>
          <w:szCs w:val="13"/>
          <w:color w:val="auto"/>
        </w:rPr>
      </w:pPr>
      <w:r>
        <w:rPr>
          <w:rFonts w:ascii="Calibri" w:cs="Calibri" w:eastAsia="Calibri" w:hAnsi="Calibri"/>
          <w:sz w:val="13"/>
          <w:szCs w:val="13"/>
          <w:color w:val="auto"/>
        </w:rPr>
        <w:t>If any accountng rule or tax law change occurs that was not antcipated in setng the Cash Flow Generaton target, any material impact of that change will be</w:t>
      </w:r>
    </w:p>
    <w:p>
      <w:pPr>
        <w:spacing w:after="0" w:line="3" w:lineRule="exact"/>
        <w:rPr>
          <w:sz w:val="20"/>
          <w:szCs w:val="20"/>
          <w:color w:val="auto"/>
        </w:rPr>
      </w:pPr>
    </w:p>
    <w:p>
      <w:pPr>
        <w:ind w:left="642"/>
        <w:spacing w:after="0"/>
        <w:rPr>
          <w:sz w:val="20"/>
          <w:szCs w:val="20"/>
          <w:color w:val="auto"/>
        </w:rPr>
      </w:pPr>
      <w:r>
        <w:rPr>
          <w:rFonts w:ascii="Calibri" w:cs="Calibri" w:eastAsia="Calibri" w:hAnsi="Calibri"/>
          <w:sz w:val="13"/>
          <w:szCs w:val="13"/>
          <w:color w:val="auto"/>
        </w:rPr>
        <w:t>disregarded in calculatng the Cash Flow Generaton result.</w:t>
      </w:r>
    </w:p>
    <w:p>
      <w:pPr>
        <w:spacing w:after="0" w:line="3" w:lineRule="exact"/>
        <w:rPr>
          <w:sz w:val="20"/>
          <w:szCs w:val="20"/>
          <w:color w:val="auto"/>
        </w:rPr>
      </w:pPr>
    </w:p>
    <w:p>
      <w:pPr>
        <w:ind w:left="222"/>
        <w:spacing w:after="0"/>
        <w:rPr>
          <w:sz w:val="20"/>
          <w:szCs w:val="20"/>
          <w:color w:val="auto"/>
        </w:rPr>
      </w:pPr>
      <w:r>
        <w:rPr>
          <w:rFonts w:ascii="Calibri" w:cs="Calibri" w:eastAsia="Calibri" w:hAnsi="Calibri"/>
          <w:sz w:val="13"/>
          <w:szCs w:val="13"/>
          <w:color w:val="auto"/>
        </w:rPr>
        <w:t>In additon to the above, the following adjustments will be made when the aggregate impact of the following items has a greater than 5% impact on atainment:</w:t>
      </w:r>
    </w:p>
    <w:p>
      <w:pPr>
        <w:spacing w:after="0" w:line="5" w:lineRule="exact"/>
        <w:rPr>
          <w:sz w:val="20"/>
          <w:szCs w:val="20"/>
          <w:color w:val="auto"/>
        </w:rPr>
      </w:pPr>
    </w:p>
    <w:p>
      <w:pPr>
        <w:ind w:left="642" w:right="640" w:hanging="426"/>
        <w:spacing w:after="0" w:line="242" w:lineRule="auto"/>
        <w:tabs>
          <w:tab w:leader="none" w:pos="642" w:val="left"/>
        </w:tabs>
        <w:numPr>
          <w:ilvl w:val="1"/>
          <w:numId w:val="26"/>
        </w:numPr>
        <w:rPr>
          <w:rFonts w:ascii="Calibri" w:cs="Calibri" w:eastAsia="Calibri" w:hAnsi="Calibri"/>
          <w:sz w:val="13"/>
          <w:szCs w:val="13"/>
          <w:color w:val="auto"/>
        </w:rPr>
      </w:pPr>
      <w:r>
        <w:rPr>
          <w:rFonts w:ascii="Calibri" w:cs="Calibri" w:eastAsia="Calibri" w:hAnsi="Calibri"/>
          <w:sz w:val="13"/>
          <w:szCs w:val="13"/>
          <w:color w:val="auto"/>
        </w:rPr>
        <w:t>Impacts from strategic acquisitons or divesttures of assets or businesses are excluded (EBITDA, capital expenditures, working capital, and proceeds from divesttures) (Impacts from normal course of business acquisitons and divesttures are included);</w:t>
      </w:r>
    </w:p>
    <w:p>
      <w:pPr>
        <w:spacing w:after="0" w:line="3" w:lineRule="exact"/>
        <w:rPr>
          <w:rFonts w:ascii="Calibri" w:cs="Calibri" w:eastAsia="Calibri" w:hAnsi="Calibri"/>
          <w:sz w:val="13"/>
          <w:szCs w:val="13"/>
          <w:color w:val="auto"/>
        </w:rPr>
      </w:pPr>
    </w:p>
    <w:p>
      <w:pPr>
        <w:ind w:left="642" w:right="220" w:hanging="426"/>
        <w:spacing w:after="0" w:line="242" w:lineRule="auto"/>
        <w:tabs>
          <w:tab w:leader="none" w:pos="642" w:val="left"/>
        </w:tabs>
        <w:numPr>
          <w:ilvl w:val="1"/>
          <w:numId w:val="26"/>
        </w:numPr>
        <w:rPr>
          <w:rFonts w:ascii="Calibri" w:cs="Calibri" w:eastAsia="Calibri" w:hAnsi="Calibri"/>
          <w:sz w:val="13"/>
          <w:szCs w:val="13"/>
          <w:color w:val="auto"/>
        </w:rPr>
      </w:pPr>
      <w:r>
        <w:rPr>
          <w:rFonts w:ascii="Calibri" w:cs="Calibri" w:eastAsia="Calibri" w:hAnsi="Calibri"/>
          <w:sz w:val="13"/>
          <w:szCs w:val="13"/>
          <w:color w:val="auto"/>
        </w:rPr>
        <w:t>Impacts from discrete growth capital investment projects made to support the long-term organic growth of the business that were not specifcally planned for in setng the Cash Flow Generaton target are excluded; and</w:t>
      </w:r>
    </w:p>
    <w:p>
      <w:pPr>
        <w:spacing w:after="0" w:line="3" w:lineRule="exact"/>
        <w:rPr>
          <w:rFonts w:ascii="Calibri" w:cs="Calibri" w:eastAsia="Calibri" w:hAnsi="Calibri"/>
          <w:sz w:val="13"/>
          <w:szCs w:val="13"/>
          <w:color w:val="auto"/>
        </w:rPr>
      </w:pPr>
    </w:p>
    <w:p>
      <w:pPr>
        <w:ind w:left="222" w:right="20" w:hanging="6"/>
        <w:spacing w:after="0" w:line="242" w:lineRule="auto"/>
        <w:tabs>
          <w:tab w:leader="none" w:pos="654" w:val="left"/>
        </w:tabs>
        <w:numPr>
          <w:ilvl w:val="1"/>
          <w:numId w:val="26"/>
        </w:numPr>
        <w:rPr>
          <w:rFonts w:ascii="Calibri" w:cs="Calibri" w:eastAsia="Calibri" w:hAnsi="Calibri"/>
          <w:sz w:val="13"/>
          <w:szCs w:val="13"/>
          <w:color w:val="auto"/>
        </w:rPr>
      </w:pPr>
      <w:r>
        <w:rPr>
          <w:rFonts w:ascii="Calibri" w:cs="Calibri" w:eastAsia="Calibri" w:hAnsi="Calibri"/>
          <w:sz w:val="13"/>
          <w:szCs w:val="13"/>
          <w:color w:val="auto"/>
        </w:rPr>
        <w:t>Material changes in the realizaton of earnings and cash fow contributons for growth capital investments caused by items outside of WM’s control will be excluded. The Commitee, solely in its discreton, is permited to make other adjustments to refect management’s performance consistent with maximizing shareholder</w:t>
      </w:r>
    </w:p>
    <w:p>
      <w:pPr>
        <w:spacing w:after="0" w:line="2" w:lineRule="exact"/>
        <w:rPr>
          <w:rFonts w:ascii="Calibri" w:cs="Calibri" w:eastAsia="Calibri" w:hAnsi="Calibri"/>
          <w:sz w:val="13"/>
          <w:szCs w:val="13"/>
          <w:color w:val="auto"/>
        </w:rPr>
      </w:pPr>
    </w:p>
    <w:p>
      <w:pPr>
        <w:ind w:left="222"/>
        <w:spacing w:after="0"/>
        <w:rPr>
          <w:rFonts w:ascii="Calibri" w:cs="Calibri" w:eastAsia="Calibri" w:hAnsi="Calibri"/>
          <w:sz w:val="13"/>
          <w:szCs w:val="13"/>
          <w:color w:val="auto"/>
        </w:rPr>
      </w:pPr>
      <w:r>
        <w:rPr>
          <w:rFonts w:ascii="Calibri" w:cs="Calibri" w:eastAsia="Calibri" w:hAnsi="Calibri"/>
          <w:sz w:val="13"/>
          <w:szCs w:val="13"/>
          <w:color w:val="auto"/>
        </w:rPr>
        <w:t xml:space="preserve">value; </w:t>
      </w:r>
      <w:r>
        <w:rPr>
          <w:rFonts w:ascii="Calibri" w:cs="Calibri" w:eastAsia="Calibri" w:hAnsi="Calibri"/>
          <w:sz w:val="13"/>
          <w:szCs w:val="13"/>
          <w:u w:val="single" w:color="auto"/>
          <w:color w:val="auto"/>
        </w:rPr>
        <w:t>provided</w:t>
      </w:r>
      <w:r>
        <w:rPr>
          <w:rFonts w:ascii="Calibri" w:cs="Calibri" w:eastAsia="Calibri" w:hAnsi="Calibri"/>
          <w:sz w:val="13"/>
          <w:szCs w:val="13"/>
          <w:color w:val="auto"/>
        </w:rPr>
        <w:t xml:space="preserve"> that such other adjustments shall not reduce the Cash Flow Generaton amount.</w:t>
      </w:r>
    </w:p>
    <w:p>
      <w:pPr>
        <w:spacing w:after="0" w:line="147" w:lineRule="exact"/>
        <w:rPr>
          <w:rFonts w:ascii="Calibri" w:cs="Calibri" w:eastAsia="Calibri" w:hAnsi="Calibri"/>
          <w:sz w:val="13"/>
          <w:szCs w:val="13"/>
          <w:color w:val="auto"/>
        </w:rPr>
      </w:pPr>
    </w:p>
    <w:p>
      <w:pPr>
        <w:ind w:left="262" w:hanging="208"/>
        <w:spacing w:after="0"/>
        <w:tabs>
          <w:tab w:leader="none" w:pos="262" w:val="left"/>
        </w:tabs>
        <w:numPr>
          <w:ilvl w:val="0"/>
          <w:numId w:val="27"/>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TSR </w:t>
      </w:r>
      <w:r>
        <w:rPr>
          <w:rFonts w:ascii="Calibri" w:cs="Calibri" w:eastAsia="Calibri" w:hAnsi="Calibri"/>
          <w:sz w:val="13"/>
          <w:szCs w:val="13"/>
          <w:color w:val="auto"/>
        </w:rPr>
        <w:t>is the percentle performance of the Company as compared to the other S&amp;P 500 Companies for the Performance Period. For these purposes:</w:t>
      </w:r>
    </w:p>
    <w:p>
      <w:pPr>
        <w:spacing w:after="0" w:line="5" w:lineRule="exact"/>
        <w:rPr>
          <w:rFonts w:ascii="Calibri" w:cs="Calibri" w:eastAsia="Calibri" w:hAnsi="Calibri"/>
          <w:sz w:val="13"/>
          <w:szCs w:val="13"/>
          <w:color w:val="auto"/>
        </w:rPr>
      </w:pPr>
    </w:p>
    <w:p>
      <w:pPr>
        <w:ind w:left="542" w:right="60" w:hanging="110"/>
        <w:spacing w:after="0" w:line="242" w:lineRule="auto"/>
        <w:tabs>
          <w:tab w:leader="none" w:pos="555" w:val="left"/>
        </w:tabs>
        <w:numPr>
          <w:ilvl w:val="2"/>
          <w:numId w:val="27"/>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S&amp;P 500 Companies </w:t>
      </w:r>
      <w:r>
        <w:rPr>
          <w:rFonts w:ascii="Calibri" w:cs="Calibri" w:eastAsia="Calibri" w:hAnsi="Calibri"/>
          <w:sz w:val="13"/>
          <w:szCs w:val="13"/>
          <w:color w:val="auto"/>
        </w:rPr>
        <w:t>means all the enttes listed on the Standard &amp; Poor’s 500 Composite Index, including the Company, on the date which is 30 trading days prior to</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the commencement of the Performance Period, with the following modifcatons:</w:t>
      </w:r>
    </w:p>
    <w:p>
      <w:pPr>
        <w:spacing w:after="0" w:line="3" w:lineRule="exact"/>
        <w:rPr>
          <w:rFonts w:ascii="Calibri" w:cs="Calibri" w:eastAsia="Calibri" w:hAnsi="Calibri"/>
          <w:sz w:val="13"/>
          <w:szCs w:val="13"/>
          <w:color w:val="auto"/>
        </w:rPr>
      </w:pPr>
    </w:p>
    <w:p>
      <w:pPr>
        <w:ind w:left="542" w:right="180" w:firstLine="106"/>
        <w:spacing w:after="0" w:line="242" w:lineRule="auto"/>
        <w:tabs>
          <w:tab w:leader="none" w:pos="819" w:val="left"/>
        </w:tabs>
        <w:numPr>
          <w:ilvl w:val="3"/>
          <w:numId w:val="27"/>
        </w:numPr>
        <w:rPr>
          <w:rFonts w:ascii="Calibri" w:cs="Calibri" w:eastAsia="Calibri" w:hAnsi="Calibri"/>
          <w:sz w:val="13"/>
          <w:szCs w:val="13"/>
          <w:color w:val="auto"/>
        </w:rPr>
      </w:pPr>
      <w:r>
        <w:rPr>
          <w:rFonts w:ascii="Calibri" w:cs="Calibri" w:eastAsia="Calibri" w:hAnsi="Calibri"/>
          <w:sz w:val="13"/>
          <w:szCs w:val="13"/>
          <w:color w:val="auto"/>
        </w:rPr>
        <w:t xml:space="preserve">except as provided below, only those enttes that contnue to trade throughout the Performance Period without interrupton on a </w:t>
      </w:r>
      <w:r>
        <w:rPr>
          <w:rFonts w:ascii="Calibri" w:cs="Calibri" w:eastAsia="Calibri" w:hAnsi="Calibri"/>
          <w:sz w:val="13"/>
          <w:szCs w:val="13"/>
          <w:b w:val="1"/>
          <w:bCs w:val="1"/>
          <w:i w:val="1"/>
          <w:iCs w:val="1"/>
          <w:color w:val="auto"/>
        </w:rPr>
        <w:t>Natonal Exchange</w:t>
      </w:r>
      <w:r>
        <w:rPr>
          <w:rFonts w:ascii="Calibri" w:cs="Calibri" w:eastAsia="Calibri" w:hAnsi="Calibri"/>
          <w:sz w:val="13"/>
          <w:szCs w:val="13"/>
          <w:color w:val="auto"/>
        </w:rPr>
        <w:t xml:space="preserve"> shall be included; and</w:t>
      </w:r>
    </w:p>
    <w:p>
      <w:pPr>
        <w:spacing w:after="0" w:line="2" w:lineRule="exact"/>
        <w:rPr>
          <w:rFonts w:ascii="Calibri" w:cs="Calibri" w:eastAsia="Calibri" w:hAnsi="Calibri"/>
          <w:sz w:val="13"/>
          <w:szCs w:val="13"/>
          <w:color w:val="auto"/>
        </w:rPr>
      </w:pPr>
    </w:p>
    <w:p>
      <w:pPr>
        <w:ind w:left="822" w:hanging="174"/>
        <w:spacing w:after="0"/>
        <w:tabs>
          <w:tab w:leader="none" w:pos="822" w:val="left"/>
        </w:tabs>
        <w:numPr>
          <w:ilvl w:val="3"/>
          <w:numId w:val="27"/>
        </w:numPr>
        <w:rPr>
          <w:rFonts w:ascii="Calibri" w:cs="Calibri" w:eastAsia="Calibri" w:hAnsi="Calibri"/>
          <w:sz w:val="13"/>
          <w:szCs w:val="13"/>
          <w:color w:val="auto"/>
        </w:rPr>
      </w:pPr>
      <w:r>
        <w:rPr>
          <w:rFonts w:ascii="Calibri" w:cs="Calibri" w:eastAsia="Calibri" w:hAnsi="Calibri"/>
          <w:sz w:val="13"/>
          <w:szCs w:val="13"/>
          <w:color w:val="auto"/>
        </w:rPr>
        <w:t>any such entty that fles for bankruptcy (“</w:t>
      </w:r>
      <w:r>
        <w:rPr>
          <w:rFonts w:ascii="Calibri" w:cs="Calibri" w:eastAsia="Calibri" w:hAnsi="Calibri"/>
          <w:sz w:val="13"/>
          <w:szCs w:val="13"/>
          <w:b w:val="1"/>
          <w:bCs w:val="1"/>
          <w:i w:val="1"/>
          <w:iCs w:val="1"/>
          <w:color w:val="auto"/>
        </w:rPr>
        <w:t>Bankrupt Peer</w:t>
      </w:r>
      <w:r>
        <w:rPr>
          <w:rFonts w:ascii="Calibri" w:cs="Calibri" w:eastAsia="Calibri" w:hAnsi="Calibri"/>
          <w:sz w:val="13"/>
          <w:szCs w:val="13"/>
          <w:color w:val="auto"/>
        </w:rPr>
        <w:t>”) during the Performance Period shall contnue to be included.</w:t>
      </w:r>
    </w:p>
    <w:p>
      <w:pPr>
        <w:spacing w:after="0" w:line="3" w:lineRule="exact"/>
        <w:rPr>
          <w:sz w:val="20"/>
          <w:szCs w:val="20"/>
          <w:color w:val="auto"/>
        </w:rPr>
      </w:pPr>
    </w:p>
    <w:p>
      <w:pPr>
        <w:ind w:left="542"/>
        <w:spacing w:after="0"/>
        <w:rPr>
          <w:sz w:val="20"/>
          <w:szCs w:val="20"/>
          <w:color w:val="auto"/>
        </w:rPr>
      </w:pPr>
      <w:r>
        <w:rPr>
          <w:rFonts w:ascii="Calibri" w:cs="Calibri" w:eastAsia="Calibri" w:hAnsi="Calibri"/>
          <w:sz w:val="13"/>
          <w:szCs w:val="13"/>
          <w:color w:val="auto"/>
        </w:rPr>
        <w:t xml:space="preserve">For these purposes </w:t>
      </w:r>
      <w:r>
        <w:rPr>
          <w:rFonts w:ascii="Calibri" w:cs="Calibri" w:eastAsia="Calibri" w:hAnsi="Calibri"/>
          <w:sz w:val="13"/>
          <w:szCs w:val="13"/>
          <w:b w:val="1"/>
          <w:bCs w:val="1"/>
          <w:i w:val="1"/>
          <w:iCs w:val="1"/>
          <w:color w:val="auto"/>
        </w:rPr>
        <w:t>Natonal Exchange</w:t>
      </w:r>
      <w:r>
        <w:rPr>
          <w:rFonts w:ascii="Calibri" w:cs="Calibri" w:eastAsia="Calibri" w:hAnsi="Calibri"/>
          <w:sz w:val="13"/>
          <w:szCs w:val="13"/>
          <w:color w:val="auto"/>
        </w:rPr>
        <w:t xml:space="preserve"> shall mean a securites exchange that has registered with the SEC under Secton 6 of the Securites Exchange Act of 1934.</w:t>
      </w:r>
    </w:p>
    <w:p>
      <w:pPr>
        <w:spacing w:after="0" w:line="5" w:lineRule="exact"/>
        <w:rPr>
          <w:sz w:val="20"/>
          <w:szCs w:val="20"/>
          <w:color w:val="auto"/>
        </w:rPr>
      </w:pPr>
    </w:p>
    <w:p>
      <w:pPr>
        <w:ind w:left="542" w:hanging="110"/>
        <w:spacing w:after="0" w:line="244" w:lineRule="auto"/>
        <w:tabs>
          <w:tab w:leader="none" w:pos="587" w:val="left"/>
        </w:tabs>
        <w:numPr>
          <w:ilvl w:val="0"/>
          <w:numId w:val="28"/>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Total Shareholder Return </w:t>
      </w:r>
      <w:r>
        <w:rPr>
          <w:rFonts w:ascii="Calibri" w:cs="Calibri" w:eastAsia="Calibri" w:hAnsi="Calibri"/>
          <w:sz w:val="13"/>
          <w:szCs w:val="13"/>
          <w:color w:val="auto"/>
        </w:rPr>
        <w:t>is the result of dividing (1) the sum of the cumulatve value of an entty’s dividends for the Performance Period, plus the entty’s Ending</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Price, minus the Beginning Price, by (2) the Beginning Price. For purposes of determining the cumulatve value of an entty’s dividends during the Performance Period, it will be assumed that all dividends declared and paid with respect to a partcular entty during the Performance Period were reinvested in such entty at the ex-dividend date, using the closing price on such date. The aggregate shares, or fractonal shares thereof, that will be assumed to be purchased as part of the reinvestment calculaton will be multplied by the Ending Price to determine the cumulatve value of an entty’s dividends for the Performance Period. For these</w:t>
      </w:r>
    </w:p>
    <w:p>
      <w:pPr>
        <w:spacing w:after="0" w:line="2" w:lineRule="exact"/>
        <w:rPr>
          <w:sz w:val="20"/>
          <w:szCs w:val="20"/>
          <w:color w:val="auto"/>
        </w:rPr>
      </w:pPr>
    </w:p>
    <w:p>
      <w:pPr>
        <w:ind w:left="542"/>
        <w:spacing w:after="0"/>
        <w:rPr>
          <w:sz w:val="20"/>
          <w:szCs w:val="20"/>
          <w:color w:val="auto"/>
        </w:rPr>
      </w:pPr>
      <w:r>
        <w:rPr>
          <w:rFonts w:ascii="Calibri" w:cs="Calibri" w:eastAsia="Calibri" w:hAnsi="Calibri"/>
          <w:sz w:val="13"/>
          <w:szCs w:val="13"/>
          <w:color w:val="auto"/>
        </w:rPr>
        <w:t>purposes:</w:t>
      </w:r>
    </w:p>
    <w:p>
      <w:pPr>
        <w:spacing w:after="0" w:line="3" w:lineRule="exact"/>
        <w:rPr>
          <w:sz w:val="20"/>
          <w:szCs w:val="20"/>
          <w:color w:val="auto"/>
        </w:rPr>
      </w:pPr>
    </w:p>
    <w:p>
      <w:pPr>
        <w:jc w:val="center"/>
        <w:ind w:right="158"/>
        <w:spacing w:after="0"/>
        <w:rPr>
          <w:sz w:val="20"/>
          <w:szCs w:val="20"/>
          <w:color w:val="auto"/>
        </w:rPr>
      </w:pPr>
      <w:r>
        <w:rPr>
          <w:rFonts w:ascii="Calibri" w:cs="Calibri" w:eastAsia="Calibri" w:hAnsi="Calibri"/>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334010</wp:posOffset>
            </wp:positionV>
            <wp:extent cx="66179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642"/>
          </w:cols>
          <w:pgMar w:left="1198" w:top="582" w:right="1059" w:bottom="1440" w:gutter="0" w:footer="0" w:header="0"/>
        </w:sectPr>
      </w:pPr>
    </w:p>
    <w:bookmarkStart w:id="41" w:name="page42"/>
    <w:bookmarkEnd w:id="41"/>
    <w:p>
      <w:pPr>
        <w:ind w:left="1440" w:right="320" w:hanging="334"/>
        <w:spacing w:after="0" w:line="242" w:lineRule="auto"/>
        <w:tabs>
          <w:tab w:leader="none" w:pos="1440" w:val="left"/>
        </w:tabs>
        <w:numPr>
          <w:ilvl w:val="3"/>
          <w:numId w:val="2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3493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556375" cy="3493135"/>
                    </a:xfrm>
                    <a:prstGeom prst="rect">
                      <a:avLst/>
                    </a:prstGeom>
                    <a:noFill/>
                  </pic:spPr>
                </pic:pic>
              </a:graphicData>
            </a:graphic>
          </wp:anchor>
        </w:drawing>
        <w:t xml:space="preserve">Price </w:t>
      </w:r>
      <w:r>
        <w:rPr>
          <w:rFonts w:ascii="Calibri" w:cs="Calibri" w:eastAsia="Calibri" w:hAnsi="Calibri"/>
          <w:sz w:val="13"/>
          <w:szCs w:val="13"/>
          <w:color w:val="auto"/>
        </w:rPr>
        <w:t>is the per share closing price, as reported by the Bloomberg L.P. (or any other publicly available reportng service that the Commitee may designate from</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tme to tme) of a share or share equivalent on the applicable stock exchange.</w:t>
      </w:r>
    </w:p>
    <w:p>
      <w:pPr>
        <w:spacing w:after="0" w:line="2" w:lineRule="exact"/>
        <w:rPr>
          <w:rFonts w:ascii="Calibri" w:cs="Calibri" w:eastAsia="Calibri" w:hAnsi="Calibri"/>
          <w:sz w:val="13"/>
          <w:szCs w:val="13"/>
          <w:color w:val="auto"/>
        </w:rPr>
      </w:pPr>
    </w:p>
    <w:p>
      <w:pPr>
        <w:ind w:left="1440" w:hanging="334"/>
        <w:spacing w:after="0"/>
        <w:tabs>
          <w:tab w:leader="none" w:pos="1440" w:val="left"/>
        </w:tabs>
        <w:numPr>
          <w:ilvl w:val="3"/>
          <w:numId w:val="2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Beginning Price </w:t>
      </w:r>
      <w:r>
        <w:rPr>
          <w:rFonts w:ascii="Calibri" w:cs="Calibri" w:eastAsia="Calibri" w:hAnsi="Calibri"/>
          <w:sz w:val="13"/>
          <w:szCs w:val="13"/>
          <w:color w:val="auto"/>
        </w:rPr>
        <w:t>is the average Price for the period of 20 trading days immediately preceding the frst day of the Performance Period.</w:t>
      </w:r>
    </w:p>
    <w:p>
      <w:pPr>
        <w:spacing w:after="0" w:line="3" w:lineRule="exact"/>
        <w:rPr>
          <w:rFonts w:ascii="Calibri" w:cs="Calibri" w:eastAsia="Calibri" w:hAnsi="Calibri"/>
          <w:sz w:val="13"/>
          <w:szCs w:val="13"/>
          <w:color w:val="auto"/>
        </w:rPr>
      </w:pPr>
    </w:p>
    <w:p>
      <w:pPr>
        <w:ind w:left="1440" w:hanging="334"/>
        <w:spacing w:after="0"/>
        <w:tabs>
          <w:tab w:leader="none" w:pos="1440" w:val="left"/>
        </w:tabs>
        <w:numPr>
          <w:ilvl w:val="3"/>
          <w:numId w:val="2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Ending Price </w:t>
      </w:r>
      <w:r>
        <w:rPr>
          <w:rFonts w:ascii="Calibri" w:cs="Calibri" w:eastAsia="Calibri" w:hAnsi="Calibri"/>
          <w:sz w:val="13"/>
          <w:szCs w:val="13"/>
          <w:color w:val="auto"/>
        </w:rPr>
        <w:t>is the average Price for the period of 20 trading days immediately preceding and including the fnal day of the Performance Period.</w:t>
      </w:r>
    </w:p>
    <w:p>
      <w:pPr>
        <w:spacing w:after="0" w:line="5" w:lineRule="exact"/>
        <w:rPr>
          <w:rFonts w:ascii="Calibri" w:cs="Calibri" w:eastAsia="Calibri" w:hAnsi="Calibri"/>
          <w:sz w:val="13"/>
          <w:szCs w:val="13"/>
          <w:color w:val="auto"/>
        </w:rPr>
      </w:pPr>
    </w:p>
    <w:p>
      <w:pPr>
        <w:ind w:left="1440" w:right="440" w:hanging="334"/>
        <w:spacing w:after="0" w:line="242" w:lineRule="auto"/>
        <w:tabs>
          <w:tab w:leader="none" w:pos="1440" w:val="left"/>
        </w:tabs>
        <w:numPr>
          <w:ilvl w:val="3"/>
          <w:numId w:val="2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Bankrupt Peer</w:t>
      </w:r>
      <w:r>
        <w:rPr>
          <w:rFonts w:ascii="Calibri" w:cs="Calibri" w:eastAsia="Calibri" w:hAnsi="Calibri"/>
          <w:sz w:val="13"/>
          <w:szCs w:val="13"/>
          <w:color w:val="auto"/>
        </w:rPr>
        <w:t>: Notwithstanding anything in the foregoing to the contrary, any Bankrupt Peer shall have a Total Shareholder return of negatve one hundred</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percent (-100%).</w:t>
      </w:r>
    </w:p>
    <w:p>
      <w:pPr>
        <w:spacing w:after="0" w:line="3" w:lineRule="exact"/>
        <w:rPr>
          <w:rFonts w:ascii="Calibri" w:cs="Calibri" w:eastAsia="Calibri" w:hAnsi="Calibri"/>
          <w:sz w:val="13"/>
          <w:szCs w:val="13"/>
          <w:color w:val="auto"/>
        </w:rPr>
      </w:pPr>
    </w:p>
    <w:p>
      <w:pPr>
        <w:ind w:left="1000" w:right="280" w:hanging="110"/>
        <w:spacing w:after="0" w:line="244" w:lineRule="auto"/>
        <w:tabs>
          <w:tab w:leader="none" w:pos="1076" w:val="left"/>
        </w:tabs>
        <w:numPr>
          <w:ilvl w:val="2"/>
          <w:numId w:val="30"/>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Relatve TSR Percentle Rank </w:t>
      </w:r>
      <w:r>
        <w:rPr>
          <w:rFonts w:ascii="Calibri" w:cs="Calibri" w:eastAsia="Calibri" w:hAnsi="Calibri"/>
          <w:sz w:val="13"/>
          <w:szCs w:val="13"/>
          <w:color w:val="auto"/>
        </w:rPr>
        <w:t>is the percentle performance of the Company as compared to the S&amp;P 500 Companies. Relatve TSR Percentle Rank is determined by</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ranking the Company and all other S&amp;P 500 Companies according to their respectve Total Shareholder Return for the Performance Period. The ranking is in order from minimum-to-maximum, with the lowest performing entty assigned a rank of one. The Company’s ranking is then divided by the total number of enttes within the S&amp;P 500 Companies to get the Relatve TSR Percentle Rank.</w:t>
      </w:r>
    </w:p>
    <w:p>
      <w:pPr>
        <w:spacing w:after="0" w:line="162" w:lineRule="exact"/>
        <w:rPr>
          <w:rFonts w:ascii="Calibri" w:cs="Calibri" w:eastAsia="Calibri" w:hAnsi="Calibri"/>
          <w:sz w:val="13"/>
          <w:szCs w:val="13"/>
          <w:color w:val="auto"/>
        </w:rPr>
      </w:pPr>
    </w:p>
    <w:p>
      <w:pPr>
        <w:ind w:left="460" w:hanging="218"/>
        <w:spacing w:after="0"/>
        <w:tabs>
          <w:tab w:leader="none" w:pos="460" w:val="left"/>
        </w:tabs>
        <w:numPr>
          <w:ilvl w:val="0"/>
          <w:numId w:val="31"/>
        </w:numPr>
        <w:rPr>
          <w:rFonts w:ascii="Calibri" w:cs="Calibri" w:eastAsia="Calibri" w:hAnsi="Calibri"/>
          <w:sz w:val="13"/>
          <w:szCs w:val="13"/>
          <w:color w:val="auto"/>
        </w:rPr>
      </w:pPr>
      <w:r>
        <w:rPr>
          <w:rFonts w:ascii="Calibri" w:cs="Calibri" w:eastAsia="Calibri" w:hAnsi="Calibri"/>
          <w:sz w:val="13"/>
          <w:szCs w:val="13"/>
          <w:u w:val="single" w:color="auto"/>
          <w:color w:val="auto"/>
        </w:rPr>
        <w:t>PSU Payout Percentage</w:t>
      </w:r>
      <w:r>
        <w:rPr>
          <w:rFonts w:ascii="Calibri" w:cs="Calibri" w:eastAsia="Calibri" w:hAnsi="Calibri"/>
          <w:sz w:val="13"/>
          <w:szCs w:val="13"/>
          <w:color w:val="auto"/>
        </w:rPr>
        <w:t>.</w:t>
      </w:r>
    </w:p>
    <w:p>
      <w:pPr>
        <w:spacing w:after="0" w:line="165" w:lineRule="exact"/>
        <w:rPr>
          <w:rFonts w:ascii="Calibri" w:cs="Calibri" w:eastAsia="Calibri" w:hAnsi="Calibri"/>
          <w:sz w:val="13"/>
          <w:szCs w:val="13"/>
          <w:color w:val="auto"/>
        </w:rPr>
      </w:pPr>
    </w:p>
    <w:p>
      <w:pPr>
        <w:ind w:left="680" w:hanging="222"/>
        <w:spacing w:after="0"/>
        <w:tabs>
          <w:tab w:leader="none" w:pos="680" w:val="left"/>
        </w:tabs>
        <w:numPr>
          <w:ilvl w:val="1"/>
          <w:numId w:val="31"/>
        </w:numPr>
        <w:rPr>
          <w:rFonts w:ascii="Calibri" w:cs="Calibri" w:eastAsia="Calibri" w:hAnsi="Calibri"/>
          <w:sz w:val="13"/>
          <w:szCs w:val="13"/>
          <w:color w:val="auto"/>
        </w:rPr>
      </w:pPr>
      <w:r>
        <w:rPr>
          <w:rFonts w:ascii="Calibri" w:cs="Calibri" w:eastAsia="Calibri" w:hAnsi="Calibri"/>
          <w:sz w:val="13"/>
          <w:szCs w:val="13"/>
          <w:color w:val="auto"/>
        </w:rPr>
        <w:t xml:space="preserve">The </w:t>
      </w:r>
      <w:r>
        <w:rPr>
          <w:rFonts w:ascii="Calibri" w:cs="Calibri" w:eastAsia="Calibri" w:hAnsi="Calibri"/>
          <w:sz w:val="13"/>
          <w:szCs w:val="13"/>
          <w:b w:val="1"/>
          <w:bCs w:val="1"/>
          <w:i w:val="1"/>
          <w:iCs w:val="1"/>
          <w:color w:val="auto"/>
        </w:rPr>
        <w:t>Performance Goals</w:t>
      </w:r>
      <w:r>
        <w:rPr>
          <w:rFonts w:ascii="Calibri" w:cs="Calibri" w:eastAsia="Calibri" w:hAnsi="Calibri"/>
          <w:sz w:val="13"/>
          <w:szCs w:val="13"/>
          <w:color w:val="auto"/>
        </w:rPr>
        <w:t xml:space="preserve"> are the levels of performance set by the Commitee on the Grant Date with respect to each measure of performance.</w:t>
      </w:r>
    </w:p>
    <w:p>
      <w:pPr>
        <w:spacing w:after="0" w:line="167" w:lineRule="exact"/>
        <w:rPr>
          <w:rFonts w:ascii="Calibri" w:cs="Calibri" w:eastAsia="Calibri" w:hAnsi="Calibri"/>
          <w:sz w:val="13"/>
          <w:szCs w:val="13"/>
          <w:color w:val="auto"/>
        </w:rPr>
      </w:pPr>
    </w:p>
    <w:p>
      <w:pPr>
        <w:jc w:val="both"/>
        <w:ind w:left="680" w:right="300" w:hanging="222"/>
        <w:spacing w:after="0" w:line="243" w:lineRule="auto"/>
        <w:tabs>
          <w:tab w:leader="none" w:pos="680" w:val="left"/>
        </w:tabs>
        <w:numPr>
          <w:ilvl w:val="1"/>
          <w:numId w:val="31"/>
        </w:numPr>
        <w:rPr>
          <w:rFonts w:ascii="Calibri" w:cs="Calibri" w:eastAsia="Calibri" w:hAnsi="Calibri"/>
          <w:sz w:val="13"/>
          <w:szCs w:val="13"/>
          <w:color w:val="auto"/>
        </w:rPr>
      </w:pPr>
      <w:r>
        <w:rPr>
          <w:rFonts w:ascii="Calibri" w:cs="Calibri" w:eastAsia="Calibri" w:hAnsi="Calibri"/>
          <w:sz w:val="13"/>
          <w:szCs w:val="13"/>
          <w:color w:val="auto"/>
        </w:rPr>
        <w:t xml:space="preserve">The </w:t>
      </w:r>
      <w:r>
        <w:rPr>
          <w:rFonts w:ascii="Calibri" w:cs="Calibri" w:eastAsia="Calibri" w:hAnsi="Calibri"/>
          <w:sz w:val="13"/>
          <w:szCs w:val="13"/>
          <w:b w:val="1"/>
          <w:bCs w:val="1"/>
          <w:i w:val="1"/>
          <w:iCs w:val="1"/>
          <w:color w:val="auto"/>
        </w:rPr>
        <w:t>Target PSU Award</w:t>
      </w:r>
      <w:r>
        <w:rPr>
          <w:rFonts w:ascii="Calibri" w:cs="Calibri" w:eastAsia="Calibri" w:hAnsi="Calibri"/>
          <w:sz w:val="13"/>
          <w:szCs w:val="13"/>
          <w:color w:val="auto"/>
        </w:rPr>
        <w:t xml:space="preserve"> for this Agreement is based on the target number of PSUs granted by the Commitee and announced in the Notce. If Achievement falls between two levels of Achievement, the resultng payout percentage will be straight line interpolated (rounding to the nearest 0.1 percent) between the payout percentages for those two levels of Achievement.</w:t>
      </w:r>
    </w:p>
    <w:p>
      <w:pPr>
        <w:spacing w:after="0" w:line="164" w:lineRule="exact"/>
        <w:rPr>
          <w:sz w:val="20"/>
          <w:szCs w:val="20"/>
          <w:color w:val="auto"/>
        </w:rPr>
      </w:pPr>
    </w:p>
    <w:p>
      <w:pPr>
        <w:ind w:left="240"/>
        <w:spacing w:after="0"/>
        <w:rPr>
          <w:sz w:val="20"/>
          <w:szCs w:val="20"/>
          <w:color w:val="auto"/>
        </w:rPr>
      </w:pPr>
      <w:r>
        <w:rPr>
          <w:rFonts w:ascii="Calibri" w:cs="Calibri" w:eastAsia="Calibri" w:hAnsi="Calibri"/>
          <w:sz w:val="13"/>
          <w:szCs w:val="13"/>
          <w:b w:val="1"/>
          <w:bCs w:val="1"/>
          <w:u w:val="single" w:color="auto"/>
          <w:color w:val="auto"/>
        </w:rPr>
        <w:t>Achievement Levels and Corresponding Payouts for PSUs Dependent on Cash Flow Generaton Performance Measure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00" w:type="dxa"/>
            <w:vAlign w:val="bottom"/>
            <w:tcBorders>
              <w:right w:val="single" w:sz="8" w:color="auto"/>
            </w:tcBorders>
          </w:tcPr>
          <w:p>
            <w:pPr>
              <w:spacing w:after="0"/>
              <w:rPr>
                <w:sz w:val="14"/>
                <w:szCs w:val="14"/>
                <w:color w:val="auto"/>
              </w:rPr>
            </w:pPr>
          </w:p>
        </w:tc>
        <w:tc>
          <w:tcPr>
            <w:tcW w:w="468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Level of Achievement</w:t>
            </w:r>
          </w:p>
        </w:tc>
        <w:tc>
          <w:tcPr>
            <w:tcW w:w="19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Cash Flow Generaton Over the</w:t>
            </w:r>
          </w:p>
        </w:tc>
        <w:tc>
          <w:tcPr>
            <w:tcW w:w="2440" w:type="dxa"/>
            <w:vAlign w:val="bottom"/>
            <w:tcBorders>
              <w:top w:val="single" w:sz="8" w:color="auto"/>
              <w:right w:val="single" w:sz="8" w:color="auto"/>
            </w:tcBorders>
          </w:tcPr>
          <w:p>
            <w:pPr>
              <w:ind w:left="60"/>
              <w:spacing w:after="0"/>
              <w:rPr>
                <w:sz w:val="20"/>
                <w:szCs w:val="20"/>
                <w:color w:val="auto"/>
              </w:rPr>
            </w:pPr>
            <w:r>
              <w:rPr>
                <w:rFonts w:ascii="Calibri" w:cs="Calibri" w:eastAsia="Calibri" w:hAnsi="Calibri"/>
                <w:sz w:val="13"/>
                <w:szCs w:val="13"/>
                <w:b w:val="1"/>
                <w:bCs w:val="1"/>
                <w:color w:val="auto"/>
              </w:rPr>
              <w:t>Payout Percentage for the applicable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 w:type="dxa"/>
            <w:vAlign w:val="bottom"/>
            <w:tcBorders>
              <w:right w:val="single" w:sz="8" w:color="auto"/>
            </w:tcBorders>
          </w:tcPr>
          <w:p>
            <w:pPr>
              <w:spacing w:after="0"/>
              <w:rPr>
                <w:sz w:val="13"/>
                <w:szCs w:val="13"/>
                <w:color w:val="auto"/>
              </w:rPr>
            </w:pPr>
          </w:p>
        </w:tc>
        <w:tc>
          <w:tcPr>
            <w:tcW w:w="468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jc w:val="right"/>
              <w:ind w:right="674"/>
              <w:spacing w:after="0" w:line="157" w:lineRule="exact"/>
              <w:rPr>
                <w:sz w:val="20"/>
                <w:szCs w:val="20"/>
                <w:color w:val="auto"/>
              </w:rPr>
            </w:pPr>
            <w:r>
              <w:rPr>
                <w:rFonts w:ascii="Calibri" w:cs="Calibri" w:eastAsia="Calibri" w:hAnsi="Calibri"/>
                <w:sz w:val="13"/>
                <w:szCs w:val="13"/>
                <w:b w:val="1"/>
                <w:bCs w:val="1"/>
                <w:color w:val="auto"/>
              </w:rPr>
              <w:t>Performance Period</w:t>
            </w:r>
          </w:p>
        </w:tc>
        <w:tc>
          <w:tcPr>
            <w:tcW w:w="2440" w:type="dxa"/>
            <w:vAlign w:val="bottom"/>
            <w:tcBorders>
              <w:right w:val="single" w:sz="8" w:color="auto"/>
            </w:tcBorders>
          </w:tcPr>
          <w:p>
            <w:pPr>
              <w:ind w:left="60"/>
              <w:spacing w:after="0" w:line="157" w:lineRule="exact"/>
              <w:rPr>
                <w:sz w:val="20"/>
                <w:szCs w:val="20"/>
                <w:color w:val="auto"/>
              </w:rPr>
            </w:pPr>
            <w:r>
              <w:rPr>
                <w:rFonts w:ascii="Calibri" w:cs="Calibri" w:eastAsia="Calibri" w:hAnsi="Calibri"/>
                <w:sz w:val="13"/>
                <w:szCs w:val="13"/>
                <w:b w:val="1"/>
                <w:bCs w:val="1"/>
                <w:color w:val="auto"/>
              </w:rPr>
              <w:t>half of your Target PSU Award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40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 w:type="dxa"/>
            <w:vAlign w:val="bottom"/>
            <w:tcBorders>
              <w:right w:val="single" w:sz="8" w:color="auto"/>
            </w:tcBorders>
          </w:tcPr>
          <w:p>
            <w:pPr>
              <w:spacing w:after="0"/>
              <w:rPr>
                <w:sz w:val="12"/>
                <w:szCs w:val="12"/>
                <w:color w:val="auto"/>
              </w:rPr>
            </w:pPr>
          </w:p>
        </w:tc>
        <w:tc>
          <w:tcPr>
            <w:tcW w:w="468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Threshold Performance </w:t>
            </w:r>
            <w:r>
              <w:rPr>
                <w:rFonts w:ascii="Calibri" w:cs="Calibri" w:eastAsia="Calibri" w:hAnsi="Calibri"/>
                <w:sz w:val="10"/>
                <w:szCs w:val="10"/>
                <w:color w:val="auto"/>
              </w:rPr>
              <w:t>(the minimum level of Achievement to qualify for any payout of the Cash</w:t>
            </w:r>
          </w:p>
        </w:tc>
        <w:tc>
          <w:tcPr>
            <w:tcW w:w="1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$7.050 Billion</w:t>
            </w:r>
          </w:p>
        </w:tc>
        <w:tc>
          <w:tcPr>
            <w:tcW w:w="2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50%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Flow Generaton half of your Target PSU Award.)</w:t>
            </w:r>
          </w:p>
        </w:tc>
        <w:tc>
          <w:tcPr>
            <w:tcW w:w="1920" w:type="dxa"/>
            <w:vAlign w:val="bottom"/>
            <w:tcBorders>
              <w:right w:val="single" w:sz="8" w:color="auto"/>
            </w:tcBorders>
            <w:vMerge w:val="continue"/>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0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 w:type="dxa"/>
            <w:vAlign w:val="bottom"/>
            <w:tcBorders>
              <w:right w:val="single" w:sz="8" w:color="auto"/>
            </w:tcBorders>
          </w:tcPr>
          <w:p>
            <w:pPr>
              <w:spacing w:after="0"/>
              <w:rPr>
                <w:sz w:val="12"/>
                <w:szCs w:val="12"/>
                <w:color w:val="auto"/>
              </w:rPr>
            </w:pPr>
          </w:p>
        </w:tc>
        <w:tc>
          <w:tcPr>
            <w:tcW w:w="468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Target Performance </w:t>
            </w:r>
            <w:r>
              <w:rPr>
                <w:rFonts w:ascii="Calibri" w:cs="Calibri" w:eastAsia="Calibri" w:hAnsi="Calibri"/>
                <w:sz w:val="10"/>
                <w:szCs w:val="10"/>
                <w:color w:val="auto"/>
              </w:rPr>
              <w:t>(the level of Achievement to qualify for 100% payout of the Cash Flow</w:t>
            </w:r>
          </w:p>
        </w:tc>
        <w:tc>
          <w:tcPr>
            <w:tcW w:w="1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$7.650 Billion</w:t>
            </w:r>
          </w:p>
        </w:tc>
        <w:tc>
          <w:tcPr>
            <w:tcW w:w="2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100%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Generaton half of your Target PSU Award.)</w:t>
            </w:r>
          </w:p>
        </w:tc>
        <w:tc>
          <w:tcPr>
            <w:tcW w:w="1920" w:type="dxa"/>
            <w:vAlign w:val="bottom"/>
            <w:tcBorders>
              <w:right w:val="single" w:sz="8" w:color="auto"/>
            </w:tcBorders>
            <w:vMerge w:val="continue"/>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0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 w:type="dxa"/>
            <w:vAlign w:val="bottom"/>
            <w:tcBorders>
              <w:right w:val="single" w:sz="8" w:color="auto"/>
            </w:tcBorders>
          </w:tcPr>
          <w:p>
            <w:pPr>
              <w:spacing w:after="0"/>
              <w:rPr>
                <w:sz w:val="12"/>
                <w:szCs w:val="12"/>
                <w:color w:val="auto"/>
              </w:rPr>
            </w:pPr>
          </w:p>
        </w:tc>
        <w:tc>
          <w:tcPr>
            <w:tcW w:w="468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Maximum Performance </w:t>
            </w:r>
            <w:r>
              <w:rPr>
                <w:rFonts w:ascii="Calibri" w:cs="Calibri" w:eastAsia="Calibri" w:hAnsi="Calibri"/>
                <w:sz w:val="10"/>
                <w:szCs w:val="10"/>
                <w:color w:val="auto"/>
              </w:rPr>
              <w:t>(the maximum level of Achievement that results in an increased number</w:t>
            </w:r>
          </w:p>
        </w:tc>
        <w:tc>
          <w:tcPr>
            <w:tcW w:w="1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$8.250 Billion</w:t>
            </w:r>
          </w:p>
        </w:tc>
        <w:tc>
          <w:tcPr>
            <w:tcW w:w="2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rPr>
              <w:t>200%</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of PSUs paid out under the Cash Flow Generaton half of your Target PSU Award.)</w:t>
            </w:r>
          </w:p>
        </w:tc>
        <w:tc>
          <w:tcPr>
            <w:tcW w:w="1920" w:type="dxa"/>
            <w:vAlign w:val="bottom"/>
            <w:tcBorders>
              <w:right w:val="single" w:sz="8" w:color="auto"/>
            </w:tcBorders>
            <w:vMerge w:val="continue"/>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0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920" w:type="dxa"/>
            <w:vAlign w:val="bottom"/>
          </w:tcPr>
          <w:p>
            <w:pPr>
              <w:jc w:val="right"/>
              <w:ind w:right="1694"/>
              <w:spacing w:after="0"/>
              <w:rPr>
                <w:sz w:val="20"/>
                <w:szCs w:val="20"/>
                <w:color w:val="auto"/>
              </w:rPr>
            </w:pPr>
            <w:r>
              <w:rPr>
                <w:rFonts w:ascii="Calibri" w:cs="Calibri" w:eastAsia="Calibri" w:hAnsi="Calibri"/>
                <w:sz w:val="13"/>
                <w:szCs w:val="13"/>
                <w:color w:val="auto"/>
              </w:rPr>
              <w:t>3</w:t>
            </w: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582" w:right="739" w:bottom="1440" w:gutter="0" w:footer="0" w:header="0"/>
        </w:sectPr>
      </w:pPr>
    </w:p>
    <w:bookmarkStart w:id="42" w:name="page43"/>
    <w:bookmarkEnd w:id="42"/>
    <w:p>
      <w:pPr>
        <w:spacing w:after="0"/>
        <w:rPr>
          <w:sz w:val="20"/>
          <w:szCs w:val="20"/>
          <w:color w:val="auto"/>
        </w:rPr>
      </w:pPr>
      <w:r>
        <w:rPr>
          <w:rFonts w:ascii="Calibri" w:cs="Calibri" w:eastAsia="Calibri" w:hAnsi="Calibri"/>
          <w:sz w:val="13"/>
          <w:szCs w:val="13"/>
          <w:b w:val="1"/>
          <w:bCs w:val="1"/>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458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556375" cy="4458970"/>
                    </a:xfrm>
                    <a:prstGeom prst="rect">
                      <a:avLst/>
                    </a:prstGeom>
                    <a:noFill/>
                  </pic:spPr>
                </pic:pic>
              </a:graphicData>
            </a:graphic>
          </wp:anchor>
        </w:drawing>
        <w:t>Achievement Levels and Corresponding Payouts for PSUs Dependent on TSR</w:t>
      </w:r>
    </w:p>
    <w:p>
      <w:pPr>
        <w:spacing w:after="0" w:line="174" w:lineRule="exact"/>
        <w:rPr>
          <w:sz w:val="20"/>
          <w:szCs w:val="20"/>
          <w:color w:val="auto"/>
        </w:rPr>
      </w:pPr>
    </w:p>
    <w:p>
      <w:pPr>
        <w:ind w:left="2400"/>
        <w:spacing w:after="0"/>
        <w:rPr>
          <w:sz w:val="20"/>
          <w:szCs w:val="20"/>
          <w:color w:val="auto"/>
        </w:rPr>
      </w:pPr>
      <w:r>
        <w:rPr>
          <w:rFonts w:ascii="Calibri" w:cs="Calibri" w:eastAsia="Calibri" w:hAnsi="Calibri"/>
          <w:sz w:val="13"/>
          <w:szCs w:val="13"/>
          <w:b w:val="1"/>
          <w:bCs w:val="1"/>
          <w:color w:val="auto"/>
        </w:rPr>
        <w:t>Total Shareholder Return Relatve to the S&amp;P 500 over the Performance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60" w:type="dxa"/>
            <w:vAlign w:val="bottom"/>
            <w:tcBorders>
              <w:top w:val="single" w:sz="8" w:color="auto"/>
              <w:right w:val="single" w:sz="8" w:color="auto"/>
            </w:tcBorders>
          </w:tcPr>
          <w:p>
            <w:pPr>
              <w:ind w:left="80"/>
              <w:spacing w:after="0"/>
              <w:rPr>
                <w:sz w:val="20"/>
                <w:szCs w:val="20"/>
                <w:color w:val="auto"/>
              </w:rPr>
            </w:pPr>
            <w:r>
              <w:rPr>
                <w:rFonts w:ascii="Calibri" w:cs="Calibri" w:eastAsia="Calibri" w:hAnsi="Calibri"/>
                <w:sz w:val="13"/>
                <w:szCs w:val="13"/>
                <w:b w:val="1"/>
                <w:bCs w:val="1"/>
                <w:color w:val="auto"/>
              </w:rPr>
              <w:t>Level of Achievement</w:t>
            </w:r>
          </w:p>
        </w:tc>
        <w:tc>
          <w:tcPr>
            <w:tcW w:w="14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3"/>
                <w:szCs w:val="13"/>
                <w:b w:val="1"/>
                <w:bCs w:val="1"/>
                <w:color w:val="auto"/>
              </w:rPr>
              <w:t>Relatve TSR Percentle</w:t>
            </w:r>
          </w:p>
        </w:tc>
        <w:tc>
          <w:tcPr>
            <w:tcW w:w="2980" w:type="dxa"/>
            <w:vAlign w:val="bottom"/>
            <w:tcBorders>
              <w:top w:val="single" w:sz="8" w:color="auto"/>
            </w:tcBorders>
          </w:tcPr>
          <w:p>
            <w:pPr>
              <w:ind w:left="80"/>
              <w:spacing w:after="0"/>
              <w:rPr>
                <w:sz w:val="20"/>
                <w:szCs w:val="20"/>
                <w:color w:val="auto"/>
              </w:rPr>
            </w:pPr>
            <w:r>
              <w:rPr>
                <w:rFonts w:ascii="Calibri" w:cs="Calibri" w:eastAsia="Calibri" w:hAnsi="Calibri"/>
                <w:sz w:val="13"/>
                <w:szCs w:val="13"/>
                <w:b w:val="1"/>
                <w:bCs w:val="1"/>
                <w:color w:val="auto"/>
              </w:rPr>
              <w:t>Payout Percentage for the applicable half of your</w:t>
            </w:r>
          </w:p>
        </w:tc>
        <w:tc>
          <w:tcPr>
            <w:tcW w:w="0" w:type="dxa"/>
            <w:vAlign w:val="bottom"/>
          </w:tcPr>
          <w:p>
            <w:pPr>
              <w:spacing w:after="0"/>
              <w:rPr>
                <w:sz w:val="1"/>
                <w:szCs w:val="1"/>
                <w:color w:val="auto"/>
              </w:rPr>
            </w:pPr>
          </w:p>
        </w:tc>
      </w:tr>
      <w:tr>
        <w:trPr>
          <w:trHeight w:val="157"/>
        </w:trPr>
        <w:tc>
          <w:tcPr>
            <w:tcW w:w="47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jc w:val="center"/>
              <w:spacing w:after="0" w:line="157" w:lineRule="exact"/>
              <w:rPr>
                <w:sz w:val="20"/>
                <w:szCs w:val="20"/>
                <w:color w:val="auto"/>
              </w:rPr>
            </w:pPr>
            <w:r>
              <w:rPr>
                <w:rFonts w:ascii="Calibri" w:cs="Calibri" w:eastAsia="Calibri" w:hAnsi="Calibri"/>
                <w:sz w:val="13"/>
                <w:szCs w:val="13"/>
                <w:b w:val="1"/>
                <w:bCs w:val="1"/>
                <w:color w:val="auto"/>
              </w:rPr>
              <w:t>Rank</w:t>
            </w:r>
          </w:p>
        </w:tc>
        <w:tc>
          <w:tcPr>
            <w:tcW w:w="2980" w:type="dxa"/>
            <w:vAlign w:val="bottom"/>
          </w:tcPr>
          <w:p>
            <w:pPr>
              <w:ind w:left="80"/>
              <w:spacing w:after="0" w:line="157" w:lineRule="exact"/>
              <w:rPr>
                <w:sz w:val="20"/>
                <w:szCs w:val="20"/>
                <w:color w:val="auto"/>
              </w:rPr>
            </w:pPr>
            <w:r>
              <w:rPr>
                <w:rFonts w:ascii="Calibri" w:cs="Calibri" w:eastAsia="Calibri" w:hAnsi="Calibri"/>
                <w:sz w:val="13"/>
                <w:szCs w:val="13"/>
                <w:b w:val="1"/>
                <w:bCs w:val="1"/>
                <w:color w:val="auto"/>
              </w:rPr>
              <w:t>Target PSU Award</w:t>
            </w:r>
          </w:p>
        </w:tc>
        <w:tc>
          <w:tcPr>
            <w:tcW w:w="0" w:type="dxa"/>
            <w:vAlign w:val="bottom"/>
          </w:tcPr>
          <w:p>
            <w:pPr>
              <w:spacing w:after="0"/>
              <w:rPr>
                <w:sz w:val="1"/>
                <w:szCs w:val="1"/>
                <w:color w:val="auto"/>
              </w:rPr>
            </w:pPr>
          </w:p>
        </w:tc>
      </w:tr>
      <w:tr>
        <w:trPr>
          <w:trHeight w:val="31"/>
        </w:trPr>
        <w:tc>
          <w:tcPr>
            <w:tcW w:w="47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6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Threshold Performance </w:t>
            </w:r>
            <w:r>
              <w:rPr>
                <w:rFonts w:ascii="Calibri" w:cs="Calibri" w:eastAsia="Calibri" w:hAnsi="Calibri"/>
                <w:sz w:val="10"/>
                <w:szCs w:val="10"/>
                <w:color w:val="auto"/>
              </w:rPr>
              <w:t>(the minimum level of Achievement to qualify for any payout of the TSR</w:t>
            </w:r>
          </w:p>
        </w:tc>
        <w:tc>
          <w:tcPr>
            <w:tcW w:w="14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25th</w:t>
            </w:r>
          </w:p>
        </w:tc>
        <w:tc>
          <w:tcPr>
            <w:tcW w:w="2980" w:type="dxa"/>
            <w:vAlign w:val="bottom"/>
            <w:vMerge w:val="restart"/>
          </w:tcPr>
          <w:p>
            <w:pPr>
              <w:jc w:val="center"/>
              <w:spacing w:after="0"/>
              <w:rPr>
                <w:sz w:val="20"/>
                <w:szCs w:val="20"/>
                <w:color w:val="auto"/>
              </w:rPr>
            </w:pPr>
            <w:r>
              <w:rPr>
                <w:rFonts w:ascii="Calibri" w:cs="Calibri" w:eastAsia="Calibri" w:hAnsi="Calibri"/>
                <w:sz w:val="13"/>
                <w:szCs w:val="13"/>
                <w:color w:val="auto"/>
              </w:rPr>
              <w:t>50%</w:t>
            </w:r>
          </w:p>
        </w:tc>
        <w:tc>
          <w:tcPr>
            <w:tcW w:w="0" w:type="dxa"/>
            <w:vAlign w:val="bottom"/>
          </w:tcPr>
          <w:p>
            <w:pPr>
              <w:spacing w:after="0"/>
              <w:rPr>
                <w:sz w:val="1"/>
                <w:szCs w:val="1"/>
                <w:color w:val="auto"/>
              </w:rPr>
            </w:pPr>
          </w:p>
        </w:tc>
      </w:tr>
      <w:tr>
        <w:trPr>
          <w:trHeight w:val="130"/>
        </w:trPr>
        <w:tc>
          <w:tcPr>
            <w:tcW w:w="476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half of your Target PSU Award.)</w:t>
            </w:r>
          </w:p>
        </w:tc>
        <w:tc>
          <w:tcPr>
            <w:tcW w:w="1480" w:type="dxa"/>
            <w:vAlign w:val="bottom"/>
            <w:tcBorders>
              <w:right w:val="single" w:sz="8" w:color="auto"/>
            </w:tcBorders>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7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6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Target Performance </w:t>
            </w:r>
            <w:r>
              <w:rPr>
                <w:rFonts w:ascii="Calibri" w:cs="Calibri" w:eastAsia="Calibri" w:hAnsi="Calibri"/>
                <w:sz w:val="10"/>
                <w:szCs w:val="10"/>
                <w:color w:val="auto"/>
              </w:rPr>
              <w:t>(the level of Achievement to qualify for 100% payout of the TSR half of your</w:t>
            </w:r>
          </w:p>
        </w:tc>
        <w:tc>
          <w:tcPr>
            <w:tcW w:w="14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50th</w:t>
            </w:r>
          </w:p>
        </w:tc>
        <w:tc>
          <w:tcPr>
            <w:tcW w:w="2980" w:type="dxa"/>
            <w:vAlign w:val="bottom"/>
            <w:vMerge w:val="restart"/>
          </w:tcPr>
          <w:p>
            <w:pPr>
              <w:jc w:val="center"/>
              <w:spacing w:after="0"/>
              <w:rPr>
                <w:sz w:val="20"/>
                <w:szCs w:val="20"/>
                <w:color w:val="auto"/>
              </w:rPr>
            </w:pPr>
            <w:r>
              <w:rPr>
                <w:rFonts w:ascii="Calibri" w:cs="Calibri" w:eastAsia="Calibri" w:hAnsi="Calibri"/>
                <w:sz w:val="13"/>
                <w:szCs w:val="13"/>
                <w:color w:val="auto"/>
              </w:rPr>
              <w:t>100%</w:t>
            </w:r>
          </w:p>
        </w:tc>
        <w:tc>
          <w:tcPr>
            <w:tcW w:w="0" w:type="dxa"/>
            <w:vAlign w:val="bottom"/>
          </w:tcPr>
          <w:p>
            <w:pPr>
              <w:spacing w:after="0"/>
              <w:rPr>
                <w:sz w:val="1"/>
                <w:szCs w:val="1"/>
                <w:color w:val="auto"/>
              </w:rPr>
            </w:pPr>
          </w:p>
        </w:tc>
      </w:tr>
      <w:tr>
        <w:trPr>
          <w:trHeight w:val="130"/>
        </w:trPr>
        <w:tc>
          <w:tcPr>
            <w:tcW w:w="476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Target PSU Award.)</w:t>
            </w:r>
          </w:p>
        </w:tc>
        <w:tc>
          <w:tcPr>
            <w:tcW w:w="1480" w:type="dxa"/>
            <w:vAlign w:val="bottom"/>
            <w:tcBorders>
              <w:right w:val="single" w:sz="8" w:color="auto"/>
            </w:tcBorders>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7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760" w:type="dxa"/>
            <w:vAlign w:val="bottom"/>
            <w:tcBorders>
              <w:right w:val="single" w:sz="8" w:color="auto"/>
            </w:tcBorders>
          </w:tcPr>
          <w:p>
            <w:pPr>
              <w:ind w:left="80"/>
              <w:spacing w:after="0" w:line="146" w:lineRule="exact"/>
              <w:rPr>
                <w:sz w:val="20"/>
                <w:szCs w:val="20"/>
                <w:color w:val="auto"/>
              </w:rPr>
            </w:pPr>
            <w:r>
              <w:rPr>
                <w:rFonts w:ascii="Calibri" w:cs="Calibri" w:eastAsia="Calibri" w:hAnsi="Calibri"/>
                <w:sz w:val="13"/>
                <w:szCs w:val="13"/>
                <w:b w:val="1"/>
                <w:bCs w:val="1"/>
                <w:i w:val="1"/>
                <w:iCs w:val="1"/>
                <w:color w:val="auto"/>
              </w:rPr>
              <w:t xml:space="preserve">Maximum Performance </w:t>
            </w:r>
            <w:r>
              <w:rPr>
                <w:rFonts w:ascii="Calibri" w:cs="Calibri" w:eastAsia="Calibri" w:hAnsi="Calibri"/>
                <w:sz w:val="10"/>
                <w:szCs w:val="10"/>
                <w:color w:val="auto"/>
              </w:rPr>
              <w:t>(the maximum level of Achievement that results in an increased number</w:t>
            </w:r>
          </w:p>
        </w:tc>
        <w:tc>
          <w:tcPr>
            <w:tcW w:w="14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3"/>
                <w:szCs w:val="13"/>
                <w:color w:val="auto"/>
                <w:w w:val="98"/>
              </w:rPr>
              <w:t>75th</w:t>
            </w:r>
          </w:p>
        </w:tc>
        <w:tc>
          <w:tcPr>
            <w:tcW w:w="2980" w:type="dxa"/>
            <w:vAlign w:val="bottom"/>
            <w:vMerge w:val="restart"/>
          </w:tcPr>
          <w:p>
            <w:pPr>
              <w:jc w:val="center"/>
              <w:spacing w:after="0"/>
              <w:rPr>
                <w:sz w:val="20"/>
                <w:szCs w:val="20"/>
                <w:color w:val="auto"/>
              </w:rPr>
            </w:pPr>
            <w:r>
              <w:rPr>
                <w:rFonts w:ascii="Calibri" w:cs="Calibri" w:eastAsia="Calibri" w:hAnsi="Calibri"/>
                <w:sz w:val="13"/>
                <w:szCs w:val="13"/>
                <w:color w:val="auto"/>
              </w:rPr>
              <w:t>200%</w:t>
            </w:r>
          </w:p>
        </w:tc>
        <w:tc>
          <w:tcPr>
            <w:tcW w:w="0" w:type="dxa"/>
            <w:vAlign w:val="bottom"/>
          </w:tcPr>
          <w:p>
            <w:pPr>
              <w:spacing w:after="0"/>
              <w:rPr>
                <w:sz w:val="1"/>
                <w:szCs w:val="1"/>
                <w:color w:val="auto"/>
              </w:rPr>
            </w:pPr>
          </w:p>
        </w:tc>
      </w:tr>
      <w:tr>
        <w:trPr>
          <w:trHeight w:val="130"/>
        </w:trPr>
        <w:tc>
          <w:tcPr>
            <w:tcW w:w="4760" w:type="dxa"/>
            <w:vAlign w:val="bottom"/>
            <w:tcBorders>
              <w:right w:val="single" w:sz="8" w:color="auto"/>
            </w:tcBorders>
          </w:tcPr>
          <w:p>
            <w:pPr>
              <w:ind w:left="80"/>
              <w:spacing w:after="0" w:line="130" w:lineRule="exact"/>
              <w:rPr>
                <w:sz w:val="20"/>
                <w:szCs w:val="20"/>
                <w:color w:val="auto"/>
              </w:rPr>
            </w:pPr>
            <w:r>
              <w:rPr>
                <w:rFonts w:ascii="Calibri" w:cs="Calibri" w:eastAsia="Calibri" w:hAnsi="Calibri"/>
                <w:sz w:val="11"/>
                <w:szCs w:val="11"/>
                <w:color w:val="auto"/>
              </w:rPr>
              <w:t>of PSUs paid out under the TSR half of your Target PSU Award.)</w:t>
            </w:r>
          </w:p>
        </w:tc>
        <w:tc>
          <w:tcPr>
            <w:tcW w:w="1480" w:type="dxa"/>
            <w:vAlign w:val="bottom"/>
            <w:tcBorders>
              <w:right w:val="single" w:sz="8" w:color="auto"/>
            </w:tcBorders>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47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20" w:right="40" w:hanging="218"/>
        <w:spacing w:after="0" w:line="244" w:lineRule="auto"/>
        <w:tabs>
          <w:tab w:leader="none" w:pos="220" w:val="left"/>
        </w:tabs>
        <w:numPr>
          <w:ilvl w:val="0"/>
          <w:numId w:val="32"/>
        </w:numPr>
        <w:rPr>
          <w:rFonts w:ascii="Calibri" w:cs="Calibri" w:eastAsia="Calibri" w:hAnsi="Calibri"/>
          <w:sz w:val="13"/>
          <w:szCs w:val="13"/>
          <w:color w:val="auto"/>
        </w:rPr>
      </w:pPr>
      <w:r>
        <w:rPr>
          <w:rFonts w:ascii="Calibri" w:cs="Calibri" w:eastAsia="Calibri" w:hAnsi="Calibri"/>
          <w:sz w:val="13"/>
          <w:szCs w:val="13"/>
          <w:u w:val="single" w:color="auto"/>
          <w:color w:val="auto"/>
        </w:rPr>
        <w:t>Timing and Form of Payment of PSU Award</w:t>
      </w:r>
      <w:r>
        <w:rPr>
          <w:rFonts w:ascii="Calibri" w:cs="Calibri" w:eastAsia="Calibri" w:hAnsi="Calibri"/>
          <w:sz w:val="13"/>
          <w:szCs w:val="13"/>
          <w:color w:val="auto"/>
        </w:rPr>
        <w:t>. Afer the close of the Performance Period, the Commitee will certfy (with respect to each porton of your Target PSU Award relatng to the separate Performance Goals) Achievement and determine the corresponding payout percentage of the PSU Award by multplying the applicable half of the PSU Award by the applicable payout percentage. The results will sum to the total number of shares of Common Stock that you are enttled to receive (the “</w:t>
      </w:r>
      <w:r>
        <w:rPr>
          <w:rFonts w:ascii="Calibri" w:cs="Calibri" w:eastAsia="Calibri" w:hAnsi="Calibri"/>
          <w:sz w:val="13"/>
          <w:szCs w:val="13"/>
          <w:b w:val="1"/>
          <w:bCs w:val="1"/>
          <w:i w:val="1"/>
          <w:iCs w:val="1"/>
          <w:color w:val="auto"/>
        </w:rPr>
        <w:t>PSU Awarded Shares</w:t>
      </w:r>
      <w:r>
        <w:rPr>
          <w:rFonts w:ascii="Calibri" w:cs="Calibri" w:eastAsia="Calibri" w:hAnsi="Calibri"/>
          <w:sz w:val="13"/>
          <w:szCs w:val="13"/>
          <w:color w:val="auto"/>
        </w:rPr>
        <w:t>”). Unless you have a valid deferral in place for your PSU Award (see paragraph 8 under “Important Award Details” for further informaton on permited deferrals), the Company will deliver the PSU Awarded Shares and payment of the corresponding Dividend Equivalent as soon as administratvely feasible (and no later than 74 days afer the end of the Performance Period) afer the Commitee’s certfcaton and determinaton.</w:t>
      </w:r>
    </w:p>
    <w:p>
      <w:pPr>
        <w:spacing w:after="0" w:line="15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Restricted Stock Units</w:t>
      </w:r>
    </w:p>
    <w:p>
      <w:pPr>
        <w:spacing w:after="0" w:line="171" w:lineRule="exact"/>
        <w:rPr>
          <w:sz w:val="20"/>
          <w:szCs w:val="20"/>
          <w:color w:val="auto"/>
        </w:rPr>
      </w:pPr>
    </w:p>
    <w:p>
      <w:pPr>
        <w:ind w:left="220" w:right="40" w:hanging="218"/>
        <w:spacing w:after="0" w:line="243" w:lineRule="auto"/>
        <w:tabs>
          <w:tab w:leader="none" w:pos="220" w:val="left"/>
        </w:tabs>
        <w:numPr>
          <w:ilvl w:val="0"/>
          <w:numId w:val="33"/>
        </w:numPr>
        <w:rPr>
          <w:rFonts w:ascii="Calibri" w:cs="Calibri" w:eastAsia="Calibri" w:hAnsi="Calibri"/>
          <w:sz w:val="13"/>
          <w:szCs w:val="13"/>
          <w:color w:val="auto"/>
        </w:rPr>
      </w:pPr>
      <w:r>
        <w:rPr>
          <w:rFonts w:ascii="Calibri" w:cs="Calibri" w:eastAsia="Calibri" w:hAnsi="Calibri"/>
          <w:sz w:val="13"/>
          <w:szCs w:val="13"/>
          <w:u w:val="single" w:color="auto"/>
          <w:color w:val="auto"/>
        </w:rPr>
        <w:t>RSU Grant</w:t>
      </w:r>
      <w:r>
        <w:rPr>
          <w:rFonts w:ascii="Calibri" w:cs="Calibri" w:eastAsia="Calibri" w:hAnsi="Calibri"/>
          <w:sz w:val="13"/>
          <w:szCs w:val="13"/>
          <w:color w:val="auto"/>
        </w:rPr>
        <w:t>. The Company grants to Employee the number of Restricted Stock Units (“</w:t>
      </w:r>
      <w:r>
        <w:rPr>
          <w:rFonts w:ascii="Calibri" w:cs="Calibri" w:eastAsia="Calibri" w:hAnsi="Calibri"/>
          <w:sz w:val="13"/>
          <w:szCs w:val="13"/>
          <w:b w:val="1"/>
          <w:bCs w:val="1"/>
          <w:i w:val="1"/>
          <w:iCs w:val="1"/>
          <w:color w:val="auto"/>
        </w:rPr>
        <w:t>RSUs</w:t>
      </w:r>
      <w:r>
        <w:rPr>
          <w:rFonts w:ascii="Calibri" w:cs="Calibri" w:eastAsia="Calibri" w:hAnsi="Calibri"/>
          <w:sz w:val="13"/>
          <w:szCs w:val="13"/>
          <w:i w:val="1"/>
          <w:iCs w:val="1"/>
          <w:color w:val="auto"/>
        </w:rPr>
        <w:t>”</w:t>
      </w:r>
      <w:r>
        <w:rPr>
          <w:rFonts w:ascii="Calibri" w:cs="Calibri" w:eastAsia="Calibri" w:hAnsi="Calibri"/>
          <w:sz w:val="13"/>
          <w:szCs w:val="13"/>
          <w:color w:val="auto"/>
        </w:rPr>
        <w:t>) provided in the Notce. RSUs are notatonal units of measurement denominated in shares of Common Stock. Each RSU represents a hypothetcal share of Common Stock. Upon your tmely executon of this Agreement, WM will credit your RSUs to an unfunded bookkeeping account for you.</w:t>
      </w:r>
    </w:p>
    <w:p>
      <w:pPr>
        <w:spacing w:after="0" w:line="165" w:lineRule="exact"/>
        <w:rPr>
          <w:rFonts w:ascii="Calibri" w:cs="Calibri" w:eastAsia="Calibri" w:hAnsi="Calibri"/>
          <w:sz w:val="13"/>
          <w:szCs w:val="13"/>
          <w:color w:val="auto"/>
        </w:rPr>
      </w:pPr>
    </w:p>
    <w:p>
      <w:pPr>
        <w:ind w:left="220" w:hanging="218"/>
        <w:spacing w:after="0" w:line="210" w:lineRule="auto"/>
        <w:tabs>
          <w:tab w:leader="none" w:pos="220" w:val="left"/>
        </w:tabs>
        <w:numPr>
          <w:ilvl w:val="0"/>
          <w:numId w:val="33"/>
        </w:numPr>
        <w:rPr>
          <w:rFonts w:ascii="Calibri" w:cs="Calibri" w:eastAsia="Calibri" w:hAnsi="Calibri"/>
          <w:sz w:val="13"/>
          <w:szCs w:val="13"/>
          <w:color w:val="auto"/>
        </w:rPr>
      </w:pPr>
      <w:r>
        <w:rPr>
          <w:rFonts w:ascii="Calibri" w:cs="Calibri" w:eastAsia="Calibri" w:hAnsi="Calibri"/>
          <w:sz w:val="13"/>
          <w:szCs w:val="13"/>
          <w:u w:val="single" w:color="auto"/>
          <w:color w:val="auto"/>
        </w:rPr>
        <w:t>Vestng of RSUs</w:t>
      </w:r>
      <w:r>
        <w:rPr>
          <w:rFonts w:ascii="Calibri" w:cs="Calibri" w:eastAsia="Calibri" w:hAnsi="Calibri"/>
          <w:sz w:val="13"/>
          <w:szCs w:val="13"/>
          <w:color w:val="auto"/>
        </w:rPr>
        <w:t>. The RSUs granted by this Agreement (</w:t>
      </w:r>
      <w:r>
        <w:rPr>
          <w:rFonts w:ascii="Calibri" w:cs="Calibri" w:eastAsia="Calibri" w:hAnsi="Calibri"/>
          <w:sz w:val="13"/>
          <w:szCs w:val="13"/>
          <w:i w:val="1"/>
          <w:iCs w:val="1"/>
          <w:color w:val="auto"/>
        </w:rPr>
        <w:t>“</w:t>
      </w:r>
      <w:r>
        <w:rPr>
          <w:rFonts w:ascii="Calibri" w:cs="Calibri" w:eastAsia="Calibri" w:hAnsi="Calibri"/>
          <w:sz w:val="13"/>
          <w:szCs w:val="13"/>
          <w:b w:val="1"/>
          <w:bCs w:val="1"/>
          <w:i w:val="1"/>
          <w:iCs w:val="1"/>
          <w:color w:val="auto"/>
        </w:rPr>
        <w:t>RSU Awards</w:t>
      </w:r>
      <w:r>
        <w:rPr>
          <w:rFonts w:ascii="Calibri" w:cs="Calibri" w:eastAsia="Calibri" w:hAnsi="Calibri"/>
          <w:sz w:val="13"/>
          <w:szCs w:val="13"/>
          <w:color w:val="auto"/>
        </w:rPr>
        <w:t>”) vest entrely on the third (3</w:t>
      </w:r>
      <w:r>
        <w:rPr>
          <w:rFonts w:ascii="Calibri" w:cs="Calibri" w:eastAsia="Calibri" w:hAnsi="Calibri"/>
          <w:sz w:val="19"/>
          <w:szCs w:val="19"/>
          <w:color w:val="auto"/>
          <w:vertAlign w:val="superscript"/>
        </w:rPr>
        <w:t>rd</w:t>
      </w:r>
      <w:r>
        <w:rPr>
          <w:rFonts w:ascii="Calibri" w:cs="Calibri" w:eastAsia="Calibri" w:hAnsi="Calibri"/>
          <w:sz w:val="13"/>
          <w:szCs w:val="13"/>
          <w:color w:val="auto"/>
        </w:rPr>
        <w:t xml:space="preserve">) anniversary of the Grant Date, unless earlier vested or forfeited under this Agreement. The date of vestng is the </w:t>
      </w:r>
      <w:r>
        <w:rPr>
          <w:rFonts w:ascii="Calibri" w:cs="Calibri" w:eastAsia="Calibri" w:hAnsi="Calibri"/>
          <w:sz w:val="13"/>
          <w:szCs w:val="13"/>
          <w:b w:val="1"/>
          <w:bCs w:val="1"/>
          <w:i w:val="1"/>
          <w:iCs w:val="1"/>
          <w:color w:val="auto"/>
        </w:rPr>
        <w:t>Vestng Date</w:t>
      </w:r>
      <w:r>
        <w:rPr>
          <w:rFonts w:ascii="Calibri" w:cs="Calibri" w:eastAsia="Calibri" w:hAnsi="Calibri"/>
          <w:sz w:val="13"/>
          <w:szCs w:val="13"/>
          <w:color w:val="auto"/>
        </w:rPr>
        <w:t xml:space="preserve">. Except as otherwise provided herein, your RSUs generally vest only if you are contnuously employed from the Grant Date to the Vestng Date, subject to the exceptons discussed below. The period from the Grant Date (inclusive) to the Vestng Date is the </w:t>
      </w:r>
      <w:r>
        <w:rPr>
          <w:rFonts w:ascii="Calibri" w:cs="Calibri" w:eastAsia="Calibri" w:hAnsi="Calibri"/>
          <w:sz w:val="13"/>
          <w:szCs w:val="13"/>
          <w:b w:val="1"/>
          <w:bCs w:val="1"/>
          <w:i w:val="1"/>
          <w:iCs w:val="1"/>
          <w:color w:val="auto"/>
        </w:rPr>
        <w:t>Restricton Period</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220" w:right="140" w:hanging="218"/>
        <w:spacing w:after="0" w:line="243" w:lineRule="auto"/>
        <w:tabs>
          <w:tab w:leader="none" w:pos="220" w:val="left"/>
        </w:tabs>
        <w:numPr>
          <w:ilvl w:val="0"/>
          <w:numId w:val="33"/>
        </w:numPr>
        <w:rPr>
          <w:rFonts w:ascii="Calibri" w:cs="Calibri" w:eastAsia="Calibri" w:hAnsi="Calibri"/>
          <w:sz w:val="13"/>
          <w:szCs w:val="13"/>
          <w:color w:val="auto"/>
        </w:rPr>
      </w:pPr>
      <w:r>
        <w:rPr>
          <w:rFonts w:ascii="Calibri" w:cs="Calibri" w:eastAsia="Calibri" w:hAnsi="Calibri"/>
          <w:sz w:val="13"/>
          <w:szCs w:val="13"/>
          <w:u w:val="single" w:color="auto"/>
          <w:color w:val="auto"/>
        </w:rPr>
        <w:t>Timing and Form of Payment of RSU Award</w:t>
      </w:r>
      <w:r>
        <w:rPr>
          <w:rFonts w:ascii="Calibri" w:cs="Calibri" w:eastAsia="Calibri" w:hAnsi="Calibri"/>
          <w:sz w:val="13"/>
          <w:szCs w:val="13"/>
          <w:color w:val="auto"/>
        </w:rPr>
        <w:t>. Upon vestng, each RSU is converted to one share of Common Stock, free of any restrictons. Unless you have a valid Deferral Electon in place for your RSU Award (see paragraph 8 under “Important Award Details” for further informaton on permited deferrals), WM will deliver the shares of Common Stock to you and make payment of the corresponding Dividend Equivalents as soon as administratvely feasible (and no later than 74 days) following the Vestng Date.</w:t>
      </w:r>
    </w:p>
    <w:p>
      <w:pPr>
        <w:spacing w:after="0" w:line="23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Stock Optons</w:t>
      </w:r>
    </w:p>
    <w:p>
      <w:pPr>
        <w:spacing w:after="0" w:line="171" w:lineRule="exact"/>
        <w:rPr>
          <w:sz w:val="20"/>
          <w:szCs w:val="20"/>
          <w:color w:val="auto"/>
        </w:rPr>
      </w:pPr>
    </w:p>
    <w:p>
      <w:pPr>
        <w:jc w:val="both"/>
        <w:ind w:left="220" w:right="100" w:hanging="218"/>
        <w:spacing w:after="0" w:line="243" w:lineRule="auto"/>
        <w:tabs>
          <w:tab w:leader="none" w:pos="220" w:val="left"/>
        </w:tabs>
        <w:numPr>
          <w:ilvl w:val="0"/>
          <w:numId w:val="34"/>
        </w:numPr>
        <w:rPr>
          <w:rFonts w:ascii="Calibri" w:cs="Calibri" w:eastAsia="Calibri" w:hAnsi="Calibri"/>
          <w:sz w:val="13"/>
          <w:szCs w:val="13"/>
          <w:color w:val="auto"/>
        </w:rPr>
      </w:pPr>
      <w:r>
        <w:rPr>
          <w:rFonts w:ascii="Calibri" w:cs="Calibri" w:eastAsia="Calibri" w:hAnsi="Calibri"/>
          <w:sz w:val="13"/>
          <w:szCs w:val="13"/>
          <w:u w:val="single" w:color="auto"/>
          <w:color w:val="auto"/>
        </w:rPr>
        <w:t>Stock Opton Grant</w:t>
      </w:r>
      <w:r>
        <w:rPr>
          <w:rFonts w:ascii="Calibri" w:cs="Calibri" w:eastAsia="Calibri" w:hAnsi="Calibri"/>
          <w:sz w:val="13"/>
          <w:szCs w:val="13"/>
          <w:color w:val="auto"/>
        </w:rPr>
        <w:t>. The Company grants to Employee a stock opton award (the “</w:t>
      </w:r>
      <w:r>
        <w:rPr>
          <w:rFonts w:ascii="Calibri" w:cs="Calibri" w:eastAsia="Calibri" w:hAnsi="Calibri"/>
          <w:sz w:val="13"/>
          <w:szCs w:val="13"/>
          <w:b w:val="1"/>
          <w:bCs w:val="1"/>
          <w:i w:val="1"/>
          <w:iCs w:val="1"/>
          <w:color w:val="auto"/>
        </w:rPr>
        <w:t>Stock Opton Award</w:t>
      </w:r>
      <w:r>
        <w:rPr>
          <w:rFonts w:ascii="Calibri" w:cs="Calibri" w:eastAsia="Calibri" w:hAnsi="Calibri"/>
          <w:sz w:val="13"/>
          <w:szCs w:val="13"/>
          <w:color w:val="auto"/>
        </w:rPr>
        <w:t>”) for the number of shares (“</w:t>
      </w:r>
      <w:r>
        <w:rPr>
          <w:rFonts w:ascii="Calibri" w:cs="Calibri" w:eastAsia="Calibri" w:hAnsi="Calibri"/>
          <w:sz w:val="13"/>
          <w:szCs w:val="13"/>
          <w:b w:val="1"/>
          <w:bCs w:val="1"/>
          <w:i w:val="1"/>
          <w:iCs w:val="1"/>
          <w:color w:val="auto"/>
        </w:rPr>
        <w:t>Stock Optons</w:t>
      </w:r>
      <w:r>
        <w:rPr>
          <w:rFonts w:ascii="Calibri" w:cs="Calibri" w:eastAsia="Calibri" w:hAnsi="Calibri"/>
          <w:sz w:val="13"/>
          <w:szCs w:val="13"/>
          <w:color w:val="auto"/>
        </w:rPr>
        <w:t>”) of Common Stock provided in the Notce. This Stock Opton Award grants Employee the right to purchase shares of Common Stock at the Grant Price. The “</w:t>
      </w:r>
      <w:r>
        <w:rPr>
          <w:rFonts w:ascii="Calibri" w:cs="Calibri" w:eastAsia="Calibri" w:hAnsi="Calibri"/>
          <w:sz w:val="13"/>
          <w:szCs w:val="13"/>
          <w:b w:val="1"/>
          <w:bCs w:val="1"/>
          <w:i w:val="1"/>
          <w:iCs w:val="1"/>
          <w:color w:val="auto"/>
        </w:rPr>
        <w:t>Grant Price</w:t>
      </w:r>
      <w:r>
        <w:rPr>
          <w:rFonts w:ascii="Calibri" w:cs="Calibri" w:eastAsia="Calibri" w:hAnsi="Calibri"/>
          <w:sz w:val="13"/>
          <w:szCs w:val="13"/>
          <w:color w:val="auto"/>
        </w:rPr>
        <w:t>” is the Fair Market Value of a share of Common Stock on the Grant Date.</w:t>
      </w:r>
    </w:p>
    <w:p>
      <w:pPr>
        <w:spacing w:after="0" w:line="164"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334010</wp:posOffset>
            </wp:positionV>
            <wp:extent cx="66179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580" w:right="999" w:bottom="1440" w:gutter="0" w:footer="0" w:header="0"/>
        </w:sectPr>
      </w:pPr>
    </w:p>
    <w:bookmarkStart w:id="43" w:name="page44"/>
    <w:bookmarkEnd w:id="43"/>
    <w:p>
      <w:pPr>
        <w:ind w:left="220" w:hanging="218"/>
        <w:spacing w:after="0"/>
        <w:tabs>
          <w:tab w:leader="none" w:pos="220" w:val="left"/>
        </w:tabs>
        <w:numPr>
          <w:ilvl w:val="0"/>
          <w:numId w:val="35"/>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630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556375" cy="4630420"/>
                    </a:xfrm>
                    <a:prstGeom prst="rect">
                      <a:avLst/>
                    </a:prstGeom>
                    <a:noFill/>
                  </pic:spPr>
                </pic:pic>
              </a:graphicData>
            </a:graphic>
          </wp:anchor>
        </w:drawing>
        <w:t>Term</w:t>
      </w:r>
      <w:r>
        <w:rPr>
          <w:rFonts w:ascii="Calibri" w:cs="Calibri" w:eastAsia="Calibri" w:hAnsi="Calibri"/>
          <w:sz w:val="13"/>
          <w:szCs w:val="13"/>
          <w:color w:val="auto"/>
        </w:rPr>
        <w:t>. Notwithstanding any other provisions of this Agreement, the maximum term of the Stock Opton Award is the 10</w:t>
      </w:r>
      <w:r>
        <w:rPr>
          <w:rFonts w:ascii="Calibri" w:cs="Calibri" w:eastAsia="Calibri" w:hAnsi="Calibri"/>
          <w:sz w:val="19"/>
          <w:szCs w:val="19"/>
          <w:color w:val="auto"/>
          <w:vertAlign w:val="superscript"/>
        </w:rPr>
        <w:t>th</w:t>
      </w:r>
      <w:r>
        <w:rPr>
          <w:rFonts w:ascii="Calibri" w:cs="Calibri" w:eastAsia="Calibri" w:hAnsi="Calibri"/>
          <w:sz w:val="13"/>
          <w:szCs w:val="13"/>
          <w:color w:val="auto"/>
        </w:rPr>
        <w:t xml:space="preserve"> anniversary of the Grant Date.</w:t>
      </w:r>
    </w:p>
    <w:p>
      <w:pPr>
        <w:spacing w:after="0" w:line="92" w:lineRule="exact"/>
        <w:rPr>
          <w:rFonts w:ascii="Calibri" w:cs="Calibri" w:eastAsia="Calibri" w:hAnsi="Calibri"/>
          <w:sz w:val="13"/>
          <w:szCs w:val="13"/>
          <w:color w:val="auto"/>
        </w:rPr>
      </w:pPr>
    </w:p>
    <w:p>
      <w:pPr>
        <w:ind w:left="220" w:right="60" w:hanging="218"/>
        <w:spacing w:after="0" w:line="242" w:lineRule="auto"/>
        <w:tabs>
          <w:tab w:leader="none" w:pos="220" w:val="left"/>
        </w:tabs>
        <w:numPr>
          <w:ilvl w:val="0"/>
          <w:numId w:val="35"/>
        </w:numPr>
        <w:rPr>
          <w:rFonts w:ascii="Calibri" w:cs="Calibri" w:eastAsia="Calibri" w:hAnsi="Calibri"/>
          <w:sz w:val="13"/>
          <w:szCs w:val="13"/>
          <w:color w:val="auto"/>
        </w:rPr>
      </w:pPr>
      <w:r>
        <w:rPr>
          <w:rFonts w:ascii="Calibri" w:cs="Calibri" w:eastAsia="Calibri" w:hAnsi="Calibri"/>
          <w:sz w:val="13"/>
          <w:szCs w:val="13"/>
          <w:u w:val="single" w:color="auto"/>
          <w:color w:val="auto"/>
        </w:rPr>
        <w:t>Right to Exercise</w:t>
      </w:r>
      <w:r>
        <w:rPr>
          <w:rFonts w:ascii="Calibri" w:cs="Calibri" w:eastAsia="Calibri" w:hAnsi="Calibri"/>
          <w:sz w:val="13"/>
          <w:szCs w:val="13"/>
          <w:color w:val="auto"/>
        </w:rPr>
        <w:t>. Provided Employee remains employed by WM contnuously through the applicable exercise dates, the Stock Opton Award will become vested and exercisable as follows:</w:t>
      </w:r>
    </w:p>
    <w:p>
      <w:pPr>
        <w:spacing w:after="0" w:line="172" w:lineRule="exact"/>
        <w:rPr>
          <w:sz w:val="20"/>
          <w:szCs w:val="20"/>
          <w:color w:val="auto"/>
        </w:rPr>
      </w:pPr>
    </w:p>
    <w:tbl>
      <w:tblPr>
        <w:tblLayout w:type="fixed"/>
        <w:tblInd w:w="950" w:type="dxa"/>
        <w:tblCellMar>
          <w:top w:w="0" w:type="dxa"/>
          <w:left w:w="0" w:type="dxa"/>
          <w:bottom w:w="0" w:type="dxa"/>
          <w:right w:w="0" w:type="dxa"/>
        </w:tblCellMar>
      </w:tblPr>
      <w:tr>
        <w:trPr>
          <w:trHeight w:val="154"/>
        </w:trPr>
        <w:tc>
          <w:tcPr>
            <w:tcW w:w="4920" w:type="dxa"/>
            <w:vAlign w:val="bottom"/>
            <w:tcBorders>
              <w:top w:val="single" w:sz="8" w:color="auto"/>
              <w:left w:val="single" w:sz="8" w:color="auto"/>
              <w:right w:val="single" w:sz="8" w:color="auto"/>
            </w:tcBorders>
          </w:tcPr>
          <w:p>
            <w:pPr>
              <w:ind w:left="80"/>
              <w:spacing w:after="0" w:line="154" w:lineRule="exact"/>
              <w:rPr>
                <w:sz w:val="20"/>
                <w:szCs w:val="20"/>
                <w:color w:val="auto"/>
              </w:rPr>
            </w:pPr>
            <w:r>
              <w:rPr>
                <w:rFonts w:ascii="Calibri" w:cs="Calibri" w:eastAsia="Calibri" w:hAnsi="Calibri"/>
                <w:sz w:val="13"/>
                <w:szCs w:val="13"/>
                <w:b w:val="1"/>
                <w:bCs w:val="1"/>
                <w:i w:val="1"/>
                <w:iCs w:val="1"/>
                <w:color w:val="auto"/>
              </w:rPr>
              <w:t>Exercise Date</w:t>
            </w:r>
          </w:p>
        </w:tc>
        <w:tc>
          <w:tcPr>
            <w:tcW w:w="3140" w:type="dxa"/>
            <w:vAlign w:val="bottom"/>
            <w:tcBorders>
              <w:top w:val="single" w:sz="8" w:color="auto"/>
              <w:right w:val="single" w:sz="8" w:color="auto"/>
            </w:tcBorders>
          </w:tcPr>
          <w:p>
            <w:pPr>
              <w:ind w:left="60"/>
              <w:spacing w:after="0" w:line="154" w:lineRule="exact"/>
              <w:rPr>
                <w:sz w:val="20"/>
                <w:szCs w:val="20"/>
                <w:color w:val="auto"/>
              </w:rPr>
            </w:pPr>
            <w:r>
              <w:rPr>
                <w:rFonts w:ascii="Calibri" w:cs="Calibri" w:eastAsia="Calibri" w:hAnsi="Calibri"/>
                <w:sz w:val="13"/>
                <w:szCs w:val="13"/>
                <w:b w:val="1"/>
                <w:bCs w:val="1"/>
                <w:i w:val="1"/>
                <w:iCs w:val="1"/>
                <w:color w:val="auto"/>
              </w:rPr>
              <w:t>Cumulatve Percentage of Stock</w:t>
            </w:r>
          </w:p>
        </w:tc>
      </w:tr>
      <w:tr>
        <w:trPr>
          <w:trHeight w:val="157"/>
        </w:trPr>
        <w:tc>
          <w:tcPr>
            <w:tcW w:w="4920" w:type="dxa"/>
            <w:vAlign w:val="bottom"/>
            <w:tcBorders>
              <w:left w:val="single" w:sz="8" w:color="auto"/>
              <w:right w:val="single" w:sz="8" w:color="auto"/>
            </w:tcBorders>
          </w:tcPr>
          <w:p>
            <w:pPr>
              <w:spacing w:after="0"/>
              <w:rPr>
                <w:sz w:val="13"/>
                <w:szCs w:val="13"/>
                <w:color w:val="auto"/>
              </w:rPr>
            </w:pPr>
          </w:p>
        </w:tc>
        <w:tc>
          <w:tcPr>
            <w:tcW w:w="3140" w:type="dxa"/>
            <w:vAlign w:val="bottom"/>
            <w:tcBorders>
              <w:right w:val="single" w:sz="8" w:color="auto"/>
            </w:tcBorders>
          </w:tcPr>
          <w:p>
            <w:pPr>
              <w:ind w:left="60"/>
              <w:spacing w:after="0" w:line="157" w:lineRule="exact"/>
              <w:rPr>
                <w:sz w:val="20"/>
                <w:szCs w:val="20"/>
                <w:color w:val="auto"/>
              </w:rPr>
            </w:pPr>
            <w:r>
              <w:rPr>
                <w:rFonts w:ascii="Calibri" w:cs="Calibri" w:eastAsia="Calibri" w:hAnsi="Calibri"/>
                <w:sz w:val="13"/>
                <w:szCs w:val="13"/>
                <w:b w:val="1"/>
                <w:bCs w:val="1"/>
                <w:i w:val="1"/>
                <w:iCs w:val="1"/>
                <w:color w:val="auto"/>
              </w:rPr>
              <w:t>Opton Award Exercisable</w:t>
            </w:r>
          </w:p>
        </w:tc>
      </w:tr>
      <w:tr>
        <w:trPr>
          <w:trHeight w:val="22"/>
        </w:trPr>
        <w:tc>
          <w:tcPr>
            <w:tcW w:w="4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4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4920" w:type="dxa"/>
            <w:vAlign w:val="bottom"/>
            <w:tcBorders>
              <w:left w:val="single" w:sz="8" w:color="auto"/>
              <w:bottom w:val="single" w:sz="8" w:color="auto"/>
              <w:right w:val="single" w:sz="8" w:color="auto"/>
            </w:tcBorders>
          </w:tcPr>
          <w:p>
            <w:pPr>
              <w:ind w:left="80"/>
              <w:spacing w:after="0" w:line="149" w:lineRule="exact"/>
              <w:rPr>
                <w:sz w:val="20"/>
                <w:szCs w:val="20"/>
                <w:color w:val="auto"/>
              </w:rPr>
            </w:pPr>
            <w:r>
              <w:rPr>
                <w:rFonts w:ascii="Calibri" w:cs="Calibri" w:eastAsia="Calibri" w:hAnsi="Calibri"/>
                <w:sz w:val="13"/>
                <w:szCs w:val="13"/>
                <w:color w:val="auto"/>
              </w:rPr>
              <w:t>Prior to the frst anniversary of the Grant Date</w:t>
            </w:r>
          </w:p>
        </w:tc>
        <w:tc>
          <w:tcPr>
            <w:tcW w:w="3140" w:type="dxa"/>
            <w:vAlign w:val="bottom"/>
            <w:tcBorders>
              <w:bottom w:val="single" w:sz="8" w:color="auto"/>
              <w:right w:val="single" w:sz="8" w:color="auto"/>
            </w:tcBorders>
          </w:tcPr>
          <w:p>
            <w:pPr>
              <w:ind w:left="60"/>
              <w:spacing w:after="0" w:line="149" w:lineRule="exact"/>
              <w:rPr>
                <w:sz w:val="20"/>
                <w:szCs w:val="20"/>
                <w:color w:val="auto"/>
              </w:rPr>
            </w:pPr>
            <w:r>
              <w:rPr>
                <w:rFonts w:ascii="Calibri" w:cs="Calibri" w:eastAsia="Calibri" w:hAnsi="Calibri"/>
                <w:sz w:val="13"/>
                <w:szCs w:val="13"/>
                <w:color w:val="auto"/>
              </w:rPr>
              <w:t>0%</w:t>
            </w:r>
          </w:p>
        </w:tc>
      </w:tr>
      <w:tr>
        <w:trPr>
          <w:trHeight w:val="151"/>
        </w:trPr>
        <w:tc>
          <w:tcPr>
            <w:tcW w:w="4920" w:type="dxa"/>
            <w:vAlign w:val="bottom"/>
            <w:tcBorders>
              <w:left w:val="single" w:sz="8" w:color="auto"/>
              <w:bottom w:val="single" w:sz="8" w:color="auto"/>
              <w:right w:val="single" w:sz="8" w:color="auto"/>
            </w:tcBorders>
          </w:tcPr>
          <w:p>
            <w:pPr>
              <w:ind w:left="80"/>
              <w:spacing w:after="0" w:line="151" w:lineRule="exact"/>
              <w:rPr>
                <w:sz w:val="20"/>
                <w:szCs w:val="20"/>
                <w:color w:val="auto"/>
              </w:rPr>
            </w:pPr>
            <w:r>
              <w:rPr>
                <w:rFonts w:ascii="Calibri" w:cs="Calibri" w:eastAsia="Calibri" w:hAnsi="Calibri"/>
                <w:sz w:val="13"/>
                <w:szCs w:val="13"/>
                <w:color w:val="auto"/>
              </w:rPr>
              <w:t>On or afer the frst anniversary of the Grant Date</w:t>
            </w:r>
          </w:p>
        </w:tc>
        <w:tc>
          <w:tcPr>
            <w:tcW w:w="3140" w:type="dxa"/>
            <w:vAlign w:val="bottom"/>
            <w:tcBorders>
              <w:bottom w:val="single" w:sz="8" w:color="auto"/>
              <w:right w:val="single" w:sz="8" w:color="auto"/>
            </w:tcBorders>
          </w:tcPr>
          <w:p>
            <w:pPr>
              <w:ind w:left="60"/>
              <w:spacing w:after="0" w:line="151" w:lineRule="exact"/>
              <w:rPr>
                <w:sz w:val="20"/>
                <w:szCs w:val="20"/>
                <w:color w:val="auto"/>
              </w:rPr>
            </w:pPr>
            <w:r>
              <w:rPr>
                <w:rFonts w:ascii="Calibri" w:cs="Calibri" w:eastAsia="Calibri" w:hAnsi="Calibri"/>
                <w:sz w:val="13"/>
                <w:szCs w:val="13"/>
                <w:color w:val="auto"/>
              </w:rPr>
              <w:t>34%</w:t>
            </w:r>
          </w:p>
        </w:tc>
      </w:tr>
      <w:tr>
        <w:trPr>
          <w:trHeight w:val="151"/>
        </w:trPr>
        <w:tc>
          <w:tcPr>
            <w:tcW w:w="4920" w:type="dxa"/>
            <w:vAlign w:val="bottom"/>
            <w:tcBorders>
              <w:left w:val="single" w:sz="8" w:color="auto"/>
              <w:bottom w:val="single" w:sz="8" w:color="auto"/>
              <w:right w:val="single" w:sz="8" w:color="auto"/>
            </w:tcBorders>
          </w:tcPr>
          <w:p>
            <w:pPr>
              <w:ind w:left="80"/>
              <w:spacing w:after="0" w:line="151" w:lineRule="exact"/>
              <w:rPr>
                <w:sz w:val="20"/>
                <w:szCs w:val="20"/>
                <w:color w:val="auto"/>
              </w:rPr>
            </w:pPr>
            <w:r>
              <w:rPr>
                <w:rFonts w:ascii="Calibri" w:cs="Calibri" w:eastAsia="Calibri" w:hAnsi="Calibri"/>
                <w:sz w:val="13"/>
                <w:szCs w:val="13"/>
                <w:color w:val="auto"/>
              </w:rPr>
              <w:t>On or afer the second anniversary of the Grant Date</w:t>
            </w:r>
          </w:p>
        </w:tc>
        <w:tc>
          <w:tcPr>
            <w:tcW w:w="3140" w:type="dxa"/>
            <w:vAlign w:val="bottom"/>
            <w:tcBorders>
              <w:bottom w:val="single" w:sz="8" w:color="auto"/>
              <w:right w:val="single" w:sz="8" w:color="auto"/>
            </w:tcBorders>
          </w:tcPr>
          <w:p>
            <w:pPr>
              <w:ind w:left="60"/>
              <w:spacing w:after="0" w:line="151" w:lineRule="exact"/>
              <w:rPr>
                <w:sz w:val="20"/>
                <w:szCs w:val="20"/>
                <w:color w:val="auto"/>
              </w:rPr>
            </w:pPr>
            <w:r>
              <w:rPr>
                <w:rFonts w:ascii="Calibri" w:cs="Calibri" w:eastAsia="Calibri" w:hAnsi="Calibri"/>
                <w:sz w:val="13"/>
                <w:szCs w:val="13"/>
                <w:color w:val="auto"/>
              </w:rPr>
              <w:t>67%</w:t>
            </w:r>
          </w:p>
        </w:tc>
      </w:tr>
      <w:tr>
        <w:trPr>
          <w:trHeight w:val="151"/>
        </w:trPr>
        <w:tc>
          <w:tcPr>
            <w:tcW w:w="4920" w:type="dxa"/>
            <w:vAlign w:val="bottom"/>
            <w:tcBorders>
              <w:left w:val="single" w:sz="8" w:color="auto"/>
              <w:bottom w:val="single" w:sz="8" w:color="auto"/>
              <w:right w:val="single" w:sz="8" w:color="auto"/>
            </w:tcBorders>
          </w:tcPr>
          <w:p>
            <w:pPr>
              <w:ind w:left="80"/>
              <w:spacing w:after="0" w:line="151" w:lineRule="exact"/>
              <w:rPr>
                <w:sz w:val="20"/>
                <w:szCs w:val="20"/>
                <w:color w:val="auto"/>
              </w:rPr>
            </w:pPr>
            <w:r>
              <w:rPr>
                <w:rFonts w:ascii="Calibri" w:cs="Calibri" w:eastAsia="Calibri" w:hAnsi="Calibri"/>
                <w:sz w:val="13"/>
                <w:szCs w:val="13"/>
                <w:color w:val="auto"/>
              </w:rPr>
              <w:t>On or afer the third anniversary of the Grant Date</w:t>
            </w:r>
          </w:p>
        </w:tc>
        <w:tc>
          <w:tcPr>
            <w:tcW w:w="3140" w:type="dxa"/>
            <w:vAlign w:val="bottom"/>
            <w:tcBorders>
              <w:bottom w:val="single" w:sz="8" w:color="auto"/>
              <w:right w:val="single" w:sz="8" w:color="auto"/>
            </w:tcBorders>
          </w:tcPr>
          <w:p>
            <w:pPr>
              <w:ind w:left="60"/>
              <w:spacing w:after="0" w:line="151" w:lineRule="exact"/>
              <w:rPr>
                <w:sz w:val="20"/>
                <w:szCs w:val="20"/>
                <w:color w:val="auto"/>
              </w:rPr>
            </w:pPr>
            <w:r>
              <w:rPr>
                <w:rFonts w:ascii="Calibri" w:cs="Calibri" w:eastAsia="Calibri" w:hAnsi="Calibri"/>
                <w:sz w:val="13"/>
                <w:szCs w:val="13"/>
                <w:color w:val="auto"/>
              </w:rPr>
              <w:t>100%</w:t>
            </w:r>
          </w:p>
        </w:tc>
      </w:tr>
    </w:tbl>
    <w:p>
      <w:pPr>
        <w:spacing w:after="0" w:line="217" w:lineRule="exact"/>
        <w:rPr>
          <w:sz w:val="20"/>
          <w:szCs w:val="20"/>
          <w:color w:val="auto"/>
        </w:rPr>
      </w:pPr>
    </w:p>
    <w:p>
      <w:pPr>
        <w:ind w:left="220" w:right="600" w:hanging="218"/>
        <w:spacing w:after="0" w:line="242" w:lineRule="auto"/>
        <w:tabs>
          <w:tab w:leader="none" w:pos="220" w:val="left"/>
        </w:tabs>
        <w:numPr>
          <w:ilvl w:val="0"/>
          <w:numId w:val="36"/>
        </w:numPr>
        <w:rPr>
          <w:rFonts w:ascii="Calibri" w:cs="Calibri" w:eastAsia="Calibri" w:hAnsi="Calibri"/>
          <w:sz w:val="13"/>
          <w:szCs w:val="13"/>
          <w:color w:val="auto"/>
        </w:rPr>
      </w:pPr>
      <w:r>
        <w:rPr>
          <w:rFonts w:ascii="Calibri" w:cs="Calibri" w:eastAsia="Calibri" w:hAnsi="Calibri"/>
          <w:sz w:val="13"/>
          <w:szCs w:val="13"/>
          <w:u w:val="single" w:color="auto"/>
          <w:color w:val="auto"/>
        </w:rPr>
        <w:t>Manner of Exercise</w:t>
      </w:r>
      <w:r>
        <w:rPr>
          <w:rFonts w:ascii="Calibri" w:cs="Calibri" w:eastAsia="Calibri" w:hAnsi="Calibri"/>
          <w:sz w:val="13"/>
          <w:szCs w:val="13"/>
          <w:color w:val="auto"/>
        </w:rPr>
        <w:t>. To exercise all or a porton of the Stock Opton Award, Employee must contact (either by phone or online) the third-party stock plan administrator designated by the Company and follow the procedures established by the Company for exercising a Stock Opton Award.</w:t>
      </w:r>
    </w:p>
    <w:p>
      <w:pPr>
        <w:spacing w:after="0" w:line="165" w:lineRule="exact"/>
        <w:rPr>
          <w:rFonts w:ascii="Calibri" w:cs="Calibri" w:eastAsia="Calibri" w:hAnsi="Calibri"/>
          <w:sz w:val="13"/>
          <w:szCs w:val="13"/>
          <w:color w:val="auto"/>
        </w:rPr>
      </w:pPr>
    </w:p>
    <w:p>
      <w:pPr>
        <w:ind w:left="220" w:right="40" w:hanging="218"/>
        <w:spacing w:after="0" w:line="244" w:lineRule="auto"/>
        <w:tabs>
          <w:tab w:leader="none" w:pos="220" w:val="left"/>
        </w:tabs>
        <w:numPr>
          <w:ilvl w:val="0"/>
          <w:numId w:val="36"/>
        </w:numPr>
        <w:rPr>
          <w:rFonts w:ascii="Calibri" w:cs="Calibri" w:eastAsia="Calibri" w:hAnsi="Calibri"/>
          <w:sz w:val="13"/>
          <w:szCs w:val="13"/>
          <w:color w:val="auto"/>
        </w:rPr>
      </w:pPr>
      <w:r>
        <w:rPr>
          <w:rFonts w:ascii="Calibri" w:cs="Calibri" w:eastAsia="Calibri" w:hAnsi="Calibri"/>
          <w:sz w:val="13"/>
          <w:szCs w:val="13"/>
          <w:u w:val="single" w:color="auto"/>
          <w:color w:val="auto"/>
        </w:rPr>
        <w:t>Payment of Grant Price</w:t>
      </w:r>
      <w:r>
        <w:rPr>
          <w:rFonts w:ascii="Calibri" w:cs="Calibri" w:eastAsia="Calibri" w:hAnsi="Calibri"/>
          <w:sz w:val="13"/>
          <w:szCs w:val="13"/>
          <w:color w:val="auto"/>
        </w:rPr>
        <w:t xml:space="preserve">. The Grant Price is payable in full to the Company either (a) in cash or its equivalent; (b) by tendering previously acquired shares of Common Stock held for at least six months and with an aggregate fair market value at the tme of exercise equal to the aggregate Grant Price; (c) to the extent Employee is an executve ofcer at the tme of exercise, by withholding shares of Common Stock that otherwise would be acquired pursuant to the Stock Opton Award; or (d) any combinaton of the foregoing. The Grant Price may also be paid by cashless exercise through delivery of irrevocable instructons to a broker to promptly deliver to the Company the amount of proceeds from a sale of shares having fair market value equal to the Grant Price, provided that such instructons are delivered by no later than the close of the New York Stock Exchange on the last </w:t>
      </w:r>
      <w:r>
        <w:rPr>
          <w:rFonts w:ascii="Calibri" w:cs="Calibri" w:eastAsia="Calibri" w:hAnsi="Calibri"/>
          <w:sz w:val="13"/>
          <w:szCs w:val="13"/>
          <w:b w:val="1"/>
          <w:bCs w:val="1"/>
          <w:i w:val="1"/>
          <w:iCs w:val="1"/>
          <w:color w:val="auto"/>
        </w:rPr>
        <w:t xml:space="preserve">Trading Day </w:t>
      </w:r>
      <w:r>
        <w:rPr>
          <w:rFonts w:ascii="Calibri" w:cs="Calibri" w:eastAsia="Calibri" w:hAnsi="Calibri"/>
          <w:sz w:val="13"/>
          <w:szCs w:val="13"/>
          <w:color w:val="auto"/>
        </w:rPr>
        <w:t>prior to the 10th anniversary of the Grant Date. Payment by cashless exercise shall not be considered to have occurred untl the broker has issued confrmaton of</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 xml:space="preserve">the transacton. For these purposes, </w:t>
      </w:r>
      <w:r>
        <w:rPr>
          <w:rFonts w:ascii="Calibri" w:cs="Calibri" w:eastAsia="Calibri" w:hAnsi="Calibri"/>
          <w:sz w:val="13"/>
          <w:szCs w:val="13"/>
          <w:b w:val="1"/>
          <w:bCs w:val="1"/>
          <w:i w:val="1"/>
          <w:iCs w:val="1"/>
          <w:color w:val="auto"/>
        </w:rPr>
        <w:t>Trading Day</w:t>
      </w:r>
      <w:r>
        <w:rPr>
          <w:rFonts w:ascii="Calibri" w:cs="Calibri" w:eastAsia="Calibri" w:hAnsi="Calibri"/>
          <w:sz w:val="13"/>
          <w:szCs w:val="13"/>
          <w:color w:val="auto"/>
        </w:rPr>
        <w:t xml:space="preserve"> means a day on which the New York Stock Exchange is open for trading for its regular trading sessions.</w:t>
      </w:r>
    </w:p>
    <w:p>
      <w:pPr>
        <w:spacing w:after="0" w:line="160"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Important Award Details</w:t>
      </w:r>
    </w:p>
    <w:p>
      <w:pPr>
        <w:spacing w:after="0" w:line="171" w:lineRule="exact"/>
        <w:rPr>
          <w:sz w:val="20"/>
          <w:szCs w:val="20"/>
          <w:color w:val="auto"/>
        </w:rPr>
      </w:pPr>
    </w:p>
    <w:p>
      <w:pPr>
        <w:spacing w:after="0" w:line="242" w:lineRule="auto"/>
        <w:rPr>
          <w:sz w:val="20"/>
          <w:szCs w:val="20"/>
          <w:color w:val="auto"/>
        </w:rPr>
      </w:pPr>
      <w:r>
        <w:rPr>
          <w:rFonts w:ascii="Calibri" w:cs="Calibri" w:eastAsia="Calibri" w:hAnsi="Calibri"/>
          <w:sz w:val="13"/>
          <w:szCs w:val="13"/>
          <w:color w:val="auto"/>
        </w:rPr>
        <w:t>Your Awards under this Agreement are subject to important terms and conditons set forth below. Please read them carefully and seek advice from your own legal and tax advisors before executng this Agreement.</w:t>
      </w:r>
    </w:p>
    <w:p>
      <w:pPr>
        <w:spacing w:after="0" w:line="166" w:lineRule="exact"/>
        <w:rPr>
          <w:sz w:val="20"/>
          <w:szCs w:val="20"/>
          <w:color w:val="auto"/>
        </w:rPr>
      </w:pPr>
    </w:p>
    <w:p>
      <w:pPr>
        <w:ind w:left="220" w:right="120" w:hanging="218"/>
        <w:spacing w:after="0" w:line="243" w:lineRule="auto"/>
        <w:tabs>
          <w:tab w:leader="none" w:pos="220" w:val="left"/>
        </w:tabs>
        <w:numPr>
          <w:ilvl w:val="0"/>
          <w:numId w:val="37"/>
        </w:numPr>
        <w:rPr>
          <w:rFonts w:ascii="Calibri" w:cs="Calibri" w:eastAsia="Calibri" w:hAnsi="Calibri"/>
          <w:sz w:val="13"/>
          <w:szCs w:val="13"/>
          <w:color w:val="auto"/>
        </w:rPr>
      </w:pPr>
      <w:r>
        <w:rPr>
          <w:rFonts w:ascii="Calibri" w:cs="Calibri" w:eastAsia="Calibri" w:hAnsi="Calibri"/>
          <w:sz w:val="13"/>
          <w:szCs w:val="13"/>
          <w:u w:val="single" w:color="auto"/>
          <w:color w:val="auto"/>
        </w:rPr>
        <w:t>Death or Disability</w:t>
      </w:r>
      <w:r>
        <w:rPr>
          <w:rFonts w:ascii="Calibri" w:cs="Calibri" w:eastAsia="Calibri" w:hAnsi="Calibri"/>
          <w:sz w:val="13"/>
          <w:szCs w:val="13"/>
          <w:color w:val="auto"/>
        </w:rPr>
        <w:t>. Upon Employee’s death or disability (as determined by the Commitee and within the meaning of Secton 409A of the Internal Revenue Code of 1986, as amended, and the Treasury Regulatons issued thereunder (“</w:t>
      </w:r>
      <w:r>
        <w:rPr>
          <w:rFonts w:ascii="Calibri" w:cs="Calibri" w:eastAsia="Calibri" w:hAnsi="Calibri"/>
          <w:sz w:val="13"/>
          <w:szCs w:val="13"/>
          <w:b w:val="1"/>
          <w:bCs w:val="1"/>
          <w:i w:val="1"/>
          <w:iCs w:val="1"/>
          <w:color w:val="auto"/>
        </w:rPr>
        <w:t>Secton 409A</w:t>
      </w:r>
      <w:r>
        <w:rPr>
          <w:rFonts w:ascii="Calibri" w:cs="Calibri" w:eastAsia="Calibri" w:hAnsi="Calibri"/>
          <w:sz w:val="13"/>
          <w:szCs w:val="13"/>
          <w:color w:val="auto"/>
        </w:rPr>
        <w:t>”) and specifcally Secton 409A(a)(2)(C) (“</w:t>
      </w:r>
      <w:r>
        <w:rPr>
          <w:rFonts w:ascii="Calibri" w:cs="Calibri" w:eastAsia="Calibri" w:hAnsi="Calibri"/>
          <w:sz w:val="13"/>
          <w:szCs w:val="13"/>
          <w:b w:val="1"/>
          <w:bCs w:val="1"/>
          <w:i w:val="1"/>
          <w:iCs w:val="1"/>
          <w:color w:val="auto"/>
        </w:rPr>
        <w:t>Disability</w:t>
      </w:r>
      <w:r>
        <w:rPr>
          <w:rFonts w:ascii="Calibri" w:cs="Calibri" w:eastAsia="Calibri" w:hAnsi="Calibri"/>
          <w:sz w:val="13"/>
          <w:szCs w:val="13"/>
          <w:color w:val="auto"/>
        </w:rPr>
        <w:t>”)), Employee (or in the case of Employee’s death, Employee’s benefciary) shall, subject to paragraph 2.e below, be enttled to:</w:t>
      </w:r>
    </w:p>
    <w:p>
      <w:pPr>
        <w:spacing w:after="0" w:line="165" w:lineRule="exact"/>
        <w:rPr>
          <w:rFonts w:ascii="Calibri" w:cs="Calibri" w:eastAsia="Calibri" w:hAnsi="Calibri"/>
          <w:sz w:val="13"/>
          <w:szCs w:val="13"/>
          <w:color w:val="auto"/>
        </w:rPr>
      </w:pPr>
    </w:p>
    <w:p>
      <w:pPr>
        <w:ind w:left="440" w:right="160" w:hanging="222"/>
        <w:spacing w:after="0" w:line="243" w:lineRule="auto"/>
        <w:tabs>
          <w:tab w:leader="none" w:pos="440" w:val="left"/>
        </w:tabs>
        <w:numPr>
          <w:ilvl w:val="1"/>
          <w:numId w:val="37"/>
        </w:numPr>
        <w:rPr>
          <w:rFonts w:ascii="Calibri" w:cs="Calibri" w:eastAsia="Calibri" w:hAnsi="Calibri"/>
          <w:sz w:val="13"/>
          <w:szCs w:val="13"/>
          <w:color w:val="auto"/>
        </w:rPr>
      </w:pPr>
      <w:r>
        <w:rPr>
          <w:rFonts w:ascii="Calibri" w:cs="Calibri" w:eastAsia="Calibri" w:hAnsi="Calibri"/>
          <w:sz w:val="13"/>
          <w:szCs w:val="13"/>
          <w:color w:val="auto"/>
        </w:rPr>
        <w:t>receive the PSU Awarded Shares and related Dividend Equivalents that Employee would have been enttled to under this Agreement if Employee had remained employed untl the last day of the Performance Period and determined based upon actual Achievement through the end of the Performance Period, which shall be paid no later than 74 days following the end of the Performance Period;</w:t>
      </w:r>
    </w:p>
    <w:p>
      <w:pPr>
        <w:spacing w:after="0" w:line="165" w:lineRule="exact"/>
        <w:rPr>
          <w:rFonts w:ascii="Calibri" w:cs="Calibri" w:eastAsia="Calibri" w:hAnsi="Calibri"/>
          <w:sz w:val="13"/>
          <w:szCs w:val="13"/>
          <w:color w:val="auto"/>
        </w:rPr>
      </w:pPr>
    </w:p>
    <w:p>
      <w:pPr>
        <w:ind w:left="440" w:right="20" w:hanging="222"/>
        <w:spacing w:after="0" w:line="242" w:lineRule="auto"/>
        <w:tabs>
          <w:tab w:leader="none" w:pos="440" w:val="left"/>
        </w:tabs>
        <w:numPr>
          <w:ilvl w:val="1"/>
          <w:numId w:val="37"/>
        </w:numPr>
        <w:rPr>
          <w:rFonts w:ascii="Calibri" w:cs="Calibri" w:eastAsia="Calibri" w:hAnsi="Calibri"/>
          <w:sz w:val="13"/>
          <w:szCs w:val="13"/>
          <w:color w:val="auto"/>
        </w:rPr>
      </w:pPr>
      <w:r>
        <w:rPr>
          <w:rFonts w:ascii="Calibri" w:cs="Calibri" w:eastAsia="Calibri" w:hAnsi="Calibri"/>
          <w:sz w:val="13"/>
          <w:szCs w:val="13"/>
          <w:color w:val="auto"/>
        </w:rPr>
        <w:t>immediate vestng in full of all unvested RSUs under this Agreement (and related unpaid Dividend Equivalents atributable to the tme period from the Grant Date to the tme of such immediate vestng), which shall be issued and paid within 74 days following the date of such death or Disability, as applicable; and</w:t>
      </w:r>
    </w:p>
    <w:p>
      <w:pPr>
        <w:spacing w:after="0" w:line="165" w:lineRule="exact"/>
        <w:rPr>
          <w:rFonts w:ascii="Calibri" w:cs="Calibri" w:eastAsia="Calibri" w:hAnsi="Calibri"/>
          <w:sz w:val="13"/>
          <w:szCs w:val="13"/>
          <w:color w:val="auto"/>
        </w:rPr>
      </w:pPr>
    </w:p>
    <w:p>
      <w:pPr>
        <w:ind w:left="440" w:right="40" w:hanging="222"/>
        <w:spacing w:after="0" w:line="242" w:lineRule="auto"/>
        <w:tabs>
          <w:tab w:leader="none" w:pos="440" w:val="left"/>
        </w:tabs>
        <w:numPr>
          <w:ilvl w:val="1"/>
          <w:numId w:val="37"/>
        </w:numPr>
        <w:rPr>
          <w:rFonts w:ascii="Calibri" w:cs="Calibri" w:eastAsia="Calibri" w:hAnsi="Calibri"/>
          <w:sz w:val="13"/>
          <w:szCs w:val="13"/>
          <w:color w:val="auto"/>
        </w:rPr>
      </w:pPr>
      <w:r>
        <w:rPr>
          <w:rFonts w:ascii="Calibri" w:cs="Calibri" w:eastAsia="Calibri" w:hAnsi="Calibri"/>
          <w:sz w:val="13"/>
          <w:szCs w:val="13"/>
          <w:color w:val="auto"/>
        </w:rPr>
        <w:t>exercise all Stock Optons outstanding under the Stock Opton Award (whether previously exercisable) for one year following such event. Provided however, if Employee was eligible for Retrement at the tme of his death or Disability, the Stock Opton Award will remain exercisable for three years following the date of such event.</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334010</wp:posOffset>
            </wp:positionV>
            <wp:extent cx="66179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582" w:right="999" w:bottom="1440" w:gutter="0" w:footer="0" w:header="0"/>
        </w:sectPr>
      </w:pPr>
    </w:p>
    <w:bookmarkStart w:id="44" w:name="page45"/>
    <w:bookmarkEnd w:id="44"/>
    <w:p>
      <w:pPr>
        <w:ind w:left="218" w:hanging="218"/>
        <w:spacing w:after="0"/>
        <w:tabs>
          <w:tab w:leader="none" w:pos="218" w:val="left"/>
        </w:tabs>
        <w:numPr>
          <w:ilvl w:val="0"/>
          <w:numId w:val="38"/>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3984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556375" cy="3984625"/>
                    </a:xfrm>
                    <a:prstGeom prst="rect">
                      <a:avLst/>
                    </a:prstGeom>
                    <a:noFill/>
                  </pic:spPr>
                </pic:pic>
              </a:graphicData>
            </a:graphic>
          </wp:anchor>
        </w:drawing>
        <w:t>Treatment of PSU and RSU Awards Upon Retrement or Involuntary Terminaton of Employment Without Cause by WM</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38" w:right="100" w:hanging="222"/>
        <w:spacing w:after="0" w:line="244" w:lineRule="auto"/>
        <w:tabs>
          <w:tab w:leader="none" w:pos="438"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Upon an involuntary Terminaton of Employment by WM without Cause, Employee shall, subject to the requirements below, be enttled to receive the PSU Awarded Shares and related Dividend Equivalents that Employee would have been enttled to under this Agreement if Employee had remained employed untl the last day of the Performance Period and determined based upon actual Achievement through the end of the Performance Period multplied by the fracton which has as its numerator the total number of days that Employee was employed by WM during the Performance Period and has as its denominator 1096 (which amount shall be issued and paid as soon as practcable and no later than 74 days following the end of the Performance Period).</w:t>
      </w:r>
    </w:p>
    <w:p>
      <w:pPr>
        <w:spacing w:after="0" w:line="165" w:lineRule="exact"/>
        <w:rPr>
          <w:rFonts w:ascii="Calibri" w:cs="Calibri" w:eastAsia="Calibri" w:hAnsi="Calibri"/>
          <w:sz w:val="13"/>
          <w:szCs w:val="13"/>
          <w:color w:val="auto"/>
        </w:rPr>
      </w:pPr>
    </w:p>
    <w:p>
      <w:pPr>
        <w:ind w:left="438" w:right="40" w:hanging="222"/>
        <w:spacing w:after="0" w:line="244" w:lineRule="auto"/>
        <w:tabs>
          <w:tab w:leader="none" w:pos="438"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Upon Employee’s Retrement, Employee shall be enttled to receive the PSU Awarded Shares and related Dividend Equivalents that Employee would have been enttled to under this Agreement if Employee had remained employed untl the last day of the Performance Period and determined based upon actual Achievement through the end of the Performance Period multplied by the fracton which has as its numerator the total number of days that Employee was employed by WM during the frst 12 months of the Performance Period and has as its denominator 366 (which amount shall be issued and paid as soon as practcable and no later than 74 days following the end of the Performance Period). To illustrate the applicaton of the preceding sentence, if Employee’s Retrement is on or afer December 31, 2024, he or she shall be eligible to receive a full payout at the end of the Performance Period (based upon actual Achievement).</w:t>
      </w:r>
    </w:p>
    <w:p>
      <w:pPr>
        <w:spacing w:after="0" w:line="165" w:lineRule="exact"/>
        <w:rPr>
          <w:rFonts w:ascii="Calibri" w:cs="Calibri" w:eastAsia="Calibri" w:hAnsi="Calibri"/>
          <w:sz w:val="13"/>
          <w:szCs w:val="13"/>
          <w:color w:val="auto"/>
        </w:rPr>
      </w:pPr>
    </w:p>
    <w:p>
      <w:pPr>
        <w:ind w:left="438" w:right="40" w:hanging="222"/>
        <w:spacing w:after="0" w:line="244" w:lineRule="auto"/>
        <w:tabs>
          <w:tab w:leader="none" w:pos="438"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Upon Employee’s involuntary Terminaton of Employment by WM without Cause, Employee shall be enttled to the amount of unvested RSUs and any related Dividend Equivalents on such RSUs through the Vestng Dates that Employee would have been enttled to under this Agreement if Employee had remained employed untl the Vestng Date multplied by the fracton which has as its numerator the total number of days that Employee was employed by WM during the period beginning on the Grant Date and ending on the date of Terminaton of Employment and has as its denominator 1095, which shall be issued and paid no later than 74 days following the normal Vestng Dates.</w:t>
      </w:r>
    </w:p>
    <w:p>
      <w:pPr>
        <w:spacing w:after="0" w:line="164" w:lineRule="exact"/>
        <w:rPr>
          <w:rFonts w:ascii="Calibri" w:cs="Calibri" w:eastAsia="Calibri" w:hAnsi="Calibri"/>
          <w:sz w:val="13"/>
          <w:szCs w:val="13"/>
          <w:color w:val="auto"/>
        </w:rPr>
      </w:pPr>
    </w:p>
    <w:p>
      <w:pPr>
        <w:ind w:left="438" w:hanging="222"/>
        <w:spacing w:after="0" w:line="244" w:lineRule="auto"/>
        <w:tabs>
          <w:tab w:leader="none" w:pos="438"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Upon Employee’s Retrement, Employee shall be enttled to the amount of RSUs and any related Dividend Equivalents on such RSUs through the Vestng Dates that Employee would have been enttled to under this Agreement if Employee had remained employed untl the Vestng Dates multplied by the fracton which has as its numerator the total number of days that Employee was employed by WM during the calendar year in which the Grant Date occurred and has as its denominator 366, which shall be issued and paid no later than 74 days following the normal Vestng Dates (i.e. the three-year anniversary of the Grant Date). To illustrate the preceding sentence, if Employee retres on or afer the frst day of the calendar year following the calendar year in which the Grant Date occurs, he or she shall be enttled to receive a full payout at such tme.</w:t>
      </w:r>
    </w:p>
    <w:p>
      <w:pPr>
        <w:spacing w:after="0" w:line="165" w:lineRule="exact"/>
        <w:rPr>
          <w:rFonts w:ascii="Calibri" w:cs="Calibri" w:eastAsia="Calibri" w:hAnsi="Calibri"/>
          <w:sz w:val="13"/>
          <w:szCs w:val="13"/>
          <w:color w:val="auto"/>
        </w:rPr>
      </w:pPr>
    </w:p>
    <w:p>
      <w:pPr>
        <w:ind w:left="438" w:right="40" w:hanging="222"/>
        <w:spacing w:after="0" w:line="243" w:lineRule="auto"/>
        <w:tabs>
          <w:tab w:leader="none" w:pos="438" w:val="left"/>
        </w:tabs>
        <w:numPr>
          <w:ilvl w:val="1"/>
          <w:numId w:val="38"/>
        </w:numPr>
        <w:rPr>
          <w:rFonts w:ascii="Calibri" w:cs="Calibri" w:eastAsia="Calibri" w:hAnsi="Calibri"/>
          <w:sz w:val="13"/>
          <w:szCs w:val="13"/>
          <w:color w:val="auto"/>
        </w:rPr>
      </w:pPr>
      <w:r>
        <w:rPr>
          <w:rFonts w:ascii="Calibri" w:cs="Calibri" w:eastAsia="Calibri" w:hAnsi="Calibri"/>
          <w:sz w:val="13"/>
          <w:szCs w:val="13"/>
          <w:color w:val="auto"/>
        </w:rPr>
        <w:t>In the event Employee is employed by a subsidiary of the Company that is sold by the Company in a transacton (i) that would not consttute a Corporate Change, but (ii) that would consttute a Corporate Change with the subsidiary substtuted for Company thereunder, such transacton shall be deemed to consttute an involuntary Terminaton of Employment by WM without Cause as of the efectve date of such Transacton and Employee’s terminaton.</w:t>
      </w:r>
    </w:p>
    <w:p>
      <w:pPr>
        <w:spacing w:after="0" w:line="164" w:lineRule="exact"/>
        <w:rPr>
          <w:rFonts w:ascii="Calibri" w:cs="Calibri" w:eastAsia="Calibri" w:hAnsi="Calibri"/>
          <w:sz w:val="13"/>
          <w:szCs w:val="13"/>
          <w:color w:val="auto"/>
        </w:rPr>
      </w:pPr>
    </w:p>
    <w:p>
      <w:pPr>
        <w:ind w:left="478" w:hanging="208"/>
        <w:spacing w:after="0"/>
        <w:tabs>
          <w:tab w:leader="none" w:pos="478" w:val="left"/>
        </w:tabs>
        <w:numPr>
          <w:ilvl w:val="2"/>
          <w:numId w:val="38"/>
        </w:numPr>
        <w:rPr>
          <w:rFonts w:ascii="Calibri" w:cs="Calibri" w:eastAsia="Calibri" w:hAnsi="Calibri"/>
          <w:sz w:val="13"/>
          <w:szCs w:val="13"/>
          <w:color w:val="auto"/>
        </w:rPr>
      </w:pPr>
      <w:r>
        <w:rPr>
          <w:rFonts w:ascii="Calibri" w:cs="Calibri" w:eastAsia="Calibri" w:hAnsi="Calibri"/>
          <w:sz w:val="13"/>
          <w:szCs w:val="13"/>
          <w:color w:val="auto"/>
        </w:rPr>
        <w:t>The following terms shall have the meanings set forth below for purposes of this Agreement:</w:t>
      </w:r>
    </w:p>
    <w:p>
      <w:pPr>
        <w:spacing w:after="0" w:line="165" w:lineRule="exact"/>
        <w:rPr>
          <w:rFonts w:ascii="Calibri" w:cs="Calibri" w:eastAsia="Calibri" w:hAnsi="Calibri"/>
          <w:sz w:val="13"/>
          <w:szCs w:val="13"/>
          <w:color w:val="auto"/>
        </w:rPr>
      </w:pPr>
    </w:p>
    <w:p>
      <w:pPr>
        <w:ind w:left="578"/>
        <w:spacing w:after="0"/>
        <w:rPr>
          <w:rFonts w:ascii="Calibri" w:cs="Calibri" w:eastAsia="Calibri" w:hAnsi="Calibri"/>
          <w:sz w:val="13"/>
          <w:szCs w:val="13"/>
          <w:color w:val="auto"/>
        </w:rPr>
      </w:pPr>
      <w:r>
        <w:rPr>
          <w:rFonts w:ascii="Calibri" w:cs="Calibri" w:eastAsia="Calibri" w:hAnsi="Calibri"/>
          <w:sz w:val="13"/>
          <w:szCs w:val="13"/>
          <w:color w:val="auto"/>
        </w:rPr>
        <w:t xml:space="preserve">i.    </w:t>
      </w:r>
      <w:r>
        <w:rPr>
          <w:rFonts w:ascii="Calibri" w:cs="Calibri" w:eastAsia="Calibri" w:hAnsi="Calibri"/>
          <w:sz w:val="13"/>
          <w:szCs w:val="13"/>
          <w:b w:val="1"/>
          <w:bCs w:val="1"/>
          <w:i w:val="1"/>
          <w:iCs w:val="1"/>
          <w:color w:val="auto"/>
        </w:rPr>
        <w:t>Retrement</w:t>
      </w:r>
      <w:r>
        <w:rPr>
          <w:rFonts w:ascii="Calibri" w:cs="Calibri" w:eastAsia="Calibri" w:hAnsi="Calibri"/>
          <w:sz w:val="13"/>
          <w:szCs w:val="13"/>
          <w:color w:val="auto"/>
        </w:rPr>
        <w:t xml:space="preserve"> means Terminaton of Employment due to the voluntary resignaton of employment by Employee, afer Employee (1) has reached age 55 or greater; (2)</w:t>
      </w:r>
    </w:p>
    <w:p>
      <w:pPr>
        <w:spacing w:after="0" w:line="5" w:lineRule="exact"/>
        <w:rPr>
          <w:sz w:val="20"/>
          <w:szCs w:val="20"/>
          <w:color w:val="auto"/>
        </w:rPr>
      </w:pPr>
    </w:p>
    <w:p>
      <w:pPr>
        <w:ind w:left="858" w:right="180"/>
        <w:spacing w:after="0" w:line="242" w:lineRule="auto"/>
        <w:rPr>
          <w:sz w:val="20"/>
          <w:szCs w:val="20"/>
          <w:color w:val="auto"/>
        </w:rPr>
      </w:pPr>
      <w:r>
        <w:rPr>
          <w:rFonts w:ascii="Calibri" w:cs="Calibri" w:eastAsia="Calibri" w:hAnsi="Calibri"/>
          <w:sz w:val="13"/>
          <w:szCs w:val="13"/>
          <w:color w:val="auto"/>
        </w:rPr>
        <w:t>has a sum of age plus years of Service (as defned in paragraph ii. below) with WM equal to 65 or greater; and (3) has completed at least 5 consecutve full years of Service with WM during the 5-year period immediately preceding the</w:t>
      </w:r>
    </w:p>
    <w:p>
      <w:pPr>
        <w:spacing w:after="0" w:line="2" w:lineRule="exact"/>
        <w:rPr>
          <w:sz w:val="20"/>
          <w:szCs w:val="20"/>
          <w:color w:val="auto"/>
        </w:rPr>
      </w:pPr>
    </w:p>
    <w:p>
      <w:pPr>
        <w:jc w:val="center"/>
        <w:ind w:right="-17"/>
        <w:spacing w:after="0"/>
        <w:rPr>
          <w:sz w:val="20"/>
          <w:szCs w:val="20"/>
          <w:color w:val="auto"/>
        </w:rPr>
      </w:pPr>
      <w:r>
        <w:rPr>
          <w:rFonts w:ascii="Calibri" w:cs="Calibri" w:eastAsia="Calibri" w:hAnsi="Calibri"/>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18"/>
          </w:cols>
          <w:pgMar w:left="982" w:top="742" w:right="999" w:bottom="1440" w:gutter="0" w:footer="0" w:header="0"/>
        </w:sectPr>
      </w:pPr>
    </w:p>
    <w:bookmarkStart w:id="45" w:name="page46"/>
    <w:bookmarkEnd w:id="45"/>
    <w:p>
      <w:pPr>
        <w:ind w:left="858" w:right="500"/>
        <w:spacing w:after="0" w:line="242"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293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556375" cy="4293235"/>
                    </a:xfrm>
                    <a:prstGeom prst="rect">
                      <a:avLst/>
                    </a:prstGeom>
                    <a:noFill/>
                  </pic:spPr>
                </pic:pic>
              </a:graphicData>
            </a:graphic>
          </wp:anchor>
        </w:drawing>
        <w:t xml:space="preserve">resignaton; </w:t>
      </w:r>
      <w:r>
        <w:rPr>
          <w:rFonts w:ascii="Calibri" w:cs="Calibri" w:eastAsia="Calibri" w:hAnsi="Calibri"/>
          <w:sz w:val="13"/>
          <w:szCs w:val="13"/>
          <w:u w:val="single" w:color="auto"/>
          <w:color w:val="auto"/>
        </w:rPr>
        <w:t>provided</w:t>
      </w:r>
      <w:r>
        <w:rPr>
          <w:rFonts w:ascii="Calibri" w:cs="Calibri" w:eastAsia="Calibri" w:hAnsi="Calibri"/>
          <w:sz w:val="13"/>
          <w:szCs w:val="13"/>
          <w:color w:val="auto"/>
        </w:rPr>
        <w:t>, that Employee is not receiving severance benefts pursuant to the severance pay plans of WM in connecton with such Terminaton of Employment.</w:t>
      </w:r>
    </w:p>
    <w:p>
      <w:pPr>
        <w:spacing w:after="0" w:line="166" w:lineRule="exact"/>
        <w:rPr>
          <w:sz w:val="20"/>
          <w:szCs w:val="20"/>
          <w:color w:val="auto"/>
        </w:rPr>
      </w:pPr>
    </w:p>
    <w:p>
      <w:pPr>
        <w:ind w:left="858" w:right="80" w:hanging="305"/>
        <w:spacing w:after="0" w:line="244" w:lineRule="auto"/>
        <w:tabs>
          <w:tab w:leader="none" w:pos="858" w:val="left"/>
        </w:tabs>
        <w:numPr>
          <w:ilvl w:val="3"/>
          <w:numId w:val="3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Service </w:t>
      </w:r>
      <w:r>
        <w:rPr>
          <w:rFonts w:ascii="Calibri" w:cs="Calibri" w:eastAsia="Calibri" w:hAnsi="Calibri"/>
          <w:sz w:val="13"/>
          <w:szCs w:val="13"/>
          <w:color w:val="auto"/>
        </w:rPr>
        <w:t>is measured from Employee’s original date of hire by WM, except as provided below. In the case of a break of employment by Employee from WM of one</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year or more in length, Employee’s service before the break of employment is not considered Service. Service with an entty acquired by WM is considered Service so long as Employee remained contnuously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326" w:lineRule="exact"/>
        <w:rPr>
          <w:rFonts w:ascii="Calibri" w:cs="Calibri" w:eastAsia="Calibri" w:hAnsi="Calibri"/>
          <w:sz w:val="13"/>
          <w:szCs w:val="13"/>
          <w:color w:val="auto"/>
        </w:rPr>
      </w:pPr>
    </w:p>
    <w:p>
      <w:pPr>
        <w:ind w:left="858" w:right="20" w:hanging="337"/>
        <w:spacing w:after="0" w:line="244" w:lineRule="auto"/>
        <w:tabs>
          <w:tab w:leader="none" w:pos="858" w:val="left"/>
        </w:tabs>
        <w:numPr>
          <w:ilvl w:val="3"/>
          <w:numId w:val="3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Terminaton of Employment </w:t>
      </w:r>
      <w:r>
        <w:rPr>
          <w:rFonts w:ascii="Calibri" w:cs="Calibri" w:eastAsia="Calibri" w:hAnsi="Calibri"/>
          <w:sz w:val="13"/>
          <w:szCs w:val="13"/>
          <w:color w:val="auto"/>
        </w:rPr>
        <w:t>means the terminaton of Employee’s employment or other service relatonship with WM as determined by the Commitee. Temporary</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absences from employment because of illness, vacaton or leave of absence and transfers among the Company and its Subsidiaries and Afliates will not be considered a Terminaton of Employment. Any queston as to whether and when there has been a Terminaton of Employment, and the cause of such terminaton, shall be determined by and in the sole discreton of the Commitee and such determinaton shall be fnal.</w:t>
      </w:r>
    </w:p>
    <w:p>
      <w:pPr>
        <w:spacing w:after="0" w:line="164" w:lineRule="exact"/>
        <w:rPr>
          <w:rFonts w:ascii="Calibri" w:cs="Calibri" w:eastAsia="Calibri" w:hAnsi="Calibri"/>
          <w:sz w:val="13"/>
          <w:szCs w:val="13"/>
          <w:color w:val="auto"/>
        </w:rPr>
      </w:pPr>
    </w:p>
    <w:p>
      <w:pPr>
        <w:jc w:val="both"/>
        <w:ind w:left="858" w:right="40" w:hanging="325"/>
        <w:spacing w:after="0" w:line="243" w:lineRule="auto"/>
        <w:tabs>
          <w:tab w:leader="none" w:pos="858" w:val="left"/>
        </w:tabs>
        <w:numPr>
          <w:ilvl w:val="3"/>
          <w:numId w:val="39"/>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Cause </w:t>
      </w:r>
      <w:r>
        <w:rPr>
          <w:rFonts w:ascii="Calibri" w:cs="Calibri" w:eastAsia="Calibri" w:hAnsi="Calibri"/>
          <w:sz w:val="13"/>
          <w:szCs w:val="13"/>
          <w:color w:val="auto"/>
        </w:rPr>
        <w:t>means any of the following: (1) willful or deliberate and contnual refusal to materially perform Employee’s dutes reasonably requested by WM afer receipt</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of writen notce to Employee of such failure to perform, specifying such failure (other than as a result of Employee’s sickness, illness, injury, death or disability) and Employee fails to cure such nonperformance within ten (10) days of receipt of said writen notce; (2) breach of any statutory or common law duty of loyalty to WM;</w:t>
      </w:r>
    </w:p>
    <w:p>
      <w:pPr>
        <w:spacing w:after="0" w:line="3" w:lineRule="exact"/>
        <w:rPr>
          <w:rFonts w:ascii="Calibri" w:cs="Calibri" w:eastAsia="Calibri" w:hAnsi="Calibri"/>
          <w:sz w:val="13"/>
          <w:szCs w:val="13"/>
          <w:color w:val="auto"/>
        </w:rPr>
      </w:pPr>
    </w:p>
    <w:p>
      <w:pPr>
        <w:ind w:left="858"/>
        <w:spacing w:after="0" w:line="244" w:lineRule="auto"/>
        <w:rPr>
          <w:rFonts w:ascii="Calibri" w:cs="Calibri" w:eastAsia="Calibri" w:hAnsi="Calibri"/>
          <w:sz w:val="13"/>
          <w:szCs w:val="13"/>
          <w:color w:val="auto"/>
        </w:rPr>
      </w:pPr>
      <w:r>
        <w:rPr>
          <w:rFonts w:ascii="Calibri" w:cs="Calibri" w:eastAsia="Calibri" w:hAnsi="Calibri"/>
          <w:sz w:val="13"/>
          <w:szCs w:val="13"/>
          <w:color w:val="auto"/>
        </w:rPr>
        <w:t xml:space="preserve">(3) Employee has been convicted of, or pleaded </w:t>
      </w:r>
      <w:r>
        <w:rPr>
          <w:rFonts w:ascii="Calibri" w:cs="Calibri" w:eastAsia="Calibri" w:hAnsi="Calibri"/>
          <w:sz w:val="13"/>
          <w:szCs w:val="13"/>
          <w:i w:val="1"/>
          <w:iCs w:val="1"/>
          <w:color w:val="auto"/>
        </w:rPr>
        <w:t>nolo contendre</w:t>
      </w:r>
      <w:r>
        <w:rPr>
          <w:rFonts w:ascii="Calibri" w:cs="Calibri" w:eastAsia="Calibri" w:hAnsi="Calibri"/>
          <w:sz w:val="13"/>
          <w:szCs w:val="13"/>
          <w:color w:val="auto"/>
        </w:rPr>
        <w:t xml:space="preserve"> to, any felony; (4) Employee willfully or intentonally caused material injury to WM, its property, or its assets; (5) Employee disclosed to unauthorized person(s) proprietary or confdental informaton of WM that causes a material injury to WM; or (6) any material violaton or a repeated and willful violaton of WM’s policies or procedures, including but not limited to, WM’s Code of Business Conduct and Ethics (or any successor policy) then in efect.</w:t>
      </w:r>
    </w:p>
    <w:p>
      <w:pPr>
        <w:spacing w:after="0" w:line="164" w:lineRule="exact"/>
        <w:rPr>
          <w:rFonts w:ascii="Calibri" w:cs="Calibri" w:eastAsia="Calibri" w:hAnsi="Calibri"/>
          <w:sz w:val="13"/>
          <w:szCs w:val="13"/>
          <w:color w:val="auto"/>
        </w:rPr>
      </w:pPr>
    </w:p>
    <w:p>
      <w:pPr>
        <w:ind w:left="478" w:right="120" w:hanging="208"/>
        <w:spacing w:after="0" w:line="244" w:lineRule="auto"/>
        <w:tabs>
          <w:tab w:leader="none" w:pos="478" w:val="left"/>
        </w:tabs>
        <w:numPr>
          <w:ilvl w:val="2"/>
          <w:numId w:val="40"/>
        </w:numPr>
        <w:rPr>
          <w:rFonts w:ascii="Calibri" w:cs="Calibri" w:eastAsia="Calibri" w:hAnsi="Calibri"/>
          <w:sz w:val="13"/>
          <w:szCs w:val="13"/>
          <w:color w:val="auto"/>
        </w:rPr>
      </w:pPr>
      <w:r>
        <w:rPr>
          <w:rFonts w:ascii="Calibri" w:cs="Calibri" w:eastAsia="Calibri" w:hAnsi="Calibri"/>
          <w:sz w:val="13"/>
          <w:szCs w:val="13"/>
          <w:color w:val="auto"/>
        </w:rPr>
        <w:t>In order to receive any of the vestng or exercisability benefts upon terminaton described in paragraphs 1, 2 and 3 (except resignaton), Employee (or, if applicable, Employee’s estate) must (x) execute and not revoke a general release of claims in favor of WM and its afliates in a form that is acceptable to WM and which has become efectve and irrevocable prior to the payment date set forth above (or such earlier deadline set by WM) and (y) contnue to abide by all ongoing obligatons to WM under any restrictve covenant agreement.</w:t>
      </w:r>
    </w:p>
    <w:p>
      <w:pPr>
        <w:spacing w:after="0" w:line="162" w:lineRule="exact"/>
        <w:rPr>
          <w:rFonts w:ascii="Calibri" w:cs="Calibri" w:eastAsia="Calibri" w:hAnsi="Calibri"/>
          <w:sz w:val="13"/>
          <w:szCs w:val="13"/>
          <w:color w:val="auto"/>
        </w:rPr>
      </w:pPr>
    </w:p>
    <w:p>
      <w:pPr>
        <w:ind w:left="218" w:hanging="218"/>
        <w:spacing w:after="0"/>
        <w:tabs>
          <w:tab w:leader="none" w:pos="218" w:val="left"/>
        </w:tabs>
        <w:numPr>
          <w:ilvl w:val="0"/>
          <w:numId w:val="41"/>
        </w:numPr>
        <w:rPr>
          <w:rFonts w:ascii="Calibri" w:cs="Calibri" w:eastAsia="Calibri" w:hAnsi="Calibri"/>
          <w:sz w:val="13"/>
          <w:szCs w:val="13"/>
          <w:color w:val="auto"/>
        </w:rPr>
      </w:pPr>
      <w:r>
        <w:rPr>
          <w:rFonts w:ascii="Calibri" w:cs="Calibri" w:eastAsia="Calibri" w:hAnsi="Calibri"/>
          <w:sz w:val="13"/>
          <w:szCs w:val="13"/>
          <w:u w:val="single" w:color="auto"/>
          <w:color w:val="auto"/>
        </w:rPr>
        <w:t>Treatment of Stock Opton Award upon Involuntary Terminaton; Resignaton; Retrement</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38" w:right="20" w:hanging="222"/>
        <w:spacing w:after="0" w:line="244" w:lineRule="auto"/>
        <w:tabs>
          <w:tab w:leader="none" w:pos="438" w:val="left"/>
        </w:tabs>
        <w:numPr>
          <w:ilvl w:val="1"/>
          <w:numId w:val="41"/>
        </w:numPr>
        <w:rPr>
          <w:rFonts w:ascii="Calibri" w:cs="Calibri" w:eastAsia="Calibri" w:hAnsi="Calibri"/>
          <w:sz w:val="13"/>
          <w:szCs w:val="13"/>
          <w:color w:val="auto"/>
        </w:rPr>
      </w:pPr>
      <w:r>
        <w:rPr>
          <w:rFonts w:ascii="Calibri" w:cs="Calibri" w:eastAsia="Calibri" w:hAnsi="Calibri"/>
          <w:sz w:val="13"/>
          <w:szCs w:val="13"/>
          <w:u w:val="single" w:color="auto"/>
          <w:color w:val="auto"/>
        </w:rPr>
        <w:t>Involuntary Terminaton of Employment Without Cause or Resignaton by Employee</w:t>
      </w:r>
      <w:r>
        <w:rPr>
          <w:rFonts w:ascii="Calibri" w:cs="Calibri" w:eastAsia="Calibri" w:hAnsi="Calibri"/>
          <w:sz w:val="13"/>
          <w:szCs w:val="13"/>
          <w:color w:val="auto"/>
        </w:rPr>
        <w:t>. Upon an involuntary Terminaton of Employment without Cause by WM or a Terminaton of Employment due to a voluntary resignaton by Employee that is accepted by WM that is not a Retrement, for a period of 90 days following such Terminaton of Employment, Employee shall be enttled to exercise all the Stock Optons then outstanding and exercisable under the Stock Opton Award. Any Stock Optons that are not outstanding and exercisable at the tme of the applicable terminaton shall be forfeited without the payment of any consideraton by WM, and any Stock Optons that were eligible to be exercised pursuant to this paragraph 3.a but were not exercised during the 90-day exercise period shall also be forfeited without the payment of any consideraton by WM.</w:t>
      </w:r>
    </w:p>
    <w:p>
      <w:pPr>
        <w:spacing w:after="0" w:line="327" w:lineRule="exact"/>
        <w:rPr>
          <w:rFonts w:ascii="Calibri" w:cs="Calibri" w:eastAsia="Calibri" w:hAnsi="Calibri"/>
          <w:sz w:val="13"/>
          <w:szCs w:val="13"/>
          <w:color w:val="auto"/>
        </w:rPr>
      </w:pPr>
    </w:p>
    <w:p>
      <w:pPr>
        <w:ind w:left="438" w:right="220" w:hanging="222"/>
        <w:spacing w:after="0" w:line="242" w:lineRule="auto"/>
        <w:tabs>
          <w:tab w:leader="none" w:pos="438" w:val="left"/>
        </w:tabs>
        <w:numPr>
          <w:ilvl w:val="1"/>
          <w:numId w:val="41"/>
        </w:numPr>
        <w:rPr>
          <w:rFonts w:ascii="Calibri" w:cs="Calibri" w:eastAsia="Calibri" w:hAnsi="Calibri"/>
          <w:sz w:val="13"/>
          <w:szCs w:val="13"/>
          <w:color w:val="auto"/>
        </w:rPr>
      </w:pPr>
      <w:r>
        <w:rPr>
          <w:rFonts w:ascii="Calibri" w:cs="Calibri" w:eastAsia="Calibri" w:hAnsi="Calibri"/>
          <w:sz w:val="13"/>
          <w:szCs w:val="13"/>
          <w:u w:val="single" w:color="auto"/>
          <w:color w:val="auto"/>
        </w:rPr>
        <w:t>Retrement</w:t>
      </w:r>
      <w:r>
        <w:rPr>
          <w:rFonts w:ascii="Calibri" w:cs="Calibri" w:eastAsia="Calibri" w:hAnsi="Calibri"/>
          <w:sz w:val="13"/>
          <w:szCs w:val="13"/>
          <w:color w:val="auto"/>
        </w:rPr>
        <w:t>. Upon Employee’s Retrement, the Stock Opton Award shall contnue to become exercisable under the applicable exercise schedule for three years following Employee’s Retrement and once exercisable shall remain exercisable for the three-year period following Employee’s Retrement.</w:t>
      </w:r>
    </w:p>
    <w:p>
      <w:pPr>
        <w:spacing w:after="0" w:line="164" w:lineRule="exact"/>
        <w:rPr>
          <w:sz w:val="20"/>
          <w:szCs w:val="20"/>
          <w:color w:val="auto"/>
        </w:rPr>
      </w:pPr>
    </w:p>
    <w:p>
      <w:pPr>
        <w:jc w:val="center"/>
        <w:ind w:right="-37"/>
        <w:spacing w:after="0"/>
        <w:rPr>
          <w:sz w:val="20"/>
          <w:szCs w:val="20"/>
          <w:color w:val="auto"/>
        </w:rPr>
      </w:pPr>
      <w:r>
        <w:rPr>
          <w:rFonts w:ascii="Calibri" w:cs="Calibri" w:eastAsia="Calibri" w:hAnsi="Calibri"/>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878"/>
          </w:cols>
          <w:pgMar w:left="982" w:top="582" w:right="1039" w:bottom="1440" w:gutter="0" w:footer="0" w:header="0"/>
        </w:sectPr>
      </w:pPr>
    </w:p>
    <w:bookmarkStart w:id="46" w:name="page47"/>
    <w:bookmarkEnd w:id="46"/>
    <w:p>
      <w:pPr>
        <w:ind w:left="218" w:hanging="218"/>
        <w:spacing w:after="0"/>
        <w:tabs>
          <w:tab w:leader="none" w:pos="218" w:val="left"/>
        </w:tabs>
        <w:numPr>
          <w:ilvl w:val="0"/>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190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556375" cy="4190365"/>
                    </a:xfrm>
                    <a:prstGeom prst="rect">
                      <a:avLst/>
                    </a:prstGeom>
                    <a:noFill/>
                  </pic:spPr>
                </pic:pic>
              </a:graphicData>
            </a:graphic>
          </wp:anchor>
        </w:drawing>
        <w:t>Terminaton of Employment for Other Reasons</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38" w:right="40" w:hanging="222"/>
        <w:spacing w:after="0" w:line="244" w:lineRule="auto"/>
        <w:tabs>
          <w:tab w:leader="none" w:pos="438" w:val="left"/>
        </w:tabs>
        <w:numPr>
          <w:ilvl w:val="1"/>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t>PSU and RSU Awards in the Event of Involuntary Terminaton with Cause or Resignaton by Employee</w:t>
      </w:r>
      <w:r>
        <w:rPr>
          <w:rFonts w:ascii="Calibri" w:cs="Calibri" w:eastAsia="Calibri" w:hAnsi="Calibri"/>
          <w:sz w:val="13"/>
          <w:szCs w:val="13"/>
          <w:color w:val="auto"/>
        </w:rPr>
        <w:t>. Except as provided in paragraphs 1 through 2 above and 6 below, Employee must be an employee of WM contnuously from the Grant Date through the close of business on last day of the Performance Period for PSUs or Restricton Period for RSUs to be enttled to receive payment of any PSU or unvested RSU Award. Upon Terminaton of Employment on or before the last day of the Performance Period for PSUs or Restricton Period for RSUs, Employee shall immediately forfeit the PSU Award or unvested RSU Award and any related Dividend Equivalents without payment of any consideraton by WM.</w:t>
      </w:r>
    </w:p>
    <w:p>
      <w:pPr>
        <w:spacing w:after="0" w:line="326" w:lineRule="exact"/>
        <w:rPr>
          <w:rFonts w:ascii="Calibri" w:cs="Calibri" w:eastAsia="Calibri" w:hAnsi="Calibri"/>
          <w:sz w:val="13"/>
          <w:szCs w:val="13"/>
          <w:color w:val="auto"/>
        </w:rPr>
      </w:pPr>
    </w:p>
    <w:p>
      <w:pPr>
        <w:ind w:left="438" w:right="40" w:hanging="222"/>
        <w:spacing w:after="0" w:line="242" w:lineRule="auto"/>
        <w:tabs>
          <w:tab w:leader="none" w:pos="438" w:val="left"/>
        </w:tabs>
        <w:numPr>
          <w:ilvl w:val="1"/>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t>Stock Opton Award in the Event of Involuntary Terminaton with Cause</w:t>
      </w:r>
      <w:r>
        <w:rPr>
          <w:rFonts w:ascii="Calibri" w:cs="Calibri" w:eastAsia="Calibri" w:hAnsi="Calibri"/>
          <w:sz w:val="13"/>
          <w:szCs w:val="13"/>
          <w:color w:val="auto"/>
        </w:rPr>
        <w:t>. Upon Terminaton of Employment by WM with Cause, Employee shall forfeit all Stock Optons under the Stock Opton Award, whether exercisable, without the payment of any consideraton by WM.</w:t>
      </w:r>
    </w:p>
    <w:p>
      <w:pPr>
        <w:spacing w:after="0" w:line="164" w:lineRule="exact"/>
        <w:rPr>
          <w:rFonts w:ascii="Calibri" w:cs="Calibri" w:eastAsia="Calibri" w:hAnsi="Calibri"/>
          <w:sz w:val="13"/>
          <w:szCs w:val="13"/>
          <w:color w:val="auto"/>
        </w:rPr>
      </w:pPr>
    </w:p>
    <w:p>
      <w:pPr>
        <w:ind w:left="218" w:hanging="218"/>
        <w:spacing w:after="0"/>
        <w:tabs>
          <w:tab w:leader="none" w:pos="218" w:val="left"/>
        </w:tabs>
        <w:numPr>
          <w:ilvl w:val="0"/>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t>Recoupment Provisions</w:t>
      </w:r>
    </w:p>
    <w:p>
      <w:pPr>
        <w:spacing w:after="0" w:line="165" w:lineRule="exact"/>
        <w:rPr>
          <w:rFonts w:ascii="Calibri" w:cs="Calibri" w:eastAsia="Calibri" w:hAnsi="Calibri"/>
          <w:sz w:val="13"/>
          <w:szCs w:val="13"/>
          <w:color w:val="auto"/>
        </w:rPr>
      </w:pPr>
    </w:p>
    <w:p>
      <w:pPr>
        <w:ind w:left="478" w:hanging="208"/>
        <w:spacing w:after="0"/>
        <w:tabs>
          <w:tab w:leader="none" w:pos="478" w:val="left"/>
        </w:tabs>
        <w:numPr>
          <w:ilvl w:val="2"/>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t>Clawback Policy</w:t>
      </w:r>
    </w:p>
    <w:p>
      <w:pPr>
        <w:spacing w:after="0" w:line="167" w:lineRule="exact"/>
        <w:rPr>
          <w:rFonts w:ascii="Calibri" w:cs="Calibri" w:eastAsia="Calibri" w:hAnsi="Calibri"/>
          <w:sz w:val="13"/>
          <w:szCs w:val="13"/>
          <w:color w:val="auto"/>
        </w:rPr>
      </w:pPr>
    </w:p>
    <w:p>
      <w:pPr>
        <w:ind w:left="858" w:hanging="275"/>
        <w:spacing w:after="0" w:line="244" w:lineRule="auto"/>
        <w:tabs>
          <w:tab w:leader="none" w:pos="858" w:val="left"/>
        </w:tabs>
        <w:numPr>
          <w:ilvl w:val="3"/>
          <w:numId w:val="42"/>
        </w:numPr>
        <w:rPr>
          <w:rFonts w:ascii="Calibri" w:cs="Calibri" w:eastAsia="Calibri" w:hAnsi="Calibri"/>
          <w:sz w:val="13"/>
          <w:szCs w:val="13"/>
          <w:color w:val="auto"/>
        </w:rPr>
      </w:pPr>
      <w:r>
        <w:rPr>
          <w:rFonts w:ascii="Calibri" w:cs="Calibri" w:eastAsia="Calibri" w:hAnsi="Calibri"/>
          <w:sz w:val="13"/>
          <w:szCs w:val="13"/>
          <w:color w:val="auto"/>
        </w:rPr>
        <w:t>Notwithstanding any provisions in the Plan or this Agreement to the contrary, any porton of the payments and benefts provided under this Agreement or the sale of any shares of Common Stock issued hereunder shall be subject to the Waste Management, Inc. Clawback Policy, adopted by the Commitee of the Board on August 21, 2023, (as may be amended from tme to tme, the “</w:t>
      </w:r>
      <w:r>
        <w:rPr>
          <w:rFonts w:ascii="Calibri" w:cs="Calibri" w:eastAsia="Calibri" w:hAnsi="Calibri"/>
          <w:sz w:val="13"/>
          <w:szCs w:val="13"/>
          <w:b w:val="1"/>
          <w:bCs w:val="1"/>
          <w:i w:val="1"/>
          <w:iCs w:val="1"/>
          <w:color w:val="auto"/>
        </w:rPr>
        <w:t>Clawback Policy</w:t>
      </w:r>
      <w:r>
        <w:rPr>
          <w:rFonts w:ascii="Calibri" w:cs="Calibri" w:eastAsia="Calibri" w:hAnsi="Calibri"/>
          <w:sz w:val="13"/>
          <w:szCs w:val="13"/>
          <w:color w:val="auto"/>
        </w:rPr>
        <w:t>”) and any other clawback or recovery policy adopted by the Commitee or the Board from tme to tme, including, without limitaton, any such policy adopted in accordance with the requirements of the Dodd-Frank Wall Street Reform and Consumer Protecton Act of 2010 or any rule or regulaton of the SEC or New York Stock Exchange. Additonally, notwithstanding the terms of any of the organizatonal documents of WM, any corporate policy, or any contract between Employee and WM, Employee hereby acknowledges and agrees that Employee will not be enttled to (i) indemnifcaton for any liability (including any amounts owed by Employee in a judgment or setlement in connecton with any acton taken by the Commitee or the Board to enforce the Clawback Policy) (such acton, a “</w:t>
      </w:r>
      <w:r>
        <w:rPr>
          <w:rFonts w:ascii="Calibri" w:cs="Calibri" w:eastAsia="Calibri" w:hAnsi="Calibri"/>
          <w:sz w:val="13"/>
          <w:szCs w:val="13"/>
          <w:b w:val="1"/>
          <w:bCs w:val="1"/>
          <w:i w:val="1"/>
          <w:iCs w:val="1"/>
          <w:color w:val="auto"/>
        </w:rPr>
        <w:t>Clawback Proceeding</w:t>
      </w:r>
      <w:r>
        <w:rPr>
          <w:rFonts w:ascii="Calibri" w:cs="Calibri" w:eastAsia="Calibri" w:hAnsi="Calibri"/>
          <w:sz w:val="13"/>
          <w:szCs w:val="13"/>
          <w:color w:val="auto"/>
        </w:rPr>
        <w:t>”) or loss (including judgments, fnes, taxes, penaltes or amounts paid in setlement by or on behalf of Employee incurred by Employee in connecton with or as a result of any Clawback Proceeding) or (ii) indemnifcaton or advancement of any expenses (including atorneys’ fees) from WM incurred by Employee in connecton any Clawback Proceeding; provided, however, if Employee is successful on the merits in the defense of any claim asserted against Employee in a Clawback Proceeding, Employee shall be indemnifed for the expenses (including atorneys' fees) Employee reasonably incurred to defend such claim. Employee knowingly, voluntarily and intentonally waives, and agrees not to asset any claims regarding, any and all rights to indemnifcaton, advancement of expenses and other rights from WM to which Employee is now or may become enttled under any indemnity agreement or other contract between Employee and WM, the organizatonal documents of WM and the General Corporaton Law of the State of Delaware, in each case to the extent such waiver and agreement is necessary to comply with applicable law or give efect to the preceding provisions of this paragraph.</w:t>
      </w:r>
    </w:p>
    <w:p>
      <w:pPr>
        <w:spacing w:after="0" w:line="170" w:lineRule="exact"/>
        <w:rPr>
          <w:rFonts w:ascii="Calibri" w:cs="Calibri" w:eastAsia="Calibri" w:hAnsi="Calibri"/>
          <w:sz w:val="13"/>
          <w:szCs w:val="13"/>
          <w:color w:val="auto"/>
        </w:rPr>
      </w:pPr>
    </w:p>
    <w:p>
      <w:pPr>
        <w:ind w:left="478" w:hanging="208"/>
        <w:spacing w:after="0"/>
        <w:tabs>
          <w:tab w:leader="none" w:pos="478" w:val="left"/>
        </w:tabs>
        <w:numPr>
          <w:ilvl w:val="2"/>
          <w:numId w:val="42"/>
        </w:numPr>
        <w:rPr>
          <w:rFonts w:ascii="Calibri" w:cs="Calibri" w:eastAsia="Calibri" w:hAnsi="Calibri"/>
          <w:sz w:val="13"/>
          <w:szCs w:val="13"/>
          <w:color w:val="auto"/>
        </w:rPr>
      </w:pPr>
      <w:r>
        <w:rPr>
          <w:rFonts w:ascii="Calibri" w:cs="Calibri" w:eastAsia="Calibri" w:hAnsi="Calibri"/>
          <w:sz w:val="13"/>
          <w:szCs w:val="13"/>
          <w:u w:val="single" w:color="auto"/>
          <w:color w:val="auto"/>
        </w:rPr>
        <w:t>Repayment of Award in the Event of Misconduct</w:t>
      </w:r>
      <w:r>
        <w:rPr>
          <w:rFonts w:ascii="Calibri" w:cs="Calibri" w:eastAsia="Calibri" w:hAnsi="Calibri"/>
          <w:sz w:val="13"/>
          <w:szCs w:val="13"/>
          <w:color w:val="auto"/>
        </w:rPr>
        <w:t>.</w:t>
      </w:r>
    </w:p>
    <w:p>
      <w:pPr>
        <w:spacing w:after="0" w:line="165" w:lineRule="exact"/>
        <w:rPr>
          <w:rFonts w:ascii="Calibri" w:cs="Calibri" w:eastAsia="Calibri" w:hAnsi="Calibri"/>
          <w:sz w:val="13"/>
          <w:szCs w:val="13"/>
          <w:color w:val="auto"/>
        </w:rPr>
      </w:pPr>
    </w:p>
    <w:p>
      <w:pPr>
        <w:ind w:left="858" w:hanging="275"/>
        <w:spacing w:after="0"/>
        <w:tabs>
          <w:tab w:leader="none" w:pos="858" w:val="left"/>
        </w:tabs>
        <w:numPr>
          <w:ilvl w:val="3"/>
          <w:numId w:val="42"/>
        </w:numPr>
        <w:rPr>
          <w:rFonts w:ascii="Calibri" w:cs="Calibri" w:eastAsia="Calibri" w:hAnsi="Calibri"/>
          <w:sz w:val="13"/>
          <w:szCs w:val="13"/>
          <w:color w:val="auto"/>
        </w:rPr>
      </w:pPr>
      <w:r>
        <w:rPr>
          <w:rFonts w:ascii="Calibri" w:cs="Calibri" w:eastAsia="Calibri" w:hAnsi="Calibri"/>
          <w:sz w:val="13"/>
          <w:szCs w:val="13"/>
          <w:color w:val="auto"/>
        </w:rPr>
        <w:t>Overriding any other inconsistent terms of this Agreement, if the Commitee, in its sole discreton, determines that Employee either engaged in or benefted from</w:t>
      </w:r>
    </w:p>
    <w:p>
      <w:pPr>
        <w:spacing w:after="0" w:line="5" w:lineRule="exact"/>
        <w:rPr>
          <w:sz w:val="20"/>
          <w:szCs w:val="20"/>
          <w:color w:val="auto"/>
        </w:rPr>
      </w:pPr>
    </w:p>
    <w:p>
      <w:pPr>
        <w:ind w:left="858" w:right="40"/>
        <w:spacing w:after="0" w:line="243" w:lineRule="auto"/>
        <w:rPr>
          <w:sz w:val="20"/>
          <w:szCs w:val="20"/>
          <w:color w:val="auto"/>
        </w:rPr>
      </w:pPr>
      <w:r>
        <w:rPr>
          <w:rFonts w:ascii="Calibri" w:cs="Calibri" w:eastAsia="Calibri" w:hAnsi="Calibri"/>
          <w:sz w:val="13"/>
          <w:szCs w:val="13"/>
          <w:color w:val="auto"/>
        </w:rPr>
        <w:t xml:space="preserve">Misconduct (as defned below), then, to the fullest extent permited by law, Employee shall refund and pay to WM any Common Stock and/or amounts (including Dividend Equivalents), plus interest, received by Employee under this Agreement. </w:t>
      </w:r>
      <w:r>
        <w:rPr>
          <w:rFonts w:ascii="Calibri" w:cs="Calibri" w:eastAsia="Calibri" w:hAnsi="Calibri"/>
          <w:sz w:val="13"/>
          <w:szCs w:val="13"/>
          <w:b w:val="1"/>
          <w:bCs w:val="1"/>
          <w:i w:val="1"/>
          <w:iCs w:val="1"/>
          <w:color w:val="auto"/>
        </w:rPr>
        <w:t>Misconduct</w:t>
      </w:r>
      <w:r>
        <w:rPr>
          <w:rFonts w:ascii="Calibri" w:cs="Calibri" w:eastAsia="Calibri" w:hAnsi="Calibri"/>
          <w:sz w:val="13"/>
          <w:szCs w:val="13"/>
          <w:color w:val="auto"/>
        </w:rPr>
        <w:t xml:space="preserve"> means any act or failure to act by any employee of WM that (i) caused or was intended to cause a violaton of WM’s policies or the WM code of conduct, generally accepted accountng principles</w:t>
      </w:r>
    </w:p>
    <w:p>
      <w:pPr>
        <w:spacing w:after="0" w:line="2" w:lineRule="exact"/>
        <w:rPr>
          <w:sz w:val="20"/>
          <w:szCs w:val="20"/>
          <w:color w:val="auto"/>
        </w:rPr>
      </w:pPr>
    </w:p>
    <w:p>
      <w:pPr>
        <w:jc w:val="center"/>
        <w:ind w:right="-17"/>
        <w:spacing w:after="0"/>
        <w:rPr>
          <w:sz w:val="20"/>
          <w:szCs w:val="20"/>
          <w:color w:val="auto"/>
        </w:rPr>
      </w:pPr>
      <w:r>
        <w:rPr>
          <w:rFonts w:ascii="Calibri" w:cs="Calibri" w:eastAsia="Calibri" w:hAnsi="Calibri"/>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18"/>
          </w:cols>
          <w:pgMar w:left="982" w:top="742" w:right="999" w:bottom="1440" w:gutter="0" w:footer="0" w:header="0"/>
        </w:sectPr>
      </w:pPr>
    </w:p>
    <w:bookmarkStart w:id="47" w:name="page48"/>
    <w:bookmarkEnd w:id="47"/>
    <w:p>
      <w:pPr>
        <w:ind w:left="858" w:right="140"/>
        <w:spacing w:after="0" w:line="243"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190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556375" cy="4190365"/>
                    </a:xfrm>
                    <a:prstGeom prst="rect">
                      <a:avLst/>
                    </a:prstGeom>
                    <a:noFill/>
                  </pic:spPr>
                </pic:pic>
              </a:graphicData>
            </a:graphic>
          </wp:anchor>
        </w:drawing>
        <w:t xml:space="preserve">or any applicable laws in efect at the tme of the act or failure to act in queston and that (ii) materially increased the value of the payment or Award received by Employee under this Agreement. The Commitee may, in its sole discreton, delegate the determinaton of Misconduct to an independent third party (either a law frm or an accountng frm, hereinafer referred to as </w:t>
      </w:r>
      <w:r>
        <w:rPr>
          <w:rFonts w:ascii="Calibri" w:cs="Calibri" w:eastAsia="Calibri" w:hAnsi="Calibri"/>
          <w:sz w:val="13"/>
          <w:szCs w:val="13"/>
          <w:b w:val="1"/>
          <w:bCs w:val="1"/>
          <w:i w:val="1"/>
          <w:iCs w:val="1"/>
          <w:color w:val="auto"/>
        </w:rPr>
        <w:t>Independent Third Party</w:t>
      </w:r>
      <w:r>
        <w:rPr>
          <w:rFonts w:ascii="Calibri" w:cs="Calibri" w:eastAsia="Calibri" w:hAnsi="Calibri"/>
          <w:sz w:val="13"/>
          <w:szCs w:val="13"/>
          <w:color w:val="auto"/>
        </w:rPr>
        <w:t>) appointed by the Commitee.</w:t>
      </w:r>
    </w:p>
    <w:p>
      <w:pPr>
        <w:spacing w:after="0" w:line="166" w:lineRule="exact"/>
        <w:rPr>
          <w:sz w:val="20"/>
          <w:szCs w:val="20"/>
          <w:color w:val="auto"/>
        </w:rPr>
      </w:pPr>
    </w:p>
    <w:p>
      <w:pPr>
        <w:ind w:left="858" w:hanging="305"/>
        <w:spacing w:after="0" w:line="243" w:lineRule="auto"/>
        <w:tabs>
          <w:tab w:leader="none" w:pos="858" w:val="left"/>
        </w:tabs>
        <w:numPr>
          <w:ilvl w:val="2"/>
          <w:numId w:val="43"/>
        </w:numPr>
        <w:rPr>
          <w:rFonts w:ascii="Calibri" w:cs="Calibri" w:eastAsia="Calibri" w:hAnsi="Calibri"/>
          <w:sz w:val="13"/>
          <w:szCs w:val="13"/>
          <w:color w:val="auto"/>
        </w:rPr>
      </w:pPr>
      <w:r>
        <w:rPr>
          <w:rFonts w:ascii="Calibri" w:cs="Calibri" w:eastAsia="Calibri" w:hAnsi="Calibri"/>
          <w:sz w:val="13"/>
          <w:szCs w:val="13"/>
          <w:color w:val="auto"/>
        </w:rPr>
        <w:t>Following a determinaton of Misconduct by Employee, Employee may dispute such determinaton pursuant to binding arbitraton as set forth below under “General Terms” provided, however, that if Employee is determined to have benefted from, but not engaged in, Misconduct, Employee will have no right to dispute such determinaton and such determinaton shall be conclusive and binding.</w:t>
      </w:r>
    </w:p>
    <w:p>
      <w:pPr>
        <w:spacing w:after="0" w:line="165" w:lineRule="exact"/>
        <w:rPr>
          <w:rFonts w:ascii="Calibri" w:cs="Calibri" w:eastAsia="Calibri" w:hAnsi="Calibri"/>
          <w:sz w:val="13"/>
          <w:szCs w:val="13"/>
          <w:color w:val="auto"/>
        </w:rPr>
      </w:pPr>
    </w:p>
    <w:p>
      <w:pPr>
        <w:ind w:left="858" w:right="560" w:hanging="337"/>
        <w:spacing w:after="0" w:line="242" w:lineRule="auto"/>
        <w:tabs>
          <w:tab w:leader="none" w:pos="858" w:val="left"/>
        </w:tabs>
        <w:numPr>
          <w:ilvl w:val="2"/>
          <w:numId w:val="43"/>
        </w:numPr>
        <w:rPr>
          <w:rFonts w:ascii="Calibri" w:cs="Calibri" w:eastAsia="Calibri" w:hAnsi="Calibri"/>
          <w:sz w:val="13"/>
          <w:szCs w:val="13"/>
          <w:color w:val="auto"/>
        </w:rPr>
      </w:pPr>
      <w:r>
        <w:rPr>
          <w:rFonts w:ascii="Calibri" w:cs="Calibri" w:eastAsia="Calibri" w:hAnsi="Calibri"/>
          <w:sz w:val="13"/>
          <w:szCs w:val="13"/>
          <w:color w:val="auto"/>
        </w:rPr>
        <w:t>WM must initate recovery pursuant to this paragraph by the earliest of (i) one year afer discovery of alleged Misconduct, or (ii) the second anniversary of Employee’s Terminaton of Employment.</w:t>
      </w:r>
    </w:p>
    <w:p>
      <w:pPr>
        <w:spacing w:after="0" w:line="165" w:lineRule="exact"/>
        <w:rPr>
          <w:rFonts w:ascii="Calibri" w:cs="Calibri" w:eastAsia="Calibri" w:hAnsi="Calibri"/>
          <w:sz w:val="13"/>
          <w:szCs w:val="13"/>
          <w:color w:val="auto"/>
        </w:rPr>
      </w:pPr>
    </w:p>
    <w:p>
      <w:pPr>
        <w:ind w:left="858" w:right="100" w:hanging="325"/>
        <w:spacing w:after="0" w:line="242" w:lineRule="auto"/>
        <w:tabs>
          <w:tab w:leader="none" w:pos="858" w:val="left"/>
        </w:tabs>
        <w:numPr>
          <w:ilvl w:val="2"/>
          <w:numId w:val="43"/>
        </w:numPr>
        <w:rPr>
          <w:rFonts w:ascii="Calibri" w:cs="Calibri" w:eastAsia="Calibri" w:hAnsi="Calibri"/>
          <w:sz w:val="13"/>
          <w:szCs w:val="13"/>
          <w:color w:val="auto"/>
        </w:rPr>
      </w:pPr>
      <w:r>
        <w:rPr>
          <w:rFonts w:ascii="Calibri" w:cs="Calibri" w:eastAsia="Calibri" w:hAnsi="Calibri"/>
          <w:sz w:val="13"/>
          <w:szCs w:val="13"/>
          <w:color w:val="auto"/>
        </w:rPr>
        <w:t>The provisions of this paragraph, without any implicaton as to any other provision of this Agreement, shall survive the expiraton or terminaton of this Agreement and Employee’s employment.</w:t>
      </w:r>
    </w:p>
    <w:p>
      <w:pPr>
        <w:spacing w:after="0" w:line="164" w:lineRule="exact"/>
        <w:rPr>
          <w:rFonts w:ascii="Calibri" w:cs="Calibri" w:eastAsia="Calibri" w:hAnsi="Calibri"/>
          <w:sz w:val="13"/>
          <w:szCs w:val="13"/>
          <w:color w:val="auto"/>
        </w:rPr>
      </w:pPr>
    </w:p>
    <w:p>
      <w:pPr>
        <w:ind w:left="218" w:hanging="218"/>
        <w:spacing w:after="0"/>
        <w:tabs>
          <w:tab w:leader="none" w:pos="218" w:val="left"/>
        </w:tabs>
        <w:numPr>
          <w:ilvl w:val="0"/>
          <w:numId w:val="44"/>
        </w:numPr>
        <w:rPr>
          <w:rFonts w:ascii="Calibri" w:cs="Calibri" w:eastAsia="Calibri" w:hAnsi="Calibri"/>
          <w:sz w:val="13"/>
          <w:szCs w:val="13"/>
          <w:color w:val="auto"/>
        </w:rPr>
      </w:pPr>
      <w:r>
        <w:rPr>
          <w:rFonts w:ascii="Calibri" w:cs="Calibri" w:eastAsia="Calibri" w:hAnsi="Calibri"/>
          <w:sz w:val="13"/>
          <w:szCs w:val="13"/>
          <w:u w:val="single" w:color="auto"/>
          <w:color w:val="auto"/>
        </w:rPr>
        <w:t>Acceleraton upon Corporate Change</w:t>
      </w:r>
      <w:r>
        <w:rPr>
          <w:rFonts w:ascii="Calibri" w:cs="Calibri" w:eastAsia="Calibri" w:hAnsi="Calibri"/>
          <w:sz w:val="13"/>
          <w:szCs w:val="13"/>
          <w:color w:val="auto"/>
        </w:rPr>
        <w:t>. Overriding any other inconsistent terms of this Agreement:</w:t>
      </w:r>
    </w:p>
    <w:p>
      <w:pPr>
        <w:spacing w:after="0" w:line="165" w:lineRule="exact"/>
        <w:rPr>
          <w:rFonts w:ascii="Calibri" w:cs="Calibri" w:eastAsia="Calibri" w:hAnsi="Calibri"/>
          <w:sz w:val="13"/>
          <w:szCs w:val="13"/>
          <w:color w:val="auto"/>
        </w:rPr>
      </w:pPr>
    </w:p>
    <w:p>
      <w:pPr>
        <w:ind w:left="218"/>
        <w:spacing w:after="0"/>
        <w:rPr>
          <w:rFonts w:ascii="Calibri" w:cs="Calibri" w:eastAsia="Calibri" w:hAnsi="Calibri"/>
          <w:sz w:val="13"/>
          <w:szCs w:val="13"/>
          <w:color w:val="auto"/>
        </w:rPr>
      </w:pPr>
      <w:r>
        <w:rPr>
          <w:rFonts w:ascii="Calibri" w:cs="Calibri" w:eastAsia="Calibri" w:hAnsi="Calibri"/>
          <w:sz w:val="13"/>
          <w:szCs w:val="13"/>
          <w:color w:val="auto"/>
        </w:rPr>
        <w:t xml:space="preserve">a.  </w:t>
      </w:r>
      <w:r>
        <w:rPr>
          <w:rFonts w:ascii="Calibri" w:cs="Calibri" w:eastAsia="Calibri" w:hAnsi="Calibri"/>
          <w:sz w:val="13"/>
          <w:szCs w:val="13"/>
          <w:u w:val="single" w:color="auto"/>
          <w:color w:val="auto"/>
        </w:rPr>
        <w:t>PSU Award</w:t>
      </w:r>
      <w:r>
        <w:rPr>
          <w:rFonts w:ascii="Calibri" w:cs="Calibri" w:eastAsia="Calibri" w:hAnsi="Calibri"/>
          <w:sz w:val="13"/>
          <w:szCs w:val="13"/>
          <w:color w:val="auto"/>
        </w:rPr>
        <w:t>. If there is a Corporate Change before the close of the Performance Period, Employee is enttled to receive both i. and ii., as follows:</w:t>
      </w:r>
    </w:p>
    <w:p>
      <w:pPr>
        <w:spacing w:after="0" w:line="165" w:lineRule="exact"/>
        <w:rPr>
          <w:rFonts w:ascii="Calibri" w:cs="Calibri" w:eastAsia="Calibri" w:hAnsi="Calibri"/>
          <w:sz w:val="13"/>
          <w:szCs w:val="13"/>
          <w:color w:val="auto"/>
        </w:rPr>
      </w:pPr>
    </w:p>
    <w:p>
      <w:pPr>
        <w:ind w:left="858" w:hanging="275"/>
        <w:spacing w:after="0"/>
        <w:tabs>
          <w:tab w:leader="none" w:pos="858" w:val="left"/>
        </w:tabs>
        <w:numPr>
          <w:ilvl w:val="2"/>
          <w:numId w:val="44"/>
        </w:numPr>
        <w:rPr>
          <w:rFonts w:ascii="Calibri" w:cs="Calibri" w:eastAsia="Calibri" w:hAnsi="Calibri"/>
          <w:sz w:val="13"/>
          <w:szCs w:val="13"/>
          <w:color w:val="auto"/>
        </w:rPr>
      </w:pPr>
      <w:r>
        <w:rPr>
          <w:rFonts w:ascii="Calibri" w:cs="Calibri" w:eastAsia="Calibri" w:hAnsi="Calibri"/>
          <w:sz w:val="13"/>
          <w:szCs w:val="13"/>
          <w:color w:val="auto"/>
        </w:rPr>
        <w:t>For each half of the PSU Award, the result of an equaton with a numerator of</w:t>
      </w:r>
    </w:p>
    <w:p>
      <w:pPr>
        <w:spacing w:after="0" w:line="167" w:lineRule="exact"/>
        <w:rPr>
          <w:rFonts w:ascii="Calibri" w:cs="Calibri" w:eastAsia="Calibri" w:hAnsi="Calibri"/>
          <w:sz w:val="13"/>
          <w:szCs w:val="13"/>
          <w:color w:val="auto"/>
        </w:rPr>
      </w:pPr>
    </w:p>
    <w:p>
      <w:pPr>
        <w:ind w:left="1298" w:right="140" w:hanging="434"/>
        <w:spacing w:after="0" w:line="244" w:lineRule="auto"/>
        <w:tabs>
          <w:tab w:leader="none" w:pos="1298" w:val="left"/>
        </w:tabs>
        <w:numPr>
          <w:ilvl w:val="3"/>
          <w:numId w:val="44"/>
        </w:numPr>
        <w:rPr>
          <w:rFonts w:ascii="Calibri" w:cs="Calibri" w:eastAsia="Calibri" w:hAnsi="Calibri"/>
          <w:sz w:val="13"/>
          <w:szCs w:val="13"/>
          <w:color w:val="auto"/>
        </w:rPr>
      </w:pPr>
      <w:r>
        <w:rPr>
          <w:rFonts w:ascii="Calibri" w:cs="Calibri" w:eastAsia="Calibri" w:hAnsi="Calibri"/>
          <w:sz w:val="13"/>
          <w:szCs w:val="13"/>
          <w:color w:val="auto"/>
        </w:rPr>
        <w:t>the respectve number of PSUs Employee would have otherwise received based upon achievement of the applicable Performance Goal afer reducing the Performance Period so that it ends on the last day of the quarter preceding the Corporate Change (the “</w:t>
      </w:r>
      <w:r>
        <w:rPr>
          <w:rFonts w:ascii="Calibri" w:cs="Calibri" w:eastAsia="Calibri" w:hAnsi="Calibri"/>
          <w:sz w:val="13"/>
          <w:szCs w:val="13"/>
          <w:b w:val="1"/>
          <w:bCs w:val="1"/>
          <w:i w:val="1"/>
          <w:iCs w:val="1"/>
          <w:color w:val="auto"/>
        </w:rPr>
        <w:t>Early Measurement Date</w:t>
      </w:r>
      <w:r>
        <w:rPr>
          <w:rFonts w:ascii="Calibri" w:cs="Calibri" w:eastAsia="Calibri" w:hAnsi="Calibri"/>
          <w:sz w:val="13"/>
          <w:szCs w:val="13"/>
          <w:color w:val="auto"/>
        </w:rPr>
        <w:t>”) and, for the Cash Flow Generaton half of the PSU Award, afer adjustng the Threshold, Target and Maximum Achievement Levels to refect budgeted performance in the shorter Performance Period, multplied by</w:t>
      </w:r>
    </w:p>
    <w:p>
      <w:pPr>
        <w:spacing w:after="0" w:line="2" w:lineRule="exact"/>
        <w:rPr>
          <w:rFonts w:ascii="Calibri" w:cs="Calibri" w:eastAsia="Calibri" w:hAnsi="Calibri"/>
          <w:sz w:val="13"/>
          <w:szCs w:val="13"/>
          <w:color w:val="auto"/>
        </w:rPr>
      </w:pPr>
    </w:p>
    <w:p>
      <w:pPr>
        <w:ind w:left="1298" w:right="40" w:hanging="434"/>
        <w:spacing w:after="0" w:line="242" w:lineRule="auto"/>
        <w:tabs>
          <w:tab w:leader="none" w:pos="1298" w:val="left"/>
        </w:tabs>
        <w:numPr>
          <w:ilvl w:val="3"/>
          <w:numId w:val="44"/>
        </w:numPr>
        <w:rPr>
          <w:rFonts w:ascii="Calibri" w:cs="Calibri" w:eastAsia="Calibri" w:hAnsi="Calibri"/>
          <w:sz w:val="13"/>
          <w:szCs w:val="13"/>
          <w:color w:val="auto"/>
        </w:rPr>
      </w:pPr>
      <w:r>
        <w:rPr>
          <w:rFonts w:ascii="Calibri" w:cs="Calibri" w:eastAsia="Calibri" w:hAnsi="Calibri"/>
          <w:sz w:val="13"/>
          <w:szCs w:val="13"/>
          <w:color w:val="auto"/>
        </w:rPr>
        <w:t>a fracton equal to (1) the number of days occurring between the beginning of the Performance Period and the Early Measurement Date (including the Early Measurement Date) divided by (2) 1096.</w:t>
      </w:r>
    </w:p>
    <w:p>
      <w:pPr>
        <w:spacing w:after="0" w:line="166" w:lineRule="exact"/>
        <w:rPr>
          <w:sz w:val="20"/>
          <w:szCs w:val="20"/>
          <w:color w:val="auto"/>
        </w:rPr>
      </w:pPr>
    </w:p>
    <w:p>
      <w:pPr>
        <w:ind w:left="858" w:right="60"/>
        <w:spacing w:after="0" w:line="243" w:lineRule="auto"/>
        <w:rPr>
          <w:sz w:val="20"/>
          <w:szCs w:val="20"/>
          <w:color w:val="auto"/>
        </w:rPr>
      </w:pPr>
      <w:r>
        <w:rPr>
          <w:rFonts w:ascii="Calibri" w:cs="Calibri" w:eastAsia="Calibri" w:hAnsi="Calibri"/>
          <w:sz w:val="13"/>
          <w:szCs w:val="13"/>
          <w:color w:val="auto"/>
        </w:rPr>
        <w:t>Payout of the PSUs shall be an immediate cash payment (in all events paid within 74 days following the Corporate Change) equal to the number of PSUs earned under this paragraph 6.a. multplied by the closing stock price of the Common Stock on the Early Measurement Date and will be accompanied by a cash payment of the associated Dividend Equivalents through the Early Measurement Date; and</w:t>
      </w:r>
    </w:p>
    <w:p>
      <w:pPr>
        <w:spacing w:after="0" w:line="164" w:lineRule="exact"/>
        <w:rPr>
          <w:sz w:val="20"/>
          <w:szCs w:val="20"/>
          <w:color w:val="auto"/>
        </w:rPr>
      </w:pPr>
    </w:p>
    <w:p>
      <w:pPr>
        <w:ind w:left="858" w:hanging="305"/>
        <w:spacing w:after="0"/>
        <w:tabs>
          <w:tab w:leader="none" w:pos="858"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As a substtute award for the lost opportunity to contnue to earn PSUs for the entre length of the original Performance Period:</w:t>
      </w:r>
    </w:p>
    <w:p>
      <w:pPr>
        <w:spacing w:after="0" w:line="167" w:lineRule="exact"/>
        <w:rPr>
          <w:rFonts w:ascii="Calibri" w:cs="Calibri" w:eastAsia="Calibri" w:hAnsi="Calibri"/>
          <w:sz w:val="13"/>
          <w:szCs w:val="13"/>
          <w:color w:val="auto"/>
        </w:rPr>
      </w:pPr>
    </w:p>
    <w:p>
      <w:pPr>
        <w:ind w:left="1078" w:hanging="214"/>
        <w:spacing w:after="0" w:line="243" w:lineRule="auto"/>
        <w:tabs>
          <w:tab w:leader="none" w:pos="1078" w:val="left"/>
        </w:tabs>
        <w:numPr>
          <w:ilvl w:val="1"/>
          <w:numId w:val="45"/>
        </w:numPr>
        <w:rPr>
          <w:rFonts w:ascii="Calibri" w:cs="Calibri" w:eastAsia="Calibri" w:hAnsi="Calibri"/>
          <w:sz w:val="13"/>
          <w:szCs w:val="13"/>
          <w:color w:val="auto"/>
        </w:rPr>
      </w:pPr>
      <w:r>
        <w:rPr>
          <w:rFonts w:ascii="Calibri" w:cs="Calibri" w:eastAsia="Calibri" w:hAnsi="Calibri"/>
          <w:sz w:val="13"/>
          <w:szCs w:val="13"/>
          <w:color w:val="auto"/>
        </w:rPr>
        <w:t>If the successor entty is a publicly traded company as of the Early Measurement Date, an award of restricted stock units in the successor entty equal to the number of shares of common stock of the successor entty that could have been purchased on the Early Measurement Date with an amount of cash equal to the quotent obtained from the following equaton:</w:t>
      </w:r>
    </w:p>
    <w:p>
      <w:pPr>
        <w:spacing w:after="0" w:line="326" w:lineRule="exact"/>
        <w:rPr>
          <w:sz w:val="20"/>
          <w:szCs w:val="20"/>
          <w:color w:val="auto"/>
        </w:rPr>
      </w:pPr>
    </w:p>
    <w:p>
      <w:pPr>
        <w:jc w:val="center"/>
        <w:ind w:right="-57"/>
        <w:spacing w:after="0"/>
        <w:rPr>
          <w:sz w:val="20"/>
          <w:szCs w:val="20"/>
          <w:color w:val="auto"/>
        </w:rPr>
      </w:pPr>
      <w:r>
        <w:rPr>
          <w:rFonts w:ascii="Calibri" w:cs="Calibri" w:eastAsia="Calibri" w:hAnsi="Calibri"/>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858"/>
          </w:cols>
          <w:pgMar w:left="982" w:top="582" w:right="1059" w:bottom="1440" w:gutter="0" w:footer="0" w:header="0"/>
        </w:sectPr>
      </w:pPr>
    </w:p>
    <w:bookmarkStart w:id="48" w:name="page49"/>
    <w:bookmarkEnd w:id="48"/>
    <w:p>
      <w:pPr>
        <w:jc w:val="center"/>
        <w:ind w:right="-661"/>
        <w:spacing w:after="0"/>
        <w:rPr>
          <w:sz w:val="20"/>
          <w:szCs w:val="20"/>
          <w:color w:val="auto"/>
        </w:rPr>
      </w:pPr>
      <w:r>
        <w:rPr>
          <w:rFonts w:ascii="Calibri" w:cs="Calibri" w:eastAsia="Calibri" w:hAnsi="Calibri"/>
          <w:sz w:val="13"/>
          <w:szCs w:val="13"/>
          <w:b w:val="1"/>
          <w:bCs w:val="1"/>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087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556375" cy="4087495"/>
                    </a:xfrm>
                    <a:prstGeom prst="rect">
                      <a:avLst/>
                    </a:prstGeom>
                    <a:noFill/>
                  </pic:spPr>
                </pic:pic>
              </a:graphicData>
            </a:graphic>
          </wp:anchor>
        </w:drawing>
        <w:t>TAP X (1096 – EMD) x CP</w:t>
      </w:r>
    </w:p>
    <w:p>
      <w:pPr>
        <w:spacing w:after="0" w:line="3" w:lineRule="exact"/>
        <w:rPr>
          <w:sz w:val="20"/>
          <w:szCs w:val="20"/>
          <w:color w:val="auto"/>
        </w:rPr>
      </w:pPr>
    </w:p>
    <w:p>
      <w:pPr>
        <w:jc w:val="center"/>
        <w:ind w:right="-661"/>
        <w:spacing w:after="0"/>
        <w:rPr>
          <w:sz w:val="20"/>
          <w:szCs w:val="20"/>
          <w:color w:val="auto"/>
        </w:rPr>
      </w:pPr>
      <w:r>
        <w:rPr>
          <w:rFonts w:ascii="Calibri" w:cs="Calibri" w:eastAsia="Calibri" w:hAnsi="Calibri"/>
          <w:sz w:val="13"/>
          <w:szCs w:val="13"/>
          <w:b w:val="1"/>
          <w:bCs w:val="1"/>
          <w:color w:val="auto"/>
        </w:rPr>
        <w:t>1096</w:t>
      </w:r>
    </w:p>
    <w:p>
      <w:pPr>
        <w:spacing w:after="0" w:line="3" w:lineRule="exact"/>
        <w:rPr>
          <w:sz w:val="20"/>
          <w:szCs w:val="20"/>
          <w:color w:val="auto"/>
        </w:rPr>
      </w:pPr>
    </w:p>
    <w:p>
      <w:pPr>
        <w:ind w:left="1082"/>
        <w:spacing w:after="0"/>
        <w:rPr>
          <w:sz w:val="20"/>
          <w:szCs w:val="20"/>
          <w:color w:val="auto"/>
        </w:rPr>
      </w:pPr>
      <w:r>
        <w:rPr>
          <w:rFonts w:ascii="Calibri" w:cs="Calibri" w:eastAsia="Calibri" w:hAnsi="Calibri"/>
          <w:sz w:val="13"/>
          <w:szCs w:val="13"/>
          <w:color w:val="auto"/>
        </w:rPr>
        <w:t>where</w:t>
      </w:r>
    </w:p>
    <w:p>
      <w:pPr>
        <w:spacing w:after="0" w:line="3" w:lineRule="exact"/>
        <w:rPr>
          <w:sz w:val="20"/>
          <w:szCs w:val="20"/>
          <w:color w:val="auto"/>
        </w:rPr>
      </w:pPr>
    </w:p>
    <w:p>
      <w:pPr>
        <w:ind w:left="1942"/>
        <w:spacing w:after="0"/>
        <w:rPr>
          <w:sz w:val="20"/>
          <w:szCs w:val="20"/>
          <w:color w:val="auto"/>
        </w:rPr>
      </w:pPr>
      <w:r>
        <w:rPr>
          <w:rFonts w:ascii="Calibri" w:cs="Calibri" w:eastAsia="Calibri" w:hAnsi="Calibri"/>
          <w:sz w:val="13"/>
          <w:szCs w:val="13"/>
          <w:b w:val="1"/>
          <w:bCs w:val="1"/>
          <w:color w:val="auto"/>
        </w:rPr>
        <w:t xml:space="preserve">TAP </w:t>
      </w:r>
      <w:r>
        <w:rPr>
          <w:rFonts w:ascii="Calibri" w:cs="Calibri" w:eastAsia="Calibri" w:hAnsi="Calibri"/>
          <w:sz w:val="13"/>
          <w:szCs w:val="13"/>
          <w:color w:val="auto"/>
        </w:rPr>
        <w:t>is the number of PSUs represented by the Target PSU Award;</w:t>
      </w:r>
    </w:p>
    <w:p>
      <w:pPr>
        <w:spacing w:after="0" w:line="5" w:lineRule="exact"/>
        <w:rPr>
          <w:sz w:val="20"/>
          <w:szCs w:val="20"/>
          <w:color w:val="auto"/>
        </w:rPr>
      </w:pPr>
    </w:p>
    <w:p>
      <w:pPr>
        <w:ind w:left="1942" w:right="780"/>
        <w:spacing w:after="0" w:line="242" w:lineRule="auto"/>
        <w:rPr>
          <w:sz w:val="20"/>
          <w:szCs w:val="20"/>
          <w:color w:val="auto"/>
        </w:rPr>
      </w:pPr>
      <w:r>
        <w:rPr>
          <w:rFonts w:ascii="Calibri" w:cs="Calibri" w:eastAsia="Calibri" w:hAnsi="Calibri"/>
          <w:sz w:val="13"/>
          <w:szCs w:val="13"/>
          <w:b w:val="1"/>
          <w:bCs w:val="1"/>
          <w:color w:val="auto"/>
        </w:rPr>
        <w:t xml:space="preserve">EMD </w:t>
      </w:r>
      <w:r>
        <w:rPr>
          <w:rFonts w:ascii="Calibri" w:cs="Calibri" w:eastAsia="Calibri" w:hAnsi="Calibri"/>
          <w:sz w:val="13"/>
          <w:szCs w:val="13"/>
          <w:color w:val="auto"/>
        </w:rPr>
        <w:t>is the number of days during the Performance Period which occur prior to and including the Early Measurement Date; and</w:t>
      </w:r>
      <w:r>
        <w:rPr>
          <w:rFonts w:ascii="Calibri" w:cs="Calibri" w:eastAsia="Calibri" w:hAnsi="Calibri"/>
          <w:sz w:val="13"/>
          <w:szCs w:val="13"/>
          <w:b w:val="1"/>
          <w:bCs w:val="1"/>
          <w:color w:val="auto"/>
        </w:rPr>
        <w:t xml:space="preserve"> CP </w:t>
      </w:r>
      <w:r>
        <w:rPr>
          <w:rFonts w:ascii="Calibri" w:cs="Calibri" w:eastAsia="Calibri" w:hAnsi="Calibri"/>
          <w:sz w:val="13"/>
          <w:szCs w:val="13"/>
          <w:color w:val="auto"/>
        </w:rPr>
        <w:t>is the closing price of a share of Common Stock of the Company on the Early Measurement Date.</w:t>
      </w:r>
    </w:p>
    <w:p>
      <w:pPr>
        <w:spacing w:after="0" w:line="166" w:lineRule="exact"/>
        <w:rPr>
          <w:sz w:val="20"/>
          <w:szCs w:val="20"/>
          <w:color w:val="auto"/>
        </w:rPr>
      </w:pPr>
    </w:p>
    <w:p>
      <w:pPr>
        <w:ind w:left="862" w:right="40"/>
        <w:spacing w:after="0" w:line="244" w:lineRule="auto"/>
        <w:rPr>
          <w:sz w:val="20"/>
          <w:szCs w:val="20"/>
          <w:color w:val="auto"/>
        </w:rPr>
      </w:pPr>
      <w:r>
        <w:rPr>
          <w:rFonts w:ascii="Calibri" w:cs="Calibri" w:eastAsia="Calibri" w:hAnsi="Calibri"/>
          <w:sz w:val="13"/>
          <w:szCs w:val="13"/>
          <w:color w:val="auto"/>
        </w:rPr>
        <w:t xml:space="preserve">Any restricted stock units in the successor entty awarded under this paragraph 6.a.ii.1. will vest completely on December 31, 2025 (and be paid within 74 days thereof), provided that Employee remains contnuously employed with the successor entty untl then. Provided however, in the event of Employee’s involuntary Terminaton of Employment without Cause during the </w:t>
      </w:r>
      <w:r>
        <w:rPr>
          <w:rFonts w:ascii="Calibri" w:cs="Calibri" w:eastAsia="Calibri" w:hAnsi="Calibri"/>
          <w:sz w:val="13"/>
          <w:szCs w:val="13"/>
          <w:b w:val="1"/>
          <w:bCs w:val="1"/>
          <w:i w:val="1"/>
          <w:iCs w:val="1"/>
          <w:color w:val="auto"/>
        </w:rPr>
        <w:t>Window Period</w:t>
      </w:r>
      <w:r>
        <w:rPr>
          <w:rFonts w:ascii="Calibri" w:cs="Calibri" w:eastAsia="Calibri" w:hAnsi="Calibri"/>
          <w:sz w:val="13"/>
          <w:szCs w:val="13"/>
          <w:color w:val="auto"/>
        </w:rPr>
        <w:t xml:space="preserve"> (as defned in paragraph d.iv. below) or upon Employee’s Retrement, death or Disability, Employee shall become immediately vested in full in the restricted stock units in the successor entty awarded pursuant to this paragraph 6.a.ii.1 and paid (i) in the case of death or Disability, within 74 days of such tme or (ii) in the case of Retrement or involuntary Terminaton of Employment without Cause, within 74 days following December 31, 2025.</w:t>
      </w:r>
    </w:p>
    <w:p>
      <w:pPr>
        <w:spacing w:after="0" w:line="166" w:lineRule="exact"/>
        <w:rPr>
          <w:sz w:val="20"/>
          <w:szCs w:val="20"/>
          <w:color w:val="auto"/>
        </w:rPr>
      </w:pPr>
    </w:p>
    <w:p>
      <w:pPr>
        <w:ind w:left="862" w:right="120" w:hanging="214"/>
        <w:spacing w:after="0" w:line="242" w:lineRule="auto"/>
        <w:tabs>
          <w:tab w:leader="none" w:pos="862" w:val="left"/>
        </w:tabs>
        <w:numPr>
          <w:ilvl w:val="2"/>
          <w:numId w:val="46"/>
        </w:numPr>
        <w:rPr>
          <w:rFonts w:ascii="Calibri" w:cs="Calibri" w:eastAsia="Calibri" w:hAnsi="Calibri"/>
          <w:sz w:val="13"/>
          <w:szCs w:val="13"/>
          <w:color w:val="auto"/>
        </w:rPr>
      </w:pPr>
      <w:r>
        <w:rPr>
          <w:rFonts w:ascii="Calibri" w:cs="Calibri" w:eastAsia="Calibri" w:hAnsi="Calibri"/>
          <w:sz w:val="13"/>
          <w:szCs w:val="13"/>
          <w:color w:val="auto"/>
        </w:rPr>
        <w:t>If the successor entty is not a publicly traded company as of the Early Measurement Date, an amount of cash equal to the quotent obtained from the equaton in paragraph 6.a.ii.1. above.</w:t>
      </w:r>
    </w:p>
    <w:p>
      <w:pPr>
        <w:spacing w:after="0" w:line="165" w:lineRule="exact"/>
        <w:rPr>
          <w:rFonts w:ascii="Calibri" w:cs="Calibri" w:eastAsia="Calibri" w:hAnsi="Calibri"/>
          <w:sz w:val="13"/>
          <w:szCs w:val="13"/>
          <w:color w:val="auto"/>
        </w:rPr>
      </w:pPr>
    </w:p>
    <w:p>
      <w:pPr>
        <w:ind w:left="862" w:right="20"/>
        <w:spacing w:after="0" w:line="244" w:lineRule="auto"/>
        <w:rPr>
          <w:rFonts w:ascii="Calibri" w:cs="Calibri" w:eastAsia="Calibri" w:hAnsi="Calibri"/>
          <w:sz w:val="13"/>
          <w:szCs w:val="13"/>
          <w:color w:val="auto"/>
        </w:rPr>
      </w:pPr>
      <w:r>
        <w:rPr>
          <w:rFonts w:ascii="Calibri" w:cs="Calibri" w:eastAsia="Calibri" w:hAnsi="Calibri"/>
          <w:sz w:val="13"/>
          <w:szCs w:val="13"/>
          <w:color w:val="auto"/>
        </w:rPr>
        <w:t>Any cash payment awarded under this paragraph 6.a.ii.2. will be paid to Employee as soon as administratvely feasible (and no later than 74 days) following December 31, 2025, provided that Employee remains contnuously employed with the successor entty untl such date. Provided however, in the event of Employee’s involuntary Terminaton of Employment without Cause during the Window Period or upon Employee’s Retrement, death or Disability, Employee shall become vested and be paid such cash payment by the successor entty (i) in the case of death or Disability, within 74 days of such tme or (ii) in the case of Retrement or involuntary Terminaton of Employment without Cause, within 74 days following December 31, 2025.</w:t>
      </w:r>
    </w:p>
    <w:p>
      <w:pPr>
        <w:spacing w:after="0" w:line="165" w:lineRule="exact"/>
        <w:rPr>
          <w:rFonts w:ascii="Calibri" w:cs="Calibri" w:eastAsia="Calibri" w:hAnsi="Calibri"/>
          <w:sz w:val="13"/>
          <w:szCs w:val="13"/>
          <w:color w:val="auto"/>
        </w:rPr>
      </w:pPr>
    </w:p>
    <w:p>
      <w:pPr>
        <w:ind w:left="222" w:hanging="222"/>
        <w:spacing w:after="0" w:line="244" w:lineRule="auto"/>
        <w:tabs>
          <w:tab w:leader="none" w:pos="222" w:val="left"/>
        </w:tabs>
        <w:numPr>
          <w:ilvl w:val="0"/>
          <w:numId w:val="47"/>
        </w:numPr>
        <w:rPr>
          <w:rFonts w:ascii="Calibri" w:cs="Calibri" w:eastAsia="Calibri" w:hAnsi="Calibri"/>
          <w:sz w:val="13"/>
          <w:szCs w:val="13"/>
          <w:color w:val="auto"/>
        </w:rPr>
      </w:pPr>
      <w:r>
        <w:rPr>
          <w:rFonts w:ascii="Calibri" w:cs="Calibri" w:eastAsia="Calibri" w:hAnsi="Calibri"/>
          <w:sz w:val="13"/>
          <w:szCs w:val="13"/>
          <w:u w:val="single" w:color="auto"/>
          <w:color w:val="auto"/>
        </w:rPr>
        <w:t>RSU Award</w:t>
      </w:r>
      <w:r>
        <w:rPr>
          <w:rFonts w:ascii="Calibri" w:cs="Calibri" w:eastAsia="Calibri" w:hAnsi="Calibri"/>
          <w:sz w:val="13"/>
          <w:szCs w:val="13"/>
          <w:color w:val="auto"/>
        </w:rPr>
        <w:t>. If there is Corporate Change prior to the close of the Restricton Period, all outstanding but unvested RSUs will be immediately vested in full and, along with all associated Dividend Equivalents up to the original Vestng Date, will be due and payable within 74 days following such original Vestng Date, unless the successor entty assumes all RSU Awards granted under the Plan and converts the awards to equivalent grants in the successor efectve as of the Corporate Change. If the successor entty so assumes and converts all RSU Awards granted under the Plan, upon Employee’s involuntary Terminaton of Employment without Cause during the Window Period or upon Employee’s Retrement, death or Disability, then all outstanding but unvested RSUs (or the equivalent grant in the successor entty) and the associated Dividend Equivalents through such date will become immediately vested in full as of such event and paid (i) in the case of death or Disability, within 74 days of such tme or (ii) in the case of Retrement or involuntary Terminaton of Employment without Cause, within 74 days following the original Vestng Date.</w:t>
      </w:r>
    </w:p>
    <w:p>
      <w:pPr>
        <w:spacing w:after="0" w:line="166" w:lineRule="exact"/>
        <w:rPr>
          <w:rFonts w:ascii="Calibri" w:cs="Calibri" w:eastAsia="Calibri" w:hAnsi="Calibri"/>
          <w:sz w:val="13"/>
          <w:szCs w:val="13"/>
          <w:color w:val="auto"/>
        </w:rPr>
      </w:pPr>
    </w:p>
    <w:p>
      <w:pPr>
        <w:ind w:left="262" w:right="300" w:hanging="208"/>
        <w:spacing w:after="0" w:line="242" w:lineRule="auto"/>
        <w:tabs>
          <w:tab w:leader="none" w:pos="262" w:val="left"/>
        </w:tabs>
        <w:numPr>
          <w:ilvl w:val="1"/>
          <w:numId w:val="47"/>
        </w:numPr>
        <w:rPr>
          <w:rFonts w:ascii="Calibri" w:cs="Calibri" w:eastAsia="Calibri" w:hAnsi="Calibri"/>
          <w:sz w:val="13"/>
          <w:szCs w:val="13"/>
          <w:color w:val="auto"/>
        </w:rPr>
      </w:pPr>
      <w:r>
        <w:rPr>
          <w:rFonts w:ascii="Calibri" w:cs="Calibri" w:eastAsia="Calibri" w:hAnsi="Calibri"/>
          <w:sz w:val="13"/>
          <w:szCs w:val="13"/>
          <w:u w:val="single" w:color="auto"/>
          <w:color w:val="auto"/>
        </w:rPr>
        <w:t>Stock Opton Award</w:t>
      </w:r>
      <w:r>
        <w:rPr>
          <w:rFonts w:ascii="Calibri" w:cs="Calibri" w:eastAsia="Calibri" w:hAnsi="Calibri"/>
          <w:sz w:val="13"/>
          <w:szCs w:val="13"/>
          <w:color w:val="auto"/>
        </w:rPr>
        <w:t>. In the event of a Corporate Change and Employee’s involuntary Terminaton of Employment without Cause, the Stock Opton Award shall become exercisable immediately (whether previously exercisable) and shall remain exercisable for the three-year period following such Terminaton of Employment.</w:t>
      </w:r>
    </w:p>
    <w:p>
      <w:pPr>
        <w:spacing w:after="0" w:line="165" w:lineRule="exact"/>
        <w:rPr>
          <w:rFonts w:ascii="Calibri" w:cs="Calibri" w:eastAsia="Calibri" w:hAnsi="Calibri"/>
          <w:sz w:val="13"/>
          <w:szCs w:val="13"/>
          <w:color w:val="auto"/>
        </w:rPr>
      </w:pPr>
    </w:p>
    <w:p>
      <w:pPr>
        <w:ind w:left="262" w:right="40" w:hanging="208"/>
        <w:spacing w:after="0" w:line="242" w:lineRule="auto"/>
        <w:tabs>
          <w:tab w:leader="none" w:pos="262" w:val="left"/>
        </w:tabs>
        <w:numPr>
          <w:ilvl w:val="1"/>
          <w:numId w:val="47"/>
        </w:numPr>
        <w:rPr>
          <w:rFonts w:ascii="Calibri" w:cs="Calibri" w:eastAsia="Calibri" w:hAnsi="Calibri"/>
          <w:sz w:val="13"/>
          <w:szCs w:val="13"/>
          <w:color w:val="auto"/>
        </w:rPr>
      </w:pPr>
      <w:r>
        <w:rPr>
          <w:rFonts w:ascii="Calibri" w:cs="Calibri" w:eastAsia="Calibri" w:hAnsi="Calibri"/>
          <w:sz w:val="13"/>
          <w:szCs w:val="13"/>
          <w:b w:val="1"/>
          <w:bCs w:val="1"/>
          <w:i w:val="1"/>
          <w:iCs w:val="1"/>
          <w:color w:val="auto"/>
        </w:rPr>
        <w:t xml:space="preserve">Window Period </w:t>
      </w:r>
      <w:r>
        <w:rPr>
          <w:rFonts w:ascii="Calibri" w:cs="Calibri" w:eastAsia="Calibri" w:hAnsi="Calibri"/>
          <w:sz w:val="13"/>
          <w:szCs w:val="13"/>
          <w:color w:val="auto"/>
        </w:rPr>
        <w:t>means the period beginning on the date occurring six (6) months immediately prior to the date on which a Corporate Change frst occurs and ending on the</w:t>
      </w:r>
      <w:r>
        <w:rPr>
          <w:rFonts w:ascii="Calibri" w:cs="Calibri" w:eastAsia="Calibri" w:hAnsi="Calibri"/>
          <w:sz w:val="13"/>
          <w:szCs w:val="13"/>
          <w:b w:val="1"/>
          <w:bCs w:val="1"/>
          <w:i w:val="1"/>
          <w:iCs w:val="1"/>
          <w:color w:val="auto"/>
        </w:rPr>
        <w:t xml:space="preserve"> </w:t>
      </w:r>
      <w:r>
        <w:rPr>
          <w:rFonts w:ascii="Calibri" w:cs="Calibri" w:eastAsia="Calibri" w:hAnsi="Calibri"/>
          <w:sz w:val="13"/>
          <w:szCs w:val="13"/>
          <w:color w:val="auto"/>
        </w:rPr>
        <w:t>second anniversary of the date on which a Corporate Change occurs.</w:t>
      </w:r>
    </w:p>
    <w:p>
      <w:pPr>
        <w:spacing w:after="0" w:line="164" w:lineRule="exact"/>
        <w:rPr>
          <w:sz w:val="20"/>
          <w:szCs w:val="20"/>
          <w:color w:val="auto"/>
        </w:rPr>
      </w:pPr>
    </w:p>
    <w:p>
      <w:pPr>
        <w:jc w:val="center"/>
        <w:ind w:right="218"/>
        <w:spacing w:after="0"/>
        <w:rPr>
          <w:sz w:val="20"/>
          <w:szCs w:val="20"/>
          <w:color w:val="auto"/>
        </w:rPr>
      </w:pPr>
      <w:r>
        <w:rPr>
          <w:rFonts w:ascii="Calibri" w:cs="Calibri" w:eastAsia="Calibri" w:hAnsi="Calibri"/>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334010</wp:posOffset>
            </wp:positionV>
            <wp:extent cx="66179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702"/>
          </w:cols>
          <w:pgMar w:left="1198" w:top="580" w:right="999" w:bottom="1440" w:gutter="0" w:footer="0" w:header="0"/>
        </w:sectPr>
      </w:pPr>
    </w:p>
    <w:bookmarkStart w:id="49" w:name="page50"/>
    <w:bookmarkEnd w:id="49"/>
    <w:p>
      <w:pPr>
        <w:ind w:left="218" w:hanging="218"/>
        <w:spacing w:after="0"/>
        <w:tabs>
          <w:tab w:leader="none" w:pos="218" w:val="left"/>
        </w:tabs>
        <w:numPr>
          <w:ilvl w:val="0"/>
          <w:numId w:val="48"/>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3676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556375" cy="3676015"/>
                    </a:xfrm>
                    <a:prstGeom prst="rect">
                      <a:avLst/>
                    </a:prstGeom>
                    <a:noFill/>
                  </pic:spPr>
                </pic:pic>
              </a:graphicData>
            </a:graphic>
          </wp:anchor>
        </w:drawing>
        <w:t>Dividend Equivalents</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78" w:right="40" w:hanging="208"/>
        <w:spacing w:after="0" w:line="244" w:lineRule="auto"/>
        <w:tabs>
          <w:tab w:leader="none" w:pos="478" w:val="left"/>
        </w:tabs>
        <w:numPr>
          <w:ilvl w:val="2"/>
          <w:numId w:val="48"/>
        </w:numPr>
        <w:rPr>
          <w:rFonts w:ascii="Calibri" w:cs="Calibri" w:eastAsia="Calibri" w:hAnsi="Calibri"/>
          <w:sz w:val="13"/>
          <w:szCs w:val="13"/>
          <w:color w:val="auto"/>
        </w:rPr>
      </w:pPr>
      <w:r>
        <w:rPr>
          <w:rFonts w:ascii="Calibri" w:cs="Calibri" w:eastAsia="Calibri" w:hAnsi="Calibri"/>
          <w:sz w:val="13"/>
          <w:szCs w:val="13"/>
          <w:color w:val="auto"/>
        </w:rPr>
        <w:t>The Company will pay Dividend Equivalents with respect to the PSUs when (i) the Performance Period has ended; (ii) Employee has vested in the Award; and (iii) the PSU Awarded Shares have been certfed by the Commitee based on actual Achievement during the Performance Period (or otherwise determined pursuant to paragraph 6.a.i. above). As soon as administratvely feasible afer these events (and no later than 74 days following the end of the Performance Period), the Company will pay Employee a lump-sum cash amount for PSU Award Dividend Equivalents based on the number of PSU Awarded Shares multplied by the per share quarterly dividend payments made to stockholders of the Company’s Common Stock during the Performance Period (without any interest or compounding). Any accumulated and unpaid Dividend Equivalents atributable to PSUs that are cancelled or forfeited will not be paid and are immediately forfeited upon cancellaton of the PSUs.</w:t>
      </w:r>
    </w:p>
    <w:p>
      <w:pPr>
        <w:spacing w:after="0" w:line="165" w:lineRule="exact"/>
        <w:rPr>
          <w:rFonts w:ascii="Calibri" w:cs="Calibri" w:eastAsia="Calibri" w:hAnsi="Calibri"/>
          <w:sz w:val="13"/>
          <w:szCs w:val="13"/>
          <w:color w:val="auto"/>
        </w:rPr>
      </w:pPr>
    </w:p>
    <w:p>
      <w:pPr>
        <w:ind w:left="478" w:right="120" w:hanging="208"/>
        <w:spacing w:after="0" w:line="244" w:lineRule="auto"/>
        <w:tabs>
          <w:tab w:leader="none" w:pos="478" w:val="left"/>
        </w:tabs>
        <w:numPr>
          <w:ilvl w:val="2"/>
          <w:numId w:val="48"/>
        </w:numPr>
        <w:rPr>
          <w:rFonts w:ascii="Calibri" w:cs="Calibri" w:eastAsia="Calibri" w:hAnsi="Calibri"/>
          <w:sz w:val="13"/>
          <w:szCs w:val="13"/>
          <w:color w:val="auto"/>
        </w:rPr>
      </w:pPr>
      <w:r>
        <w:rPr>
          <w:rFonts w:ascii="Calibri" w:cs="Calibri" w:eastAsia="Calibri" w:hAnsi="Calibri"/>
          <w:sz w:val="13"/>
          <w:szCs w:val="13"/>
          <w:color w:val="auto"/>
        </w:rPr>
        <w:t>The Company will pay Dividend Equivalents with respect to RSUs as soon as administratvely feasible (and no later than 74 days) following the Vestng Date. The Company will make such payment in a lump sum cash amount for RSU Award Dividend Equivalents based on the number of RSUs vested multplied by the per share quarterly dividend payments made to stockholders of the Company’s Common Stock during the Restricton Period (without any interest or compounding). Any accumulated and unpaid Dividend Equivalents atributable to RSUs that do not vest or that are cancelled or forfeited will not be paid and are immediately forfeited upon cancellaton or forfeiture of the RSUs.</w:t>
      </w:r>
    </w:p>
    <w:p>
      <w:pPr>
        <w:spacing w:after="0" w:line="324" w:lineRule="exact"/>
        <w:rPr>
          <w:rFonts w:ascii="Calibri" w:cs="Calibri" w:eastAsia="Calibri" w:hAnsi="Calibri"/>
          <w:sz w:val="13"/>
          <w:szCs w:val="13"/>
          <w:color w:val="auto"/>
        </w:rPr>
      </w:pPr>
    </w:p>
    <w:p>
      <w:pPr>
        <w:ind w:left="218" w:hanging="218"/>
        <w:spacing w:after="0"/>
        <w:tabs>
          <w:tab w:leader="none" w:pos="218" w:val="left"/>
        </w:tabs>
        <w:numPr>
          <w:ilvl w:val="0"/>
          <w:numId w:val="48"/>
        </w:numPr>
        <w:rPr>
          <w:rFonts w:ascii="Calibri" w:cs="Calibri" w:eastAsia="Calibri" w:hAnsi="Calibri"/>
          <w:sz w:val="13"/>
          <w:szCs w:val="13"/>
          <w:color w:val="auto"/>
        </w:rPr>
      </w:pPr>
      <w:r>
        <w:rPr>
          <w:rFonts w:ascii="Calibri" w:cs="Calibri" w:eastAsia="Calibri" w:hAnsi="Calibri"/>
          <w:sz w:val="13"/>
          <w:szCs w:val="13"/>
          <w:u w:val="single" w:color="auto"/>
          <w:color w:val="auto"/>
        </w:rPr>
        <w:t>Deferral</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38" w:hanging="222"/>
        <w:spacing w:after="0" w:line="244" w:lineRule="auto"/>
        <w:tabs>
          <w:tab w:leader="none" w:pos="438" w:val="left"/>
        </w:tabs>
        <w:numPr>
          <w:ilvl w:val="1"/>
          <w:numId w:val="48"/>
        </w:numPr>
        <w:rPr>
          <w:rFonts w:ascii="Calibri" w:cs="Calibri" w:eastAsia="Calibri" w:hAnsi="Calibri"/>
          <w:sz w:val="13"/>
          <w:szCs w:val="13"/>
          <w:color w:val="auto"/>
        </w:rPr>
      </w:pPr>
      <w:r>
        <w:rPr>
          <w:rFonts w:ascii="Calibri" w:cs="Calibri" w:eastAsia="Calibri" w:hAnsi="Calibri"/>
          <w:sz w:val="13"/>
          <w:szCs w:val="13"/>
          <w:color w:val="auto"/>
        </w:rPr>
        <w:t>The Commitee may establish procedures for Employee to elect for deferral, untl a tme or tmes later than the vestng of PSU Awards, receipt of all or a porton of the shares of Common Stock deliverable under the Awards. Any such deferral must be under the terms and conditons determined in the sole discreton of the Commitee (or its designee) and the Waste Management, Inc. 409A Deferral Savings Plan (“</w:t>
      </w:r>
      <w:r>
        <w:rPr>
          <w:rFonts w:ascii="Calibri" w:cs="Calibri" w:eastAsia="Calibri" w:hAnsi="Calibri"/>
          <w:sz w:val="13"/>
          <w:szCs w:val="13"/>
          <w:b w:val="1"/>
          <w:bCs w:val="1"/>
          <w:i w:val="1"/>
          <w:iCs w:val="1"/>
          <w:color w:val="auto"/>
        </w:rPr>
        <w:t>WM 409A Plan</w:t>
      </w:r>
      <w:r>
        <w:rPr>
          <w:rFonts w:ascii="Calibri" w:cs="Calibri" w:eastAsia="Calibri" w:hAnsi="Calibri"/>
          <w:sz w:val="13"/>
          <w:szCs w:val="13"/>
          <w:color w:val="auto"/>
        </w:rPr>
        <w:t>”). The Commitee further retains the authority and discreton to modify and/or terminate existng deferral electons, procedures, and distributon optons. Common Stock subject to a deferral electon does not confer any shareholder rights to Employee unless and untl the date the deferral expires and certfcates representng such shares are delivered to Employee.</w:t>
      </w:r>
    </w:p>
    <w:p>
      <w:pPr>
        <w:spacing w:after="0" w:line="165" w:lineRule="exact"/>
        <w:rPr>
          <w:rFonts w:ascii="Calibri" w:cs="Calibri" w:eastAsia="Calibri" w:hAnsi="Calibri"/>
          <w:sz w:val="13"/>
          <w:szCs w:val="13"/>
          <w:color w:val="auto"/>
        </w:rPr>
      </w:pPr>
    </w:p>
    <w:p>
      <w:pPr>
        <w:ind w:left="438" w:right="120" w:hanging="222"/>
        <w:spacing w:after="0" w:line="243" w:lineRule="auto"/>
        <w:tabs>
          <w:tab w:leader="none" w:pos="438" w:val="left"/>
        </w:tabs>
        <w:numPr>
          <w:ilvl w:val="1"/>
          <w:numId w:val="48"/>
        </w:numPr>
        <w:rPr>
          <w:rFonts w:ascii="Calibri" w:cs="Calibri" w:eastAsia="Calibri" w:hAnsi="Calibri"/>
          <w:sz w:val="13"/>
          <w:szCs w:val="13"/>
          <w:color w:val="auto"/>
        </w:rPr>
      </w:pPr>
      <w:r>
        <w:rPr>
          <w:rFonts w:ascii="Calibri" w:cs="Calibri" w:eastAsia="Calibri" w:hAnsi="Calibri"/>
          <w:sz w:val="13"/>
          <w:szCs w:val="13"/>
          <w:color w:val="auto"/>
        </w:rPr>
        <w:t>No deferral of Dividend Equivalents is permited. In the event shares of Common Stock received upon vestng of PSU Awards are deferred pursuant to a valid deferral, then the Company will pay Dividend Equivalents to Employee in cash on such deferred shares of Common Stock, as soon as administratvely feasible following the payment of such dividends to stockholders of record.</w:t>
      </w:r>
    </w:p>
    <w:p>
      <w:pPr>
        <w:spacing w:after="0" w:line="165" w:lineRule="exact"/>
        <w:rPr>
          <w:rFonts w:ascii="Calibri" w:cs="Calibri" w:eastAsia="Calibri" w:hAnsi="Calibri"/>
          <w:sz w:val="13"/>
          <w:szCs w:val="13"/>
          <w:color w:val="auto"/>
        </w:rPr>
      </w:pPr>
    </w:p>
    <w:p>
      <w:pPr>
        <w:ind w:left="438" w:right="100" w:hanging="222"/>
        <w:spacing w:after="0" w:line="244" w:lineRule="auto"/>
        <w:tabs>
          <w:tab w:leader="none" w:pos="438" w:val="left"/>
        </w:tabs>
        <w:numPr>
          <w:ilvl w:val="1"/>
          <w:numId w:val="48"/>
        </w:numPr>
        <w:rPr>
          <w:rFonts w:ascii="Calibri" w:cs="Calibri" w:eastAsia="Calibri" w:hAnsi="Calibri"/>
          <w:sz w:val="13"/>
          <w:szCs w:val="13"/>
          <w:color w:val="auto"/>
        </w:rPr>
      </w:pPr>
      <w:r>
        <w:rPr>
          <w:rFonts w:ascii="Calibri" w:cs="Calibri" w:eastAsia="Calibri" w:hAnsi="Calibri"/>
          <w:sz w:val="13"/>
          <w:szCs w:val="13"/>
          <w:color w:val="auto"/>
        </w:rPr>
        <w:t>If the Commitee permits deferral of the PSU Awards under this Agreement, then each provision of this Agreement shall be interpreted to permit deferral only (i) in accordance with the terms of the WM 409A Plan and (ii) as allowed in compliance with Secton 409A. Any provision that would confict with such requirements is not valid or enforceable. Employee acknowledges, without limitaton, and consents that the applicaton of Secton 409A to this Agreement may require additonal delay of payments otherwise payable under this Agreement or the WM 409A Plan. Employee and the Company agree to execute any instruments and take any acton as reasonably may be necessary to comply with Secton 409A.</w:t>
      </w:r>
    </w:p>
    <w:p>
      <w:pPr>
        <w:spacing w:after="0" w:line="164" w:lineRule="exact"/>
        <w:rPr>
          <w:sz w:val="20"/>
          <w:szCs w:val="20"/>
          <w:color w:val="auto"/>
        </w:rPr>
      </w:pPr>
    </w:p>
    <w:p>
      <w:pPr>
        <w:jc w:val="center"/>
        <w:ind w:right="-17"/>
        <w:spacing w:after="0"/>
        <w:rPr>
          <w:sz w:val="20"/>
          <w:szCs w:val="20"/>
          <w:color w:val="auto"/>
        </w:rPr>
      </w:pPr>
      <w:r>
        <w:rPr>
          <w:rFonts w:ascii="Calibri" w:cs="Calibri" w:eastAsia="Calibri" w:hAnsi="Calibri"/>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18"/>
          </w:cols>
          <w:pgMar w:left="982" w:top="580" w:right="999" w:bottom="1440" w:gutter="0" w:footer="0" w:header="0"/>
        </w:sectPr>
      </w:pPr>
    </w:p>
    <w:bookmarkStart w:id="50" w:name="page51"/>
    <w:bookmarkEnd w:id="50"/>
    <w:p>
      <w:pPr>
        <w:jc w:val="center"/>
        <w:ind w:right="-219"/>
        <w:spacing w:after="0"/>
        <w:rPr>
          <w:sz w:val="20"/>
          <w:szCs w:val="20"/>
          <w:color w:val="auto"/>
        </w:rPr>
      </w:pPr>
      <w:r>
        <w:rPr>
          <w:rFonts w:ascii="Calibri" w:cs="Calibri" w:eastAsia="Calibri" w:hAnsi="Calibri"/>
          <w:sz w:val="19"/>
          <w:szCs w:val="19"/>
          <w:b w:val="1"/>
          <w:bCs w:val="1"/>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236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556375" cy="4236085"/>
                    </a:xfrm>
                    <a:prstGeom prst="rect">
                      <a:avLst/>
                    </a:prstGeom>
                    <a:noFill/>
                  </pic:spPr>
                </pic:pic>
              </a:graphicData>
            </a:graphic>
          </wp:anchor>
        </w:drawing>
        <w:t>General Terms</w:t>
      </w:r>
    </w:p>
    <w:p>
      <w:pPr>
        <w:spacing w:after="0" w:line="169" w:lineRule="exact"/>
        <w:rPr>
          <w:sz w:val="20"/>
          <w:szCs w:val="20"/>
          <w:color w:val="auto"/>
        </w:rPr>
      </w:pPr>
    </w:p>
    <w:p>
      <w:pPr>
        <w:ind w:left="220" w:hanging="218"/>
        <w:spacing w:after="0"/>
        <w:tabs>
          <w:tab w:leader="none" w:pos="220" w:val="left"/>
        </w:tabs>
        <w:numPr>
          <w:ilvl w:val="0"/>
          <w:numId w:val="49"/>
        </w:numPr>
        <w:rPr>
          <w:rFonts w:ascii="Calibri" w:cs="Calibri" w:eastAsia="Calibri" w:hAnsi="Calibri"/>
          <w:sz w:val="13"/>
          <w:szCs w:val="13"/>
          <w:color w:val="auto"/>
        </w:rPr>
      </w:pPr>
      <w:r>
        <w:rPr>
          <w:rFonts w:ascii="Calibri" w:cs="Calibri" w:eastAsia="Calibri" w:hAnsi="Calibri"/>
          <w:sz w:val="13"/>
          <w:szCs w:val="13"/>
          <w:u w:val="single" w:color="auto"/>
          <w:color w:val="auto"/>
        </w:rPr>
        <w:t>Restrictons on Transfer</w:t>
      </w:r>
      <w:r>
        <w:rPr>
          <w:rFonts w:ascii="Calibri" w:cs="Calibri" w:eastAsia="Calibri" w:hAnsi="Calibri"/>
          <w:sz w:val="13"/>
          <w:szCs w:val="13"/>
          <w:color w:val="auto"/>
        </w:rPr>
        <w:t>.</w:t>
      </w:r>
    </w:p>
    <w:p>
      <w:pPr>
        <w:spacing w:after="0" w:line="167" w:lineRule="exact"/>
        <w:rPr>
          <w:rFonts w:ascii="Calibri" w:cs="Calibri" w:eastAsia="Calibri" w:hAnsi="Calibri"/>
          <w:sz w:val="13"/>
          <w:szCs w:val="13"/>
          <w:color w:val="auto"/>
        </w:rPr>
      </w:pPr>
    </w:p>
    <w:p>
      <w:pPr>
        <w:ind w:left="440" w:right="140" w:hanging="222"/>
        <w:spacing w:after="0" w:line="243" w:lineRule="auto"/>
        <w:tabs>
          <w:tab w:leader="none" w:pos="440" w:val="left"/>
        </w:tabs>
        <w:numPr>
          <w:ilvl w:val="1"/>
          <w:numId w:val="49"/>
        </w:numPr>
        <w:rPr>
          <w:rFonts w:ascii="Calibri" w:cs="Calibri" w:eastAsia="Calibri" w:hAnsi="Calibri"/>
          <w:sz w:val="13"/>
          <w:szCs w:val="13"/>
          <w:color w:val="auto"/>
        </w:rPr>
      </w:pPr>
      <w:r>
        <w:rPr>
          <w:rFonts w:ascii="Calibri" w:cs="Calibri" w:eastAsia="Calibri" w:hAnsi="Calibri"/>
          <w:sz w:val="13"/>
          <w:szCs w:val="13"/>
          <w:color w:val="auto"/>
        </w:rPr>
        <w:t>Absent prior writen consent of the Commitee, Awards may not be sold, assigned, transferred, pledged, or otherwise encumbered, whether voluntarily or involuntarily, by operaton of law or otherwise, other than pursuant to a domestc relatons order; provided, however, that the transfer of any shares of Common Stock issued under the Awards shall not be restricted by virtue of this Agreement once such shares have been paid out.</w:t>
      </w:r>
    </w:p>
    <w:p>
      <w:pPr>
        <w:spacing w:after="0" w:line="165" w:lineRule="exact"/>
        <w:rPr>
          <w:rFonts w:ascii="Calibri" w:cs="Calibri" w:eastAsia="Calibri" w:hAnsi="Calibri"/>
          <w:sz w:val="13"/>
          <w:szCs w:val="13"/>
          <w:color w:val="auto"/>
        </w:rPr>
      </w:pPr>
    </w:p>
    <w:p>
      <w:pPr>
        <w:ind w:left="440" w:right="160" w:hanging="222"/>
        <w:spacing w:after="0" w:line="244" w:lineRule="auto"/>
        <w:tabs>
          <w:tab w:leader="none" w:pos="440" w:val="left"/>
        </w:tabs>
        <w:numPr>
          <w:ilvl w:val="1"/>
          <w:numId w:val="49"/>
        </w:numPr>
        <w:rPr>
          <w:rFonts w:ascii="Calibri" w:cs="Calibri" w:eastAsia="Calibri" w:hAnsi="Calibri"/>
          <w:sz w:val="13"/>
          <w:szCs w:val="13"/>
          <w:color w:val="auto"/>
        </w:rPr>
      </w:pPr>
      <w:r>
        <w:rPr>
          <w:rFonts w:ascii="Calibri" w:cs="Calibri" w:eastAsia="Calibri" w:hAnsi="Calibri"/>
          <w:sz w:val="13"/>
          <w:szCs w:val="13"/>
          <w:color w:val="auto"/>
        </w:rPr>
        <w:t>Consistent with paragraph 1.a. above and except as provided in paragraph 3. below, no right or beneft under this Agreement shall be subject to transfer, antcipaton, alienaton, sale, assignment, pledge, encumbrance, or charge, whether voluntary, involuntary, by operaton of law or otherwise, and any atempt to transfer, antcipate, alienate, sell, assign, pledge, encumber or charge the same shall be void. No right or beneft hereunder shall in any manner be liable for or subject to any debts, contracts, liabilites, or torts of the person enttled to such benefts. If Employee or his Benefciary shall atempt to transfer, antcipate, alienate, assign, sell, pledge, encumber or charge any right or beneft hereunder (other than pursuant to a domestc relatons order), or if any creditor shall atempt to subject the same to a writ of garnishment, atachment, executon sequestraton, or any other form of process or involuntary lien or seizure, then such atempt shall have no efect and shall be void.</w:t>
      </w:r>
    </w:p>
    <w:p>
      <w:pPr>
        <w:spacing w:after="0" w:line="164" w:lineRule="exact"/>
        <w:rPr>
          <w:rFonts w:ascii="Calibri" w:cs="Calibri" w:eastAsia="Calibri" w:hAnsi="Calibri"/>
          <w:sz w:val="13"/>
          <w:szCs w:val="13"/>
          <w:color w:val="auto"/>
        </w:rPr>
      </w:pPr>
    </w:p>
    <w:p>
      <w:pPr>
        <w:ind w:left="220" w:hanging="218"/>
        <w:spacing w:after="0"/>
        <w:tabs>
          <w:tab w:leader="none" w:pos="220" w:val="left"/>
        </w:tabs>
        <w:numPr>
          <w:ilvl w:val="0"/>
          <w:numId w:val="49"/>
        </w:numPr>
        <w:rPr>
          <w:rFonts w:ascii="Calibri" w:cs="Calibri" w:eastAsia="Calibri" w:hAnsi="Calibri"/>
          <w:sz w:val="13"/>
          <w:szCs w:val="13"/>
          <w:color w:val="auto"/>
        </w:rPr>
      </w:pPr>
      <w:r>
        <w:rPr>
          <w:rFonts w:ascii="Calibri" w:cs="Calibri" w:eastAsia="Calibri" w:hAnsi="Calibri"/>
          <w:sz w:val="13"/>
          <w:szCs w:val="13"/>
          <w:u w:val="single" w:color="auto"/>
          <w:color w:val="auto"/>
        </w:rPr>
        <w:t>Fractonal Shares</w:t>
      </w:r>
      <w:r>
        <w:rPr>
          <w:rFonts w:ascii="Calibri" w:cs="Calibri" w:eastAsia="Calibri" w:hAnsi="Calibri"/>
          <w:sz w:val="13"/>
          <w:szCs w:val="13"/>
          <w:color w:val="auto"/>
        </w:rPr>
        <w:t>. No fractonal shares of Common Stock will be issued under the Plan or this Agreement.</w:t>
      </w:r>
    </w:p>
    <w:p>
      <w:pPr>
        <w:spacing w:after="0" w:line="167" w:lineRule="exact"/>
        <w:rPr>
          <w:rFonts w:ascii="Calibri" w:cs="Calibri" w:eastAsia="Calibri" w:hAnsi="Calibri"/>
          <w:sz w:val="13"/>
          <w:szCs w:val="13"/>
          <w:color w:val="auto"/>
        </w:rPr>
      </w:pPr>
    </w:p>
    <w:p>
      <w:pPr>
        <w:ind w:left="220" w:right="120" w:hanging="218"/>
        <w:spacing w:after="0" w:line="244" w:lineRule="auto"/>
        <w:tabs>
          <w:tab w:leader="none" w:pos="220" w:val="left"/>
        </w:tabs>
        <w:numPr>
          <w:ilvl w:val="0"/>
          <w:numId w:val="49"/>
        </w:numPr>
        <w:rPr>
          <w:rFonts w:ascii="Calibri" w:cs="Calibri" w:eastAsia="Calibri" w:hAnsi="Calibri"/>
          <w:sz w:val="13"/>
          <w:szCs w:val="13"/>
          <w:color w:val="auto"/>
        </w:rPr>
      </w:pPr>
      <w:r>
        <w:rPr>
          <w:rFonts w:ascii="Calibri" w:cs="Calibri" w:eastAsia="Calibri" w:hAnsi="Calibri"/>
          <w:sz w:val="13"/>
          <w:szCs w:val="13"/>
          <w:u w:val="single" w:color="auto"/>
          <w:color w:val="auto"/>
        </w:rPr>
        <w:t>Withholding Tax</w:t>
      </w:r>
      <w:r>
        <w:rPr>
          <w:rFonts w:ascii="Calibri" w:cs="Calibri" w:eastAsia="Calibri" w:hAnsi="Calibri"/>
          <w:sz w:val="13"/>
          <w:szCs w:val="13"/>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tme, (i) such amount of money or shares of Common Stock earned or owned by Employee or (ii) if employee is an executve ofcer at the tme of such tax event and so elects (or, otherwise, with WM’s approval), shares deliverable to Employee at such tme pursuant to the applicable Award, in each case, as WM may require to meet its obligaton under applicable tax laws or regulatons, and, if Employee fails to do so, WM is authorized to withhold from any shares of Common Stock deliverable to Employee, cash, or other form of remuneraton then or thereafer payable to Employee, any tax required to be withheld.</w:t>
      </w:r>
    </w:p>
    <w:p>
      <w:pPr>
        <w:spacing w:after="0" w:line="165" w:lineRule="exact"/>
        <w:rPr>
          <w:rFonts w:ascii="Calibri" w:cs="Calibri" w:eastAsia="Calibri" w:hAnsi="Calibri"/>
          <w:sz w:val="13"/>
          <w:szCs w:val="13"/>
          <w:color w:val="auto"/>
        </w:rPr>
      </w:pPr>
    </w:p>
    <w:p>
      <w:pPr>
        <w:ind w:left="220" w:hanging="218"/>
        <w:spacing w:after="0" w:line="244" w:lineRule="auto"/>
        <w:tabs>
          <w:tab w:leader="none" w:pos="220" w:val="left"/>
        </w:tabs>
        <w:numPr>
          <w:ilvl w:val="0"/>
          <w:numId w:val="49"/>
        </w:numPr>
        <w:rPr>
          <w:rFonts w:ascii="Calibri" w:cs="Calibri" w:eastAsia="Calibri" w:hAnsi="Calibri"/>
          <w:sz w:val="13"/>
          <w:szCs w:val="13"/>
          <w:color w:val="auto"/>
        </w:rPr>
      </w:pPr>
      <w:r>
        <w:rPr>
          <w:rFonts w:ascii="Calibri" w:cs="Calibri" w:eastAsia="Calibri" w:hAnsi="Calibri"/>
          <w:sz w:val="13"/>
          <w:szCs w:val="13"/>
          <w:u w:val="single" w:color="auto"/>
          <w:color w:val="auto"/>
        </w:rPr>
        <w:t>Compliance with Securites Laws.</w:t>
      </w:r>
      <w:r>
        <w:rPr>
          <w:rFonts w:ascii="Calibri" w:cs="Calibri" w:eastAsia="Calibri" w:hAnsi="Calibri"/>
          <w:sz w:val="13"/>
          <w:szCs w:val="13"/>
          <w:color w:val="auto"/>
        </w:rPr>
        <w:t xml:space="preserve"> WM is not required to deliver any shares of Common Stock under this Agreement, if, in the opinion of counsel for the Company, such issuance would violate the Securites Act of 1933, any other applicable federal or state securites laws or regulatons, or the requirements of any stock exchange or market system upon which the Common Stock may then be listed. Prior to the issuance of any shares, WM may require Employee (or Employee’s legal representatve upon Employee’s death or disability) to enter into such writen representatons, warrantes and agreements as WM may reasonably request in order to comply with applicable laws, including an agreement (in such form as the Commitee may specify) under which Employee represents that the shares of Common Stock acquired under an Award are being acquired for investment and not with a view to sale or distributon.</w:t>
      </w:r>
    </w:p>
    <w:p>
      <w:pPr>
        <w:spacing w:after="0" w:line="165" w:lineRule="exact"/>
        <w:rPr>
          <w:rFonts w:ascii="Calibri" w:cs="Calibri" w:eastAsia="Calibri" w:hAnsi="Calibri"/>
          <w:sz w:val="13"/>
          <w:szCs w:val="13"/>
          <w:color w:val="auto"/>
        </w:rPr>
      </w:pPr>
    </w:p>
    <w:p>
      <w:pPr>
        <w:ind w:left="220" w:right="20"/>
        <w:spacing w:after="0" w:line="242" w:lineRule="auto"/>
        <w:rPr>
          <w:rFonts w:ascii="Calibri" w:cs="Calibri" w:eastAsia="Calibri" w:hAnsi="Calibri"/>
          <w:sz w:val="13"/>
          <w:szCs w:val="13"/>
          <w:color w:val="auto"/>
        </w:rPr>
      </w:pPr>
      <w:r>
        <w:rPr>
          <w:rFonts w:ascii="Calibri" w:cs="Calibri" w:eastAsia="Calibri" w:hAnsi="Calibri"/>
          <w:sz w:val="13"/>
          <w:szCs w:val="13"/>
          <w:color w:val="auto"/>
        </w:rPr>
        <w:t>Further, WM may postpone issuing and/or delivering any Common Stock for so long as WM, in its complete and sole discreton, reasonably determines is necessary to satsfy any of the following conditons: (a) the Company completng or amending any securites registraton or qualifcaton of the Common Stock, (b) receipt of proof satsfactory to WM</w:t>
      </w:r>
    </w:p>
    <w:p>
      <w:pPr>
        <w:spacing w:after="0" w:line="4" w:lineRule="exact"/>
        <w:rPr>
          <w:sz w:val="20"/>
          <w:szCs w:val="20"/>
          <w:color w:val="auto"/>
        </w:rPr>
      </w:pPr>
    </w:p>
    <w:p>
      <w:pPr>
        <w:ind w:left="220" w:right="200"/>
        <w:spacing w:after="0" w:line="242" w:lineRule="auto"/>
        <w:rPr>
          <w:sz w:val="20"/>
          <w:szCs w:val="20"/>
          <w:color w:val="auto"/>
        </w:rPr>
      </w:pPr>
      <w:r>
        <w:rPr>
          <w:rFonts w:ascii="Calibri" w:cs="Calibri" w:eastAsia="Calibri" w:hAnsi="Calibri"/>
          <w:sz w:val="13"/>
          <w:szCs w:val="13"/>
          <w:color w:val="auto"/>
        </w:rPr>
        <w:t>that a person seeking to exercise the Award afer the Employee’s death is enttled to do so; (c) establishment of Employee’s compliance with any necessary representatons or terms and conditons of the Plan or this Agreement, or (d) compliance with any federal, state, or local tax withholding obligatons.</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334010</wp:posOffset>
            </wp:positionV>
            <wp:extent cx="66179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1061" w:right="999" w:bottom="1440" w:gutter="0" w:footer="0" w:header="0"/>
        </w:sectPr>
      </w:pPr>
    </w:p>
    <w:bookmarkStart w:id="51" w:name="page52"/>
    <w:bookmarkEnd w:id="51"/>
    <w:p>
      <w:pPr>
        <w:ind w:left="220" w:right="40" w:hanging="218"/>
        <w:spacing w:after="0" w:line="244" w:lineRule="auto"/>
        <w:tabs>
          <w:tab w:leader="none" w:pos="220" w:val="left"/>
        </w:tabs>
        <w:numPr>
          <w:ilvl w:val="0"/>
          <w:numId w:val="50"/>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2818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556375" cy="4281805"/>
                    </a:xfrm>
                    <a:prstGeom prst="rect">
                      <a:avLst/>
                    </a:prstGeom>
                    <a:noFill/>
                  </pic:spPr>
                </pic:pic>
              </a:graphicData>
            </a:graphic>
          </wp:anchor>
        </w:drawing>
        <w:t>Employee to Have no Rights as a Stockholder.</w:t>
      </w:r>
      <w:r>
        <w:rPr>
          <w:rFonts w:ascii="Calibri" w:cs="Calibri" w:eastAsia="Calibri" w:hAnsi="Calibri"/>
          <w:sz w:val="13"/>
          <w:szCs w:val="13"/>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Calibri" w:cs="Calibri" w:eastAsia="Calibri" w:hAnsi="Calibri"/>
          <w:sz w:val="13"/>
          <w:szCs w:val="13"/>
          <w:b w:val="1"/>
          <w:bCs w:val="1"/>
          <w:color w:val="auto"/>
        </w:rPr>
        <w:t>Important Award Details.</w:t>
      </w:r>
      <w:r>
        <w:rPr>
          <w:rFonts w:ascii="Calibri" w:cs="Calibri" w:eastAsia="Calibri" w:hAnsi="Calibri"/>
          <w:sz w:val="13"/>
          <w:szCs w:val="13"/>
          <w:color w:val="auto"/>
        </w:rPr>
        <w:t>”</w:t>
      </w:r>
    </w:p>
    <w:p>
      <w:pPr>
        <w:spacing w:after="0" w:line="164" w:lineRule="exact"/>
        <w:rPr>
          <w:rFonts w:ascii="Calibri" w:cs="Calibri" w:eastAsia="Calibri" w:hAnsi="Calibri"/>
          <w:sz w:val="13"/>
          <w:szCs w:val="13"/>
          <w:color w:val="auto"/>
        </w:rPr>
      </w:pPr>
    </w:p>
    <w:p>
      <w:pPr>
        <w:jc w:val="both"/>
        <w:ind w:left="220" w:hanging="218"/>
        <w:spacing w:after="0" w:line="244" w:lineRule="auto"/>
        <w:tabs>
          <w:tab w:leader="none" w:pos="220" w:val="left"/>
        </w:tabs>
        <w:numPr>
          <w:ilvl w:val="0"/>
          <w:numId w:val="50"/>
        </w:numPr>
        <w:rPr>
          <w:rFonts w:ascii="Calibri" w:cs="Calibri" w:eastAsia="Calibri" w:hAnsi="Calibri"/>
          <w:sz w:val="13"/>
          <w:szCs w:val="13"/>
          <w:color w:val="auto"/>
        </w:rPr>
      </w:pPr>
      <w:r>
        <w:rPr>
          <w:rFonts w:ascii="Calibri" w:cs="Calibri" w:eastAsia="Calibri" w:hAnsi="Calibri"/>
          <w:sz w:val="13"/>
          <w:szCs w:val="13"/>
          <w:u w:val="single" w:color="auto"/>
          <w:color w:val="auto"/>
        </w:rPr>
        <w:t>Successors and Assigns</w:t>
      </w:r>
      <w:r>
        <w:rPr>
          <w:rFonts w:ascii="Calibri" w:cs="Calibri" w:eastAsia="Calibri" w:hAnsi="Calibri"/>
          <w:sz w:val="13"/>
          <w:szCs w:val="13"/>
          <w:color w:val="auto"/>
        </w:rPr>
        <w:t>. This Agreement shall bind and inure to the beneft of and be enforceable by Employee, WM and their respectve permited successors or assigns (including personal representatves, heirs, and legatees), except that Employee may not assign any rights or obligatons under this Agreement except to the extent, and in the manner, expressly permited herein. The Company shall require any successor (whether direct or indirect, by purchase, merger, consolidaton or otherwise) to all or substantally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“Important Award Details.”</w:t>
      </w:r>
    </w:p>
    <w:p>
      <w:pPr>
        <w:spacing w:after="0" w:line="163" w:lineRule="exact"/>
        <w:rPr>
          <w:rFonts w:ascii="Calibri" w:cs="Calibri" w:eastAsia="Calibri" w:hAnsi="Calibri"/>
          <w:sz w:val="13"/>
          <w:szCs w:val="13"/>
          <w:color w:val="auto"/>
        </w:rPr>
      </w:pPr>
    </w:p>
    <w:p>
      <w:pPr>
        <w:ind w:left="220" w:hanging="218"/>
        <w:spacing w:after="0"/>
        <w:tabs>
          <w:tab w:leader="none" w:pos="220" w:val="left"/>
        </w:tabs>
        <w:numPr>
          <w:ilvl w:val="0"/>
          <w:numId w:val="50"/>
        </w:numPr>
        <w:rPr>
          <w:rFonts w:ascii="Calibri" w:cs="Calibri" w:eastAsia="Calibri" w:hAnsi="Calibri"/>
          <w:sz w:val="13"/>
          <w:szCs w:val="13"/>
          <w:color w:val="auto"/>
        </w:rPr>
      </w:pPr>
      <w:r>
        <w:rPr>
          <w:rFonts w:ascii="Calibri" w:cs="Calibri" w:eastAsia="Calibri" w:hAnsi="Calibri"/>
          <w:sz w:val="13"/>
          <w:szCs w:val="13"/>
          <w:u w:val="single" w:color="auto"/>
          <w:color w:val="auto"/>
        </w:rPr>
        <w:t>Limitaton of Rights</w:t>
      </w:r>
      <w:r>
        <w:rPr>
          <w:rFonts w:ascii="Calibri" w:cs="Calibri" w:eastAsia="Calibri" w:hAnsi="Calibri"/>
          <w:sz w:val="13"/>
          <w:szCs w:val="13"/>
          <w:color w:val="auto"/>
        </w:rPr>
        <w:t>. Nothing in this Agreement or the Plan may be construed to:</w:t>
      </w:r>
    </w:p>
    <w:p>
      <w:pPr>
        <w:spacing w:after="0" w:line="165" w:lineRule="exact"/>
        <w:rPr>
          <w:rFonts w:ascii="Calibri" w:cs="Calibri" w:eastAsia="Calibri" w:hAnsi="Calibri"/>
          <w:sz w:val="13"/>
          <w:szCs w:val="13"/>
          <w:color w:val="auto"/>
        </w:rPr>
      </w:pPr>
    </w:p>
    <w:p>
      <w:pPr>
        <w:ind w:left="440" w:hanging="222"/>
        <w:spacing w:after="0"/>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give Employee any right to be awarded any further Awards other than in the sole discreton of the Commitee;</w:t>
      </w:r>
    </w:p>
    <w:p>
      <w:pPr>
        <w:spacing w:after="0" w:line="167" w:lineRule="exact"/>
        <w:rPr>
          <w:rFonts w:ascii="Calibri" w:cs="Calibri" w:eastAsia="Calibri" w:hAnsi="Calibri"/>
          <w:sz w:val="13"/>
          <w:szCs w:val="13"/>
          <w:color w:val="auto"/>
        </w:rPr>
      </w:pPr>
    </w:p>
    <w:p>
      <w:pPr>
        <w:ind w:left="440" w:hanging="222"/>
        <w:spacing w:after="0" w:line="242" w:lineRule="auto"/>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give Employee or any other person any interest in any fund or in any specifed asset or assets of WM (other than the Awards made by this Agreement, the related Dividend Equivalents awarded under this Agreement, and any Common Stock issuable under the terms and conditons of such Awards); or</w:t>
      </w:r>
    </w:p>
    <w:p>
      <w:pPr>
        <w:spacing w:after="0" w:line="74" w:lineRule="exact"/>
        <w:rPr>
          <w:rFonts w:ascii="Calibri" w:cs="Calibri" w:eastAsia="Calibri" w:hAnsi="Calibri"/>
          <w:sz w:val="13"/>
          <w:szCs w:val="13"/>
          <w:color w:val="auto"/>
        </w:rPr>
      </w:pPr>
    </w:p>
    <w:p>
      <w:pPr>
        <w:ind w:left="440" w:hanging="222"/>
        <w:spacing w:after="0"/>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confer upon Employee the right to contnue in the employment or service of WM.</w:t>
      </w:r>
    </w:p>
    <w:p>
      <w:pPr>
        <w:spacing w:after="0" w:line="75" w:lineRule="exact"/>
        <w:rPr>
          <w:rFonts w:ascii="Calibri" w:cs="Calibri" w:eastAsia="Calibri" w:hAnsi="Calibri"/>
          <w:sz w:val="13"/>
          <w:szCs w:val="13"/>
          <w:color w:val="auto"/>
        </w:rPr>
      </w:pPr>
    </w:p>
    <w:p>
      <w:pPr>
        <w:ind w:left="220" w:hanging="218"/>
        <w:spacing w:after="0"/>
        <w:tabs>
          <w:tab w:leader="none" w:pos="220" w:val="left"/>
        </w:tabs>
        <w:numPr>
          <w:ilvl w:val="0"/>
          <w:numId w:val="50"/>
        </w:numPr>
        <w:rPr>
          <w:rFonts w:ascii="Calibri" w:cs="Calibri" w:eastAsia="Calibri" w:hAnsi="Calibri"/>
          <w:sz w:val="13"/>
          <w:szCs w:val="13"/>
          <w:color w:val="auto"/>
        </w:rPr>
      </w:pPr>
      <w:r>
        <w:rPr>
          <w:rFonts w:ascii="Calibri" w:cs="Calibri" w:eastAsia="Calibri" w:hAnsi="Calibri"/>
          <w:sz w:val="13"/>
          <w:szCs w:val="13"/>
          <w:u w:val="single" w:color="auto"/>
          <w:color w:val="auto"/>
        </w:rPr>
        <w:t>Governing Law</w:t>
      </w:r>
      <w:r>
        <w:rPr>
          <w:rFonts w:ascii="Calibri" w:cs="Calibri" w:eastAsia="Calibri" w:hAnsi="Calibri"/>
          <w:sz w:val="13"/>
          <w:szCs w:val="13"/>
          <w:color w:val="auto"/>
        </w:rPr>
        <w:t>. This Agreement shall be governed by and construed in accordance with the internal laws of the State of Texas, without reference to principles of confict of laws.</w:t>
      </w:r>
    </w:p>
    <w:p>
      <w:pPr>
        <w:spacing w:after="0" w:line="167" w:lineRule="exact"/>
        <w:rPr>
          <w:rFonts w:ascii="Calibri" w:cs="Calibri" w:eastAsia="Calibri" w:hAnsi="Calibri"/>
          <w:sz w:val="13"/>
          <w:szCs w:val="13"/>
          <w:color w:val="auto"/>
        </w:rPr>
      </w:pPr>
    </w:p>
    <w:p>
      <w:pPr>
        <w:ind w:left="220" w:right="220" w:hanging="218"/>
        <w:spacing w:after="0" w:line="242" w:lineRule="auto"/>
        <w:tabs>
          <w:tab w:leader="none" w:pos="220" w:val="left"/>
        </w:tabs>
        <w:numPr>
          <w:ilvl w:val="0"/>
          <w:numId w:val="50"/>
        </w:numPr>
        <w:rPr>
          <w:rFonts w:ascii="Calibri" w:cs="Calibri" w:eastAsia="Calibri" w:hAnsi="Calibri"/>
          <w:sz w:val="13"/>
          <w:szCs w:val="13"/>
          <w:color w:val="auto"/>
        </w:rPr>
      </w:pPr>
      <w:r>
        <w:rPr>
          <w:rFonts w:ascii="Calibri" w:cs="Calibri" w:eastAsia="Calibri" w:hAnsi="Calibri"/>
          <w:sz w:val="13"/>
          <w:szCs w:val="13"/>
          <w:u w:val="single" w:color="auto"/>
          <w:color w:val="auto"/>
        </w:rPr>
        <w:t>Severability/Entre Agreement</w:t>
      </w:r>
      <w:r>
        <w:rPr>
          <w:rFonts w:ascii="Calibri" w:cs="Calibri" w:eastAsia="Calibri" w:hAnsi="Calibri"/>
          <w:sz w:val="13"/>
          <w:szCs w:val="13"/>
          <w:color w:val="auto"/>
        </w:rPr>
        <w:t>. The invalidity or unenforceability of any provision of this Agreement shall not afect the validity or enforceability of any other provision of this Agreement.</w:t>
      </w:r>
    </w:p>
    <w:p>
      <w:pPr>
        <w:spacing w:after="0" w:line="165" w:lineRule="exact"/>
        <w:rPr>
          <w:rFonts w:ascii="Calibri" w:cs="Calibri" w:eastAsia="Calibri" w:hAnsi="Calibri"/>
          <w:sz w:val="13"/>
          <w:szCs w:val="13"/>
          <w:color w:val="auto"/>
        </w:rPr>
      </w:pPr>
    </w:p>
    <w:p>
      <w:pPr>
        <w:ind w:left="440" w:hanging="222"/>
        <w:spacing w:after="0" w:line="244" w:lineRule="auto"/>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Employee understands and agrees that the Awards granted under this Agreement are granted under the authority of the Plan and these Awards and this Agreement are in all ways governed by the terms and conditons of the Plan and its administratve practces and interpretatons, which also include the Clawback Policy. Any inconsistency between the Agreement and the Plan shall be resolved in favor of the Plan. Employee also agrees the terms and conditons of the Plan, this Agreement and related administratve practces and interpretatons control, even if there is a confict with any other terms and conditons in any employment agreement or in any prior awards. Without limitng the generality of the foregoing, as a conditon to receipt of this Award, Employee agrees that the provisions relatng to vestng and/or forfeiture of this Award upon a Terminaton of Employment set forth in this Agreement supersede and replace any provisions relatng to vestng of the Award upon terminaton or other event set forth in any employment agreement, ofer leter or similar document.</w:t>
      </w:r>
    </w:p>
    <w:p>
      <w:pPr>
        <w:spacing w:after="0" w:line="166" w:lineRule="exact"/>
        <w:rPr>
          <w:rFonts w:ascii="Calibri" w:cs="Calibri" w:eastAsia="Calibri" w:hAnsi="Calibri"/>
          <w:sz w:val="13"/>
          <w:szCs w:val="13"/>
          <w:color w:val="auto"/>
        </w:rPr>
      </w:pPr>
    </w:p>
    <w:p>
      <w:pPr>
        <w:ind w:left="440" w:hanging="222"/>
        <w:spacing w:after="0" w:line="242" w:lineRule="auto"/>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Employee understands and agrees that he or she is to consult with and rely upon only Employee’s own tax, legal, and fnancial advisors regarding the consequences and risks of this Agreement and the awards made under this Agreement.</w:t>
      </w:r>
    </w:p>
    <w:p>
      <w:pPr>
        <w:spacing w:after="0" w:line="165" w:lineRule="exact"/>
        <w:rPr>
          <w:rFonts w:ascii="Calibri" w:cs="Calibri" w:eastAsia="Calibri" w:hAnsi="Calibri"/>
          <w:sz w:val="13"/>
          <w:szCs w:val="13"/>
          <w:color w:val="auto"/>
        </w:rPr>
      </w:pPr>
    </w:p>
    <w:p>
      <w:pPr>
        <w:ind w:left="440" w:hanging="222"/>
        <w:spacing w:after="0" w:line="242" w:lineRule="auto"/>
        <w:tabs>
          <w:tab w:leader="none" w:pos="440" w:val="left"/>
        </w:tabs>
        <w:numPr>
          <w:ilvl w:val="1"/>
          <w:numId w:val="50"/>
        </w:numPr>
        <w:rPr>
          <w:rFonts w:ascii="Calibri" w:cs="Calibri" w:eastAsia="Calibri" w:hAnsi="Calibri"/>
          <w:sz w:val="13"/>
          <w:szCs w:val="13"/>
          <w:color w:val="auto"/>
        </w:rPr>
      </w:pPr>
      <w:r>
        <w:rPr>
          <w:rFonts w:ascii="Calibri" w:cs="Calibri" w:eastAsia="Calibri" w:hAnsi="Calibri"/>
          <w:sz w:val="13"/>
          <w:szCs w:val="13"/>
          <w:color w:val="auto"/>
        </w:rPr>
        <w:t>Except as provided in paragraph 13 below, this Agreement may not be amended except in writng (including by electronic writng) signed by all the partes to this Agreement (or their respectve successors and legal representatves). The captons are not a part of the Agreement and for that reason shall have no force or efect.</w:t>
      </w:r>
    </w:p>
    <w:p>
      <w:pPr>
        <w:spacing w:after="0" w:line="164"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334010</wp:posOffset>
            </wp:positionV>
            <wp:extent cx="66179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744" w:right="999" w:bottom="1440" w:gutter="0" w:footer="0" w:header="0"/>
        </w:sectPr>
      </w:pPr>
    </w:p>
    <w:bookmarkStart w:id="52" w:name="page53"/>
    <w:bookmarkEnd w:id="52"/>
    <w:p>
      <w:pPr>
        <w:ind w:left="218" w:right="120" w:hanging="218"/>
        <w:spacing w:after="0" w:line="242" w:lineRule="auto"/>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4087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556375" cy="4087495"/>
                    </a:xfrm>
                    <a:prstGeom prst="rect">
                      <a:avLst/>
                    </a:prstGeom>
                    <a:noFill/>
                  </pic:spPr>
                </pic:pic>
              </a:graphicData>
            </a:graphic>
          </wp:anchor>
        </w:drawing>
        <w:t>No Waiver</w:t>
      </w:r>
      <w:r>
        <w:rPr>
          <w:rFonts w:ascii="Calibri" w:cs="Calibri" w:eastAsia="Calibri" w:hAnsi="Calibri"/>
          <w:sz w:val="13"/>
          <w:szCs w:val="13"/>
          <w:color w:val="auto"/>
        </w:rPr>
        <w:t>. In the event the Employee or WM fails to insist on strict compliance with any term or conditon of this Agreement or fails to assert any right under this Agreement, such failure is not a waiver of that term, conditon or right.</w:t>
      </w:r>
    </w:p>
    <w:p>
      <w:pPr>
        <w:spacing w:after="0" w:line="165" w:lineRule="exact"/>
        <w:rPr>
          <w:rFonts w:ascii="Calibri" w:cs="Calibri" w:eastAsia="Calibri" w:hAnsi="Calibri"/>
          <w:sz w:val="13"/>
          <w:szCs w:val="13"/>
          <w:color w:val="auto"/>
        </w:rPr>
      </w:pPr>
    </w:p>
    <w:p>
      <w:pPr>
        <w:ind w:left="218" w:right="80" w:hanging="218"/>
        <w:spacing w:after="0" w:line="243" w:lineRule="auto"/>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t>Covenant Requirement Essental Part of Award</w:t>
      </w:r>
      <w:r>
        <w:rPr>
          <w:rFonts w:ascii="Calibri" w:cs="Calibri" w:eastAsia="Calibri" w:hAnsi="Calibri"/>
          <w:sz w:val="13"/>
          <w:szCs w:val="13"/>
          <w:color w:val="auto"/>
        </w:rPr>
        <w:t>. An overriding conditon (even if any other provision of the Plan and this Agreement are confictng) for Employee to receive any beneft from or payment of any Award under this Agreement, is that Employee must also have entered, and abided by the terms of, an agreement containing restrictve covenants concerning limitatons on Employee’s behavior following terminaton of employment that is satsfactory to WM.</w:t>
      </w:r>
    </w:p>
    <w:p>
      <w:pPr>
        <w:spacing w:after="0" w:line="164" w:lineRule="exact"/>
        <w:rPr>
          <w:rFonts w:ascii="Calibri" w:cs="Calibri" w:eastAsia="Calibri" w:hAnsi="Calibri"/>
          <w:sz w:val="13"/>
          <w:szCs w:val="13"/>
          <w:color w:val="auto"/>
        </w:rPr>
      </w:pPr>
    </w:p>
    <w:p>
      <w:pPr>
        <w:ind w:left="218" w:hanging="218"/>
        <w:spacing w:after="0"/>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t>Defnitons</w:t>
      </w:r>
      <w:r>
        <w:rPr>
          <w:rFonts w:ascii="Calibri" w:cs="Calibri" w:eastAsia="Calibri" w:hAnsi="Calibri"/>
          <w:sz w:val="13"/>
          <w:szCs w:val="13"/>
          <w:color w:val="auto"/>
        </w:rPr>
        <w:t>. If not defned in this Agreement, capitalized terms have the meanings set forth in the Plan.</w:t>
      </w:r>
    </w:p>
    <w:p>
      <w:pPr>
        <w:spacing w:after="0" w:line="167" w:lineRule="exact"/>
        <w:rPr>
          <w:rFonts w:ascii="Calibri" w:cs="Calibri" w:eastAsia="Calibri" w:hAnsi="Calibri"/>
          <w:sz w:val="13"/>
          <w:szCs w:val="13"/>
          <w:color w:val="auto"/>
        </w:rPr>
      </w:pPr>
    </w:p>
    <w:p>
      <w:pPr>
        <w:ind w:left="218" w:hanging="218"/>
        <w:spacing w:after="0" w:line="244" w:lineRule="auto"/>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t>Compliance with Secton 409A</w:t>
      </w:r>
      <w:r>
        <w:rPr>
          <w:rFonts w:ascii="Calibri" w:cs="Calibri" w:eastAsia="Calibri" w:hAnsi="Calibri"/>
          <w:sz w:val="13"/>
          <w:szCs w:val="13"/>
          <w:color w:val="auto"/>
        </w:rPr>
        <w:t>. Both WM and Employee intend that this Agreement does not result in unfavorable tax consequences to Employee under Secton 409A. Accordingly, Employee consents to any amendment of this Agreement WM may reasonably make consistent to achieve that intenton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benefts to the Employee to the maximum extent possible. This paragraph does not create an obligaton on the part of WM to modify this Agreement and does not guarantee that the amounts or benefts owed under the Agreement will not be subject to interest and penaltes under Secton 409A. Each cash and/or stock payment and/or beneft provided under the Plan and this Agreement and/or pursuant to the terms of WM’s beneft plans, programs and policies shall be considered a separate payment for purposes of Secton 409A. Notwithstanding the foregoing, it is intended that Stock Opton Awards are not subject to Secton 409A. For purposes of Secton 409A, to the extent that Employee is a “specifed employee” within the meaning of the Treasury Regulatons issued pursuant to Secton 409A as of Employee’s separaton from service and to the limited extent necessary to avoid the imputaton of any tax, penalty or interest pursuant to Secton 409A, notwithstanding anything to the contrary in this Agreement, no amount which is subject to Secton 409A of the Code and is payable on account of Employee’s separaton from service shall be paid to Employee before the date (the “Delayed Payment Date”) which is the frst day of the seventh month afer the Employee’s separaton from service or, if earlier, the date of the Employee’s death following such separaton from service. All such amounts that would, but for the immediately preceding sentence, become payable prior to the Delayed Payment Date will be accumulated and paid without interest on the Delayed Payment Date.</w:t>
      </w:r>
    </w:p>
    <w:p>
      <w:pPr>
        <w:spacing w:after="0" w:line="170" w:lineRule="exact"/>
        <w:rPr>
          <w:rFonts w:ascii="Calibri" w:cs="Calibri" w:eastAsia="Calibri" w:hAnsi="Calibri"/>
          <w:sz w:val="13"/>
          <w:szCs w:val="13"/>
          <w:color w:val="auto"/>
        </w:rPr>
      </w:pPr>
    </w:p>
    <w:p>
      <w:pPr>
        <w:ind w:left="218" w:hanging="218"/>
        <w:spacing w:after="0" w:line="244" w:lineRule="auto"/>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t>Use of Personal Data</w:t>
      </w:r>
      <w:r>
        <w:rPr>
          <w:rFonts w:ascii="Calibri" w:cs="Calibri" w:eastAsia="Calibri" w:hAnsi="Calibri"/>
          <w:sz w:val="13"/>
          <w:szCs w:val="13"/>
          <w:color w:val="auto"/>
        </w:rPr>
        <w:t>. Employee agrees to the collecton, use, processing, and transfer of certain personal data, including name, salary, natonality, job ttle, positon, social security number (or other tax identfcaton number) and details of all past Awards and current Awards outstanding under the Plan (“</w:t>
      </w:r>
      <w:r>
        <w:rPr>
          <w:rFonts w:ascii="Calibri" w:cs="Calibri" w:eastAsia="Calibri" w:hAnsi="Calibri"/>
          <w:sz w:val="13"/>
          <w:szCs w:val="13"/>
          <w:b w:val="1"/>
          <w:bCs w:val="1"/>
          <w:i w:val="1"/>
          <w:iCs w:val="1"/>
          <w:color w:val="auto"/>
        </w:rPr>
        <w:t>Data</w:t>
      </w:r>
      <w:r>
        <w:rPr>
          <w:rFonts w:ascii="Calibri" w:cs="Calibri" w:eastAsia="Calibri" w:hAnsi="Calibri"/>
          <w:sz w:val="13"/>
          <w:szCs w:val="13"/>
          <w:color w:val="auto"/>
        </w:rPr>
        <w:t>”), for the purpose of managing and administering the Plan. Employee is not obliged to consent to such collecton, use, processing, and transfer of personal data, but a refusal to provide such consent may afect the ability to partcipate in the Plan. WM may transfer Data among themselves or to third partes as necessary for the purpose of implementaton, administraton, and management of the Plan. These various recipients of Data may be located throughout the world. Employee authorizes these various recipients of Data to receive, possess, use, retain and transfer the Data, in electronic or other form, for the purposes of implementng, administering, and managing the Plan. Employee may, at any tme, review Data with respect to Employee and require any necessary amendments to such Data. Employee may withdraw his or her consent to use Data herein by notfying WM in writng (according to the provisions of paragraph 15 below); however, Employee understands that by withdrawing his or her consent to use Data, Employee may afect his or her ability to partcipate in the Plan.</w:t>
      </w:r>
    </w:p>
    <w:p>
      <w:pPr>
        <w:spacing w:after="0" w:line="329" w:lineRule="exact"/>
        <w:rPr>
          <w:rFonts w:ascii="Calibri" w:cs="Calibri" w:eastAsia="Calibri" w:hAnsi="Calibri"/>
          <w:sz w:val="13"/>
          <w:szCs w:val="13"/>
          <w:color w:val="auto"/>
        </w:rPr>
      </w:pPr>
    </w:p>
    <w:p>
      <w:pPr>
        <w:ind w:left="218" w:right="60" w:hanging="218"/>
        <w:spacing w:after="0" w:line="243" w:lineRule="auto"/>
        <w:tabs>
          <w:tab w:leader="none" w:pos="218" w:val="left"/>
        </w:tabs>
        <w:numPr>
          <w:ilvl w:val="0"/>
          <w:numId w:val="51"/>
        </w:numPr>
        <w:rPr>
          <w:rFonts w:ascii="Calibri" w:cs="Calibri" w:eastAsia="Calibri" w:hAnsi="Calibri"/>
          <w:sz w:val="13"/>
          <w:szCs w:val="13"/>
          <w:color w:val="auto"/>
        </w:rPr>
      </w:pPr>
      <w:r>
        <w:rPr>
          <w:rFonts w:ascii="Calibri" w:cs="Calibri" w:eastAsia="Calibri" w:hAnsi="Calibri"/>
          <w:sz w:val="13"/>
          <w:szCs w:val="13"/>
          <w:u w:val="single" w:color="auto"/>
          <w:color w:val="auto"/>
        </w:rPr>
        <w:t>Notces</w:t>
      </w:r>
      <w:r>
        <w:rPr>
          <w:rFonts w:ascii="Calibri" w:cs="Calibri" w:eastAsia="Calibri" w:hAnsi="Calibri"/>
          <w:sz w:val="13"/>
          <w:szCs w:val="13"/>
          <w:color w:val="auto"/>
        </w:rPr>
        <w:t>. Any notce given by one party under this Agreement to the other shall be in writng and may be delivered personally or by mail, postage prepaid, addressed to the Secretary of the Company, at its then corporate headquarters, and Employee at Employee’s address as shown on WM’s records, or to such other address as Employee, by notce to the Company, may designate in writng from tme to tme.</w:t>
      </w:r>
    </w:p>
    <w:p>
      <w:pPr>
        <w:spacing w:after="0" w:line="164" w:lineRule="exact"/>
        <w:rPr>
          <w:sz w:val="20"/>
          <w:szCs w:val="20"/>
          <w:color w:val="auto"/>
        </w:rPr>
      </w:pPr>
    </w:p>
    <w:p>
      <w:pPr>
        <w:jc w:val="center"/>
        <w:ind w:right="-17"/>
        <w:spacing w:after="0"/>
        <w:rPr>
          <w:sz w:val="20"/>
          <w:szCs w:val="20"/>
          <w:color w:val="auto"/>
        </w:rPr>
      </w:pPr>
      <w:r>
        <w:rPr>
          <w:rFonts w:ascii="Calibri" w:cs="Calibri" w:eastAsia="Calibri" w:hAnsi="Calibri"/>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334010</wp:posOffset>
            </wp:positionV>
            <wp:extent cx="66179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898"/>
          </w:cols>
          <w:pgMar w:left="982" w:top="582" w:right="1019" w:bottom="1440" w:gutter="0" w:footer="0" w:header="0"/>
        </w:sectPr>
      </w:pPr>
    </w:p>
    <w:bookmarkStart w:id="53" w:name="page54"/>
    <w:bookmarkEnd w:id="53"/>
    <w:p>
      <w:pPr>
        <w:ind w:left="220" w:right="20" w:hanging="218"/>
        <w:spacing w:after="0" w:line="244" w:lineRule="auto"/>
        <w:tabs>
          <w:tab w:leader="none" w:pos="220" w:val="left"/>
        </w:tabs>
        <w:numPr>
          <w:ilvl w:val="0"/>
          <w:numId w:val="52"/>
        </w:numPr>
        <w:rPr>
          <w:rFonts w:ascii="Calibri" w:cs="Calibri" w:eastAsia="Calibri" w:hAnsi="Calibri"/>
          <w:sz w:val="13"/>
          <w:szCs w:val="13"/>
          <w:color w:val="auto"/>
        </w:rPr>
      </w:pPr>
      <w:r>
        <w:rPr>
          <w:rFonts w:ascii="Calibri" w:cs="Calibri" w:eastAsia="Calibri" w:hAnsi="Calibri"/>
          <w:sz w:val="13"/>
          <w:szCs w:val="13"/>
          <w:u w:val="single" w:color="auto"/>
          <w:color w:val="auto"/>
        </w:rPr>
        <w:drawing>
          <wp:anchor simplePos="0" relativeHeight="251657728" behindDoc="1" locked="0" layoutInCell="0" allowOverlap="1">
            <wp:simplePos x="0" y="0"/>
            <wp:positionH relativeFrom="page">
              <wp:posOffset>495935</wp:posOffset>
            </wp:positionH>
            <wp:positionV relativeFrom="page">
              <wp:posOffset>291465</wp:posOffset>
            </wp:positionV>
            <wp:extent cx="6556375" cy="3235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556375" cy="3235960"/>
                    </a:xfrm>
                    <a:prstGeom prst="rect">
                      <a:avLst/>
                    </a:prstGeom>
                    <a:noFill/>
                  </pic:spPr>
                </pic:pic>
              </a:graphicData>
            </a:graphic>
          </wp:anchor>
        </w:drawing>
        <w:t>Electronic Delivery</w:t>
      </w:r>
      <w:r>
        <w:rPr>
          <w:rFonts w:ascii="Calibri" w:cs="Calibri" w:eastAsia="Calibri" w:hAnsi="Calibri"/>
          <w:sz w:val="13"/>
          <w:szCs w:val="13"/>
          <w:color w:val="auto"/>
        </w:rPr>
        <w:t>. WM may, in its sole discreton, deliver any documents related to the Awards under this Agreement, the Plan, and/or the WM 409A Plan, by electronic means or request Employee’s consent to partcipate in the administraton of this Agreement, the Plan, and/or the WM 409A Plan by electronic means. Employee hereby consents to receive such documents by electronic delivery and agrees to partcipate in the Plan through an on-line or electronic system established and maintained by WM or another third party designated by WM.</w:t>
      </w:r>
    </w:p>
    <w:p>
      <w:pPr>
        <w:spacing w:after="0" w:line="164" w:lineRule="exact"/>
        <w:rPr>
          <w:rFonts w:ascii="Calibri" w:cs="Calibri" w:eastAsia="Calibri" w:hAnsi="Calibri"/>
          <w:sz w:val="13"/>
          <w:szCs w:val="13"/>
          <w:color w:val="auto"/>
        </w:rPr>
      </w:pPr>
    </w:p>
    <w:p>
      <w:pPr>
        <w:ind w:left="220" w:right="20" w:hanging="218"/>
        <w:spacing w:after="0" w:line="244" w:lineRule="auto"/>
        <w:tabs>
          <w:tab w:leader="none" w:pos="220" w:val="left"/>
        </w:tabs>
        <w:numPr>
          <w:ilvl w:val="0"/>
          <w:numId w:val="52"/>
        </w:numPr>
        <w:rPr>
          <w:rFonts w:ascii="Calibri" w:cs="Calibri" w:eastAsia="Calibri" w:hAnsi="Calibri"/>
          <w:sz w:val="13"/>
          <w:szCs w:val="13"/>
          <w:color w:val="auto"/>
        </w:rPr>
      </w:pPr>
      <w:r>
        <w:rPr>
          <w:rFonts w:ascii="Calibri" w:cs="Calibri" w:eastAsia="Calibri" w:hAnsi="Calibri"/>
          <w:sz w:val="13"/>
          <w:szCs w:val="13"/>
          <w:u w:val="single" w:color="auto"/>
          <w:color w:val="auto"/>
        </w:rPr>
        <w:t>Binding Arbitraton</w:t>
      </w:r>
      <w:r>
        <w:rPr>
          <w:rFonts w:ascii="Calibri" w:cs="Calibri" w:eastAsia="Calibri" w:hAnsi="Calibri"/>
          <w:sz w:val="13"/>
          <w:szCs w:val="13"/>
          <w:color w:val="auto"/>
        </w:rPr>
        <w:t xml:space="preserve">. Except as otherwise specifcally provided herein, the Commitee’s fndings, calculatons and determinatons under this Agreement are made in the sole discreton of the Commitee, and Employee expressly agrees that such determinatons shall be fnal and not subject to dispute. In the event, however, that Employee has a right to dispute a mater hereunder (including, but not limited to, the right to dispute set forth in paragraph 5 under “Important Award Details”) or a mater directly relatng to this Award under the Clawback Policy, the Company and Employee agree that such dispute shall be setled exclusively by fnal and binding arbitraton, as governed by the Federal Arbitraton Act (9 U.S.C. 1 </w:t>
      </w:r>
      <w:r>
        <w:rPr>
          <w:rFonts w:ascii="Calibri" w:cs="Calibri" w:eastAsia="Calibri" w:hAnsi="Calibri"/>
          <w:sz w:val="13"/>
          <w:szCs w:val="13"/>
          <w:i w:val="1"/>
          <w:iCs w:val="1"/>
          <w:color w:val="auto"/>
        </w:rPr>
        <w:t>et seq.).</w:t>
      </w:r>
      <w:r>
        <w:rPr>
          <w:rFonts w:ascii="Calibri" w:cs="Calibri" w:eastAsia="Calibri" w:hAnsi="Calibri"/>
          <w:sz w:val="13"/>
          <w:szCs w:val="13"/>
          <w:color w:val="auto"/>
        </w:rPr>
        <w:t xml:space="preserve"> The arbitraton proceeding, including the rendering of an award, if any, shall be administered by JAMS pursuant to its Employment Arbitraton Rules and Procedures, which may be found on the JAMS Website </w:t>
      </w:r>
      <w:r>
        <w:rPr>
          <w:rFonts w:ascii="Calibri" w:cs="Calibri" w:eastAsia="Calibri" w:hAnsi="Calibri"/>
          <w:sz w:val="13"/>
          <w:szCs w:val="13"/>
          <w:b w:val="1"/>
          <w:bCs w:val="1"/>
          <w:color w:val="auto"/>
        </w:rPr>
        <w:t>www.jamsadr.com</w:t>
      </w:r>
      <w:r>
        <w:rPr>
          <w:rFonts w:ascii="Calibri" w:cs="Calibri" w:eastAsia="Calibri" w:hAnsi="Calibri"/>
          <w:sz w:val="13"/>
          <w:szCs w:val="13"/>
          <w:color w:val="auto"/>
        </w:rPr>
        <w:t>. All expenses associated with the arbitraton shall be borne by WM; provided however, that such arbitraton expenses will not include atorney fees incurred by the respectve partes. Judgment on any arbitraton award may be entered in any court having jurisdicton.</w:t>
      </w:r>
    </w:p>
    <w:p>
      <w:pPr>
        <w:spacing w:after="0" w:line="164" w:lineRule="exact"/>
        <w:rPr>
          <w:rFonts w:ascii="Calibri" w:cs="Calibri" w:eastAsia="Calibri" w:hAnsi="Calibri"/>
          <w:sz w:val="13"/>
          <w:szCs w:val="13"/>
          <w:color w:val="auto"/>
        </w:rPr>
      </w:pPr>
    </w:p>
    <w:p>
      <w:pPr>
        <w:ind w:left="220" w:hanging="218"/>
        <w:spacing w:after="0"/>
        <w:tabs>
          <w:tab w:leader="none" w:pos="220" w:val="left"/>
        </w:tabs>
        <w:numPr>
          <w:ilvl w:val="0"/>
          <w:numId w:val="52"/>
        </w:numPr>
        <w:rPr>
          <w:rFonts w:ascii="Calibri" w:cs="Calibri" w:eastAsia="Calibri" w:hAnsi="Calibri"/>
          <w:sz w:val="13"/>
          <w:szCs w:val="13"/>
          <w:color w:val="auto"/>
        </w:rPr>
      </w:pPr>
      <w:r>
        <w:rPr>
          <w:rFonts w:ascii="Calibri" w:cs="Calibri" w:eastAsia="Calibri" w:hAnsi="Calibri"/>
          <w:sz w:val="13"/>
          <w:szCs w:val="13"/>
          <w:u w:val="single" w:color="auto"/>
          <w:color w:val="auto"/>
        </w:rPr>
        <w:t>Counterparts</w:t>
      </w:r>
      <w:r>
        <w:rPr>
          <w:rFonts w:ascii="Calibri" w:cs="Calibri" w:eastAsia="Calibri" w:hAnsi="Calibri"/>
          <w:sz w:val="13"/>
          <w:szCs w:val="13"/>
          <w:color w:val="auto"/>
        </w:rPr>
        <w:t>. This Agreement may be executed in counterparts, which together shall consttute one and the same original.</w:t>
      </w:r>
    </w:p>
    <w:p>
      <w:pPr>
        <w:spacing w:after="0" w:line="32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Executon</w:t>
      </w:r>
    </w:p>
    <w:p>
      <w:pPr>
        <w:spacing w:after="0" w:line="171" w:lineRule="exact"/>
        <w:rPr>
          <w:sz w:val="20"/>
          <w:szCs w:val="20"/>
          <w:color w:val="auto"/>
        </w:rPr>
      </w:pPr>
    </w:p>
    <w:p>
      <w:pPr>
        <w:spacing w:after="0" w:line="242" w:lineRule="auto"/>
        <w:rPr>
          <w:sz w:val="20"/>
          <w:szCs w:val="20"/>
          <w:color w:val="auto"/>
        </w:rPr>
      </w:pPr>
      <w:r>
        <w:rPr>
          <w:rFonts w:ascii="Calibri" w:cs="Calibri" w:eastAsia="Calibri" w:hAnsi="Calibri"/>
          <w:sz w:val="13"/>
          <w:szCs w:val="13"/>
          <w:b w:val="1"/>
          <w:bCs w:val="1"/>
          <w:color w:val="auto"/>
        </w:rPr>
        <w:t>IN WITNESS WHEREOF</w:t>
      </w:r>
      <w:r>
        <w:rPr>
          <w:rFonts w:ascii="Calibri" w:cs="Calibri" w:eastAsia="Calibri" w:hAnsi="Calibri"/>
          <w:sz w:val="13"/>
          <w:szCs w:val="13"/>
          <w:color w:val="auto"/>
        </w:rPr>
        <w:t>, the Company has caused this Agreement to be duly executed by one of its ofcers thereunto duly authorized and Employee has executed this Agreement,</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efectve as of March 1, 2024.</w:t>
      </w:r>
    </w:p>
    <w:p>
      <w:pPr>
        <w:spacing w:after="0" w:line="326" w:lineRule="exact"/>
        <w:rPr>
          <w:sz w:val="20"/>
          <w:szCs w:val="20"/>
          <w:color w:val="auto"/>
        </w:rPr>
      </w:pPr>
    </w:p>
    <w:p>
      <w:pPr>
        <w:spacing w:after="0"/>
        <w:tabs>
          <w:tab w:leader="none" w:pos="4920" w:val="left"/>
        </w:tabs>
        <w:rPr>
          <w:sz w:val="20"/>
          <w:szCs w:val="20"/>
          <w:color w:val="auto"/>
        </w:rPr>
      </w:pPr>
      <w:r>
        <w:rPr>
          <w:rFonts w:ascii="Calibri" w:cs="Calibri" w:eastAsia="Calibri" w:hAnsi="Calibri"/>
          <w:sz w:val="13"/>
          <w:szCs w:val="13"/>
          <w:b w:val="1"/>
          <w:bCs w:val="1"/>
          <w:color w:val="auto"/>
        </w:rPr>
        <w:t>WASTE MANAGEMENT, INC.</w:t>
      </w:r>
      <w:r>
        <w:rPr>
          <w:sz w:val="20"/>
          <w:szCs w:val="20"/>
          <w:color w:val="auto"/>
        </w:rPr>
        <w:tab/>
      </w:r>
      <w:r>
        <w:rPr>
          <w:rFonts w:ascii="Calibri" w:cs="Calibri" w:eastAsia="Calibri" w:hAnsi="Calibri"/>
          <w:sz w:val="13"/>
          <w:szCs w:val="13"/>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334010</wp:posOffset>
            </wp:positionV>
            <wp:extent cx="66179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ectPr>
          <w:pgSz w:w="11900" w:h="16838" w:orient="portrait"/>
          <w:cols w:equalWidth="0" w:num="1">
            <w:col w:w="9920"/>
          </w:cols>
          <w:pgMar w:left="980" w:top="582"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2"/>
          <w:szCs w:val="12"/>
          <w:b w:val="1"/>
          <w:bCs w:val="1"/>
          <w:color w:val="auto"/>
        </w:rPr>
        <w:t>Exhibit 22.1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GUARANTOR SUBSIDIARY</w:t>
      </w:r>
    </w:p>
    <w:p>
      <w:pPr>
        <w:spacing w:after="0" w:line="13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March 31, 2024,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2360" w:type="dxa"/>
            <w:vAlign w:val="bottom"/>
            <w:gridSpan w:val="2"/>
          </w:tcPr>
          <w:p>
            <w:pPr>
              <w:jc w:val="center"/>
              <w:ind w:right="1260"/>
              <w:spacing w:after="0"/>
              <w:rPr>
                <w:sz w:val="20"/>
                <w:szCs w:val="20"/>
                <w:color w:val="auto"/>
              </w:rPr>
            </w:pPr>
            <w:r>
              <w:rPr>
                <w:rFonts w:ascii="Times New Roman" w:cs="Times New Roman" w:eastAsia="Times New Roman" w:hAnsi="Times New Roman"/>
                <w:sz w:val="10"/>
                <w:szCs w:val="10"/>
                <w:b w:val="1"/>
                <w:bCs w:val="1"/>
                <w:color w:val="auto"/>
                <w:w w:val="96"/>
              </w:rPr>
              <w:t>Principal</w:t>
            </w:r>
          </w:p>
        </w:tc>
        <w:tc>
          <w:tcPr>
            <w:tcW w:w="27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1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0" w:type="dxa"/>
            <w:vAlign w:val="bottom"/>
          </w:tcPr>
          <w:p>
            <w:pPr>
              <w:spacing w:after="0"/>
              <w:rPr>
                <w:sz w:val="8"/>
                <w:szCs w:val="8"/>
                <w:color w:val="auto"/>
              </w:rPr>
            </w:pPr>
          </w:p>
        </w:tc>
        <w:tc>
          <w:tcPr>
            <w:tcW w:w="2360" w:type="dxa"/>
            <w:vAlign w:val="bottom"/>
            <w:gridSpan w:val="2"/>
          </w:tcPr>
          <w:p>
            <w:pPr>
              <w:jc w:val="center"/>
              <w:ind w:right="1260"/>
              <w:spacing w:after="0" w:line="99"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2700" w:type="dxa"/>
            <w:vAlign w:val="bottom"/>
            <w:gridSpan w:val="2"/>
            <w:vMerge w:val="continue"/>
          </w:tcPr>
          <w:p>
            <w:pPr>
              <w:spacing w:after="0"/>
              <w:rPr>
                <w:sz w:val="8"/>
                <w:szCs w:val="8"/>
                <w:color w:val="auto"/>
              </w:rPr>
            </w:pPr>
          </w:p>
        </w:tc>
        <w:tc>
          <w:tcPr>
            <w:tcW w:w="1820" w:type="dxa"/>
            <w:vAlign w:val="bottom"/>
            <w:vMerge w:val="restart"/>
          </w:tcPr>
          <w:p>
            <w:pPr>
              <w:ind w:left="700"/>
              <w:spacing w:after="0"/>
              <w:rPr>
                <w:sz w:val="20"/>
                <w:szCs w:val="20"/>
                <w:color w:val="auto"/>
              </w:rPr>
            </w:pPr>
            <w:r>
              <w:rPr>
                <w:rFonts w:ascii="Times New Roman" w:cs="Times New Roman" w:eastAsia="Times New Roman" w:hAnsi="Times New Roman"/>
                <w:sz w:val="10"/>
                <w:szCs w:val="10"/>
                <w:b w:val="1"/>
                <w:bCs w:val="1"/>
                <w:color w:val="auto"/>
              </w:rPr>
              <w:t>Issue Date</w:t>
            </w:r>
          </w:p>
        </w:tc>
        <w:tc>
          <w:tcPr>
            <w:tcW w:w="880" w:type="dxa"/>
            <w:vAlign w:val="bottom"/>
            <w:vMerge w:val="restart"/>
          </w:tcPr>
          <w:p>
            <w:pPr>
              <w:spacing w:after="0"/>
              <w:rPr>
                <w:sz w:val="8"/>
                <w:szCs w:val="8"/>
                <w:color w:val="auto"/>
              </w:rPr>
            </w:pPr>
          </w:p>
        </w:tc>
        <w:tc>
          <w:tcPr>
            <w:tcW w:w="1800" w:type="dxa"/>
            <w:vAlign w:val="bottom"/>
            <w:vMerge w:val="restart"/>
          </w:tcPr>
          <w:p>
            <w:pPr>
              <w:ind w:left="620"/>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0" w:type="dxa"/>
            <w:vAlign w:val="bottom"/>
          </w:tcPr>
          <w:p>
            <w:pPr>
              <w:spacing w:after="0"/>
              <w:rPr>
                <w:sz w:val="1"/>
                <w:szCs w:val="1"/>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0"/>
                <w:szCs w:val="10"/>
                <w:b w:val="1"/>
                <w:bCs w:val="1"/>
                <w:color w:val="auto"/>
                <w:w w:val="95"/>
              </w:rPr>
              <w:t>Issued</w:t>
            </w:r>
          </w:p>
        </w:tc>
        <w:tc>
          <w:tcPr>
            <w:tcW w:w="880" w:type="dxa"/>
            <w:vAlign w:val="bottom"/>
            <w:tcBorders>
              <w:bottom w:val="single" w:sz="8" w:color="CCEEFF"/>
            </w:tcBorders>
          </w:tcPr>
          <w:p>
            <w:pPr>
              <w:spacing w:after="0"/>
              <w:rPr>
                <w:sz w:val="10"/>
                <w:szCs w:val="10"/>
                <w:color w:val="auto"/>
              </w:rPr>
            </w:pPr>
          </w:p>
        </w:tc>
        <w:tc>
          <w:tcPr>
            <w:tcW w:w="1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0"/>
                <w:szCs w:val="10"/>
                <w:b w:val="1"/>
                <w:bCs w:val="1"/>
                <w:color w:val="auto"/>
              </w:rPr>
              <w:t>(per annum)</w:t>
            </w:r>
          </w:p>
        </w:tc>
        <w:tc>
          <w:tcPr>
            <w:tcW w:w="880" w:type="dxa"/>
            <w:vAlign w:val="bottom"/>
            <w:tcBorders>
              <w:bottom w:val="single" w:sz="8" w:color="CCEEFF"/>
            </w:tcBorders>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CCEEFF"/>
            </w:tcBorders>
            <w:vMerge w:val="continue"/>
          </w:tcPr>
          <w:p>
            <w:pPr>
              <w:spacing w:after="0"/>
              <w:rPr>
                <w:sz w:val="10"/>
                <w:szCs w:val="10"/>
                <w:color w:val="auto"/>
              </w:rPr>
            </w:pPr>
          </w:p>
        </w:tc>
        <w:tc>
          <w:tcPr>
            <w:tcW w:w="1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ind w:left="940"/>
              <w:spacing w:after="0" w:line="133" w:lineRule="exact"/>
              <w:rPr>
                <w:sz w:val="20"/>
                <w:szCs w:val="20"/>
                <w:color w:val="auto"/>
              </w:rPr>
            </w:pPr>
            <w:r>
              <w:rPr>
                <w:rFonts w:ascii="Times New Roman" w:cs="Times New Roman" w:eastAsia="Times New Roman" w:hAnsi="Times New Roman"/>
                <w:sz w:val="12"/>
                <w:szCs w:val="12"/>
                <w:color w:val="auto"/>
                <w:w w:val="93"/>
              </w:rPr>
              <w:t>600 million</w:t>
            </w:r>
          </w:p>
        </w:tc>
        <w:tc>
          <w:tcPr>
            <w:tcW w:w="88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jc w:val="right"/>
              <w:ind w:right="780"/>
              <w:spacing w:after="0" w:line="133" w:lineRule="exact"/>
              <w:rPr>
                <w:sz w:val="20"/>
                <w:szCs w:val="20"/>
                <w:color w:val="auto"/>
              </w:rPr>
            </w:pPr>
            <w:r>
              <w:rPr>
                <w:rFonts w:ascii="Times New Roman" w:cs="Times New Roman" w:eastAsia="Times New Roman" w:hAnsi="Times New Roman"/>
                <w:sz w:val="12"/>
                <w:szCs w:val="12"/>
                <w:color w:val="auto"/>
              </w:rPr>
              <w:t>7.00%</w:t>
            </w:r>
          </w:p>
        </w:tc>
        <w:tc>
          <w:tcPr>
            <w:tcW w:w="18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7/17/1998</w:t>
            </w:r>
          </w:p>
        </w:tc>
        <w:tc>
          <w:tcPr>
            <w:tcW w:w="880" w:type="dxa"/>
            <w:vAlign w:val="bottom"/>
            <w:shd w:val="clear" w:color="auto" w:fill="CCEEFF"/>
          </w:tcPr>
          <w:p>
            <w:pPr>
              <w:spacing w:after="0"/>
              <w:rPr>
                <w:sz w:val="11"/>
                <w:szCs w:val="11"/>
                <w:color w:val="auto"/>
              </w:rPr>
            </w:pPr>
          </w:p>
        </w:tc>
        <w:tc>
          <w:tcPr>
            <w:tcW w:w="180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7/15/2028</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250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7.375%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1/21/2000</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5/15/2029</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500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7.75%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1/3/2003</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5/15/2032</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600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6.125%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11/17/2009</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11/30/2039</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350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3.50%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5/8/2014</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5/15/2024</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600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3.125%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2/26/2015</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3/1/2025</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450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3.90%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2/26/2015</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3/1/2035</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750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4.10%</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2/26/2015</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3/1/2045</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750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3.15%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11/8/2017</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11/15/2027</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1 billion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4.15%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5/22/2019</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7/15/2049</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500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0.75%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11/17/2020</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11/15/2025</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500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1.15%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11/17/2020</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3/15/2028</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1 billion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1.50%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11/17/2020</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3/15/2031</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500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2.50%</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11/17/2020</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11/15/2050</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475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2.00%</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5/12/2021</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6/1/2029</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475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2.95%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5/12/2021</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6/1/2041</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1 billion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4.15%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5/12/2022</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4/15/2032</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750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4.625%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2/15/2023</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2/15/2030</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500 million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4.625%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2/15/2023</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2/15/2033</w:t>
            </w:r>
          </w:p>
        </w:tc>
        <w:tc>
          <w:tcPr>
            <w:tcW w:w="0" w:type="dxa"/>
            <w:vAlign w:val="bottom"/>
          </w:tcPr>
          <w:p>
            <w:pPr>
              <w:spacing w:after="0"/>
              <w:rPr>
                <w:sz w:val="1"/>
                <w:szCs w:val="1"/>
                <w:color w:val="auto"/>
              </w:rPr>
            </w:pPr>
          </w:p>
        </w:tc>
      </w:tr>
      <w:tr>
        <w:trPr>
          <w:trHeight w:val="144"/>
        </w:trPr>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tcPr>
          <w:p>
            <w:pPr>
              <w:jc w:val="right"/>
              <w:ind w:right="880"/>
              <w:spacing w:after="0"/>
              <w:rPr>
                <w:sz w:val="20"/>
                <w:szCs w:val="20"/>
                <w:color w:val="auto"/>
              </w:rPr>
            </w:pPr>
            <w:r>
              <w:rPr>
                <w:rFonts w:ascii="Times New Roman" w:cs="Times New Roman" w:eastAsia="Times New Roman" w:hAnsi="Times New Roman"/>
                <w:sz w:val="12"/>
                <w:szCs w:val="12"/>
                <w:color w:val="auto"/>
              </w:rPr>
              <w:t>750 million</w:t>
            </w:r>
          </w:p>
        </w:tc>
        <w:tc>
          <w:tcPr>
            <w:tcW w:w="270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4.875%</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8/3/2023</w:t>
            </w:r>
          </w:p>
        </w:tc>
        <w:tc>
          <w:tcPr>
            <w:tcW w:w="88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2/15/2029</w:t>
            </w:r>
          </w:p>
        </w:tc>
        <w:tc>
          <w:tcPr>
            <w:tcW w:w="0" w:type="dxa"/>
            <w:vAlign w:val="bottom"/>
          </w:tcPr>
          <w:p>
            <w:pPr>
              <w:spacing w:after="0"/>
              <w:rPr>
                <w:sz w:val="1"/>
                <w:szCs w:val="1"/>
                <w:color w:val="auto"/>
              </w:rPr>
            </w:pPr>
          </w:p>
        </w:tc>
      </w:tr>
      <w:tr>
        <w:trPr>
          <w:trHeight w:val="144"/>
        </w:trPr>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rPr>
              <w:t>1.250 billion</w:t>
            </w:r>
          </w:p>
        </w:tc>
        <w:tc>
          <w:tcPr>
            <w:tcW w:w="27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4.875%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8/3/2023</w:t>
            </w:r>
          </w:p>
        </w:tc>
        <w:tc>
          <w:tcPr>
            <w:tcW w:w="88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2/15/2034</w:t>
            </w:r>
          </w:p>
        </w:tc>
        <w:tc>
          <w:tcPr>
            <w:tcW w:w="0" w:type="dxa"/>
            <w:vAlign w:val="bottom"/>
          </w:tcPr>
          <w:p>
            <w:pPr>
              <w:spacing w:after="0"/>
              <w:rPr>
                <w:sz w:val="1"/>
                <w:szCs w:val="1"/>
                <w:color w:val="auto"/>
              </w:rPr>
            </w:pPr>
          </w:p>
        </w:tc>
      </w:tr>
      <w:tr>
        <w:trPr>
          <w:trHeight w:val="504"/>
        </w:trPr>
        <w:tc>
          <w:tcPr>
            <w:tcW w:w="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60" w:top="125" w:right="959" w:bottom="1440" w:gutter="0" w:footer="0" w:header="0"/>
        </w:sectPr>
      </w:pPr>
    </w:p>
    <w:bookmarkStart w:id="55" w:name="page56"/>
    <w:bookmarkEnd w:id="55"/>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23" w:lineRule="exact"/>
        <w:rPr>
          <w:sz w:val="20"/>
          <w:szCs w:val="20"/>
          <w:color w:val="auto"/>
        </w:rPr>
      </w:pPr>
    </w:p>
    <w:p>
      <w:pPr>
        <w:jc w:val="center"/>
        <w:ind w:left="20" w:right="39"/>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 James C. Fish, Jr., certify that:</w:t>
      </w:r>
    </w:p>
    <w:p>
      <w:pPr>
        <w:spacing w:after="0" w:line="123" w:lineRule="exact"/>
        <w:rPr>
          <w:sz w:val="20"/>
          <w:szCs w:val="20"/>
          <w:color w:val="auto"/>
        </w:rPr>
      </w:pPr>
    </w:p>
    <w:p>
      <w:pPr>
        <w:ind w:left="500" w:hanging="184"/>
        <w:spacing w:after="0"/>
        <w:tabs>
          <w:tab w:leader="none" w:pos="50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report on Form 10-Q of Waste Management, Inc.;</w:t>
      </w:r>
    </w:p>
    <w:p>
      <w:pPr>
        <w:spacing w:after="0" w:line="123"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3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84"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4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55"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2"/>
          <w:szCs w:val="12"/>
          <w:color w:val="auto"/>
        </w:rPr>
      </w:pPr>
    </w:p>
    <w:p>
      <w:pPr>
        <w:ind w:left="320" w:right="39" w:firstLine="289"/>
        <w:spacing w:after="0" w:line="279" w:lineRule="auto"/>
        <w:tabs>
          <w:tab w:leader="none" w:pos="827"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53"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73"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4" w:lineRule="exact"/>
        <w:rPr>
          <w:rFonts w:ascii="Times New Roman" w:cs="Times New Roman" w:eastAsia="Times New Roman" w:hAnsi="Times New Roman"/>
          <w:sz w:val="12"/>
          <w:szCs w:val="12"/>
          <w:color w:val="auto"/>
        </w:rPr>
      </w:pPr>
    </w:p>
    <w:p>
      <w:pPr>
        <w:ind w:left="320" w:right="39" w:firstLine="289"/>
        <w:spacing w:after="0" w:line="279" w:lineRule="auto"/>
        <w:tabs>
          <w:tab w:leader="none" w:pos="805"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00" w:hanging="191"/>
        <w:spacing w:after="0"/>
        <w:tabs>
          <w:tab w:leader="none" w:pos="80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tbl>
      <w:tblPr>
        <w:tblLayout w:type="fixed"/>
        <w:tblInd w:w="4520" w:type="dxa"/>
        <w:tblCellMar>
          <w:top w:w="0" w:type="dxa"/>
          <w:left w:w="0" w:type="dxa"/>
          <w:bottom w:w="0" w:type="dxa"/>
          <w:right w:w="0" w:type="dxa"/>
        </w:tblCellMar>
      </w:tblP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JAMES C. FISH, JR.</w:t>
            </w:r>
          </w:p>
        </w:tc>
      </w:tr>
      <w:tr>
        <w:trPr>
          <w:trHeight w:val="120"/>
        </w:trPr>
        <w:tc>
          <w:tcPr>
            <w:tcW w:w="380" w:type="dxa"/>
            <w:vAlign w:val="bottom"/>
          </w:tcPr>
          <w:p>
            <w:pPr>
              <w:spacing w:after="0"/>
              <w:rPr>
                <w:sz w:val="10"/>
                <w:szCs w:val="10"/>
                <w:color w:val="auto"/>
              </w:rPr>
            </w:pPr>
          </w:p>
        </w:tc>
        <w:tc>
          <w:tcPr>
            <w:tcW w:w="4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James C. Fish, Jr.</w:t>
            </w:r>
          </w:p>
        </w:tc>
      </w:tr>
      <w:tr>
        <w:trPr>
          <w:trHeight w:val="157"/>
        </w:trPr>
        <w:tc>
          <w:tcPr>
            <w:tcW w:w="380" w:type="dxa"/>
            <w:vAlign w:val="bottom"/>
          </w:tcPr>
          <w:p>
            <w:pPr>
              <w:spacing w:after="0"/>
              <w:rPr>
                <w:sz w:val="13"/>
                <w:szCs w:val="1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President and Chief Executive Officer</w:t>
            </w: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342265</wp:posOffset>
            </wp:positionV>
            <wp:extent cx="5692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6" w:name="page57"/>
    <w:bookmarkEnd w:id="56"/>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23" w:lineRule="exact"/>
        <w:rPr>
          <w:sz w:val="20"/>
          <w:szCs w:val="20"/>
          <w:color w:val="auto"/>
        </w:rPr>
      </w:pPr>
    </w:p>
    <w:p>
      <w:pPr>
        <w:jc w:val="center"/>
        <w:ind w:left="20" w:right="39"/>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 Devina A. Rankin, certify that:</w:t>
      </w:r>
    </w:p>
    <w:p>
      <w:pPr>
        <w:spacing w:after="0" w:line="123" w:lineRule="exact"/>
        <w:rPr>
          <w:sz w:val="20"/>
          <w:szCs w:val="20"/>
          <w:color w:val="auto"/>
        </w:rPr>
      </w:pPr>
    </w:p>
    <w:p>
      <w:pPr>
        <w:ind w:left="500" w:hanging="184"/>
        <w:spacing w:after="0"/>
        <w:tabs>
          <w:tab w:leader="none" w:pos="5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report on Form 10-Q of Waste Management, Inc.;</w:t>
      </w:r>
    </w:p>
    <w:p>
      <w:pPr>
        <w:spacing w:after="0" w:line="123"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6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3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84"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4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55"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Times New Roman" w:cs="Times New Roman" w:eastAsia="Times New Roman" w:hAnsi="Times New Roman"/>
          <w:sz w:val="12"/>
          <w:szCs w:val="12"/>
          <w:color w:val="auto"/>
        </w:rPr>
      </w:pPr>
    </w:p>
    <w:p>
      <w:pPr>
        <w:ind w:left="320" w:right="39" w:firstLine="289"/>
        <w:spacing w:after="0" w:line="279" w:lineRule="auto"/>
        <w:tabs>
          <w:tab w:leader="none" w:pos="827"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2"/>
          <w:szCs w:val="12"/>
          <w:color w:val="auto"/>
        </w:rPr>
      </w:pPr>
    </w:p>
    <w:p>
      <w:pPr>
        <w:jc w:val="both"/>
        <w:ind w:left="320" w:right="39" w:firstLine="289"/>
        <w:spacing w:after="0" w:line="265" w:lineRule="auto"/>
        <w:tabs>
          <w:tab w:leader="none" w:pos="853"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2"/>
          <w:szCs w:val="12"/>
          <w:color w:val="auto"/>
        </w:rPr>
      </w:pPr>
    </w:p>
    <w:p>
      <w:pPr>
        <w:ind w:left="20" w:right="39" w:firstLine="296"/>
        <w:spacing w:after="0" w:line="279" w:lineRule="auto"/>
        <w:tabs>
          <w:tab w:leader="none" w:pos="473"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4" w:lineRule="exact"/>
        <w:rPr>
          <w:rFonts w:ascii="Times New Roman" w:cs="Times New Roman" w:eastAsia="Times New Roman" w:hAnsi="Times New Roman"/>
          <w:sz w:val="12"/>
          <w:szCs w:val="12"/>
          <w:color w:val="auto"/>
        </w:rPr>
      </w:pPr>
    </w:p>
    <w:p>
      <w:pPr>
        <w:ind w:left="320" w:right="39" w:firstLine="289"/>
        <w:spacing w:after="0" w:line="279" w:lineRule="auto"/>
        <w:tabs>
          <w:tab w:leader="none" w:pos="805"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2"/>
          <w:szCs w:val="12"/>
          <w:color w:val="auto"/>
        </w:rPr>
      </w:pPr>
    </w:p>
    <w:p>
      <w:pPr>
        <w:ind w:left="800" w:hanging="191"/>
        <w:spacing w:after="0"/>
        <w:tabs>
          <w:tab w:leader="none" w:pos="800"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tbl>
      <w:tblPr>
        <w:tblLayout w:type="fixed"/>
        <w:tblInd w:w="4500" w:type="dxa"/>
        <w:tblCellMar>
          <w:top w:w="0" w:type="dxa"/>
          <w:left w:w="0" w:type="dxa"/>
          <w:bottom w:w="0" w:type="dxa"/>
          <w:right w:w="0" w:type="dxa"/>
        </w:tblCellMar>
      </w:tblPr>
      <w:tr>
        <w:trPr>
          <w:trHeight w:val="155"/>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DEVINA A. RANKIN</w:t>
            </w:r>
          </w:p>
        </w:tc>
      </w:tr>
      <w:tr>
        <w:trPr>
          <w:trHeight w:val="120"/>
        </w:trPr>
        <w:tc>
          <w:tcPr>
            <w:tcW w:w="400" w:type="dxa"/>
            <w:vAlign w:val="bottom"/>
          </w:tcPr>
          <w:p>
            <w:pPr>
              <w:spacing w:after="0"/>
              <w:rPr>
                <w:sz w:val="10"/>
                <w:szCs w:val="10"/>
                <w:color w:val="auto"/>
              </w:rPr>
            </w:pPr>
          </w:p>
        </w:tc>
        <w:tc>
          <w:tcPr>
            <w:tcW w:w="40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rPr>
              <w:t>Devina A. Rankin</w:t>
            </w:r>
          </w:p>
        </w:tc>
      </w:tr>
      <w:tr>
        <w:trPr>
          <w:trHeight w:val="144"/>
        </w:trPr>
        <w:tc>
          <w:tcPr>
            <w:tcW w:w="400" w:type="dxa"/>
            <w:vAlign w:val="bottom"/>
          </w:tcPr>
          <w:p>
            <w:pPr>
              <w:spacing w:after="0"/>
              <w:rPr>
                <w:sz w:val="12"/>
                <w:szCs w:val="12"/>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Executive Vice President and</w:t>
            </w:r>
          </w:p>
        </w:tc>
      </w:tr>
      <w:tr>
        <w:trPr>
          <w:trHeight w:val="157"/>
        </w:trPr>
        <w:tc>
          <w:tcPr>
            <w:tcW w:w="400" w:type="dxa"/>
            <w:vAlign w:val="bottom"/>
          </w:tcPr>
          <w:p>
            <w:pPr>
              <w:spacing w:after="0"/>
              <w:rPr>
                <w:sz w:val="13"/>
                <w:szCs w:val="1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342265</wp:posOffset>
            </wp:positionV>
            <wp:extent cx="56921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jc w:val="both"/>
        <w:ind w:left="20" w:right="3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Waste Management, Inc. (the “Company”) on Form 10-Q for the period ended March 31, 2024 as filed with the Securities and Exchange Commission on the date hereof (the “Report”), I, James C. Fish, Jr., Chief Executive Officer of the Company, certify, pursuant to 18 U.S.C. § 1350, as adopted pursuant to § 906 of the Sarbanes-Oxley Act of 2002, that:</w:t>
      </w:r>
    </w:p>
    <w:p>
      <w:pPr>
        <w:spacing w:after="0" w:line="119" w:lineRule="exact"/>
        <w:rPr>
          <w:sz w:val="20"/>
          <w:szCs w:val="20"/>
          <w:color w:val="auto"/>
        </w:rPr>
      </w:pPr>
    </w:p>
    <w:p>
      <w:pPr>
        <w:ind w:left="780" w:hanging="171"/>
        <w:spacing w:after="0"/>
        <w:tabs>
          <w:tab w:leader="none" w:pos="7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780" w:hanging="171"/>
        <w:spacing w:after="0"/>
        <w:tabs>
          <w:tab w:leader="none" w:pos="7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4500" w:type="dxa"/>
        <w:tblCellMar>
          <w:top w:w="0" w:type="dxa"/>
          <w:left w:w="0" w:type="dxa"/>
          <w:bottom w:w="0" w:type="dxa"/>
          <w:right w:w="0" w:type="dxa"/>
        </w:tblCellMar>
      </w:tblPr>
      <w:tr>
        <w:trPr>
          <w:trHeight w:val="155"/>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JAMES C. FISH, JR.</w:t>
            </w:r>
          </w:p>
        </w:tc>
      </w:tr>
      <w:tr>
        <w:trPr>
          <w:trHeight w:val="120"/>
        </w:trPr>
        <w:tc>
          <w:tcPr>
            <w:tcW w:w="340" w:type="dxa"/>
            <w:vAlign w:val="bottom"/>
          </w:tcPr>
          <w:p>
            <w:pPr>
              <w:spacing w:after="0"/>
              <w:rPr>
                <w:sz w:val="10"/>
                <w:szCs w:val="10"/>
                <w:color w:val="auto"/>
              </w:rPr>
            </w:pPr>
          </w:p>
        </w:tc>
        <w:tc>
          <w:tcPr>
            <w:tcW w:w="414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James C. Fish, Jr.</w:t>
            </w:r>
          </w:p>
        </w:tc>
      </w:tr>
      <w:tr>
        <w:trPr>
          <w:trHeight w:val="157"/>
        </w:trPr>
        <w:tc>
          <w:tcPr>
            <w:tcW w:w="340" w:type="dxa"/>
            <w:vAlign w:val="bottom"/>
          </w:tcPr>
          <w:p>
            <w:pPr>
              <w:spacing w:after="0"/>
              <w:rPr>
                <w:sz w:val="13"/>
                <w:szCs w:val="13"/>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President and Chief Executive Officer</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342265</wp:posOffset>
            </wp:positionV>
            <wp:extent cx="5692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8" w:name="page59"/>
    <w:bookmarkEnd w:id="58"/>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jc w:val="both"/>
        <w:ind w:left="20" w:right="3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of Waste Management, Inc. (the “Company”) on Form 10-Q for the period ended March 31, 2024 as filed with the Securities and Exchange Commission on the date hereof (the “Report”), I, Devina A. Rankin, Chief Financial Officer of the Company, certify, pursuant to 18 U.S.C. § 1350, as adopted pursuant to § 906 of the Sarbanes-Oxley Act of 2002, that:</w:t>
      </w:r>
    </w:p>
    <w:p>
      <w:pPr>
        <w:spacing w:after="0" w:line="119" w:lineRule="exact"/>
        <w:rPr>
          <w:sz w:val="20"/>
          <w:szCs w:val="20"/>
          <w:color w:val="auto"/>
        </w:rPr>
      </w:pPr>
    </w:p>
    <w:p>
      <w:pPr>
        <w:ind w:left="780" w:hanging="171"/>
        <w:spacing w:after="0"/>
        <w:tabs>
          <w:tab w:leader="none" w:pos="7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780" w:hanging="171"/>
        <w:spacing w:after="0"/>
        <w:tabs>
          <w:tab w:leader="none" w:pos="78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tbl>
      <w:tblPr>
        <w:tblLayout w:type="fixed"/>
        <w:tblInd w:w="4500" w:type="dxa"/>
        <w:tblCellMar>
          <w:top w:w="0" w:type="dxa"/>
          <w:left w:w="0" w:type="dxa"/>
          <w:bottom w:w="0" w:type="dxa"/>
          <w:right w:w="0" w:type="dxa"/>
        </w:tblCellMar>
      </w:tblPr>
      <w:tr>
        <w:trPr>
          <w:trHeight w:val="155"/>
        </w:trPr>
        <w:tc>
          <w:tcPr>
            <w:tcW w:w="32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DEVINA A. RANKIN</w:t>
            </w:r>
          </w:p>
        </w:tc>
      </w:tr>
      <w:tr>
        <w:trPr>
          <w:trHeight w:val="120"/>
        </w:trPr>
        <w:tc>
          <w:tcPr>
            <w:tcW w:w="320" w:type="dxa"/>
            <w:vAlign w:val="bottom"/>
          </w:tcPr>
          <w:p>
            <w:pPr>
              <w:spacing w:after="0"/>
              <w:rPr>
                <w:sz w:val="10"/>
                <w:szCs w:val="10"/>
                <w:color w:val="auto"/>
              </w:rPr>
            </w:pPr>
          </w:p>
        </w:tc>
        <w:tc>
          <w:tcPr>
            <w:tcW w:w="4160" w:type="dxa"/>
            <w:vAlign w:val="bottom"/>
          </w:tcPr>
          <w:p>
            <w:pPr>
              <w:ind w:left="1700"/>
              <w:spacing w:after="0" w:line="120" w:lineRule="exact"/>
              <w:rPr>
                <w:sz w:val="20"/>
                <w:szCs w:val="20"/>
                <w:color w:val="auto"/>
              </w:rPr>
            </w:pPr>
            <w:r>
              <w:rPr>
                <w:rFonts w:ascii="Times New Roman" w:cs="Times New Roman" w:eastAsia="Times New Roman" w:hAnsi="Times New Roman"/>
                <w:sz w:val="12"/>
                <w:szCs w:val="12"/>
                <w:color w:val="auto"/>
              </w:rPr>
              <w:t>Devina A. Rankin</w:t>
            </w:r>
          </w:p>
        </w:tc>
      </w:tr>
      <w:tr>
        <w:trPr>
          <w:trHeight w:val="144"/>
        </w:trPr>
        <w:tc>
          <w:tcPr>
            <w:tcW w:w="320" w:type="dxa"/>
            <w:vAlign w:val="bottom"/>
          </w:tcPr>
          <w:p>
            <w:pPr>
              <w:spacing w:after="0"/>
              <w:rPr>
                <w:sz w:val="12"/>
                <w:szCs w:val="12"/>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Executive Vice President and</w:t>
            </w:r>
          </w:p>
        </w:tc>
      </w:tr>
      <w:tr>
        <w:trPr>
          <w:trHeight w:val="157"/>
        </w:trPr>
        <w:tc>
          <w:tcPr>
            <w:tcW w:w="320" w:type="dxa"/>
            <w:vAlign w:val="bottom"/>
          </w:tcPr>
          <w:p>
            <w:pPr>
              <w:spacing w:after="0"/>
              <w:rPr>
                <w:sz w:val="13"/>
                <w:szCs w:val="13"/>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April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342265</wp:posOffset>
            </wp:positionV>
            <wp:extent cx="5692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95</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Mine Safety Disclosures</w:t>
      </w:r>
    </w:p>
    <w:p>
      <w:pPr>
        <w:spacing w:after="0" w:line="154" w:lineRule="exact"/>
        <w:rPr>
          <w:sz w:val="20"/>
          <w:szCs w:val="20"/>
          <w:color w:val="auto"/>
        </w:rPr>
      </w:pPr>
    </w:p>
    <w:p>
      <w:pPr>
        <w:jc w:val="both"/>
        <w:ind w:left="20" w:right="39" w:firstLine="294"/>
        <w:spacing w:after="0" w:line="279" w:lineRule="auto"/>
        <w:rPr>
          <w:sz w:val="20"/>
          <w:szCs w:val="20"/>
          <w:color w:val="auto"/>
        </w:rPr>
      </w:pPr>
      <w:r>
        <w:rPr>
          <w:rFonts w:ascii="Times New Roman" w:cs="Times New Roman" w:eastAsia="Times New Roman" w:hAnsi="Times New Roman"/>
          <w:sz w:val="12"/>
          <w:szCs w:val="12"/>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11" w:lineRule="exact"/>
        <w:rPr>
          <w:sz w:val="20"/>
          <w:szCs w:val="20"/>
          <w:color w:val="auto"/>
        </w:rPr>
      </w:pPr>
    </w:p>
    <w:p>
      <w:pPr>
        <w:jc w:val="both"/>
        <w:ind w:left="20" w:right="39" w:firstLine="173"/>
        <w:spacing w:after="0" w:line="256" w:lineRule="auto"/>
        <w:rPr>
          <w:sz w:val="20"/>
          <w:szCs w:val="20"/>
          <w:color w:val="auto"/>
        </w:rPr>
      </w:pPr>
      <w:r>
        <w:rPr>
          <w:rFonts w:ascii="Times New Roman" w:cs="Times New Roman" w:eastAsia="Times New Roman" w:hAnsi="Times New Roman"/>
          <w:sz w:val="12"/>
          <w:szCs w:val="12"/>
          <w:color w:val="auto"/>
        </w:rPr>
        <w:t>During the quarter ended March 31, 2024,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During the quarter ended March 31, 2024, CGS Services, Inc., an indirect wholly-owned subsidiary of Waste Management, Inc., was assessed penalties totaling $441 by the MSHA in connection with its Caldwell PT &amp; ML mine in Indiana.</w:t>
      </w:r>
    </w:p>
    <w:p>
      <w:pPr>
        <w:spacing w:after="0" w:line="125"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In addition, during the quarter ended March 31, 2024,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221615</wp:posOffset>
            </wp:positionV>
            <wp:extent cx="5692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1."/>
      <w:numFmt w:val="decimal"/>
      <w:start w:val="7"/>
    </w:lvl>
  </w:abstractNum>
  <w:abstractNum w:abstractNumId="9">
    <w:nsid w:val="4516DDE9"/>
    <w:multiLevelType w:val="hybridMultilevel"/>
    <w:lvl w:ilvl="0">
      <w:lvlJc w:val="left"/>
      <w:lvlText w:val="(%1)"/>
      <w:numFmt w:val="lowerRoman"/>
      <w:start w:val="3"/>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lvl w:ilvl="1">
      <w:lvlJc w:val="left"/>
      <w:lvlText w:val="(%2)"/>
      <w:numFmt w:val="lowerRoman"/>
      <w:start w:val="3"/>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Roman"/>
      <w:start w:val="2"/>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lvl w:ilvl="1">
      <w:lvlJc w:val="left"/>
      <w:lvlText w:val="%2."/>
      <w:numFmt w:val="lowerLetter"/>
      <w:start w:val="1"/>
    </w:lvl>
  </w:abstractNum>
  <w:abstractNum w:abstractNumId="24">
    <w:nsid w:val="580BD78F"/>
    <w:multiLevelType w:val="hybridMultilevel"/>
    <w:lvl w:ilvl="0">
      <w:lvlJc w:val="left"/>
      <w:lvlText w:val="%1."/>
      <w:numFmt w:val="lowerLetter"/>
      <w:start w:val="3"/>
    </w:lvl>
    <w:lvl w:ilvl="1">
      <w:lvlJc w:val="left"/>
      <w:lvlText w:val="%2."/>
      <w:numFmt w:val="lowerRoman"/>
      <w:start w:val="1"/>
    </w:lvl>
  </w:abstractNum>
  <w:abstractNum w:abstractNumId="25">
    <w:nsid w:val="153EA438"/>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upperLetter"/>
      <w:start w:val="1"/>
    </w:lvl>
  </w:abstractNum>
  <w:abstractNum w:abstractNumId="26">
    <w:nsid w:val="3855585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9"/>
    </w:lvl>
    <w:lvl w:ilvl="3">
      <w:lvlJc w:val="left"/>
      <w:lvlText w:val="%4."/>
      <w:numFmt w:val="upperLetter"/>
      <w:start w:val="1"/>
    </w:lvl>
  </w:abstractNum>
  <w:abstractNum w:abstractNumId="27">
    <w:nsid w:val="70A64E2A"/>
    <w:multiLevelType w:val="hybridMultilevel"/>
    <w:lvl w:ilvl="0">
      <w:lvlJc w:val="left"/>
      <w:lvlText w:val="%1."/>
      <w:numFmt w:val="lowerRoman"/>
      <w:start w:val="2"/>
    </w:lvl>
  </w:abstractNum>
  <w:abstractNum w:abstractNumId="28">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9">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30">
    <w:nsid w:val="1D4ED43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2"/>
    </w:lvl>
  </w:abstractNum>
  <w:abstractNum w:abstractNumId="35">
    <w:nsid w:val="4B588F54"/>
    <w:multiLevelType w:val="hybridMultilevel"/>
    <w:lvl w:ilvl="0">
      <w:lvlJc w:val="left"/>
      <w:lvlText w:val="%1."/>
      <w:numFmt w:val="decimal"/>
      <w:start w:val="4"/>
    </w:lvl>
  </w:abstractNum>
  <w:abstractNum w:abstractNumId="36">
    <w:nsid w:val="542289EC"/>
    <w:multiLevelType w:val="hybridMultilevel"/>
    <w:lvl w:ilvl="0">
      <w:lvlJc w:val="left"/>
      <w:lvlText w:val="%1."/>
      <w:numFmt w:val="decimal"/>
      <w:start w:val="1"/>
    </w:lvl>
    <w:lvl w:ilvl="1">
      <w:lvlJc w:val="left"/>
      <w:lvlText w:val="%2."/>
      <w:numFmt w:val="lowerLetter"/>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38">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39">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Roman"/>
      <w:start w:val="1"/>
    </w:lvl>
  </w:abstractNum>
  <w:abstractNum w:abstractNumId="40">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1">
    <w:nsid w:val="684A481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42">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Letter"/>
      <w:start w:val="1"/>
    </w:lvl>
  </w:abstractNum>
  <w:abstractNum w:abstractNumId="43">
    <w:nsid w:val="749ABB4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44">
    <w:nsid w:val="3DC240FB"/>
    <w:multiLevelType w:val="hybridMultilevel"/>
    <w:lvl w:ilvl="0">
      <w:lvlJc w:val="left"/>
      <w:lvlText w:val="%1."/>
      <w:numFmt w:val="lowerRoman"/>
      <w:start w:val="2"/>
    </w:lvl>
    <w:lvl w:ilvl="1">
      <w:lvlJc w:val="left"/>
      <w:lvlText w:val="%2."/>
      <w:numFmt w:val="decimal"/>
      <w:start w:val="1"/>
    </w:lvl>
  </w:abstractNum>
  <w:abstractNum w:abstractNumId="45">
    <w:nsid w:val="1BA026F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46">
    <w:nsid w:val="79A1DEAA"/>
    <w:multiLevelType w:val="hybridMultilevel"/>
    <w:lvl w:ilvl="0">
      <w:lvlJc w:val="left"/>
      <w:lvlText w:val="%1."/>
      <w:numFmt w:val="lowerLetter"/>
      <w:start w:val="2"/>
    </w:lvl>
    <w:lvl w:ilvl="1">
      <w:lvlJc w:val="left"/>
      <w:lvlText w:val="%2."/>
      <w:numFmt w:val="lowerLetter"/>
      <w:start w:val="3"/>
    </w:lvl>
    <w:lvl w:ilvl="2">
      <w:lvlJc w:val="left"/>
      <w:lvlText w:val="%3"/>
      <w:numFmt w:val="decimal"/>
      <w:start w:val="1"/>
    </w:lvl>
  </w:abstractNum>
  <w:abstractNum w:abstractNumId="47">
    <w:nsid w:val="75C6C3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8">
    <w:nsid w:val="12E685FB"/>
    <w:multiLevelType w:val="hybridMultilevel"/>
    <w:lvl w:ilvl="0">
      <w:lvlJc w:val="left"/>
      <w:lvlText w:val="%1."/>
      <w:numFmt w:val="decimal"/>
      <w:start w:val="1"/>
    </w:lvl>
    <w:lvl w:ilvl="1">
      <w:lvlJc w:val="left"/>
      <w:lvlText w:val="%2."/>
      <w:numFmt w:val="lowerLetter"/>
      <w:start w:val="1"/>
    </w:lvl>
  </w:abstractNum>
  <w:abstractNum w:abstractNumId="49">
    <w:nsid w:val="70C6A529"/>
    <w:multiLevelType w:val="hybridMultilevel"/>
    <w:lvl w:ilvl="0">
      <w:lvlJc w:val="left"/>
      <w:lvlText w:val="%1."/>
      <w:numFmt w:val="decimal"/>
      <w:start w:val="5"/>
    </w:lvl>
    <w:lvl w:ilvl="1">
      <w:lvlJc w:val="left"/>
      <w:lvlText w:val="%2."/>
      <w:numFmt w:val="lowerLetter"/>
      <w:start w:val="1"/>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50" Type="http://schemas.openxmlformats.org/officeDocument/2006/relationships/hyperlink" Target="https://www.sec.gov/Archives/edgar/data/823768/000110465924031504/tm247937d1_ex10-1.htm" TargetMode="External"/><Relationship Id="rId51" Type="http://schemas.openxmlformats.org/officeDocument/2006/relationships/hyperlink" Target="https://www.sec.gov/Archives/edgar/data/823768/000110465924031504/tm24793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2024-04-25T12:55:09Z</dcterms:created>
  <dcterms:modified xsi:type="dcterms:W3CDTF">2024-04-25T12:55:09Z</dcterms:modified>
</cp:coreProperties>
</file>