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2012</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38,463,415</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38,463,415</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38,463,415</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94106L109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94106L109</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38,463,415 shares or 8.3% of the 463,899,149 shares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11, 2013</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James P. Ryan</w:t>
      </w:r>
    </w:p>
    <w:p>
      <w:pPr>
        <w:ind w:left="1580"/>
        <w:spacing w:after="0" w:line="238" w:lineRule="auto"/>
        <w:rPr>
          <w:sz w:val="20"/>
          <w:szCs w:val="20"/>
          <w:color w:val="auto"/>
        </w:rPr>
      </w:pPr>
      <w:r>
        <w:rPr>
          <w:rFonts w:ascii="Courier New" w:cs="Courier New" w:eastAsia="Courier New" w:hAnsi="Courier New"/>
          <w:sz w:val="18"/>
          <w:szCs w:val="18"/>
          <w:color w:val="auto"/>
        </w:rPr>
        <w:t>James P. Ryan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29, 2010 included as an Exhibit to Schedule 13G filed with the Securities and Exchange Commission by Capital Research Global Investors on January 10, 2011 with respect to Portfolio Recovery Associates,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2019-12-06T01:39:48Z</dcterms:created>
  <dcterms:modified xsi:type="dcterms:W3CDTF">2019-12-06T01:39:48Z</dcterms:modified>
</cp:coreProperties>
</file>