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October 27, 2015</w:t>
      </w:r>
    </w:p>
    <w:p>
      <w:pPr>
        <w:spacing w:after="0" w:line="27" w:lineRule="exact"/>
        <w:rPr>
          <w:sz w:val="24"/>
          <w:szCs w:val="24"/>
          <w:color w:val="auto"/>
        </w:rPr>
      </w:pPr>
    </w:p>
    <w:p>
      <w:pPr>
        <w:ind w:left="8880"/>
        <w:spacing w:after="0"/>
        <w:rPr>
          <w:sz w:val="20"/>
          <w:szCs w:val="20"/>
          <w:color w:val="auto"/>
        </w:rPr>
      </w:pPr>
      <w:r>
        <w:rPr>
          <w:rFonts w:ascii="Arial" w:cs="Arial" w:eastAsia="Arial" w:hAnsi="Arial"/>
          <w:sz w:val="18"/>
          <w:szCs w:val="18"/>
          <w:b w:val="1"/>
          <w:bCs w:val="1"/>
          <w:color w:val="auto"/>
        </w:rPr>
        <w:t>Registration Number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40" w:type="dxa"/>
            <w:vAlign w:val="bottom"/>
          </w:tcPr>
          <w:p>
            <w:pPr>
              <w:jc w:val="center"/>
              <w:ind w:right="2082"/>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center"/>
              <w:ind w:left="2082"/>
              <w:spacing w:after="0"/>
              <w:rPr>
                <w:sz w:val="20"/>
                <w:szCs w:val="20"/>
                <w:color w:val="auto"/>
              </w:rPr>
            </w:pPr>
            <w:r>
              <w:rPr>
                <w:rFonts w:ascii="Arial" w:cs="Arial" w:eastAsia="Arial" w:hAnsi="Arial"/>
                <w:sz w:val="18"/>
                <w:szCs w:val="18"/>
                <w:b w:val="1"/>
                <w:bCs w:val="1"/>
                <w:color w:val="auto"/>
                <w:w w:val="91"/>
              </w:rPr>
              <w:t>73-1309529</w:t>
            </w:r>
          </w:p>
        </w:tc>
      </w:tr>
      <w:tr>
        <w:trPr>
          <w:trHeight w:val="149"/>
        </w:trPr>
        <w:tc>
          <w:tcPr>
            <w:tcW w:w="4040" w:type="dxa"/>
            <w:vAlign w:val="bottom"/>
          </w:tcPr>
          <w:p>
            <w:pPr>
              <w:jc w:val="center"/>
              <w:ind w:right="20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80" w:type="dxa"/>
            <w:vAlign w:val="bottom"/>
          </w:tcPr>
          <w:p>
            <w:pPr>
              <w:jc w:val="center"/>
              <w:ind w:left="20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082"/>
              <w:spacing w:after="0"/>
              <w:rPr>
                <w:sz w:val="20"/>
                <w:szCs w:val="20"/>
                <w:color w:val="auto"/>
              </w:rPr>
            </w:pPr>
            <w:r>
              <w:rPr>
                <w:rFonts w:ascii="Arial" w:cs="Arial" w:eastAsia="Arial" w:hAnsi="Arial"/>
                <w:sz w:val="14"/>
                <w:szCs w:val="14"/>
                <w:b w:val="1"/>
                <w:bCs w:val="1"/>
                <w:color w:val="auto"/>
                <w:w w:val="94"/>
              </w:rPr>
              <w:t>incorporation or organization)</w:t>
            </w:r>
          </w:p>
        </w:tc>
        <w:tc>
          <w:tcPr>
            <w:tcW w:w="3280" w:type="dxa"/>
            <w:vAlign w:val="bottom"/>
          </w:tcPr>
          <w:p>
            <w:pPr>
              <w:jc w:val="center"/>
              <w:ind w:left="20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512-6200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512-6200</w:t>
      </w:r>
    </w:p>
    <w:p>
      <w:pPr>
        <w:spacing w:after="0" w:line="9" w:lineRule="exact"/>
        <w:rPr>
          <w:rFonts w:ascii="Arial" w:cs="Arial" w:eastAsia="Arial" w:hAnsi="Arial"/>
          <w:sz w:val="18"/>
          <w:szCs w:val="18"/>
          <w:b w:val="1"/>
          <w:bCs w:val="1"/>
          <w:color w:val="auto"/>
        </w:rPr>
      </w:pPr>
    </w:p>
    <w:p>
      <w:pPr>
        <w:ind w:left="4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Attention: Chief Legal Officer</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the effective date of this Registration Statement.</w:t>
      </w:r>
    </w:p>
    <w:p>
      <w:pPr>
        <w:spacing w:after="0" w:line="252" w:lineRule="exact"/>
        <w:rPr>
          <w:sz w:val="24"/>
          <w:szCs w:val="24"/>
          <w:color w:val="auto"/>
        </w:rPr>
      </w:pPr>
    </w:p>
    <w:p>
      <w:pPr>
        <w:ind w:right="32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any of the securities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40" w:firstLine="456"/>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4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gridSpan w:val="2"/>
          </w:tcPr>
          <w:p>
            <w:pPr>
              <w:spacing w:after="0"/>
              <w:rPr>
                <w:sz w:val="20"/>
                <w:szCs w:val="20"/>
                <w:color w:val="auto"/>
              </w:rPr>
            </w:pPr>
            <w:r>
              <w:rPr>
                <w:rFonts w:ascii="Arial" w:cs="Arial" w:eastAsia="Arial" w:hAnsi="Arial"/>
                <w:sz w:val="18"/>
                <w:szCs w:val="18"/>
                <w:color w:val="auto"/>
                <w:w w:val="98"/>
              </w:rPr>
              <w:t>Large accelerated filer</w:t>
            </w:r>
          </w:p>
        </w:tc>
        <w:tc>
          <w:tcPr>
            <w:tcW w:w="4460" w:type="dxa"/>
            <w:vAlign w:val="bottom"/>
            <w:gridSpan w:val="2"/>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398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460" w:type="dxa"/>
            <w:vAlign w:val="bottom"/>
            <w:gridSpan w:val="2"/>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660" w:type="dxa"/>
            <w:vAlign w:val="bottom"/>
          </w:tcPr>
          <w:p>
            <w:pPr>
              <w:spacing w:after="0"/>
              <w:rPr>
                <w:sz w:val="24"/>
                <w:szCs w:val="24"/>
                <w:color w:val="auto"/>
              </w:rPr>
            </w:pPr>
          </w:p>
        </w:tc>
        <w:tc>
          <w:tcPr>
            <w:tcW w:w="398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380" w:type="dxa"/>
            <w:vAlign w:val="bottom"/>
            <w:tcBorders>
              <w:bottom w:val="single" w:sz="8" w:color="auto"/>
            </w:tcBorders>
            <w:gridSpan w:val="2"/>
          </w:tcPr>
          <w:p>
            <w:pPr>
              <w:spacing w:after="0"/>
              <w:rPr>
                <w:sz w:val="18"/>
                <w:szCs w:val="18"/>
                <w:color w:val="auto"/>
              </w:rPr>
            </w:pPr>
          </w:p>
        </w:tc>
        <w:tc>
          <w:tcPr>
            <w:tcW w:w="3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100" w:type="dxa"/>
            <w:vAlign w:val="bottom"/>
            <w:gridSpan w:val="4"/>
          </w:tcPr>
          <w:p>
            <w:pPr>
              <w:ind w:left="2200"/>
              <w:spacing w:after="0"/>
              <w:rPr>
                <w:sz w:val="20"/>
                <w:szCs w:val="20"/>
                <w:color w:val="auto"/>
              </w:rPr>
            </w:pPr>
            <w:r>
              <w:rPr>
                <w:rFonts w:ascii="Arial" w:cs="Arial" w:eastAsia="Arial" w:hAnsi="Arial"/>
                <w:sz w:val="18"/>
                <w:szCs w:val="18"/>
                <w:b w:val="1"/>
                <w:bCs w:val="1"/>
                <w:color w:val="auto"/>
              </w:rPr>
              <w:t>CALCULATION OF REGISTRATION FEE</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4640" w:type="dxa"/>
            <w:vAlign w:val="bottom"/>
            <w:tcBorders>
              <w:bottom w:val="single" w:sz="8" w:color="auto"/>
            </w:tcBorders>
            <w:gridSpan w:val="2"/>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460" w:type="dxa"/>
            <w:vAlign w:val="bottom"/>
            <w:gridSpan w:val="2"/>
            <w:vMerge w:val="restart"/>
          </w:tcPr>
          <w:p>
            <w:pPr>
              <w:jc w:val="center"/>
              <w:ind w:right="2520"/>
              <w:spacing w:after="0"/>
              <w:rPr>
                <w:sz w:val="20"/>
                <w:szCs w:val="20"/>
                <w:color w:val="auto"/>
              </w:rPr>
            </w:pPr>
            <w:r>
              <w:rPr>
                <w:rFonts w:ascii="Arial" w:cs="Arial" w:eastAsia="Arial" w:hAnsi="Arial"/>
                <w:sz w:val="14"/>
                <w:szCs w:val="14"/>
                <w:b w:val="1"/>
                <w:bCs w:val="1"/>
                <w:color w:val="auto"/>
                <w:w w:val="91"/>
              </w:rPr>
              <w:t>Title of Each Class of</w:t>
            </w:r>
          </w:p>
        </w:tc>
        <w:tc>
          <w:tcPr>
            <w:tcW w:w="464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3"/>
              </w:rPr>
              <w:t>Amount to be Registered/Proposed Maximum Offering Price per</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46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4"/>
              </w:rPr>
              <w:t>Unit/Proposed Maximum Aggregate Offering Price/Amount of</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2"/>
          </w:tcPr>
          <w:p>
            <w:pPr>
              <w:jc w:val="center"/>
              <w:ind w:right="2520"/>
              <w:spacing w:after="0"/>
              <w:rPr>
                <w:sz w:val="20"/>
                <w:szCs w:val="20"/>
                <w:color w:val="auto"/>
              </w:rPr>
            </w:pPr>
            <w:r>
              <w:rPr>
                <w:rFonts w:ascii="Arial" w:cs="Arial" w:eastAsia="Arial" w:hAnsi="Arial"/>
                <w:sz w:val="14"/>
                <w:szCs w:val="14"/>
                <w:b w:val="1"/>
                <w:bCs w:val="1"/>
                <w:color w:val="auto"/>
                <w:w w:val="89"/>
              </w:rPr>
              <w:t>Securities to be Registered</w:t>
            </w:r>
          </w:p>
        </w:tc>
        <w:tc>
          <w:tcPr>
            <w:tcW w:w="6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jc w:val="center"/>
              <w:ind w:right="556"/>
              <w:spacing w:after="0"/>
              <w:rPr>
                <w:sz w:val="20"/>
                <w:szCs w:val="20"/>
                <w:color w:val="auto"/>
              </w:rPr>
            </w:pPr>
            <w:r>
              <w:rPr>
                <w:rFonts w:ascii="Arial" w:cs="Arial" w:eastAsia="Arial" w:hAnsi="Arial"/>
                <w:sz w:val="14"/>
                <w:szCs w:val="14"/>
                <w:b w:val="1"/>
                <w:bCs w:val="1"/>
                <w:color w:val="auto"/>
                <w:w w:val="93"/>
              </w:rPr>
              <w:t>Registration Fee (1)(2)</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Debt Securities</w:t>
            </w:r>
          </w:p>
        </w:tc>
        <w:tc>
          <w:tcPr>
            <w:tcW w:w="2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1191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60" w:right="20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indeterminate aggregate initial offering price or number of the securities of each identified class is being registered as may from time to time be issued at indeterminate prices and as may be issuable upon exercise, conversion, redemption, settlement or exchange of any securities hereunder, including under any applicable antidilution provisions. Separate consideration may or may not be received for securities that are issuable on exercise, conversion, redemption, settlement or exchange of other securities.</w:t>
      </w:r>
    </w:p>
    <w:p>
      <w:pPr>
        <w:spacing w:after="0" w:line="2"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accordance with Rules 456(b) and 457(r), the registrant is deferring payment of all of the registration fees and will pay such fees on a pay-as-you-go basis.</w:t>
      </w:r>
    </w:p>
    <w:p>
      <w:pPr>
        <w:ind w:left="460" w:right="760" w:hanging="452"/>
        <w:spacing w:after="0" w:line="265"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also registering guarantees that Waste Management Holdings, Inc. may have with respect to debt securities we may issue. No separate consideration will be received for the guarantees. See inside facing page for information on the additional registrant guarantor.</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securities registered hereunder may be sold separately or as units with other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ADDITIONAL REGISTRANT GUARANTORS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State or Other</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Address Including</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IRS Employer</w:t>
            </w:r>
          </w:p>
        </w:tc>
        <w:tc>
          <w:tcPr>
            <w:tcW w:w="2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Zip Code and</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Jurisdiction of</w:t>
            </w: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Telephone Number of</w:t>
            </w:r>
          </w:p>
        </w:tc>
        <w:tc>
          <w:tcPr>
            <w:tcW w:w="0" w:type="dxa"/>
            <w:vAlign w:val="bottom"/>
          </w:tcPr>
          <w:p>
            <w:pPr>
              <w:spacing w:after="0"/>
              <w:rPr>
                <w:sz w:val="1"/>
                <w:szCs w:val="1"/>
                <w:color w:val="auto"/>
              </w:rPr>
            </w:pPr>
          </w:p>
        </w:tc>
      </w:tr>
      <w:tr>
        <w:trPr>
          <w:trHeight w:val="149"/>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Exact Name as Specified in Charter</w:t>
            </w: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Identification</w:t>
            </w:r>
          </w:p>
        </w:tc>
        <w:tc>
          <w:tcPr>
            <w:tcW w:w="2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Principal Executive</w:t>
            </w:r>
          </w:p>
        </w:tc>
        <w:tc>
          <w:tcPr>
            <w:tcW w:w="0" w:type="dxa"/>
            <w:vAlign w:val="bottom"/>
          </w:tcPr>
          <w:p>
            <w:pPr>
              <w:spacing w:after="0"/>
              <w:rPr>
                <w:sz w:val="1"/>
                <w:szCs w:val="1"/>
                <w:color w:val="auto"/>
              </w:rPr>
            </w:pPr>
          </w:p>
        </w:tc>
      </w:tr>
      <w:tr>
        <w:trPr>
          <w:trHeight w:val="171"/>
        </w:trPr>
        <w:tc>
          <w:tcPr>
            <w:tcW w:w="6500" w:type="dxa"/>
            <w:vAlign w:val="bottom"/>
            <w:gridSpan w:val="2"/>
            <w:vMerge w:val="continue"/>
          </w:tcPr>
          <w:p>
            <w:pPr>
              <w:spacing w:after="0"/>
              <w:rPr>
                <w:sz w:val="14"/>
                <w:szCs w:val="1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Organization</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Office</w:t>
            </w:r>
          </w:p>
        </w:tc>
        <w:tc>
          <w:tcPr>
            <w:tcW w:w="0" w:type="dxa"/>
            <w:vAlign w:val="bottom"/>
          </w:tcPr>
          <w:p>
            <w:pPr>
              <w:spacing w:after="0"/>
              <w:rPr>
                <w:sz w:val="1"/>
                <w:szCs w:val="1"/>
                <w:color w:val="auto"/>
              </w:rPr>
            </w:pPr>
          </w:p>
        </w:tc>
      </w:tr>
      <w:tr>
        <w:trPr>
          <w:trHeight w:val="88"/>
        </w:trPr>
        <w:tc>
          <w:tcPr>
            <w:tcW w:w="2200" w:type="dxa"/>
            <w:vAlign w:val="bottom"/>
            <w:tcBorders>
              <w:top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1001 Fannin Street</w:t>
            </w: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Waste Management Holdings, Inc.</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Delaware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36-2660763</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Houston, Texas 77002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172085</wp:posOffset>
            </wp:positionV>
            <wp:extent cx="141478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7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21" w:lineRule="exact"/>
        <w:rPr>
          <w:sz w:val="20"/>
          <w:szCs w:val="20"/>
          <w:color w:val="auto"/>
        </w:rPr>
      </w:pPr>
    </w:p>
    <w:p>
      <w:pPr>
        <w:jc w:val="both"/>
        <w:ind w:right="20" w:firstLine="45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6 of this prospectus, the risk factors included in our periodic reports that we file with the Securities Exchange Commission and incorporated by reference herein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This prospectus is dated October 27, 2015</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4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41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About this Prospectus</w:t>
              </w:r>
            </w:hyperlink>
          </w:p>
        </w:tc>
        <w:tc>
          <w:tcPr>
            <w:tcW w:w="2060" w:type="dxa"/>
            <w:vAlign w:val="bottom"/>
            <w:gridSpan w:val="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Incorporation of Certain Documents by Reference</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The Company</w:t>
              </w:r>
            </w:hyperlink>
          </w:p>
        </w:tc>
        <w:tc>
          <w:tcPr>
            <w:tcW w:w="3140" w:type="dxa"/>
            <w:vAlign w:val="bottom"/>
            <w:gridSpan w:val="1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3260" w:type="dxa"/>
            <w:vAlign w:val="bottom"/>
            <w:gridSpan w:val="1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Ratio of Earnings to Fixed Charges</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9"/>
          </w:tcPr>
          <w:p>
            <w:pPr>
              <w:spacing w:after="0"/>
              <w:rPr>
                <w:sz w:val="17"/>
                <w:szCs w:val="17"/>
                <w:color w:val="auto"/>
              </w:rPr>
            </w:pPr>
          </w:p>
        </w:tc>
        <w:tc>
          <w:tcPr>
            <w:tcW w:w="1640" w:type="dxa"/>
            <w:vAlign w:val="bottom"/>
            <w:gridSpan w:val="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Description of Debt Securities</w:t>
              </w:r>
            </w:hyperlink>
          </w:p>
        </w:tc>
        <w:tc>
          <w:tcPr>
            <w:tcW w:w="1980" w:type="dxa"/>
            <w:vAlign w:val="bottom"/>
            <w:gridSpan w:val="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Description of Guarantees</w:t>
              </w:r>
            </w:hyperlink>
          </w:p>
        </w:tc>
        <w:tc>
          <w:tcPr>
            <w:tcW w:w="2280" w:type="dxa"/>
            <w:vAlign w:val="bottom"/>
            <w:gridSpan w:val="8"/>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Capital Stock</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Description of Other Securities</w:t>
              </w:r>
            </w:hyperlink>
          </w:p>
        </w:tc>
        <w:tc>
          <w:tcPr>
            <w:tcW w:w="1920" w:type="dxa"/>
            <w:vAlign w:val="bottom"/>
            <w:gridSpan w:val="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Plan of Distribution</w:t>
              </w:r>
            </w:hyperlink>
          </w:p>
        </w:tc>
        <w:tc>
          <w:tcPr>
            <w:tcW w:w="2740" w:type="dxa"/>
            <w:vAlign w:val="bottom"/>
            <w:gridSpan w:val="11"/>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Selling Securityholders</w:t>
              </w:r>
            </w:hyperlink>
          </w:p>
        </w:tc>
        <w:tc>
          <w:tcPr>
            <w:tcW w:w="2480" w:type="dxa"/>
            <w:vAlign w:val="bottom"/>
            <w:gridSpan w:val="9"/>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Legal Matters</w:t>
              </w:r>
            </w:hyperlink>
          </w:p>
        </w:tc>
        <w:tc>
          <w:tcPr>
            <w:tcW w:w="3160" w:type="dxa"/>
            <w:vAlign w:val="bottom"/>
            <w:gridSpan w:val="1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Experts</w:t>
              </w:r>
            </w:hyperlink>
          </w:p>
        </w:tc>
        <w:tc>
          <w:tcPr>
            <w:tcW w:w="3620" w:type="dxa"/>
            <w:vAlign w:val="bottom"/>
            <w:gridSpan w:val="1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2014.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84" w:lineRule="exact"/>
        <w:rPr>
          <w:sz w:val="20"/>
          <w:szCs w:val="20"/>
          <w:color w:val="auto"/>
        </w:rPr>
      </w:pPr>
    </w:p>
    <w:p>
      <w:pPr>
        <w:ind w:left="900" w:hanging="446"/>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29"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in implementing our cost saving, optimization and growth initiatives and overall business strategy, which could adversely impact our financial performance and growth, and implementation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0"/>
        <w:spacing w:after="0" w:line="277" w:lineRule="auto"/>
        <w:rPr>
          <w:sz w:val="20"/>
          <w:szCs w:val="20"/>
          <w:color w:val="auto"/>
        </w:rPr>
      </w:pPr>
      <w:r>
        <w:rPr>
          <w:rFonts w:ascii="Arial" w:cs="Arial" w:eastAsia="Arial" w:hAnsi="Arial"/>
          <w:sz w:val="18"/>
          <w:szCs w:val="18"/>
          <w:color w:val="auto"/>
        </w:rPr>
        <w:t>our initiatives and strategy may have associated negative consequences, such as fragmentation of efforts, increased indebtedness, asset impairments, business disruption, employee distraction, and regulatory issues;</w:t>
      </w:r>
    </w:p>
    <w:p>
      <w:pPr>
        <w:spacing w:after="0" w:line="76" w:lineRule="exact"/>
        <w:rPr>
          <w:sz w:val="20"/>
          <w:szCs w:val="20"/>
          <w:color w:val="auto"/>
        </w:rPr>
      </w:pPr>
    </w:p>
    <w:p>
      <w:pPr>
        <w:ind w:left="900" w:right="6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and other energy-related products marketed and sold by our landfill gas recovery operations; fluctuations in commodity prices may have negative effects on our operating results;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oil and gas prices and drilling activity, and changes in applicable regulations, could adversely affect our Energy Services business;</w:t>
      </w:r>
    </w:p>
    <w:p>
      <w:pPr>
        <w:spacing w:after="0" w:line="153" w:lineRule="exact"/>
        <w:rPr>
          <w:rFonts w:ascii="Arial" w:cs="Arial" w:eastAsia="Arial" w:hAnsi="Arial"/>
          <w:sz w:val="16"/>
          <w:szCs w:val="16"/>
          <w:color w:val="auto"/>
        </w:rPr>
      </w:pPr>
    </w:p>
    <w:p>
      <w:pPr>
        <w:ind w:left="900" w:right="26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75"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1"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75" w:lineRule="exact"/>
        <w:rPr>
          <w:rFonts w:ascii="Arial" w:cs="Arial" w:eastAsia="Arial" w:hAnsi="Arial"/>
          <w:sz w:val="18"/>
          <w:szCs w:val="18"/>
          <w:color w:val="auto"/>
        </w:rPr>
      </w:pPr>
    </w:p>
    <w:p>
      <w:pPr>
        <w:ind w:left="900" w:right="620" w:hanging="446"/>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29" w:lineRule="exact"/>
        <w:rPr>
          <w:rFonts w:ascii="Arial" w:cs="Arial" w:eastAsia="Arial" w:hAnsi="Arial"/>
          <w:sz w:val="16"/>
          <w:szCs w:val="16"/>
          <w:color w:val="auto"/>
        </w:rPr>
      </w:pPr>
    </w:p>
    <w:p>
      <w:pPr>
        <w:ind w:left="900" w:right="7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7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with the SEC. These documents contain important information about us and our financial condition.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Date Filed</w:t>
            </w:r>
          </w:p>
        </w:tc>
      </w:tr>
      <w:tr>
        <w:trPr>
          <w:trHeight w:val="210"/>
        </w:trPr>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Annual Report on Form 10-K for the year ended December 31, 2014</w:t>
            </w:r>
          </w:p>
        </w:tc>
        <w:tc>
          <w:tcPr>
            <w:tcW w:w="2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17,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2015</w:t>
            </w:r>
          </w:p>
        </w:tc>
        <w:tc>
          <w:tcPr>
            <w:tcW w:w="1860" w:type="dxa"/>
            <w:vAlign w:val="bottom"/>
          </w:tcPr>
          <w:p>
            <w:pPr>
              <w:jc w:val="center"/>
              <w:spacing w:after="0"/>
              <w:rPr>
                <w:sz w:val="20"/>
                <w:szCs w:val="20"/>
                <w:color w:val="auto"/>
              </w:rPr>
            </w:pPr>
            <w:r>
              <w:rPr>
                <w:rFonts w:ascii="Arial" w:cs="Arial" w:eastAsia="Arial" w:hAnsi="Arial"/>
                <w:sz w:val="18"/>
                <w:szCs w:val="18"/>
                <w:color w:val="auto"/>
                <w:w w:val="95"/>
              </w:rPr>
              <w:t>April 29,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2015</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23,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September 30, 2015</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October 27,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2,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February 18,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24,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March 3,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15,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July 14,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September 2,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1, 2015</w:t>
            </w: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 as we may update that description from time to time</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July 13, 1995</w:t>
            </w:r>
          </w:p>
        </w:tc>
      </w:tr>
    </w:tbl>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58"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 xml:space="preserve">You may obtain copies of any of these filings through Waste Management, the SEC or the SEC’s Internet site as described below. Documents incorporated by reference are available without charge by requesting them in writing or by telephone using the contact information below and may be accessed through the Investor Relations section of </w:t>
      </w:r>
      <w:r>
        <w:rPr>
          <w:rFonts w:ascii="Arial" w:cs="Arial" w:eastAsia="Arial" w:hAnsi="Arial"/>
          <w:sz w:val="18"/>
          <w:szCs w:val="18"/>
          <w:i w:val="1"/>
          <w:iCs w:val="1"/>
          <w:color w:val="auto"/>
        </w:rPr>
        <w:t>www.wm.com.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1001 Fannin Street, Houston, Texas 77002 and our telephone number is (713) 512-6200.</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9"/>
            <w:vMerge w:val="restart"/>
          </w:tcPr>
          <w:p>
            <w:pPr>
              <w:jc w:val="center"/>
              <w:ind w:right="480"/>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5"/>
              </w:rPr>
              <w:t>(Unaudited)</w:t>
            </w:r>
          </w:p>
        </w:tc>
        <w:tc>
          <w:tcPr>
            <w:tcW w:w="4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1,350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1,557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Implicit interest in rents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5540" w:type="dxa"/>
            <w:vAlign w:val="bottom"/>
            <w:gridSpan w:val="2"/>
          </w:tcPr>
          <w:p>
            <w:pPr>
              <w:ind w:left="720"/>
              <w:spacing w:after="0"/>
              <w:rPr>
                <w:sz w:val="20"/>
                <w:szCs w:val="20"/>
                <w:color w:val="auto"/>
              </w:rPr>
            </w:pPr>
            <w:r>
              <w:rPr>
                <w:rFonts w:ascii="Arial" w:cs="Arial" w:eastAsia="Arial" w:hAnsi="Arial"/>
                <w:sz w:val="18"/>
                <w:szCs w:val="18"/>
                <w:color w:val="auto"/>
              </w:rPr>
              <w:t>Earnings available for fixed charges(a)</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2,329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1,897</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2,083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ind w:left="720"/>
              <w:spacing w:after="0"/>
              <w:rPr>
                <w:sz w:val="20"/>
                <w:szCs w:val="20"/>
                <w:color w:val="auto"/>
              </w:rPr>
            </w:pPr>
            <w:r>
              <w:rPr>
                <w:rFonts w:ascii="Arial" w:cs="Arial" w:eastAsia="Arial" w:hAnsi="Arial"/>
                <w:sz w:val="18"/>
                <w:szCs w:val="18"/>
                <w:color w:val="auto"/>
              </w:rPr>
              <w:t>Total fixed charges(a)</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Ratio of earnings to fixed charges</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3.0x</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4.3x</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3.3x</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4.1x</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Adjusted ratio of earnings to fixed charges(b)</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3.1x</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4.2x</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3.7x</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3.6x</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3.9x</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2" w:lineRule="exact"/>
        <w:rPr>
          <w:rFonts w:ascii="Arial" w:cs="Arial" w:eastAsia="Arial" w:hAnsi="Arial"/>
          <w:sz w:val="18"/>
          <w:szCs w:val="18"/>
          <w:color w:val="auto"/>
        </w:rPr>
      </w:pPr>
    </w:p>
    <w:p>
      <w:pPr>
        <w:ind w:left="460" w:right="26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and divestitures. A reconciliation showing the effect of these items on our “Income before income taxes and losses in equity investments” used to calculate our earnings available for fixed charges is as follows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7"/>
            <w:vMerge w:val="restart"/>
          </w:tcPr>
          <w:p>
            <w:pPr>
              <w:jc w:val="center"/>
              <w:ind w:right="380"/>
              <w:spacing w:after="0"/>
              <w:rPr>
                <w:sz w:val="20"/>
                <w:szCs w:val="20"/>
                <w:color w:val="auto"/>
              </w:rPr>
            </w:pPr>
            <w:r>
              <w:rPr>
                <w:rFonts w:ascii="Arial" w:cs="Arial" w:eastAsia="Arial" w:hAnsi="Arial"/>
                <w:sz w:val="14"/>
                <w:szCs w:val="14"/>
                <w:b w:val="1"/>
                <w:bCs w:val="1"/>
                <w:color w:val="auto"/>
                <w:w w:val="91"/>
              </w:rPr>
              <w:t>Years Ended 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Ended September 30,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ind w:left="75"/>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76"/>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(Unaudited)</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As reported income before income taxes and losses in equity investments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w w:val="90"/>
              </w:rPr>
              <w:t>Adjustments to income before income taxes and losses in equity investments:</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costs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Goodwill impairments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impairments (other than goodwill)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(Income) expense from divestitures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Adjusted income before income taxes and losses in equity investments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188"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No shares of our preferred stock are currently issued or outstanding, therefore no dividends accrued on any shares of our preferred stock for any period presented. Accordingly, the ratio of earnings to combined fixed charges and preferred stock dividends is the same at the ratio of earnings to fixed charges.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debt or securities that we may issue. We may issue debt securities under the indentures from time to time in one or more series, each in an amount authorized prior to issuance.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7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153" w:lineRule="exact"/>
        <w:rPr>
          <w:rFonts w:ascii="Arial" w:cs="Arial" w:eastAsia="Arial" w:hAnsi="Arial"/>
          <w:sz w:val="16"/>
          <w:szCs w:val="16"/>
          <w:color w:val="auto"/>
        </w:rPr>
      </w:pPr>
    </w:p>
    <w:p>
      <w:pPr>
        <w:ind w:left="900" w:right="4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76" w:lineRule="exact"/>
        <w:rPr>
          <w:sz w:val="20"/>
          <w:szCs w:val="20"/>
          <w:color w:val="auto"/>
        </w:rPr>
      </w:pPr>
    </w:p>
    <w:p>
      <w:pPr>
        <w:ind w:left="900" w:right="2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6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7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securities:</w:t>
      </w:r>
    </w:p>
    <w:p>
      <w:pPr>
        <w:spacing w:after="0" w:line="7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30"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8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30" w:lineRule="exact"/>
        <w:rPr>
          <w:rFonts w:ascii="Arial" w:cs="Arial" w:eastAsia="Arial" w:hAnsi="Arial"/>
          <w:sz w:val="18"/>
          <w:szCs w:val="18"/>
          <w:color w:val="auto"/>
        </w:rPr>
      </w:pPr>
    </w:p>
    <w:p>
      <w:pPr>
        <w:ind w:left="5620" w:right="2760" w:hanging="5166"/>
        <w:spacing w:after="0" w:line="449" w:lineRule="auto"/>
        <w:tabs>
          <w:tab w:leader="none" w:pos="8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 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70"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6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When we use the term defeasance, we mean discharge from some or all of our obligations under the indentures. If any combination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1" w:lineRule="exact"/>
        <w:rPr>
          <w:sz w:val="20"/>
          <w:szCs w:val="20"/>
          <w:color w:val="auto"/>
        </w:rPr>
      </w:pPr>
    </w:p>
    <w:p>
      <w:pPr>
        <w:ind w:left="900" w:right="4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75" w:lineRule="exact"/>
        <w:rPr>
          <w:rFonts w:ascii="Arial" w:cs="Arial" w:eastAsia="Arial" w:hAnsi="Arial"/>
          <w:sz w:val="18"/>
          <w:szCs w:val="18"/>
          <w:color w:val="auto"/>
        </w:rPr>
      </w:pPr>
    </w:p>
    <w:p>
      <w:pPr>
        <w:ind w:left="900" w:right="50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8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8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Form, Exchange, Registration and Transfer. </w:t>
      </w:r>
      <w:r>
        <w:rPr>
          <w:rFonts w:ascii="Arial" w:cs="Arial" w:eastAsia="Arial" w:hAnsi="Arial"/>
          <w:sz w:val="17"/>
          <w:szCs w:val="17"/>
          <w:color w:val="auto"/>
        </w:rPr>
        <w:t>The debt securities may be issued in registered form, without interest coupons, or in bearer form, with</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8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900" w:right="1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 global debt securities that would be deposited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 of the other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73" w:lineRule="exact"/>
        <w:rPr>
          <w:sz w:val="20"/>
          <w:szCs w:val="20"/>
          <w:color w:val="auto"/>
        </w:rPr>
      </w:pPr>
    </w:p>
    <w:p>
      <w:pPr>
        <w:ind w:left="1140" w:hanging="237"/>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liens on the property or assets existing at the time of acquisition which secure obligations assumed by us or our Restricted Subsidiaries;</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w:t>
      </w:r>
      <w:r>
        <w:rPr>
          <w:rFonts w:ascii="Arial" w:cs="Arial" w:eastAsia="Arial" w:hAnsi="Arial"/>
          <w:sz w:val="18"/>
          <w:szCs w:val="18"/>
          <w:color w:val="auto"/>
        </w:rPr>
        <w:t xml:space="preserve"> </w:t>
      </w:r>
      <w:r>
        <w:rPr>
          <w:rFonts w:ascii="Arial" w:cs="Arial" w:eastAsia="Arial" w:hAnsi="Arial"/>
          <w:sz w:val="18"/>
          <w:szCs w:val="18"/>
          <w:i w:val="1"/>
          <w:iCs w:val="1"/>
          <w:color w:val="auto"/>
        </w:rPr>
        <w:t>Indenture — Consolidation, Merger and Sale of Assets</w:t>
      </w:r>
      <w:r>
        <w:rPr>
          <w:rFonts w:ascii="Arial" w:cs="Arial" w:eastAsia="Arial" w:hAnsi="Arial"/>
          <w:sz w:val="18"/>
          <w:szCs w:val="18"/>
          <w:color w:val="auto"/>
        </w:rPr>
        <w:t>,” above;</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1" w:lineRule="exact"/>
        <w:rPr>
          <w:sz w:val="20"/>
          <w:szCs w:val="20"/>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30" w:lineRule="exact"/>
        <w:rPr>
          <w:rFonts w:ascii="Arial" w:cs="Arial" w:eastAsia="Arial" w:hAnsi="Arial"/>
          <w:sz w:val="18"/>
          <w:szCs w:val="18"/>
          <w:color w:val="auto"/>
        </w:rPr>
      </w:pPr>
    </w:p>
    <w:p>
      <w:pPr>
        <w:ind w:left="1480" w:right="20" w:hanging="446"/>
        <w:spacing w:after="0" w:line="286" w:lineRule="auto"/>
        <w:tabs>
          <w:tab w:leader="none" w:pos="14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57" w:lineRule="exact"/>
        <w:rPr>
          <w:rFonts w:ascii="Arial" w:cs="Arial" w:eastAsia="Arial" w:hAnsi="Arial"/>
          <w:sz w:val="17"/>
          <w:szCs w:val="17"/>
          <w:color w:val="auto"/>
        </w:rPr>
      </w:pPr>
    </w:p>
    <w:p>
      <w:pPr>
        <w:ind w:left="1120" w:hanging="217"/>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liens in connection with legal proceedings so long as the proceeding is being contested in good faith or execution thereon is stayed;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117" w:lineRule="exact"/>
        <w:rPr>
          <w:rFonts w:ascii="Arial" w:cs="Arial" w:eastAsia="Arial" w:hAnsi="Arial"/>
          <w:sz w:val="18"/>
          <w:szCs w:val="18"/>
          <w:color w:val="auto"/>
        </w:rPr>
      </w:pPr>
    </w:p>
    <w:p>
      <w:pPr>
        <w:ind w:left="460" w:firstLine="443"/>
        <w:spacing w:after="0" w:line="277" w:lineRule="auto"/>
        <w:tabs>
          <w:tab w:leader="none" w:pos="12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without securing the senior debt securities as described above, we and our Restricted Subsidiaries may issue, assume or guarantee Indebtedness that this covenant would otherwise restrict in a total principal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62" w:lineRule="exact"/>
        <w:rPr>
          <w:sz w:val="20"/>
          <w:szCs w:val="20"/>
          <w:color w:val="auto"/>
        </w:rPr>
      </w:pPr>
    </w:p>
    <w:p>
      <w:pPr>
        <w:ind w:left="460" w:right="300" w:firstLine="443"/>
        <w:spacing w:after="0" w:line="264" w:lineRule="auto"/>
        <w:tabs>
          <w:tab w:leader="none" w:pos="11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73" w:lineRule="exact"/>
        <w:rPr>
          <w:rFonts w:ascii="Arial" w:cs="Arial" w:eastAsia="Arial" w:hAnsi="Arial"/>
          <w:sz w:val="18"/>
          <w:szCs w:val="18"/>
          <w:color w:val="auto"/>
        </w:rPr>
      </w:pPr>
    </w:p>
    <w:p>
      <w:pPr>
        <w:jc w:val="both"/>
        <w:ind w:left="460" w:right="60" w:firstLine="443"/>
        <w:spacing w:after="0" w:line="259" w:lineRule="auto"/>
        <w:tabs>
          <w:tab w:leader="none" w:pos="11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debt securities listed under the senior indenture or debt incurred by a Restricted Subsidiary; or</w:t>
      </w:r>
    </w:p>
    <w:p>
      <w:pPr>
        <w:spacing w:after="0" w:line="78" w:lineRule="exact"/>
        <w:rPr>
          <w:rFonts w:ascii="Arial" w:cs="Arial" w:eastAsia="Arial" w:hAnsi="Arial"/>
          <w:sz w:val="18"/>
          <w:szCs w:val="18"/>
          <w:color w:val="auto"/>
        </w:rPr>
      </w:pPr>
    </w:p>
    <w:p>
      <w:pPr>
        <w:ind w:left="460" w:right="220" w:firstLine="443"/>
        <w:spacing w:after="0" w:line="342" w:lineRule="auto"/>
        <w:tabs>
          <w:tab w:leader="none" w:pos="11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6"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Glossary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“Attributable Debt” </w:t>
      </w:r>
      <w:r>
        <w:rPr>
          <w:rFonts w:ascii="Arial" w:cs="Arial" w:eastAsia="Arial" w:hAnsi="Arial"/>
          <w:sz w:val="18"/>
          <w:szCs w:val="18"/>
          <w:color w:val="auto"/>
        </w:rPr>
        <w:t>means the present value of the rental payments during the remaining term of the lease included in the Sale/Leaseback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131" w:lineRule="exact"/>
        <w:rPr>
          <w:sz w:val="20"/>
          <w:szCs w:val="20"/>
          <w:color w:val="auto"/>
        </w:rPr>
      </w:pPr>
    </w:p>
    <w:p>
      <w:pPr>
        <w:ind w:left="900" w:right="7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 the balance sheet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46"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principally engaged in, or whose principal assets consist of property used by us or any Restricted Subsidiary in the storage, collection, transfer, interim</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processing or disposal of waste within the United States or Canada or (b) which we designate as a Restricted Subsidiary in an officer’s certificate delivered to the trustee.</w:t>
      </w:r>
    </w:p>
    <w:p>
      <w:pPr>
        <w:spacing w:after="0" w:line="18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or such Restricted Subsidiary has sold or transferred or will sell or transfer to that person. This term excludes the following:</w:t>
      </w:r>
    </w:p>
    <w:p>
      <w:pPr>
        <w:spacing w:after="0" w:line="7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outstanding from time to time.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GUARANTEES</w:t>
      </w:r>
    </w:p>
    <w:p>
      <w:pPr>
        <w:spacing w:after="0" w:line="229"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8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4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8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are authorized to issue 1,500,000,000 shares of common stock, of which 446,495,290 shares were outstanding at October 20, 2015 (excluding treasury shares of 183,787,171). We are also authorized to issue 10,000,000 shares of preferred stock, none of which were outstanding on that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share of common stock is entitled to one vote in the election of directors and in each other matter we may ask stockholders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 in Jersey City, New Jersey.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a Delaware corporation and are governed by the Delaware General Corporation Law. Section 203 of the Delaware General Corporation law,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87" w:lineRule="exact"/>
        <w:rPr>
          <w:sz w:val="20"/>
          <w:szCs w:val="20"/>
          <w:color w:val="auto"/>
        </w:rPr>
      </w:pPr>
    </w:p>
    <w:p>
      <w:pPr>
        <w:ind w:left="900" w:right="3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OTHER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9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87" w:lineRule="exact"/>
        <w:rPr>
          <w:sz w:val="20"/>
          <w:szCs w:val="20"/>
          <w:color w:val="auto"/>
        </w:rPr>
      </w:pPr>
    </w:p>
    <w:p>
      <w:pPr>
        <w:ind w:right="460" w:firstLine="456"/>
        <w:spacing w:after="0" w:line="257" w:lineRule="auto"/>
        <w:rPr>
          <w:sz w:val="20"/>
          <w:szCs w:val="20"/>
          <w:color w:val="auto"/>
        </w:rPr>
      </w:pPr>
      <w:r>
        <w:rPr>
          <w:rFonts w:ascii="Arial" w:cs="Arial" w:eastAsia="Arial" w:hAnsi="Arial"/>
          <w:sz w:val="18"/>
          <w:szCs w:val="18"/>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2014, including the schedule appearing therein, and the effectiveness of Waste Management, Inc.’s internal control over financial reporting as of December 31, 2014,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sets forth the estimated fees and expenses payable by the Company in connection with the registration of the securities registered hereby:</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Printing fees</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Rating agency</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Trustee’s fees and expenses</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In accordance with Rule 456(b) and 457(r), we are deferring payment of the registration fee for the securities offered by this prospectus.</w:t>
      </w:r>
    </w:p>
    <w:p>
      <w:pPr>
        <w:spacing w:after="0" w:line="23" w:lineRule="exact"/>
        <w:rPr>
          <w:sz w:val="20"/>
          <w:szCs w:val="20"/>
          <w:color w:val="auto"/>
        </w:rPr>
      </w:pPr>
    </w:p>
    <w:p>
      <w:pPr>
        <w:ind w:left="220" w:right="680" w:hanging="212"/>
        <w:spacing w:after="0" w:line="261"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Estimated expenses are not presently known. An estimate of the aggregate amount of these expenses will be reflected in the applicable prospectus supplement.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19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Certificate of Incorporation and By-laws require that we provide indemnification to the maximum extent permitted from time to time under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Company or any of its direct or indirect subsidiaries or while such a director or officer is or was serving at the request of the Company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Company is not required to indemnify or advance expenses to any person in connection with any action, suit, proceeding, claim or counterclaim initiated by or on behalf of such person. Such indemnification is not to be exclusive of other indemnification rights arising under any By-laws, agreement, vote of directors or stockholders or otherwise and shall inure to the benefit of the heirs and legal representatives of such person. Additionally, the Company has entered into separate indemnification agreements with each of the members of its Board of Directors, and the employment agreements between the Company and its Chief Executive Officer and other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executive and senior vice presidents contain a direct contractual obligation of the Company to provide indemnification to the executive. These agreements provide directors and officers with the same indemnification by the Company as described above and assure directors and officers that indemnification will continue to be provided despite future changes in the By-laws of the Company.</w:t>
      </w:r>
    </w:p>
    <w:p>
      <w:pPr>
        <w:spacing w:after="0" w:line="18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Waste Management Holdings’ Certificate of Incorporation and By-laws require that it provide indemnification to the maximum extent permitted from time to time under DGCL, and shall advance expenses to any person who is or was a party or is threatened to be made a party to any threatened, pending or completed action, suit or proceeding, whether civil, criminal, administrative or investigative, by reason of the fact that such person is or was a director or officer of Waste Management Holdings or while such a director or officer is or was serving at the request of the Waste Management Holdings as a director, officer, employee or agent of any corporation, partnership, joint venture, trust or other enterprise, including service with respect to employee benefit plans, against expenses (including attorney’s fees and expenses), judgments, fines and penalties paid in settlement incurred in connection with the investigation or defense of such action, suit or proceeding; provided, however, that Waste Management Holdings is not required to indemnify or advance expenses to any person in connection with any proceeding initiated by or on behalf of such person unless such proceeding (or part thereof) was authorized or consented to by the Board of Directors of Waste Management Holdings. Such indemnification is not be exclusive of other indemnification rights arising under any By-laws, agreement, vote of directors or stockholders or otherwise and shall inure to the benefit of the heirs, executors and administrators of such person.</w:t>
      </w:r>
    </w:p>
    <w:p>
      <w:pPr>
        <w:spacing w:after="0" w:line="16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payments of unlawful dividends or unlawful stock repurchases, redemptions or other distributions, or (iv) for any transaction from which the director derived an improper personal benefit. Our and Waste Management Holdings’ Certificates of Incorporation provide that no director will be liable to the Company or its stockholders for any breach of fiduciary duty, except as limited under DGCL.</w:t>
      </w:r>
    </w:p>
    <w:p>
      <w:pPr>
        <w:spacing w:after="0" w:line="17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and Waste Management Holdings’ directors and officers are covered by insurance policies indemnifying against certain liabilities, including certain liabilities arising under the Securities Act that might be incurred by them in such capacities and against which we may not indemnify them.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Index attached hereto and incorporated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160" w:hanging="257"/>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920" w:right="240" w:firstLine="421"/>
        <w:spacing w:after="0" w:line="297" w:lineRule="auto"/>
        <w:tabs>
          <w:tab w:leader="none" w:pos="1601"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40"/>
        <w:spacing w:after="0" w:line="277" w:lineRule="auto"/>
        <w:rPr>
          <w:sz w:val="20"/>
          <w:szCs w:val="20"/>
          <w:color w:val="auto"/>
        </w:rPr>
      </w:pPr>
      <w:r>
        <w:rPr>
          <w:rFonts w:ascii="Arial" w:cs="Arial" w:eastAsia="Arial" w:hAnsi="Arial"/>
          <w:sz w:val="18"/>
          <w:szCs w:val="18"/>
          <w:color w:val="auto"/>
        </w:rPr>
        <w:t>volume and price represent no more than a 20 percent change in the maximum aggregate offering price set forth in the “Calculation of Registration Fee” table in the effective registration statement;</w:t>
      </w:r>
    </w:p>
    <w:p>
      <w:pPr>
        <w:spacing w:after="0" w:line="62" w:lineRule="exact"/>
        <w:rPr>
          <w:sz w:val="20"/>
          <w:szCs w:val="20"/>
          <w:color w:val="auto"/>
        </w:rPr>
      </w:pPr>
    </w:p>
    <w:p>
      <w:pPr>
        <w:ind w:left="920" w:right="40" w:firstLine="421"/>
        <w:spacing w:after="0" w:line="277" w:lineRule="auto"/>
        <w:tabs>
          <w:tab w:leader="none" w:pos="16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ind w:left="460" w:right="40" w:firstLine="443"/>
        <w:spacing w:after="0" w:line="264" w:lineRule="auto"/>
        <w:tabs>
          <w:tab w:leader="none" w:pos="11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460" w:right="580" w:firstLine="443"/>
        <w:spacing w:after="0" w:line="277" w:lineRule="auto"/>
        <w:tabs>
          <w:tab w:leader="none" w:pos="11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purposes of determining liability under the Securities Act of 1933 to any purchaser:</w:t>
      </w:r>
    </w:p>
    <w:p>
      <w:pPr>
        <w:spacing w:after="0" w:line="117" w:lineRule="exact"/>
        <w:rPr>
          <w:rFonts w:ascii="Arial" w:cs="Arial" w:eastAsia="Arial" w:hAnsi="Arial"/>
          <w:sz w:val="18"/>
          <w:szCs w:val="18"/>
          <w:color w:val="auto"/>
        </w:rPr>
      </w:pPr>
    </w:p>
    <w:p>
      <w:pPr>
        <w:ind w:left="920" w:right="80" w:firstLine="421"/>
        <w:spacing w:after="0" w:line="277" w:lineRule="auto"/>
        <w:tabs>
          <w:tab w:leader="none" w:pos="15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w:t>
      </w:r>
    </w:p>
    <w:p>
      <w:pPr>
        <w:spacing w:after="0" w:line="35" w:lineRule="exact"/>
        <w:rPr>
          <w:sz w:val="20"/>
          <w:szCs w:val="20"/>
          <w:color w:val="auto"/>
        </w:rPr>
      </w:pPr>
    </w:p>
    <w:p>
      <w:pPr>
        <w:ind w:left="920" w:right="120"/>
        <w:spacing w:after="0" w:line="286" w:lineRule="auto"/>
        <w:rPr>
          <w:sz w:val="20"/>
          <w:szCs w:val="20"/>
          <w:color w:val="auto"/>
        </w:rPr>
      </w:pPr>
      <w:r>
        <w:rPr>
          <w:rFonts w:ascii="Arial" w:cs="Arial" w:eastAsia="Arial" w:hAnsi="Arial"/>
          <w:sz w:val="16"/>
          <w:szCs w:val="16"/>
          <w:color w:val="auto"/>
        </w:rPr>
        <w:t xml:space="preserve">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related,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2" w:lineRule="exact"/>
        <w:rPr>
          <w:sz w:val="20"/>
          <w:szCs w:val="20"/>
          <w:color w:val="auto"/>
        </w:rPr>
      </w:pPr>
    </w:p>
    <w:p>
      <w:pPr>
        <w:ind w:left="460" w:right="120" w:firstLine="443"/>
        <w:spacing w:after="0" w:line="257" w:lineRule="auto"/>
        <w:tabs>
          <w:tab w:leader="none" w:pos="11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purposes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Arial" w:cs="Arial" w:eastAsia="Arial" w:hAnsi="Arial"/>
          <w:sz w:val="18"/>
          <w:szCs w:val="18"/>
          <w:color w:val="auto"/>
        </w:rPr>
      </w:pPr>
    </w:p>
    <w:p>
      <w:pPr>
        <w:ind w:left="1540" w:hanging="199"/>
        <w:spacing w:after="0"/>
        <w:tabs>
          <w:tab w:leader="none" w:pos="15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920" w:right="100" w:firstLine="421"/>
        <w:spacing w:after="0" w:line="277" w:lineRule="auto"/>
        <w:tabs>
          <w:tab w:leader="none" w:pos="15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0" w:firstLine="421"/>
        <w:spacing w:after="0" w:line="277" w:lineRule="auto"/>
        <w:tabs>
          <w:tab w:leader="none" w:pos="16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460" w:firstLine="443"/>
        <w:spacing w:after="0" w:line="257" w:lineRule="auto"/>
        <w:tabs>
          <w:tab w:leader="none" w:pos="11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80" w:lineRule="exact"/>
        <w:rPr>
          <w:rFonts w:ascii="Arial" w:cs="Arial" w:eastAsia="Arial" w:hAnsi="Arial"/>
          <w:sz w:val="18"/>
          <w:szCs w:val="18"/>
          <w:color w:val="auto"/>
        </w:rPr>
      </w:pPr>
    </w:p>
    <w:p>
      <w:pPr>
        <w:ind w:left="460" w:right="520" w:firstLine="443"/>
        <w:spacing w:after="0" w:line="342" w:lineRule="auto"/>
        <w:tabs>
          <w:tab w:leader="none" w:pos="115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5" w:lineRule="exact"/>
        <w:rPr>
          <w:rFonts w:ascii="Arial" w:cs="Arial" w:eastAsia="Arial" w:hAnsi="Arial"/>
          <w:sz w:val="16"/>
          <w:szCs w:val="16"/>
          <w:color w:val="auto"/>
        </w:rPr>
      </w:pPr>
    </w:p>
    <w:p>
      <w:pPr>
        <w:ind w:left="460" w:right="20" w:firstLine="443"/>
        <w:spacing w:after="0" w:line="290" w:lineRule="auto"/>
        <w:tabs>
          <w:tab w:leader="none" w:pos="1153"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that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27th day of October, 2015.</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David P. Steiner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 Steiner,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27th day of October,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6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12"/>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David P. Steiner</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9"/>
              </w:rPr>
              <w:t>David P. Steiner</w:t>
            </w:r>
          </w:p>
        </w:tc>
        <w:tc>
          <w:tcPr>
            <w:tcW w:w="22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James C. Fish, Jr.</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6"/>
              </w:rPr>
              <w:t>James C. Fish, Jr.</w:t>
            </w:r>
          </w:p>
        </w:tc>
        <w:tc>
          <w:tcPr>
            <w:tcW w:w="22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Don P. Carpenter</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Vice President and Chief Accounting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8"/>
              </w:rPr>
              <w:t>Don P. Carpenter</w:t>
            </w:r>
          </w:p>
        </w:tc>
        <w:tc>
          <w:tcPr>
            <w:tcW w:w="22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Bradbury H. Anderson</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2"/>
              </w:rPr>
              <w:t>Bradbury H. Anderson</w:t>
            </w:r>
          </w:p>
        </w:tc>
        <w:tc>
          <w:tcPr>
            <w:tcW w:w="22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 Frank M. Clark, Jr.</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3"/>
              </w:rPr>
              <w:t>Frank M. Clark, Jr.</w:t>
            </w:r>
          </w:p>
        </w:tc>
        <w:tc>
          <w:tcPr>
            <w:tcW w:w="22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Andrés R. Gluski</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3"/>
              </w:rPr>
              <w:t>Andrés R. Gluski</w:t>
            </w:r>
          </w:p>
        </w:tc>
        <w:tc>
          <w:tcPr>
            <w:tcW w:w="22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Patrick W. Gross</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0"/>
              </w:rPr>
              <w:t>Patrick W. Gross</w:t>
            </w:r>
          </w:p>
        </w:tc>
        <w:tc>
          <w:tcPr>
            <w:tcW w:w="22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 Victoria M. Holt</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8"/>
              </w:rPr>
              <w:t>Victoria M. Holt</w:t>
            </w:r>
          </w:p>
        </w:tc>
        <w:tc>
          <w:tcPr>
            <w:tcW w:w="22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Kathleen M. Mazzarella</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2"/>
              </w:rPr>
              <w:t>Kathleen M. Mazzarella</w:t>
            </w:r>
          </w:p>
        </w:tc>
        <w:tc>
          <w:tcPr>
            <w:tcW w:w="22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John C. Pope</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7"/>
              </w:rPr>
              <w:t>John C. Pope</w:t>
            </w:r>
          </w:p>
        </w:tc>
        <w:tc>
          <w:tcPr>
            <w:tcW w:w="22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 W. Robert Reum</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Chairman of the Board and 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9"/>
              </w:rPr>
              <w:t>W. Robert Reum</w:t>
            </w:r>
          </w:p>
        </w:tc>
        <w:tc>
          <w:tcPr>
            <w:tcW w:w="22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Thomas H. Weidemeyer</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9"/>
              </w:rPr>
              <w:t>Thomas H. Weidemeyer</w:t>
            </w:r>
          </w:p>
        </w:tc>
        <w:tc>
          <w:tcPr>
            <w:tcW w:w="220" w:type="dxa"/>
            <w:vAlign w:val="bottom"/>
          </w:tcPr>
          <w:p>
            <w:pPr>
              <w:spacing w:after="0"/>
              <w:rPr>
                <w:sz w:val="19"/>
                <w:szCs w:val="19"/>
                <w:color w:val="auto"/>
              </w:rPr>
            </w:pPr>
          </w:p>
        </w:tc>
        <w:tc>
          <w:tcPr>
            <w:tcW w:w="602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Securities Act, the Waste Management Holdings, Inc.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27</w:t>
      </w:r>
      <w:r>
        <w:rPr>
          <w:rFonts w:ascii="Arial" w:cs="Arial" w:eastAsia="Arial" w:hAnsi="Arial"/>
          <w:sz w:val="15"/>
          <w:szCs w:val="15"/>
          <w:color w:val="auto"/>
        </w:rPr>
        <w:t>th</w:t>
      </w:r>
      <w:r>
        <w:rPr>
          <w:rFonts w:ascii="Arial" w:cs="Arial" w:eastAsia="Arial" w:hAnsi="Arial"/>
          <w:sz w:val="18"/>
          <w:szCs w:val="18"/>
          <w:color w:val="auto"/>
        </w:rPr>
        <w:t xml:space="preserve"> day of October, 2015.</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Mark A. Lockett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A. Lockett,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KNOWN ALL PERSONS BY THESE PRESENTS, that the individuals whose signature appears below hereby constitute and appoint Barry H. Caldwell, Courtney A. Tippy and John S. Tsai,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462(b) under the Securities Act of 1933)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attorneys-in-facts and agents or any of them, or of his substitute or substitutes, may lawfully do to cause to be done by virtue hereof.</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on the 27th day of October,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6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12"/>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Mark A. Lockett</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86"/>
              </w:rPr>
              <w:t>President</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Mark A. Lockett</w:t>
            </w:r>
          </w:p>
        </w:tc>
        <w:tc>
          <w:tcPr>
            <w:tcW w:w="22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Don P. Carpenter</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Vice President, Chief Financial Officer and Controller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8"/>
              </w:rPr>
              <w:t>Don P. Carpenter</w:t>
            </w:r>
          </w:p>
        </w:tc>
        <w:tc>
          <w:tcPr>
            <w:tcW w:w="22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Courtney A. Tippy</w:t>
            </w:r>
          </w:p>
        </w:tc>
        <w:tc>
          <w:tcPr>
            <w:tcW w:w="2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4"/>
              </w:rPr>
              <w:t>Courtney A. Tippy</w:t>
            </w:r>
          </w:p>
        </w:tc>
        <w:tc>
          <w:tcPr>
            <w:tcW w:w="220" w:type="dxa"/>
            <w:vAlign w:val="bottom"/>
          </w:tcPr>
          <w:p>
            <w:pPr>
              <w:spacing w:after="0"/>
              <w:rPr>
                <w:sz w:val="19"/>
                <w:szCs w:val="19"/>
                <w:color w:val="auto"/>
              </w:rPr>
            </w:pPr>
          </w:p>
        </w:tc>
        <w:tc>
          <w:tcPr>
            <w:tcW w:w="602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780" w:type="dxa"/>
            <w:vAlign w:val="bottom"/>
          </w:tcPr>
          <w:p>
            <w:pPr>
              <w:spacing w:after="0"/>
              <w:rPr>
                <w:sz w:val="16"/>
                <w:szCs w:val="16"/>
                <w:color w:val="auto"/>
              </w:rPr>
            </w:pPr>
          </w:p>
        </w:tc>
        <w:tc>
          <w:tcPr>
            <w:tcW w:w="10120" w:type="dxa"/>
            <w:vAlign w:val="bottom"/>
          </w:tcPr>
          <w:p>
            <w:pPr>
              <w:ind w:left="4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12"/>
              <w:spacing w:after="0"/>
              <w:rPr>
                <w:sz w:val="20"/>
                <w:szCs w:val="20"/>
                <w:color w:val="auto"/>
              </w:rPr>
            </w:pPr>
            <w:r>
              <w:rPr>
                <w:rFonts w:ascii="Arial" w:cs="Arial" w:eastAsia="Arial" w:hAnsi="Arial"/>
                <w:sz w:val="18"/>
                <w:szCs w:val="18"/>
                <w:color w:val="auto"/>
                <w:w w:val="93"/>
              </w:rPr>
              <w:t>*1.1</w:t>
            </w:r>
          </w:p>
        </w:tc>
        <w:tc>
          <w:tcPr>
            <w:tcW w:w="780" w:type="dxa"/>
            <w:vAlign w:val="bottom"/>
          </w:tcPr>
          <w:p>
            <w:pPr>
              <w:spacing w:after="0" w:line="20" w:lineRule="exact"/>
              <w:rPr>
                <w:sz w:val="1"/>
                <w:szCs w:val="1"/>
                <w:color w:val="auto"/>
              </w:rPr>
            </w:pPr>
          </w:p>
        </w:tc>
        <w:tc>
          <w:tcPr>
            <w:tcW w:w="10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Underwriting Agreement (Debt Securities).</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93"/>
              </w:rPr>
              <w:t>*1.2</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Underwriting Agreement (Equity Securities).</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Third Restated Certificate of Incorporation of Waste Management, Inc. (incorporated by reference to Exhibit 3.1 to the Quarterly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10-Q for the quarter ended June 30, 2010).</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Amended and Restated By-laws of Waste Management, Inc. (incorporated by reference to Exhibit 3.2 to the Current Report on Form 8-K</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dated December 6, 2012).</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Third Restated Certificate of Incorporation of Waste Management Holdings, Inc. (incorporated by reference to Exhibit 4.2 to Form 10-K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the year ended December 31, 2014).</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6"/>
              </w:rPr>
              <w:t>Amended and Restated By-laws of Waste Management Holdings, Inc. (incorporated by reference to Exhibit 4.3 to Form 10-Q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quarter ended June 30, 2014).</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Specimen stock certificate (incorporated by reference to Exhibit 4.1 to Form 10-K for the year ended December 31, 1998).</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Indenture for Senior Debt Securities dated September 10, 1997 (incorporated by reference to Exhibit 4.1 to Current Report on Form 8-K</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filed September 24, 1997).</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Indenture for Subordinated Debt Securities dated February 3, 1997 (incorporated by reference to Exhibit 4.1 to Current Report on Form 8-K</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filed February 7, 1997).</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93"/>
              </w:rPr>
              <w:t>*4.4</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Debt Securities.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93"/>
              </w:rPr>
              <w:t>*4.5</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Guarantee Agreement.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93"/>
              </w:rPr>
              <w:t>*4.6</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93"/>
              </w:rPr>
              <w:t>*4.7</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Legal opinion of Courtney A. Tippy.</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12.1</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 (included in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23.1</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Consent of Courtney A. Tippy (included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23.2</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Power of Attorney (filed herewith and included on the signature page of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25.1</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Statement of Eligibility of Trustee on Form T-1 with respect to the senior indenture.</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25.2</w:t>
            </w:r>
          </w:p>
        </w:tc>
        <w:tc>
          <w:tcPr>
            <w:tcW w:w="7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Statement of Eligibility of Trustee on Form T-1 with respect to the subordinated indenture.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To be filed by amendment to this Registration Statement or as an exhibit to a periodic report filed under the Securities Exchange Act of 1934, as amended.</w:t>
      </w:r>
    </w:p>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WM]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 and Waste Management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October 27,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 am Assistant General Counsel – Securities &amp; Governance to Waste Management, Inc., a Delaware corporation (“WMI”) and have acted as counsel to WMI and Waste Management Holdings, Inc., a Delaware corporation (“Holdings”) in connection with the preparation and filing with the Securities and Exchange Commission (the “Commission”) under the Securities Act of 1933, as amended (the “Act”), of a Registration Statement (filed October 27, 2015) on Form S-3 (the “Registration Statement”). The Registration Statement relates to (a) securities of WMI (the “WMI Securities”), including (i) debt securities of WMI (“Debt Securities”); (ii) common stock of WMI, par value $0.01 per share (“Common Stock”); (iii) preferred stock of WMI, par value $0.01 per share (“Preferred Stock”); (iv) warrants of WMI (“Warrants”), representing rights to purchase Debt Securities, Preferred Stock, Common Stock or other securities, property, or assets pursuant to one or more warrant agreements (“Warrant Agreements”); and (v) units of WMI (“Units”) representing rights to, ownership of, or undivided beneficial ownership interests in, Debt Securities, shares of Common Stock, shares of Preferred Stock, debt obligations of third parties or Warrants relating to any of the foregoing; and (b) guarantees Holdings may issue with respect to Debt Securities (“Holdings Guarantees,” and collectively with the WMI Securities, the “Securities”), all of which may be issued and sold from time to time in one or more series. WMI has advised me that the Securities will be offered in amounts, at prices and on terms to be determined in light of market conditions at the time of sale and to be set forth in supplements to the prospectus contained in the Registration Statement to which this opinion is an exhibit.</w:t>
      </w:r>
    </w:p>
    <w:p>
      <w:pPr>
        <w:spacing w:after="0" w:line="16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 have examined originals or copies, certified or otherwise identified to my satisfaction, of (i) the Certificate of Incorporation and Bylaws of WMI and Holdings, each as amended to the date hereof; (ii) resolutions adopted by the Board of Directors of WMI and Holdings; (iii) the Registration Statement;</w:t>
      </w:r>
    </w:p>
    <w:p>
      <w:pPr>
        <w:ind w:right="160" w:firstLine="8"/>
        <w:spacing w:after="0" w:line="252" w:lineRule="auto"/>
        <w:tabs>
          <w:tab w:leader="none" w:pos="3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Senior Debt Indenture between WMI and The Bank of New York Mellon Trust Company, National Association (as successor in interest to Texas Commerce Bank National Association), as trustee, dated September 10, 1997 (the “Senior Indenture”) relating to the senior Debt Securities, in the form incorporated as an exhibit to the Registration Statement; (v) the Subordinated Debt Indenture Company between WMI and The Bank of New York Mellon Trust Company, National Association (as successor in interest to Texas Commerce Bank National Association), as trustee, dated February 1, 1997 (the “Subordinated Indenture”, and together with the Senior Indenture, the “Indentures”) relating to the subordinated Debt Securities, in the form incorporated as an exhibit to the Registration Statement; and (vi) such other certificates, statutes and other instruments and documents as I considered appropriate for purposes of the opinions hereafter expressed.</w:t>
      </w:r>
    </w:p>
    <w:p>
      <w:pPr>
        <w:spacing w:after="0" w:line="19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As to any facts material to the opinions contained herein, I have made no independent investigation of such facts and have relied, to the extent that I deemed such reliance proper, upon certificates of public officials and officers or other representatives of WMI and Holdings.</w:t>
      </w:r>
    </w:p>
    <w:p>
      <w:pPr>
        <w:sectPr>
          <w:pgSz w:w="11900" w:h="16838" w:orient="portrait"/>
          <w:cols w:equalWidth="0" w:num="1">
            <w:col w:w="11420"/>
          </w:cols>
          <w:pgMar w:left="240" w:top="125" w:right="239" w:bottom="1440" w:gutter="0" w:footer="0" w:header="0"/>
        </w:sectPr>
      </w:pPr>
    </w:p>
    <w:bookmarkStart w:id="33" w:name="page34"/>
    <w:bookmarkEnd w:id="33"/>
    <w:p>
      <w:pPr>
        <w:ind w:right="6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rendering the opinions set forth below, I have assumed that (i) all information contained in all documents reviewed by me is true and correct; (ii) all signatures on all documents examined by me are genuine; (iii) all documents submitted to me as originals are authentic and all documents submitted to me as copies conform to the originals of those documents; (iv) each natural person signing any document reviewed by me had the legal capacity to do so; (v) each person signing in a representative capacity (other than on behalf of WMI or Holdings) any document reviewed by me had authority to sign in such capacity;</w:t>
      </w:r>
    </w:p>
    <w:p>
      <w:pPr>
        <w:spacing w:after="0" w:line="2" w:lineRule="exact"/>
        <w:rPr>
          <w:sz w:val="20"/>
          <w:szCs w:val="20"/>
          <w:color w:val="auto"/>
        </w:rPr>
      </w:pPr>
    </w:p>
    <w:p>
      <w:pPr>
        <w:ind w:right="100" w:firstLine="8"/>
        <w:spacing w:after="0" w:line="267" w:lineRule="auto"/>
        <w:tabs>
          <w:tab w:leader="none" w:pos="30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Registration Statement, and any post-effective amendments thereto, will be effective and comply with all applicable laws; (vii) one or more prospectus supplements will have been prepared and filed with the Commission describing the Securities offered thereby; (viii) all Securities will be issued and sold in compliance with applicable federal and state securities laws and in the manner stated in the Registration Statement and an applicable prospectus supplement; (ix) each of the Senior Indenture and the Subordinated Indenture, together with any supplemental indenture or other instruments establishing a series of Debt Securities to be issued under either of the Indentures, has been or will be duly authorized, executed and delivered by the parties thereto in substantially the form reviewed by me or with changes that do not affect the opinions given hereunder; (x) at the time of any offering or sale of any shares of Common Stock or Preferred Stock, that WMI will have at least such number of shares of Common Stock or Preferred Stock authorized, created and, if appropriate, reserved for issuance; (xi) a definitive purchase, underwriting or similar agreement with respect to any Securities offered will have been duly authorized and validly executed and delivered by WMI and the other parties thereto; and (xii) any Securities issuable upon conversion, exchange or exercise of any Security being offered or sold will at the time of such offering or sale have been duly authorized, created and, if appropriate, reserved for issuance upon such conversion, exchange or exercise.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on the foregoing, and subject to the assumptions, qualifications, limitations and exceptions set forth herein, I am of the opinion that:</w:t>
      </w:r>
    </w:p>
    <w:p>
      <w:pPr>
        <w:spacing w:after="0" w:line="237" w:lineRule="exact"/>
        <w:rPr>
          <w:sz w:val="20"/>
          <w:szCs w:val="20"/>
          <w:color w:val="auto"/>
        </w:rPr>
      </w:pPr>
    </w:p>
    <w:p>
      <w:pPr>
        <w:ind w:firstLine="464"/>
        <w:spacing w:after="0" w:line="270" w:lineRule="auto"/>
        <w:tabs>
          <w:tab w:leader="none" w:pos="7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 respect to Debt Securities, when (i) the applicable Indenture has been duly qualified under the Trust Indenture Act of 1939 (the “TIA”); (ii) the Board of Directors of WMI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WMI or any of its assets or properties and so as to comply with any requirement or restriction imposed by any court or governmental body having jurisdiction over WMI or any of its assets or properties; and (iv) such Debt Securities have been duly executed, authenticated, issued and delivered in accordance with the provisions of the applicable Indenture and in accordance with the applicable definitive purchase, underwriting or similar agreement approved by the Board or persons duly authorized thereby, then upon payment of the consideration provided for therein, such Debt Securities will be legally issued and will constitute valid and binding obligations of WMI, enforceable against WMI in accordance with their terms and will be entitled to the benefits of the applicable Indenture.</w:t>
      </w:r>
    </w:p>
    <w:p>
      <w:pPr>
        <w:spacing w:after="0" w:line="181" w:lineRule="exact"/>
        <w:rPr>
          <w:rFonts w:ascii="Arial" w:cs="Arial" w:eastAsia="Arial" w:hAnsi="Arial"/>
          <w:sz w:val="17"/>
          <w:szCs w:val="17"/>
          <w:color w:val="auto"/>
        </w:rPr>
      </w:pPr>
    </w:p>
    <w:p>
      <w:pPr>
        <w:ind w:right="80" w:firstLine="464"/>
        <w:spacing w:after="0" w:line="272" w:lineRule="auto"/>
        <w:tabs>
          <w:tab w:leader="none" w:pos="711"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 respect to shares of Common Stock, when (i) the Board has taken all necessary corporate action to approve the issuance and terms of the offering thereof and related matters; and (ii) certificates representing the shares of Common Stock have been duly executed, countersigned, registered and delivered either (A) in accordance with the applicable definitive purchase, underwriting or similar agreement approved by the Board, then upon payment of the consideration therefor (not less than the par value of the Common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Common Stock) or persons duly authorized thereby, such shares of Common Stock will be validly issued, fully paid and non-assessable.</w:t>
      </w:r>
    </w:p>
    <w:p>
      <w:pPr>
        <w:spacing w:after="0" w:line="177" w:lineRule="exact"/>
        <w:rPr>
          <w:rFonts w:ascii="Arial" w:cs="Arial" w:eastAsia="Arial" w:hAnsi="Arial"/>
          <w:sz w:val="17"/>
          <w:szCs w:val="17"/>
          <w:color w:val="auto"/>
        </w:rPr>
      </w:pPr>
    </w:p>
    <w:p>
      <w:pPr>
        <w:ind w:right="80" w:firstLine="464"/>
        <w:spacing w:after="0" w:line="270" w:lineRule="auto"/>
        <w:tabs>
          <w:tab w:leader="none" w:pos="7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 respect to shares of any series of Preferred Stock, when (i) the Board has taken all necessary corporate action to approve the issuance and terms of the shares of the series, the terms of the offering thereof and related matters, including the adoption of a resolution establishing and designating the series and fixing and determining the preferences, limitations and relative rights thereof and the filing of a statement with respect to the series with the Secretary of State of the State of Delaware as required under Section 151 of the General Corporation law of the State of Delaware (the “DGCL”) (the “Certificate of Designation”); and (ii) certificates representing the shares of the series of Preferred Stock have been duly executed, countersigned, registered and delivered either (A) in accordance with the applicable definitive purchase, underwriting or similar agreement approved by the Board, then upon payment of the consideration therefor (not less than the par value of the Preferred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Preferred Stock) or persons duly authorized thereby, the shares of the series of Preferred Stock will be validly issued, fully paid and non-assessable.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4" w:name="page35"/>
    <w:bookmarkEnd w:id="34"/>
    <w:p>
      <w:pPr>
        <w:ind w:right="240" w:firstLine="464"/>
        <w:spacing w:after="0" w:line="293"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Warrants, when (i) the Board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WMI and the warrant agent appointed by WMI;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or persons duly authorized thereby, then upon payment of the consideration provided for therein, the Warrants will be legally issued and will constitute valid and binding obligations of WMI.</w:t>
      </w:r>
    </w:p>
    <w:p>
      <w:pPr>
        <w:spacing w:after="0" w:line="164" w:lineRule="exact"/>
        <w:rPr>
          <w:rFonts w:ascii="Arial" w:cs="Arial" w:eastAsia="Arial" w:hAnsi="Arial"/>
          <w:sz w:val="16"/>
          <w:szCs w:val="16"/>
          <w:color w:val="auto"/>
        </w:rPr>
      </w:pPr>
    </w:p>
    <w:p>
      <w:pPr>
        <w:ind w:right="120" w:firstLine="464"/>
        <w:spacing w:after="0" w:line="297" w:lineRule="auto"/>
        <w:tabs>
          <w:tab w:leader="none" w:pos="7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 respect to Units, when (i) the purchase agreement for the Units has been duly authorized and validly executed by the parties thereto, (ii) the Board has taken all necessary corporate action to approve and establish the terms of the Units and to authorize and approve the issuance thereof, the terms of the offering and related matters; and (iii) the Units have been duly executed and delivered in accordance with the purchase agreement and the applicable definitive purchase, underwriting or similar agreement approved by or on behalf of the Board or persons duly authorized thereby, then upon payment of the consideration therefor provided therein, the Units will be legally issued and will constitute valid and binding obligations of WMI.</w:t>
      </w:r>
    </w:p>
    <w:p>
      <w:pPr>
        <w:spacing w:after="0" w:line="158" w:lineRule="exact"/>
        <w:rPr>
          <w:rFonts w:ascii="Arial" w:cs="Arial" w:eastAsia="Arial" w:hAnsi="Arial"/>
          <w:sz w:val="16"/>
          <w:szCs w:val="16"/>
          <w:color w:val="auto"/>
        </w:rPr>
      </w:pPr>
    </w:p>
    <w:p>
      <w:pPr>
        <w:ind w:firstLine="464"/>
        <w:spacing w:after="0" w:line="276" w:lineRule="auto"/>
        <w:tabs>
          <w:tab w:leader="none" w:pos="681" w:val="left"/>
        </w:tabs>
        <w:numPr>
          <w:ilvl w:val="0"/>
          <w:numId w:val="40"/>
        </w:numPr>
        <w:rPr>
          <w:rFonts w:ascii="Arial" w:cs="Arial" w:eastAsia="Arial" w:hAnsi="Arial"/>
          <w:sz w:val="17"/>
          <w:szCs w:val="17"/>
          <w:color w:val="auto"/>
        </w:rPr>
      </w:pPr>
      <w:r>
        <w:rPr>
          <w:rFonts w:ascii="Arial" w:cs="Arial" w:eastAsia="Arial" w:hAnsi="Arial"/>
          <w:sz w:val="17"/>
          <w:szCs w:val="17"/>
          <w:color w:val="auto"/>
        </w:rPr>
        <w:t>With respect to the Holdings Guarantees, when (i) the terms of the Holdings Guarantees and of their issuance, sale and related matters have been duly authorized and approved by all necessary action of Holdings’ Board of Directors or persons duly authorized thereby; and (ii) the Holdings Guarantees have been duly executed and delivered in accordance with the purchase agreement and the applicable definitive purchase, underwriting or similar agreement approved by or on behalf of the Holdings’ Board of Directors, then upon payment of the consideration therefor provided therein, the Holdings Guarantees will be legally issued and constitute the valid and binding obligation of Holdings.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foregoing opinions are qualified to the extent that the enforceability of any document, instrument or Security may be limited by or subject to</w:t>
      </w:r>
    </w:p>
    <w:p>
      <w:pPr>
        <w:spacing w:after="0" w:line="35" w:lineRule="exact"/>
        <w:rPr>
          <w:sz w:val="20"/>
          <w:szCs w:val="20"/>
          <w:color w:val="auto"/>
        </w:rPr>
      </w:pPr>
    </w:p>
    <w:p>
      <w:pPr>
        <w:ind w:right="60" w:firstLine="8"/>
        <w:spacing w:after="0" w:line="253"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bankruptcy, insolvency, fraudulent transfer or conveyance, reorganization, moratorium or other similar laws relating to or affecting creditors’ rights generally, and general equitable or public policy principles (regardless of whether enforcement is sought in a proceeding in equity or law),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w:t>
      </w:r>
    </w:p>
    <w:p>
      <w:pPr>
        <w:spacing w:after="0" w:line="19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express no opinions concerning (i) the validity or enforceability of any provisions contained in either of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My opinions above are limited to the laws of the State of Texas and New York, the DGCL and the federal laws of the United States (except that I express no opinion with respect to any state securities laws or “blue sky” laws), and I do not express any opinion herein concerning any other law. I am licensed to practice law in the State of Texas. I have not examined any laws, regulations or other governmental proceedings other than laws and regulations of general applicationI assume no, and hereby specifically disclaim any, obligation to supplement this opinion if any Applicable Law changes after the date of this opinion, or if I become aware of any facts that might change the opinions expressed above after the date of this opinion.</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and to the use of my name in the prospectus forming a part of the Registration Statement under the caption “Legal Matters.” By giving such consent, I do not admit that I am within the category of persons whose consent is required under Section 7 of the Act or the rules and regulations of Commission issued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Courtney A. Tippy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Courtney A. Tippy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General Counsel —Securities &amp; Governance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Waste Management, Inc. for the registration of debt securities, common stock, preferred stock, warrants, guarantees and units and to the incorporation by reference therein of our reports dated February 17, 2015, with respect to the consolidated financial statements and schedule of Waste Management, Inc. and the effectiveness of internal control over financial reporting of Waste Management, Inc., included in its Annual Report (Form 10-K) for the year ended December 31, 2014, filed with the Securities and Exchange Commission.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2015</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27, 2015</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Each person whose signature appears below appoints David P. Steiner, James C. Fish, Jr. and Barry H. Caldwell, and each of them severally, as his or her true and lawful attorney or attorneys-in-fact and agent or agents, each of whom shall be authorized to act with or without the other, with full power of substitution and resubstitution, for him or her and in his or her name, place and stead in his or her capacity as a director or officer or both, as the case may be, to sign a Registration Statement on Form S-3 and any and all amendments to the Registration Statement and all documents or instruments necessary to comply with the Securities Act of 1933, as amended, and to file the same with the Securities and Exchange Commission, with full power and authority to each of said attorneys-in-fact and agents to do and perform in the name and on behalf of each such director or officer, or both, as the case may be, each and every act whatsoever that is necessary, appropriate or advisable in connection with any or all of the above-described matters and to all intents and purposes as he might or could do in person, hereby ratifying and confirming all that said attorneys-in-fact and agents or any of them or their substitutes, may lawfully do or cause to be done by virtue hereof.</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6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David P. Steiner</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89"/>
              </w:rPr>
              <w:t>David P. Steiner</w:t>
            </w:r>
          </w:p>
        </w:tc>
        <w:tc>
          <w:tcPr>
            <w:tcW w:w="220" w:type="dxa"/>
            <w:vAlign w:val="bottom"/>
          </w:tcPr>
          <w:p>
            <w:pPr>
              <w:spacing w:after="0"/>
              <w:rPr>
                <w:sz w:val="19"/>
                <w:szCs w:val="19"/>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James C. Fish, Jr.</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86"/>
              </w:rPr>
              <w:t>James C. Fish, Jr.</w:t>
            </w:r>
          </w:p>
        </w:tc>
        <w:tc>
          <w:tcPr>
            <w:tcW w:w="220" w:type="dxa"/>
            <w:vAlign w:val="bottom"/>
          </w:tcPr>
          <w:p>
            <w:pPr>
              <w:spacing w:after="0"/>
              <w:rPr>
                <w:sz w:val="19"/>
                <w:szCs w:val="19"/>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Don P. Carpenter</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88"/>
              </w:rPr>
              <w:t>Don P. Carpenter</w:t>
            </w:r>
          </w:p>
        </w:tc>
        <w:tc>
          <w:tcPr>
            <w:tcW w:w="220" w:type="dxa"/>
            <w:vAlign w:val="bottom"/>
          </w:tcPr>
          <w:p>
            <w:pPr>
              <w:spacing w:after="0"/>
              <w:rPr>
                <w:sz w:val="19"/>
                <w:szCs w:val="19"/>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Bradbury H. Anderson</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2"/>
              </w:rPr>
              <w:t>Bradbury H. Anderson</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 Frank M. Clark, Jr.</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1"/>
              </w:rPr>
              <w:t>Frank M. Clark, Jr.</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Andrés R. Gluski</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1"/>
              </w:rPr>
              <w:t>Andrés R. Gluski</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Patrick W. Gross</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0"/>
              </w:rPr>
              <w:t>Patrick W. Gross</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 Victoria M. Holt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8"/>
              </w:rPr>
              <w:t>Victoria M. Holt</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Kathleen M. Mazzarella</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2"/>
              </w:rPr>
              <w:t>Kathleen M. Mazzarella</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John C. Pope</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87"/>
              </w:rPr>
              <w:t>John C. Pope</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 W. Robert Reum</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1"/>
              </w:rPr>
              <w:t>Chairman of the Board and 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89"/>
              </w:rPr>
              <w:t>W. Robert Reum</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Thomas H. Weidemeyer</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0"/>
              </w:rPr>
              <w:t>Thomas H. Weidemeyer</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right="560" w:hanging="452"/>
        <w:spacing w:after="0" w:line="256" w:lineRule="auto"/>
        <w:tabs>
          <w:tab w:leader="none" w:pos="460" w:val="left"/>
        </w:tabs>
        <w:numPr>
          <w:ilvl w:val="0"/>
          <w:numId w:val="42"/>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 TRUST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COMPANY, N.A.</w:t>
      </w:r>
    </w:p>
    <w:tbl>
      <w:tblPr>
        <w:tblLayout w:type="fixed"/>
        <w:tblInd w:w="0" w:type="dxa"/>
        <w:tblCellMar>
          <w:top w:w="0" w:type="dxa"/>
          <w:left w:w="0" w:type="dxa"/>
          <w:bottom w:w="0" w:type="dxa"/>
          <w:right w:w="0" w:type="dxa"/>
        </w:tblCellMar>
      </w:tblPr>
      <w:tr>
        <w:trPr>
          <w:trHeight w:val="234"/>
        </w:trPr>
        <w:tc>
          <w:tcPr>
            <w:tcW w:w="7920" w:type="dxa"/>
            <w:vAlign w:val="bottom"/>
            <w:gridSpan w:val="3"/>
          </w:tcPr>
          <w:p>
            <w:pPr>
              <w:jc w:val="center"/>
              <w:ind w:left="3418"/>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500" w:type="dxa"/>
            <w:vAlign w:val="bottom"/>
          </w:tcPr>
          <w:p>
            <w:pPr>
              <w:spacing w:after="0"/>
              <w:rPr>
                <w:sz w:val="20"/>
                <w:szCs w:val="20"/>
                <w:color w:val="auto"/>
              </w:rPr>
            </w:pPr>
          </w:p>
        </w:tc>
      </w:tr>
      <w:tr>
        <w:trPr>
          <w:trHeight w:val="345"/>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57"/>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6"/>
              </w:rPr>
              <w:t>N/A</w:t>
            </w:r>
          </w:p>
        </w:tc>
        <w:tc>
          <w:tcPr>
            <w:tcW w:w="3500" w:type="dxa"/>
            <w:vAlign w:val="bottom"/>
          </w:tcPr>
          <w:p>
            <w:pPr>
              <w:jc w:val="center"/>
              <w:ind w:right="1961"/>
              <w:spacing w:after="0"/>
              <w:rPr>
                <w:sz w:val="20"/>
                <w:szCs w:val="20"/>
                <w:color w:val="auto"/>
              </w:rPr>
            </w:pPr>
            <w:r>
              <w:rPr>
                <w:rFonts w:ascii="Arial" w:cs="Arial" w:eastAsia="Arial" w:hAnsi="Arial"/>
                <w:sz w:val="18"/>
                <w:szCs w:val="18"/>
                <w:b w:val="1"/>
                <w:bCs w:val="1"/>
                <w:color w:val="auto"/>
                <w:w w:val="89"/>
              </w:rPr>
              <w:t>95-3571558</w:t>
            </w:r>
          </w:p>
        </w:tc>
      </w:tr>
      <w:tr>
        <w:trPr>
          <w:trHeight w:val="149"/>
        </w:trPr>
        <w:tc>
          <w:tcPr>
            <w:tcW w:w="7920" w:type="dxa"/>
            <w:vAlign w:val="bottom"/>
            <w:gridSpan w:val="3"/>
          </w:tcPr>
          <w:p>
            <w:pPr>
              <w:jc w:val="center"/>
              <w:ind w:right="2120"/>
              <w:spacing w:after="0" w:line="149" w:lineRule="exact"/>
              <w:rPr>
                <w:sz w:val="20"/>
                <w:szCs w:val="20"/>
                <w:color w:val="auto"/>
              </w:rPr>
            </w:pPr>
            <w:r>
              <w:rPr>
                <w:rFonts w:ascii="Arial" w:cs="Arial" w:eastAsia="Arial" w:hAnsi="Arial"/>
                <w:sz w:val="14"/>
                <w:szCs w:val="14"/>
                <w:b w:val="1"/>
                <w:bCs w:val="1"/>
                <w:color w:val="auto"/>
                <w:w w:val="93"/>
              </w:rPr>
              <w:t>(State of incorporation</w:t>
            </w:r>
          </w:p>
        </w:tc>
        <w:tc>
          <w:tcPr>
            <w:tcW w:w="3500" w:type="dxa"/>
            <w:vAlign w:val="bottom"/>
          </w:tcPr>
          <w:p>
            <w:pPr>
              <w:jc w:val="center"/>
              <w:ind w:right="19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2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4"/>
              </w:rPr>
              <w:t>if not a U.S. national bank)</w:t>
            </w:r>
          </w:p>
        </w:tc>
        <w:tc>
          <w:tcPr>
            <w:tcW w:w="3500" w:type="dxa"/>
            <w:vAlign w:val="bottom"/>
          </w:tcPr>
          <w:p>
            <w:pPr>
              <w:jc w:val="center"/>
              <w:ind w:right="19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8"/>
              </w:rPr>
              <w:t>400 South Hope Street, Suite 400</w:t>
            </w:r>
          </w:p>
        </w:tc>
        <w:tc>
          <w:tcPr>
            <w:tcW w:w="3500" w:type="dxa"/>
            <w:vAlign w:val="bottom"/>
          </w:tcPr>
          <w:p>
            <w:pPr>
              <w:spacing w:after="0"/>
              <w:rPr>
                <w:sz w:val="24"/>
                <w:szCs w:val="24"/>
                <w:color w:val="auto"/>
              </w:rPr>
            </w:pPr>
          </w:p>
        </w:tc>
      </w:tr>
      <w:tr>
        <w:trPr>
          <w:trHeight w:val="225"/>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0"/>
              </w:rPr>
              <w:t>Los Angeles, California</w:t>
            </w:r>
          </w:p>
        </w:tc>
        <w:tc>
          <w:tcPr>
            <w:tcW w:w="3500" w:type="dxa"/>
            <w:vAlign w:val="bottom"/>
          </w:tcPr>
          <w:p>
            <w:pPr>
              <w:jc w:val="center"/>
              <w:ind w:right="1961"/>
              <w:spacing w:after="0"/>
              <w:rPr>
                <w:sz w:val="20"/>
                <w:szCs w:val="20"/>
                <w:color w:val="auto"/>
              </w:rPr>
            </w:pPr>
            <w:r>
              <w:rPr>
                <w:rFonts w:ascii="Arial" w:cs="Arial" w:eastAsia="Arial" w:hAnsi="Arial"/>
                <w:sz w:val="18"/>
                <w:szCs w:val="18"/>
                <w:b w:val="1"/>
                <w:bCs w:val="1"/>
                <w:color w:val="auto"/>
                <w:w w:val="91"/>
              </w:rPr>
              <w:t>90071</w:t>
            </w:r>
          </w:p>
        </w:tc>
      </w:tr>
      <w:tr>
        <w:trPr>
          <w:trHeight w:val="186"/>
        </w:trPr>
        <w:tc>
          <w:tcPr>
            <w:tcW w:w="792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961"/>
              <w:spacing w:after="0"/>
              <w:rPr>
                <w:sz w:val="20"/>
                <w:szCs w:val="20"/>
                <w:color w:val="auto"/>
              </w:rPr>
            </w:pPr>
            <w:r>
              <w:rPr>
                <w:rFonts w:ascii="Arial" w:cs="Arial" w:eastAsia="Arial" w:hAnsi="Arial"/>
                <w:sz w:val="14"/>
                <w:szCs w:val="14"/>
                <w:b w:val="1"/>
                <w:bCs w:val="1"/>
                <w:color w:val="auto"/>
                <w:w w:val="92"/>
              </w:rPr>
              <w:t>(Zip code)</w:t>
            </w:r>
          </w:p>
        </w:tc>
      </w:tr>
      <w:tr>
        <w:trPr>
          <w:trHeight w:val="399"/>
        </w:trPr>
        <w:tc>
          <w:tcPr>
            <w:tcW w:w="4520" w:type="dxa"/>
            <w:vAlign w:val="bottom"/>
          </w:tcPr>
          <w:p>
            <w:pPr>
              <w:spacing w:after="0"/>
              <w:rPr>
                <w:sz w:val="24"/>
                <w:szCs w:val="24"/>
                <w:color w:val="auto"/>
              </w:rPr>
            </w:pPr>
          </w:p>
        </w:tc>
        <w:tc>
          <w:tcPr>
            <w:tcW w:w="34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2"/>
              </w:rPr>
              <w:t>Legal Department</w:t>
            </w:r>
          </w:p>
        </w:tc>
        <w:tc>
          <w:tcPr>
            <w:tcW w:w="3500" w:type="dxa"/>
            <w:vAlign w:val="bottom"/>
          </w:tcPr>
          <w:p>
            <w:pPr>
              <w:spacing w:after="0"/>
              <w:rPr>
                <w:sz w:val="24"/>
                <w:szCs w:val="24"/>
                <w:color w:val="auto"/>
              </w:rPr>
            </w:pPr>
          </w:p>
        </w:tc>
      </w:tr>
      <w:tr>
        <w:trPr>
          <w:trHeight w:val="216"/>
        </w:trPr>
        <w:tc>
          <w:tcPr>
            <w:tcW w:w="7920" w:type="dxa"/>
            <w:vAlign w:val="bottom"/>
            <w:gridSpan w:val="3"/>
          </w:tcPr>
          <w:p>
            <w:pPr>
              <w:jc w:val="center"/>
              <w:ind w:left="3418"/>
              <w:spacing w:after="0"/>
              <w:rPr>
                <w:sz w:val="20"/>
                <w:szCs w:val="20"/>
                <w:color w:val="auto"/>
              </w:rPr>
            </w:pPr>
            <w:r>
              <w:rPr>
                <w:rFonts w:ascii="Arial" w:cs="Arial" w:eastAsia="Arial" w:hAnsi="Arial"/>
                <w:sz w:val="18"/>
                <w:szCs w:val="18"/>
                <w:b w:val="1"/>
                <w:bCs w:val="1"/>
                <w:color w:val="auto"/>
                <w:w w:val="92"/>
              </w:rPr>
              <w:t>The Bank of New York Mellon Trust Company, N.A.</w:t>
            </w:r>
          </w:p>
        </w:tc>
        <w:tc>
          <w:tcPr>
            <w:tcW w:w="35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4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2"/>
              </w:rPr>
              <w:t>225 Liberty Street</w:t>
            </w:r>
          </w:p>
        </w:tc>
        <w:tc>
          <w:tcPr>
            <w:tcW w:w="35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4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2"/>
              </w:rPr>
              <w:t>New York, NY 10286</w:t>
            </w:r>
          </w:p>
        </w:tc>
        <w:tc>
          <w:tcPr>
            <w:tcW w:w="3500" w:type="dxa"/>
            <w:vAlign w:val="bottom"/>
          </w:tcPr>
          <w:p>
            <w:pPr>
              <w:spacing w:after="0"/>
              <w:rPr>
                <w:sz w:val="18"/>
                <w:szCs w:val="18"/>
                <w:color w:val="auto"/>
              </w:rPr>
            </w:pPr>
          </w:p>
        </w:tc>
      </w:tr>
      <w:tr>
        <w:trPr>
          <w:trHeight w:val="212"/>
        </w:trPr>
        <w:tc>
          <w:tcPr>
            <w:tcW w:w="6900" w:type="dxa"/>
            <w:vAlign w:val="bottom"/>
            <w:gridSpan w:val="2"/>
          </w:tcPr>
          <w:p>
            <w:pPr>
              <w:jc w:val="center"/>
              <w:ind w:left="4458"/>
              <w:spacing w:after="0"/>
              <w:rPr>
                <w:sz w:val="20"/>
                <w:szCs w:val="20"/>
                <w:color w:val="auto"/>
              </w:rPr>
            </w:pPr>
            <w:r>
              <w:rPr>
                <w:rFonts w:ascii="Arial" w:cs="Arial" w:eastAsia="Arial" w:hAnsi="Arial"/>
                <w:sz w:val="18"/>
                <w:szCs w:val="18"/>
                <w:b w:val="1"/>
                <w:bCs w:val="1"/>
                <w:color w:val="auto"/>
                <w:w w:val="90"/>
              </w:rPr>
              <w:t>(212) 635-1270</w:t>
            </w:r>
          </w:p>
        </w:tc>
        <w:tc>
          <w:tcPr>
            <w:tcW w:w="10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186"/>
        </w:trPr>
        <w:tc>
          <w:tcPr>
            <w:tcW w:w="7920" w:type="dxa"/>
            <w:vAlign w:val="bottom"/>
            <w:gridSpan w:val="3"/>
          </w:tcPr>
          <w:p>
            <w:pPr>
              <w:jc w:val="center"/>
              <w:ind w:left="3418"/>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500" w:type="dxa"/>
            <w:vAlign w:val="bottom"/>
          </w:tcPr>
          <w:p>
            <w:pPr>
              <w:spacing w:after="0"/>
              <w:rPr>
                <w:sz w:val="16"/>
                <w:szCs w:val="16"/>
                <w:color w:val="auto"/>
              </w:rPr>
            </w:pP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3"/>
        </w:trPr>
        <w:tc>
          <w:tcPr>
            <w:tcW w:w="7920" w:type="dxa"/>
            <w:vAlign w:val="bottom"/>
            <w:gridSpan w:val="3"/>
          </w:tcPr>
          <w:p>
            <w:pPr>
              <w:jc w:val="center"/>
              <w:ind w:left="3438"/>
              <w:spacing w:after="0"/>
              <w:rPr>
                <w:sz w:val="20"/>
                <w:szCs w:val="20"/>
                <w:color w:val="auto"/>
              </w:rPr>
            </w:pPr>
            <w:r>
              <w:rPr>
                <w:rFonts w:ascii="Arial" w:cs="Arial" w:eastAsia="Arial" w:hAnsi="Arial"/>
                <w:sz w:val="18"/>
                <w:szCs w:val="18"/>
                <w:b w:val="1"/>
                <w:bCs w:val="1"/>
                <w:color w:val="auto"/>
              </w:rPr>
              <w:t>WASTE MANAGEMENT, INC.</w:t>
            </w:r>
          </w:p>
        </w:tc>
        <w:tc>
          <w:tcPr>
            <w:tcW w:w="3500" w:type="dxa"/>
            <w:vAlign w:val="bottom"/>
          </w:tcPr>
          <w:p>
            <w:pPr>
              <w:spacing w:after="0"/>
              <w:rPr>
                <w:sz w:val="24"/>
                <w:szCs w:val="24"/>
                <w:color w:val="auto"/>
              </w:rPr>
            </w:pPr>
          </w:p>
        </w:tc>
      </w:tr>
      <w:tr>
        <w:trPr>
          <w:trHeight w:val="186"/>
        </w:trPr>
        <w:tc>
          <w:tcPr>
            <w:tcW w:w="7920" w:type="dxa"/>
            <w:vAlign w:val="bottom"/>
            <w:gridSpan w:val="3"/>
          </w:tcPr>
          <w:p>
            <w:pPr>
              <w:jc w:val="center"/>
              <w:ind w:left="3418"/>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50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70"/>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3"/>
              </w:rPr>
              <w:t>Delaware</w:t>
            </w:r>
          </w:p>
        </w:tc>
        <w:tc>
          <w:tcPr>
            <w:tcW w:w="3500" w:type="dxa"/>
            <w:vAlign w:val="bottom"/>
          </w:tcPr>
          <w:p>
            <w:pPr>
              <w:jc w:val="center"/>
              <w:ind w:right="1961"/>
              <w:spacing w:after="0"/>
              <w:rPr>
                <w:sz w:val="20"/>
                <w:szCs w:val="20"/>
                <w:color w:val="auto"/>
              </w:rPr>
            </w:pPr>
            <w:r>
              <w:rPr>
                <w:rFonts w:ascii="Arial" w:cs="Arial" w:eastAsia="Arial" w:hAnsi="Arial"/>
                <w:sz w:val="18"/>
                <w:szCs w:val="18"/>
                <w:b w:val="1"/>
                <w:bCs w:val="1"/>
                <w:color w:val="auto"/>
                <w:w w:val="89"/>
              </w:rPr>
              <w:t>73-1309529</w:t>
            </w:r>
          </w:p>
        </w:tc>
      </w:tr>
      <w:tr>
        <w:trPr>
          <w:trHeight w:val="149"/>
        </w:trPr>
        <w:tc>
          <w:tcPr>
            <w:tcW w:w="7920" w:type="dxa"/>
            <w:vAlign w:val="bottom"/>
            <w:gridSpan w:val="3"/>
          </w:tcPr>
          <w:p>
            <w:pPr>
              <w:jc w:val="center"/>
              <w:ind w:right="21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00" w:type="dxa"/>
            <w:vAlign w:val="bottom"/>
          </w:tcPr>
          <w:p>
            <w:pPr>
              <w:jc w:val="center"/>
              <w:ind w:right="19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2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4"/>
              </w:rPr>
              <w:t>incorporation or organization)</w:t>
            </w:r>
          </w:p>
        </w:tc>
        <w:tc>
          <w:tcPr>
            <w:tcW w:w="3500" w:type="dxa"/>
            <w:vAlign w:val="bottom"/>
          </w:tcPr>
          <w:p>
            <w:pPr>
              <w:jc w:val="center"/>
              <w:ind w:right="19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1001 Fannin Street</w:t>
            </w:r>
          </w:p>
        </w:tc>
        <w:tc>
          <w:tcPr>
            <w:tcW w:w="3500" w:type="dxa"/>
            <w:vAlign w:val="bottom"/>
          </w:tcPr>
          <w:p>
            <w:pPr>
              <w:spacing w:after="0"/>
              <w:rPr>
                <w:sz w:val="24"/>
                <w:szCs w:val="24"/>
                <w:color w:val="auto"/>
              </w:rPr>
            </w:pPr>
          </w:p>
        </w:tc>
      </w:tr>
      <w:tr>
        <w:trPr>
          <w:trHeight w:val="225"/>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8"/>
              </w:rPr>
              <w:t>Houston, Texas</w:t>
            </w:r>
          </w:p>
        </w:tc>
        <w:tc>
          <w:tcPr>
            <w:tcW w:w="3500" w:type="dxa"/>
            <w:vAlign w:val="bottom"/>
          </w:tcPr>
          <w:p>
            <w:pPr>
              <w:jc w:val="center"/>
              <w:ind w:right="1961"/>
              <w:spacing w:after="0"/>
              <w:rPr>
                <w:sz w:val="20"/>
                <w:szCs w:val="20"/>
                <w:color w:val="auto"/>
              </w:rPr>
            </w:pPr>
            <w:r>
              <w:rPr>
                <w:rFonts w:ascii="Arial" w:cs="Arial" w:eastAsia="Arial" w:hAnsi="Arial"/>
                <w:sz w:val="18"/>
                <w:szCs w:val="18"/>
                <w:b w:val="1"/>
                <w:bCs w:val="1"/>
                <w:color w:val="auto"/>
                <w:w w:val="91"/>
              </w:rPr>
              <w:t>77002</w:t>
            </w:r>
          </w:p>
        </w:tc>
      </w:tr>
      <w:tr>
        <w:trPr>
          <w:trHeight w:val="186"/>
        </w:trPr>
        <w:tc>
          <w:tcPr>
            <w:tcW w:w="792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961"/>
              <w:spacing w:after="0"/>
              <w:rPr>
                <w:sz w:val="20"/>
                <w:szCs w:val="20"/>
                <w:color w:val="auto"/>
              </w:rPr>
            </w:pPr>
            <w:r>
              <w:rPr>
                <w:rFonts w:ascii="Arial" w:cs="Arial" w:eastAsia="Arial" w:hAnsi="Arial"/>
                <w:sz w:val="14"/>
                <w:szCs w:val="14"/>
                <w:b w:val="1"/>
                <w:bCs w:val="1"/>
                <w:color w:val="auto"/>
                <w:w w:val="92"/>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34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Senior Debt Securities</w:t>
            </w:r>
          </w:p>
        </w:tc>
        <w:tc>
          <w:tcPr>
            <w:tcW w:w="350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4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0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ADDITIONAL GUARANTOR OBLIGORS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State or Other</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I.R.S. Employer</w:t>
            </w:r>
          </w:p>
        </w:tc>
        <w:tc>
          <w:tcPr>
            <w:tcW w:w="340" w:type="dxa"/>
            <w:vAlign w:val="bottom"/>
          </w:tcPr>
          <w:p>
            <w:pPr>
              <w:spacing w:after="0"/>
              <w:rPr>
                <w:sz w:val="14"/>
                <w:szCs w:val="14"/>
                <w:color w:val="auto"/>
              </w:rPr>
            </w:pPr>
          </w:p>
        </w:tc>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2"/>
              </w:rPr>
              <w:t>Address, Including Zip Code</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Jurisdiction of</w:t>
            </w: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w w:val="93"/>
              </w:rPr>
              <w:t>Exact Name as Specified in Its Charter</w:t>
            </w:r>
          </w:p>
        </w:tc>
        <w:tc>
          <w:tcPr>
            <w:tcW w:w="4520" w:type="dxa"/>
            <w:vAlign w:val="bottom"/>
            <w:vMerge w:val="restart"/>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Identification</w:t>
            </w:r>
          </w:p>
        </w:tc>
        <w:tc>
          <w:tcPr>
            <w:tcW w:w="340" w:type="dxa"/>
            <w:vAlign w:val="bottom"/>
          </w:tcPr>
          <w:p>
            <w:pPr>
              <w:spacing w:after="0"/>
              <w:rPr>
                <w:sz w:val="12"/>
                <w:szCs w:val="12"/>
                <w:color w:val="auto"/>
              </w:rPr>
            </w:pPr>
          </w:p>
        </w:tc>
        <w:tc>
          <w:tcPr>
            <w:tcW w:w="17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and Telephone Number</w:t>
            </w:r>
          </w:p>
        </w:tc>
        <w:tc>
          <w:tcPr>
            <w:tcW w:w="0" w:type="dxa"/>
            <w:vAlign w:val="bottom"/>
          </w:tcPr>
          <w:p>
            <w:pPr>
              <w:spacing w:after="0"/>
              <w:rPr>
                <w:sz w:val="1"/>
                <w:szCs w:val="1"/>
                <w:color w:val="auto"/>
              </w:rPr>
            </w:pPr>
          </w:p>
        </w:tc>
      </w:tr>
      <w:tr>
        <w:trPr>
          <w:trHeight w:val="178"/>
        </w:trPr>
        <w:tc>
          <w:tcPr>
            <w:tcW w:w="240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Organization</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5"/>
                <w:szCs w:val="15"/>
                <w:color w:val="auto"/>
              </w:rPr>
            </w:pPr>
          </w:p>
        </w:tc>
        <w:tc>
          <w:tcPr>
            <w:tcW w:w="1780" w:type="dxa"/>
            <w:vAlign w:val="bottom"/>
          </w:tcPr>
          <w:p>
            <w:pPr>
              <w:spacing w:after="0" w:line="158" w:lineRule="exact"/>
              <w:rPr>
                <w:sz w:val="20"/>
                <w:szCs w:val="20"/>
                <w:color w:val="auto"/>
              </w:rPr>
            </w:pPr>
            <w:r>
              <w:rPr>
                <w:rFonts w:ascii="Arial" w:cs="Arial" w:eastAsia="Arial" w:hAnsi="Arial"/>
                <w:sz w:val="14"/>
                <w:szCs w:val="14"/>
                <w:b w:val="1"/>
                <w:bCs w:val="1"/>
                <w:color w:val="auto"/>
                <w:w w:val="93"/>
              </w:rPr>
              <w:t>of Principal Executive Office</w:t>
            </w:r>
          </w:p>
        </w:tc>
        <w:tc>
          <w:tcPr>
            <w:tcW w:w="0" w:type="dxa"/>
            <w:vAlign w:val="bottom"/>
          </w:tcPr>
          <w:p>
            <w:pPr>
              <w:spacing w:after="0"/>
              <w:rPr>
                <w:sz w:val="1"/>
                <w:szCs w:val="1"/>
                <w:color w:val="auto"/>
              </w:rPr>
            </w:pPr>
          </w:p>
        </w:tc>
      </w:tr>
      <w:tr>
        <w:trPr>
          <w:trHeight w:val="189"/>
        </w:trPr>
        <w:tc>
          <w:tcPr>
            <w:tcW w:w="692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Holdings, Inc.</w:t>
            </w:r>
          </w:p>
        </w:tc>
        <w:tc>
          <w:tcPr>
            <w:tcW w:w="10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1001 Fannin Street</w:t>
            </w:r>
          </w:p>
        </w:tc>
        <w:tc>
          <w:tcPr>
            <w:tcW w:w="0" w:type="dxa"/>
            <w:vAlign w:val="bottom"/>
          </w:tcPr>
          <w:p>
            <w:pPr>
              <w:spacing w:after="0"/>
              <w:rPr>
                <w:sz w:val="1"/>
                <w:szCs w:val="1"/>
                <w:color w:val="auto"/>
              </w:rPr>
            </w:pPr>
          </w:p>
        </w:tc>
      </w:tr>
      <w:tr>
        <w:trPr>
          <w:trHeight w:val="244"/>
        </w:trPr>
        <w:tc>
          <w:tcPr>
            <w:tcW w:w="24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36-2660763</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w w:val="97"/>
              </w:rPr>
              <w:t>Houston, Texas 77002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9" w:name="page40"/>
    <w:bookmarkEnd w:id="39"/>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General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Furnish the following information as to the trustee:</w:t>
      </w:r>
    </w:p>
    <w:p>
      <w:pPr>
        <w:spacing w:after="0" w:line="131" w:lineRule="exact"/>
        <w:rPr>
          <w:sz w:val="20"/>
          <w:szCs w:val="20"/>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3700" w:type="dxa"/>
            <w:vAlign w:val="bottom"/>
            <w:gridSpan w:val="2"/>
          </w:tcPr>
          <w:p>
            <w:pPr>
              <w:spacing w:after="0"/>
              <w:rPr>
                <w:sz w:val="20"/>
                <w:szCs w:val="20"/>
                <w:color w:val="auto"/>
              </w:rPr>
            </w:pPr>
            <w:r>
              <w:rPr>
                <w:rFonts w:ascii="Arial" w:cs="Arial" w:eastAsia="Arial" w:hAnsi="Arial"/>
                <w:sz w:val="14"/>
                <w:szCs w:val="14"/>
                <w:color w:val="auto"/>
              </w:rPr>
              <w:t>Name</w:t>
            </w:r>
          </w:p>
        </w:tc>
        <w:tc>
          <w:tcPr>
            <w:tcW w:w="500" w:type="dxa"/>
            <w:vAlign w:val="bottom"/>
          </w:tcPr>
          <w:p>
            <w:pPr>
              <w:spacing w:after="0"/>
              <w:rPr>
                <w:sz w:val="14"/>
                <w:szCs w:val="14"/>
                <w:color w:val="auto"/>
              </w:rPr>
            </w:pPr>
          </w:p>
        </w:tc>
        <w:tc>
          <w:tcPr>
            <w:tcW w:w="3560" w:type="dxa"/>
            <w:vAlign w:val="bottom"/>
          </w:tcPr>
          <w:p>
            <w:pPr>
              <w:ind w:left="1540"/>
              <w:spacing w:after="0"/>
              <w:rPr>
                <w:sz w:val="20"/>
                <w:szCs w:val="20"/>
                <w:color w:val="auto"/>
              </w:rPr>
            </w:pPr>
            <w:r>
              <w:rPr>
                <w:rFonts w:ascii="Arial" w:cs="Arial" w:eastAsia="Arial" w:hAnsi="Arial"/>
                <w:sz w:val="14"/>
                <w:szCs w:val="14"/>
                <w:color w:val="auto"/>
              </w:rPr>
              <w:t>Address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00" w:type="dxa"/>
            <w:vAlign w:val="bottom"/>
            <w:gridSpan w:val="2"/>
          </w:tcPr>
          <w:p>
            <w:pPr>
              <w:spacing w:after="0" w:line="176" w:lineRule="exact"/>
              <w:rPr>
                <w:sz w:val="20"/>
                <w:szCs w:val="20"/>
                <w:color w:val="auto"/>
              </w:rPr>
            </w:pPr>
            <w:r>
              <w:rPr>
                <w:rFonts w:ascii="Arial" w:cs="Arial" w:eastAsia="Arial" w:hAnsi="Arial"/>
                <w:sz w:val="18"/>
                <w:szCs w:val="18"/>
                <w:color w:val="auto"/>
              </w:rPr>
              <w:t>Comptroller of the Currency – United States</w:t>
            </w:r>
          </w:p>
        </w:tc>
        <w:tc>
          <w:tcPr>
            <w:tcW w:w="500" w:type="dxa"/>
            <w:vAlign w:val="bottom"/>
            <w:vMerge w:val="continue"/>
          </w:tcPr>
          <w:p>
            <w:pPr>
              <w:spacing w:after="0"/>
              <w:rPr>
                <w:sz w:val="15"/>
                <w:szCs w:val="15"/>
                <w:color w:val="auto"/>
              </w:rPr>
            </w:pPr>
          </w:p>
        </w:tc>
        <w:tc>
          <w:tcPr>
            <w:tcW w:w="3560" w:type="dxa"/>
            <w:vAlign w:val="bottom"/>
          </w:tcPr>
          <w:p>
            <w:pPr>
              <w:spacing w:after="0" w:line="176" w:lineRule="exact"/>
              <w:rPr>
                <w:sz w:val="20"/>
                <w:szCs w:val="20"/>
                <w:color w:val="auto"/>
              </w:rPr>
            </w:pPr>
            <w:r>
              <w:rPr>
                <w:rFonts w:ascii="Arial" w:cs="Arial" w:eastAsia="Arial" w:hAnsi="Arial"/>
                <w:sz w:val="18"/>
                <w:szCs w:val="18"/>
                <w:color w:val="auto"/>
              </w:rPr>
              <w:t>Washington, D.C. 20219</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Department of the Treasury</w:t>
            </w:r>
          </w:p>
        </w:tc>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Federal Reserve Bank</w:t>
            </w:r>
          </w:p>
        </w:tc>
        <w:tc>
          <w:tcPr>
            <w:tcW w:w="4060" w:type="dxa"/>
            <w:vAlign w:val="bottom"/>
            <w:gridSpan w:val="2"/>
          </w:tcPr>
          <w:p>
            <w:pPr>
              <w:ind w:left="480"/>
              <w:spacing w:after="0"/>
              <w:rPr>
                <w:sz w:val="20"/>
                <w:szCs w:val="20"/>
                <w:color w:val="auto"/>
              </w:rPr>
            </w:pPr>
            <w:r>
              <w:rPr>
                <w:rFonts w:ascii="Arial" w:cs="Arial" w:eastAsia="Arial" w:hAnsi="Arial"/>
                <w:sz w:val="18"/>
                <w:szCs w:val="18"/>
                <w:color w:val="auto"/>
              </w:rPr>
              <w:t>San Francisco, California 94105</w:t>
            </w: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4060" w:type="dxa"/>
            <w:vAlign w:val="bottom"/>
            <w:gridSpan w:val="2"/>
          </w:tcPr>
          <w:p>
            <w:pPr>
              <w:ind w:left="480"/>
              <w:spacing w:after="0"/>
              <w:rPr>
                <w:sz w:val="20"/>
                <w:szCs w:val="20"/>
                <w:color w:val="auto"/>
              </w:rPr>
            </w:pPr>
            <w:r>
              <w:rPr>
                <w:rFonts w:ascii="Arial" w:cs="Arial" w:eastAsia="Arial" w:hAnsi="Arial"/>
                <w:sz w:val="18"/>
                <w:szCs w:val="18"/>
                <w:color w:val="auto"/>
              </w:rPr>
              <w:t>Washington, D.C. 20429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500" w:right="5640" w:hanging="587"/>
        <w:spacing w:after="0" w:line="402" w:lineRule="auto"/>
        <w:tabs>
          <w:tab w:leader="none" w:pos="14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it is authorized to exercise corporate trust powers. Yes.</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Affiliations with Obligor.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List of Exhibits.</w:t>
      </w:r>
    </w:p>
    <w:p>
      <w:pPr>
        <w:spacing w:after="0" w:line="117" w:lineRule="exact"/>
        <w:rPr>
          <w:sz w:val="20"/>
          <w:szCs w:val="20"/>
          <w:color w:val="auto"/>
        </w:rPr>
      </w:pPr>
    </w:p>
    <w:p>
      <w:pPr>
        <w:ind w:left="920" w:right="680"/>
        <w:spacing w:after="0" w:line="282" w:lineRule="auto"/>
        <w:rPr>
          <w:sz w:val="20"/>
          <w:szCs w:val="20"/>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sz w:val="20"/>
          <w:szCs w:val="20"/>
          <w:color w:val="auto"/>
        </w:rPr>
      </w:pPr>
    </w:p>
    <w:p>
      <w:pPr>
        <w:ind w:left="1480" w:right="32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(Exhibit 1 to Form T-1 filed pursuant to Section 305(b)(2) of the Act in connection with Registration Statement No. 333-135006-10)</w:t>
      </w:r>
    </w:p>
    <w:p>
      <w:pPr>
        <w:spacing w:after="0" w:line="75" w:lineRule="exact"/>
        <w:rPr>
          <w:rFonts w:ascii="Arial" w:cs="Arial" w:eastAsia="Arial" w:hAnsi="Arial"/>
          <w:sz w:val="18"/>
          <w:szCs w:val="18"/>
          <w:color w:val="auto"/>
        </w:rPr>
      </w:pPr>
    </w:p>
    <w:p>
      <w:pPr>
        <w:ind w:left="1480" w:right="4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copy of certificate of authority of the trustee to commence business. (Exhibit 2 to Form T-1 filed with Registration Statement No. 333-121948).</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pursuant to Section 305(b)(2) of the Act in connection with Registration Statement No. 333-135006-10).</w:t>
      </w:r>
    </w:p>
    <w:p>
      <w:pPr>
        <w:spacing w:after="0" w:line="75" w:lineRule="exact"/>
        <w:rPr>
          <w:rFonts w:ascii="Arial" w:cs="Arial" w:eastAsia="Arial" w:hAnsi="Arial"/>
          <w:sz w:val="18"/>
          <w:szCs w:val="18"/>
          <w:color w:val="auto"/>
        </w:rPr>
      </w:pPr>
    </w:p>
    <w:p>
      <w:pPr>
        <w:ind w:left="1480" w:right="28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pursuant to Section 305(b)(2) of the Act in connection with Registration Statement No. 333-135006-10).</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(Exhibit 6 to Form T-1 filed pursuant to Section 305(b)(2) of the Act in connection with Registration Statement No. 333-135006-10).</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27th day of October,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TRUST COMPANY, N.A.</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400, Los Angeles, CA 90071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June 30, 2015,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3640" w:type="dxa"/>
            <w:vAlign w:val="bottom"/>
            <w:gridSpan w:val="3"/>
          </w:tcPr>
          <w:p>
            <w:pPr>
              <w:jc w:val="right"/>
              <w:ind w:right="100"/>
              <w:spacing w:after="0"/>
              <w:rPr>
                <w:sz w:val="20"/>
                <w:szCs w:val="20"/>
                <w:color w:val="auto"/>
              </w:rPr>
            </w:pPr>
            <w:r>
              <w:rPr>
                <w:rFonts w:ascii="Arial" w:cs="Arial" w:eastAsia="Arial" w:hAnsi="Arial"/>
                <w:sz w:val="14"/>
                <w:szCs w:val="14"/>
                <w:color w:val="auto"/>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7120" w:type="dxa"/>
            <w:vAlign w:val="bottom"/>
            <w:tcBorders>
              <w:top w:val="single" w:sz="8" w:color="CCEEFF"/>
              <w:bottom w:val="single" w:sz="8" w:color="CCEEFF"/>
            </w:tcBorders>
            <w:shd w:val="clear" w:color="auto" w:fill="CCEEFF"/>
          </w:tcPr>
          <w:p>
            <w:pPr>
              <w:spacing w:after="0"/>
              <w:rPr>
                <w:sz w:val="15"/>
                <w:szCs w:val="15"/>
                <w:color w:val="auto"/>
              </w:rPr>
            </w:pPr>
          </w:p>
        </w:tc>
        <w:tc>
          <w:tcPr>
            <w:tcW w:w="266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7780" w:type="dxa"/>
            <w:vAlign w:val="bottom"/>
            <w:gridSpan w:val="3"/>
          </w:tcPr>
          <w:p>
            <w:pPr>
              <w:spacing w:after="0"/>
              <w:rPr>
                <w:sz w:val="20"/>
                <w:szCs w:val="20"/>
                <w:color w:val="auto"/>
              </w:rPr>
            </w:pPr>
            <w:r>
              <w:rPr>
                <w:rFonts w:ascii="Arial" w:cs="Arial" w:eastAsia="Arial" w:hAnsi="Arial"/>
                <w:sz w:val="18"/>
                <w:szCs w:val="18"/>
                <w:color w:val="auto"/>
              </w:rPr>
              <w:t>Cash and balances due from depository institutions:</w:t>
            </w:r>
          </w:p>
        </w:tc>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Noninterest-bearing balances and currency and coin</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Interest-bearing balances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215,394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Held-to-maturity securities</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Available-for-sale securities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 funds sold</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Securities purchased under agreements to resell</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Loans and leases held for sale</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net of unearned income</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LESS: Allowance for loan and lease losses</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net of unearned income and allowance</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856,313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126,234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0" w:type="dxa"/>
            <w:vAlign w:val="bottom"/>
          </w:tcPr>
          <w:p>
            <w:pPr>
              <w:spacing w:after="0"/>
              <w:rPr>
                <w:sz w:val="6"/>
                <w:szCs w:val="6"/>
                <w:color w:val="auto"/>
              </w:rPr>
            </w:pPr>
          </w:p>
        </w:tc>
        <w:tc>
          <w:tcPr>
            <w:tcW w:w="7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$ 1,988,477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500" w:type="dxa"/>
            <w:vAlign w:val="bottom"/>
            <w:tcBorders>
              <w:bottom w:val="single" w:sz="8" w:color="CCEEFF"/>
            </w:tcBorders>
            <w:gridSpan w:val="2"/>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540" w:type="dxa"/>
            <w:vAlign w:val="bottom"/>
            <w:gridSpan w:val="4"/>
          </w:tcPr>
          <w:p>
            <w:pPr>
              <w:spacing w:after="0"/>
              <w:rPr>
                <w:sz w:val="20"/>
                <w:szCs w:val="20"/>
                <w:color w:val="auto"/>
              </w:rPr>
            </w:pPr>
            <w:r>
              <w:rPr>
                <w:rFonts w:ascii="Arial" w:cs="Arial" w:eastAsia="Arial" w:hAnsi="Arial"/>
                <w:sz w:val="18"/>
                <w:szCs w:val="18"/>
                <w:color w:val="auto"/>
              </w:rPr>
              <w:t>Deposits: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 domestic offices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Noninterest-bearing</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Interest-bearing</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ind w:left="700"/>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Federal funds purchased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Securities sold under agreements to repurchase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279,598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90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0540" w:type="dxa"/>
            <w:vAlign w:val="bottom"/>
            <w:gridSpan w:val="4"/>
          </w:tcPr>
          <w:p>
            <w:pPr>
              <w:spacing w:after="0"/>
              <w:rPr>
                <w:sz w:val="20"/>
                <w:szCs w:val="20"/>
                <w:color w:val="auto"/>
              </w:rPr>
            </w:pPr>
            <w:r>
              <w:rPr>
                <w:rFonts w:ascii="Arial" w:cs="Arial" w:eastAsia="Arial" w:hAnsi="Arial"/>
                <w:sz w:val="18"/>
                <w:szCs w:val="18"/>
                <w:color w:val="auto"/>
              </w:rPr>
              <w:t>Perpetual preferred stock and related surplus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1,122,352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780" w:type="dxa"/>
            <w:vAlign w:val="bottom"/>
          </w:tcPr>
          <w:p>
            <w:pPr>
              <w:jc w:val="right"/>
              <w:spacing w:after="0"/>
              <w:rPr>
                <w:sz w:val="20"/>
                <w:szCs w:val="20"/>
                <w:color w:val="auto"/>
              </w:rPr>
            </w:pPr>
            <w:r>
              <w:rPr>
                <w:rFonts w:ascii="Arial" w:cs="Arial" w:eastAsia="Arial" w:hAnsi="Arial"/>
                <w:sz w:val="18"/>
                <w:szCs w:val="18"/>
                <w:color w:val="auto"/>
              </w:rPr>
              <w:t>584,561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Total bank equity capital</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1,708,359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1,708,359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1,988,477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208" w:lineRule="exact"/>
        <w:rPr>
          <w:sz w:val="20"/>
          <w:szCs w:val="20"/>
          <w:color w:val="auto"/>
        </w:rPr>
      </w:pPr>
    </w:p>
    <w:p>
      <w:pPr>
        <w:ind w:left="460"/>
        <w:spacing w:after="0"/>
        <w:tabs>
          <w:tab w:leader="none" w:pos="2160" w:val="left"/>
          <w:tab w:leader="none" w:pos="2400" w:val="left"/>
        </w:tabs>
        <w:rPr>
          <w:sz w:val="20"/>
          <w:szCs w:val="20"/>
          <w:color w:val="auto"/>
        </w:rPr>
      </w:pPr>
      <w:r>
        <w:rPr>
          <w:rFonts w:ascii="Arial" w:cs="Arial" w:eastAsia="Arial" w:hAnsi="Arial"/>
          <w:sz w:val="18"/>
          <w:szCs w:val="18"/>
          <w:color w:val="auto"/>
        </w:rPr>
        <w:t>Matthew J. McNulty</w:t>
        <w:tab/>
        <w:t>)</w:t>
      </w:r>
      <w:r>
        <w:rPr>
          <w:sz w:val="20"/>
          <w:szCs w:val="20"/>
          <w:color w:val="auto"/>
        </w:rPr>
        <w:tab/>
      </w:r>
      <w:r>
        <w:rPr>
          <w:rFonts w:ascii="Arial" w:cs="Arial" w:eastAsia="Arial" w:hAnsi="Arial"/>
          <w:sz w:val="17"/>
          <w:szCs w:val="17"/>
          <w:color w:val="auto"/>
        </w:rPr>
        <w:t>CFO</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208"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ectPr>
          <w:pgSz w:w="11900" w:h="16838" w:orient="portrait"/>
          <w:cols w:equalWidth="0" w:num="3">
            <w:col w:w="2760" w:space="260"/>
            <w:col w:w="60" w:space="180"/>
            <w:col w:w="8160"/>
          </w:cols>
          <w:pgMar w:left="240" w:top="257" w:right="2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right="560" w:hanging="452"/>
        <w:spacing w:after="0" w:line="256" w:lineRule="auto"/>
        <w:tabs>
          <w:tab w:leader="none" w:pos="460" w:val="left"/>
        </w:tabs>
        <w:numPr>
          <w:ilvl w:val="0"/>
          <w:numId w:val="46"/>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 TRUST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COMPANY, N.A.</w:t>
      </w:r>
    </w:p>
    <w:tbl>
      <w:tblPr>
        <w:tblLayout w:type="fixed"/>
        <w:tblInd w:w="0" w:type="dxa"/>
        <w:tblCellMar>
          <w:top w:w="0" w:type="dxa"/>
          <w:left w:w="0" w:type="dxa"/>
          <w:bottom w:w="0" w:type="dxa"/>
          <w:right w:w="0" w:type="dxa"/>
        </w:tblCellMar>
      </w:tblPr>
      <w:tr>
        <w:trPr>
          <w:trHeight w:val="234"/>
        </w:trPr>
        <w:tc>
          <w:tcPr>
            <w:tcW w:w="7920" w:type="dxa"/>
            <w:vAlign w:val="bottom"/>
            <w:gridSpan w:val="3"/>
          </w:tcPr>
          <w:p>
            <w:pPr>
              <w:jc w:val="center"/>
              <w:ind w:left="3418"/>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500" w:type="dxa"/>
            <w:vAlign w:val="bottom"/>
          </w:tcPr>
          <w:p>
            <w:pPr>
              <w:spacing w:after="0"/>
              <w:rPr>
                <w:sz w:val="20"/>
                <w:szCs w:val="20"/>
                <w:color w:val="auto"/>
              </w:rPr>
            </w:pPr>
          </w:p>
        </w:tc>
      </w:tr>
      <w:tr>
        <w:trPr>
          <w:trHeight w:val="345"/>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57"/>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6"/>
              </w:rPr>
              <w:t>N/A</w:t>
            </w:r>
          </w:p>
        </w:tc>
        <w:tc>
          <w:tcPr>
            <w:tcW w:w="3500" w:type="dxa"/>
            <w:vAlign w:val="bottom"/>
          </w:tcPr>
          <w:p>
            <w:pPr>
              <w:jc w:val="center"/>
              <w:ind w:right="1961"/>
              <w:spacing w:after="0"/>
              <w:rPr>
                <w:sz w:val="20"/>
                <w:szCs w:val="20"/>
                <w:color w:val="auto"/>
              </w:rPr>
            </w:pPr>
            <w:r>
              <w:rPr>
                <w:rFonts w:ascii="Arial" w:cs="Arial" w:eastAsia="Arial" w:hAnsi="Arial"/>
                <w:sz w:val="18"/>
                <w:szCs w:val="18"/>
                <w:b w:val="1"/>
                <w:bCs w:val="1"/>
                <w:color w:val="auto"/>
                <w:w w:val="89"/>
              </w:rPr>
              <w:t>95-3571558</w:t>
            </w:r>
          </w:p>
        </w:tc>
      </w:tr>
      <w:tr>
        <w:trPr>
          <w:trHeight w:val="149"/>
        </w:trPr>
        <w:tc>
          <w:tcPr>
            <w:tcW w:w="7920" w:type="dxa"/>
            <w:vAlign w:val="bottom"/>
            <w:gridSpan w:val="3"/>
          </w:tcPr>
          <w:p>
            <w:pPr>
              <w:jc w:val="center"/>
              <w:ind w:right="2120"/>
              <w:spacing w:after="0" w:line="149" w:lineRule="exact"/>
              <w:rPr>
                <w:sz w:val="20"/>
                <w:szCs w:val="20"/>
                <w:color w:val="auto"/>
              </w:rPr>
            </w:pPr>
            <w:r>
              <w:rPr>
                <w:rFonts w:ascii="Arial" w:cs="Arial" w:eastAsia="Arial" w:hAnsi="Arial"/>
                <w:sz w:val="14"/>
                <w:szCs w:val="14"/>
                <w:b w:val="1"/>
                <w:bCs w:val="1"/>
                <w:color w:val="auto"/>
                <w:w w:val="93"/>
              </w:rPr>
              <w:t>(State of incorporation</w:t>
            </w:r>
          </w:p>
        </w:tc>
        <w:tc>
          <w:tcPr>
            <w:tcW w:w="3500" w:type="dxa"/>
            <w:vAlign w:val="bottom"/>
          </w:tcPr>
          <w:p>
            <w:pPr>
              <w:jc w:val="center"/>
              <w:ind w:right="19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2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4"/>
              </w:rPr>
              <w:t>if not a U.S. national bank)</w:t>
            </w:r>
          </w:p>
        </w:tc>
        <w:tc>
          <w:tcPr>
            <w:tcW w:w="3500" w:type="dxa"/>
            <w:vAlign w:val="bottom"/>
          </w:tcPr>
          <w:p>
            <w:pPr>
              <w:jc w:val="center"/>
              <w:ind w:right="19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8"/>
              </w:rPr>
              <w:t>400 South Hope Street, Suite 400</w:t>
            </w:r>
          </w:p>
        </w:tc>
        <w:tc>
          <w:tcPr>
            <w:tcW w:w="3500" w:type="dxa"/>
            <w:vAlign w:val="bottom"/>
          </w:tcPr>
          <w:p>
            <w:pPr>
              <w:spacing w:after="0"/>
              <w:rPr>
                <w:sz w:val="24"/>
                <w:szCs w:val="24"/>
                <w:color w:val="auto"/>
              </w:rPr>
            </w:pPr>
          </w:p>
        </w:tc>
      </w:tr>
      <w:tr>
        <w:trPr>
          <w:trHeight w:val="225"/>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0"/>
              </w:rPr>
              <w:t>Los Angeles, California</w:t>
            </w:r>
          </w:p>
        </w:tc>
        <w:tc>
          <w:tcPr>
            <w:tcW w:w="3500" w:type="dxa"/>
            <w:vAlign w:val="bottom"/>
          </w:tcPr>
          <w:p>
            <w:pPr>
              <w:jc w:val="center"/>
              <w:ind w:right="1961"/>
              <w:spacing w:after="0"/>
              <w:rPr>
                <w:sz w:val="20"/>
                <w:szCs w:val="20"/>
                <w:color w:val="auto"/>
              </w:rPr>
            </w:pPr>
            <w:r>
              <w:rPr>
                <w:rFonts w:ascii="Arial" w:cs="Arial" w:eastAsia="Arial" w:hAnsi="Arial"/>
                <w:sz w:val="18"/>
                <w:szCs w:val="18"/>
                <w:b w:val="1"/>
                <w:bCs w:val="1"/>
                <w:color w:val="auto"/>
                <w:w w:val="91"/>
              </w:rPr>
              <w:t>90071</w:t>
            </w:r>
          </w:p>
        </w:tc>
      </w:tr>
      <w:tr>
        <w:trPr>
          <w:trHeight w:val="186"/>
        </w:trPr>
        <w:tc>
          <w:tcPr>
            <w:tcW w:w="792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961"/>
              <w:spacing w:after="0"/>
              <w:rPr>
                <w:sz w:val="20"/>
                <w:szCs w:val="20"/>
                <w:color w:val="auto"/>
              </w:rPr>
            </w:pPr>
            <w:r>
              <w:rPr>
                <w:rFonts w:ascii="Arial" w:cs="Arial" w:eastAsia="Arial" w:hAnsi="Arial"/>
                <w:sz w:val="14"/>
                <w:szCs w:val="14"/>
                <w:b w:val="1"/>
                <w:bCs w:val="1"/>
                <w:color w:val="auto"/>
                <w:w w:val="92"/>
              </w:rPr>
              <w:t>(Zip code)</w:t>
            </w:r>
          </w:p>
        </w:tc>
      </w:tr>
      <w:tr>
        <w:trPr>
          <w:trHeight w:val="399"/>
        </w:trPr>
        <w:tc>
          <w:tcPr>
            <w:tcW w:w="4520" w:type="dxa"/>
            <w:vAlign w:val="bottom"/>
          </w:tcPr>
          <w:p>
            <w:pPr>
              <w:spacing w:after="0"/>
              <w:rPr>
                <w:sz w:val="24"/>
                <w:szCs w:val="24"/>
                <w:color w:val="auto"/>
              </w:rPr>
            </w:pPr>
          </w:p>
        </w:tc>
        <w:tc>
          <w:tcPr>
            <w:tcW w:w="34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2"/>
              </w:rPr>
              <w:t>Legal Department</w:t>
            </w:r>
          </w:p>
        </w:tc>
        <w:tc>
          <w:tcPr>
            <w:tcW w:w="3500" w:type="dxa"/>
            <w:vAlign w:val="bottom"/>
          </w:tcPr>
          <w:p>
            <w:pPr>
              <w:spacing w:after="0"/>
              <w:rPr>
                <w:sz w:val="24"/>
                <w:szCs w:val="24"/>
                <w:color w:val="auto"/>
              </w:rPr>
            </w:pPr>
          </w:p>
        </w:tc>
      </w:tr>
      <w:tr>
        <w:trPr>
          <w:trHeight w:val="216"/>
        </w:trPr>
        <w:tc>
          <w:tcPr>
            <w:tcW w:w="7920" w:type="dxa"/>
            <w:vAlign w:val="bottom"/>
            <w:gridSpan w:val="3"/>
          </w:tcPr>
          <w:p>
            <w:pPr>
              <w:jc w:val="center"/>
              <w:ind w:left="3418"/>
              <w:spacing w:after="0"/>
              <w:rPr>
                <w:sz w:val="20"/>
                <w:szCs w:val="20"/>
                <w:color w:val="auto"/>
              </w:rPr>
            </w:pPr>
            <w:r>
              <w:rPr>
                <w:rFonts w:ascii="Arial" w:cs="Arial" w:eastAsia="Arial" w:hAnsi="Arial"/>
                <w:sz w:val="18"/>
                <w:szCs w:val="18"/>
                <w:b w:val="1"/>
                <w:bCs w:val="1"/>
                <w:color w:val="auto"/>
                <w:w w:val="92"/>
              </w:rPr>
              <w:t>The Bank of New York Mellon Trust Company, N.A.</w:t>
            </w:r>
          </w:p>
        </w:tc>
        <w:tc>
          <w:tcPr>
            <w:tcW w:w="35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4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2"/>
              </w:rPr>
              <w:t>225 Liberty Street</w:t>
            </w:r>
          </w:p>
        </w:tc>
        <w:tc>
          <w:tcPr>
            <w:tcW w:w="35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4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2"/>
              </w:rPr>
              <w:t>New York, NY 10286</w:t>
            </w:r>
          </w:p>
        </w:tc>
        <w:tc>
          <w:tcPr>
            <w:tcW w:w="3500" w:type="dxa"/>
            <w:vAlign w:val="bottom"/>
          </w:tcPr>
          <w:p>
            <w:pPr>
              <w:spacing w:after="0"/>
              <w:rPr>
                <w:sz w:val="18"/>
                <w:szCs w:val="18"/>
                <w:color w:val="auto"/>
              </w:rPr>
            </w:pPr>
          </w:p>
        </w:tc>
      </w:tr>
      <w:tr>
        <w:trPr>
          <w:trHeight w:val="212"/>
        </w:trPr>
        <w:tc>
          <w:tcPr>
            <w:tcW w:w="6900" w:type="dxa"/>
            <w:vAlign w:val="bottom"/>
            <w:gridSpan w:val="2"/>
          </w:tcPr>
          <w:p>
            <w:pPr>
              <w:jc w:val="center"/>
              <w:ind w:left="4458"/>
              <w:spacing w:after="0"/>
              <w:rPr>
                <w:sz w:val="20"/>
                <w:szCs w:val="20"/>
                <w:color w:val="auto"/>
              </w:rPr>
            </w:pPr>
            <w:r>
              <w:rPr>
                <w:rFonts w:ascii="Arial" w:cs="Arial" w:eastAsia="Arial" w:hAnsi="Arial"/>
                <w:sz w:val="18"/>
                <w:szCs w:val="18"/>
                <w:b w:val="1"/>
                <w:bCs w:val="1"/>
                <w:color w:val="auto"/>
                <w:w w:val="90"/>
              </w:rPr>
              <w:t>(212) 635-1270</w:t>
            </w:r>
          </w:p>
        </w:tc>
        <w:tc>
          <w:tcPr>
            <w:tcW w:w="10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186"/>
        </w:trPr>
        <w:tc>
          <w:tcPr>
            <w:tcW w:w="7920" w:type="dxa"/>
            <w:vAlign w:val="bottom"/>
            <w:gridSpan w:val="3"/>
          </w:tcPr>
          <w:p>
            <w:pPr>
              <w:jc w:val="center"/>
              <w:ind w:left="3418"/>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500" w:type="dxa"/>
            <w:vAlign w:val="bottom"/>
          </w:tcPr>
          <w:p>
            <w:pPr>
              <w:spacing w:after="0"/>
              <w:rPr>
                <w:sz w:val="16"/>
                <w:szCs w:val="16"/>
                <w:color w:val="auto"/>
              </w:rPr>
            </w:pP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3"/>
        </w:trPr>
        <w:tc>
          <w:tcPr>
            <w:tcW w:w="7920" w:type="dxa"/>
            <w:vAlign w:val="bottom"/>
            <w:gridSpan w:val="3"/>
          </w:tcPr>
          <w:p>
            <w:pPr>
              <w:jc w:val="center"/>
              <w:ind w:left="3438"/>
              <w:spacing w:after="0"/>
              <w:rPr>
                <w:sz w:val="20"/>
                <w:szCs w:val="20"/>
                <w:color w:val="auto"/>
              </w:rPr>
            </w:pPr>
            <w:r>
              <w:rPr>
                <w:rFonts w:ascii="Arial" w:cs="Arial" w:eastAsia="Arial" w:hAnsi="Arial"/>
                <w:sz w:val="18"/>
                <w:szCs w:val="18"/>
                <w:b w:val="1"/>
                <w:bCs w:val="1"/>
                <w:color w:val="auto"/>
              </w:rPr>
              <w:t>WASTE MANAGEMENT, INC.</w:t>
            </w:r>
          </w:p>
        </w:tc>
        <w:tc>
          <w:tcPr>
            <w:tcW w:w="3500" w:type="dxa"/>
            <w:vAlign w:val="bottom"/>
          </w:tcPr>
          <w:p>
            <w:pPr>
              <w:spacing w:after="0"/>
              <w:rPr>
                <w:sz w:val="24"/>
                <w:szCs w:val="24"/>
                <w:color w:val="auto"/>
              </w:rPr>
            </w:pPr>
          </w:p>
        </w:tc>
      </w:tr>
      <w:tr>
        <w:trPr>
          <w:trHeight w:val="186"/>
        </w:trPr>
        <w:tc>
          <w:tcPr>
            <w:tcW w:w="7920" w:type="dxa"/>
            <w:vAlign w:val="bottom"/>
            <w:gridSpan w:val="3"/>
          </w:tcPr>
          <w:p>
            <w:pPr>
              <w:jc w:val="center"/>
              <w:ind w:left="3418"/>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50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70"/>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3"/>
              </w:rPr>
              <w:t>Delaware</w:t>
            </w:r>
          </w:p>
        </w:tc>
        <w:tc>
          <w:tcPr>
            <w:tcW w:w="3500" w:type="dxa"/>
            <w:vAlign w:val="bottom"/>
          </w:tcPr>
          <w:p>
            <w:pPr>
              <w:jc w:val="center"/>
              <w:ind w:right="1961"/>
              <w:spacing w:after="0"/>
              <w:rPr>
                <w:sz w:val="20"/>
                <w:szCs w:val="20"/>
                <w:color w:val="auto"/>
              </w:rPr>
            </w:pPr>
            <w:r>
              <w:rPr>
                <w:rFonts w:ascii="Arial" w:cs="Arial" w:eastAsia="Arial" w:hAnsi="Arial"/>
                <w:sz w:val="18"/>
                <w:szCs w:val="18"/>
                <w:b w:val="1"/>
                <w:bCs w:val="1"/>
                <w:color w:val="auto"/>
                <w:w w:val="89"/>
              </w:rPr>
              <w:t>73-1309529</w:t>
            </w:r>
          </w:p>
        </w:tc>
      </w:tr>
      <w:tr>
        <w:trPr>
          <w:trHeight w:val="149"/>
        </w:trPr>
        <w:tc>
          <w:tcPr>
            <w:tcW w:w="7920" w:type="dxa"/>
            <w:vAlign w:val="bottom"/>
            <w:gridSpan w:val="3"/>
          </w:tcPr>
          <w:p>
            <w:pPr>
              <w:jc w:val="center"/>
              <w:ind w:right="21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00" w:type="dxa"/>
            <w:vAlign w:val="bottom"/>
          </w:tcPr>
          <w:p>
            <w:pPr>
              <w:jc w:val="center"/>
              <w:ind w:right="19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2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4"/>
              </w:rPr>
              <w:t>incorporation or organization)</w:t>
            </w:r>
          </w:p>
        </w:tc>
        <w:tc>
          <w:tcPr>
            <w:tcW w:w="3500" w:type="dxa"/>
            <w:vAlign w:val="bottom"/>
          </w:tcPr>
          <w:p>
            <w:pPr>
              <w:jc w:val="center"/>
              <w:ind w:right="19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1001 Fannin Street</w:t>
            </w:r>
          </w:p>
        </w:tc>
        <w:tc>
          <w:tcPr>
            <w:tcW w:w="3500" w:type="dxa"/>
            <w:vAlign w:val="bottom"/>
          </w:tcPr>
          <w:p>
            <w:pPr>
              <w:spacing w:after="0"/>
              <w:rPr>
                <w:sz w:val="24"/>
                <w:szCs w:val="24"/>
                <w:color w:val="auto"/>
              </w:rPr>
            </w:pPr>
          </w:p>
        </w:tc>
      </w:tr>
      <w:tr>
        <w:trPr>
          <w:trHeight w:val="225"/>
        </w:trPr>
        <w:tc>
          <w:tcPr>
            <w:tcW w:w="792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8"/>
              </w:rPr>
              <w:t>Houston, Texas</w:t>
            </w:r>
          </w:p>
        </w:tc>
        <w:tc>
          <w:tcPr>
            <w:tcW w:w="3500" w:type="dxa"/>
            <w:vAlign w:val="bottom"/>
          </w:tcPr>
          <w:p>
            <w:pPr>
              <w:jc w:val="center"/>
              <w:ind w:right="1961"/>
              <w:spacing w:after="0"/>
              <w:rPr>
                <w:sz w:val="20"/>
                <w:szCs w:val="20"/>
                <w:color w:val="auto"/>
              </w:rPr>
            </w:pPr>
            <w:r>
              <w:rPr>
                <w:rFonts w:ascii="Arial" w:cs="Arial" w:eastAsia="Arial" w:hAnsi="Arial"/>
                <w:sz w:val="18"/>
                <w:szCs w:val="18"/>
                <w:b w:val="1"/>
                <w:bCs w:val="1"/>
                <w:color w:val="auto"/>
                <w:w w:val="91"/>
              </w:rPr>
              <w:t>77002</w:t>
            </w:r>
          </w:p>
        </w:tc>
      </w:tr>
      <w:tr>
        <w:trPr>
          <w:trHeight w:val="186"/>
        </w:trPr>
        <w:tc>
          <w:tcPr>
            <w:tcW w:w="792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961"/>
              <w:spacing w:after="0"/>
              <w:rPr>
                <w:sz w:val="20"/>
                <w:szCs w:val="20"/>
                <w:color w:val="auto"/>
              </w:rPr>
            </w:pPr>
            <w:r>
              <w:rPr>
                <w:rFonts w:ascii="Arial" w:cs="Arial" w:eastAsia="Arial" w:hAnsi="Arial"/>
                <w:sz w:val="14"/>
                <w:szCs w:val="14"/>
                <w:b w:val="1"/>
                <w:bCs w:val="1"/>
                <w:color w:val="auto"/>
                <w:w w:val="92"/>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34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9"/>
              </w:rPr>
              <w:t>Subordinated Debt Securities</w:t>
            </w:r>
          </w:p>
        </w:tc>
        <w:tc>
          <w:tcPr>
            <w:tcW w:w="350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4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0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ADDITIONAL GUARANTOR OBLIGORS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State or Other</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I.R.S. Employer</w:t>
            </w:r>
          </w:p>
        </w:tc>
        <w:tc>
          <w:tcPr>
            <w:tcW w:w="340" w:type="dxa"/>
            <w:vAlign w:val="bottom"/>
          </w:tcPr>
          <w:p>
            <w:pPr>
              <w:spacing w:after="0"/>
              <w:rPr>
                <w:sz w:val="14"/>
                <w:szCs w:val="14"/>
                <w:color w:val="auto"/>
              </w:rPr>
            </w:pPr>
          </w:p>
        </w:tc>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2"/>
              </w:rPr>
              <w:t>Address, Including Zip Code</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Jurisdiction of</w:t>
            </w: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w w:val="93"/>
              </w:rPr>
              <w:t>Exact Name as Specified in Its Charter</w:t>
            </w:r>
          </w:p>
        </w:tc>
        <w:tc>
          <w:tcPr>
            <w:tcW w:w="4520" w:type="dxa"/>
            <w:vAlign w:val="bottom"/>
            <w:vMerge w:val="restart"/>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Identification</w:t>
            </w:r>
          </w:p>
        </w:tc>
        <w:tc>
          <w:tcPr>
            <w:tcW w:w="340" w:type="dxa"/>
            <w:vAlign w:val="bottom"/>
          </w:tcPr>
          <w:p>
            <w:pPr>
              <w:spacing w:after="0"/>
              <w:rPr>
                <w:sz w:val="12"/>
                <w:szCs w:val="12"/>
                <w:color w:val="auto"/>
              </w:rPr>
            </w:pPr>
          </w:p>
        </w:tc>
        <w:tc>
          <w:tcPr>
            <w:tcW w:w="17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and Telephone Number</w:t>
            </w:r>
          </w:p>
        </w:tc>
        <w:tc>
          <w:tcPr>
            <w:tcW w:w="0" w:type="dxa"/>
            <w:vAlign w:val="bottom"/>
          </w:tcPr>
          <w:p>
            <w:pPr>
              <w:spacing w:after="0"/>
              <w:rPr>
                <w:sz w:val="1"/>
                <w:szCs w:val="1"/>
                <w:color w:val="auto"/>
              </w:rPr>
            </w:pPr>
          </w:p>
        </w:tc>
      </w:tr>
      <w:tr>
        <w:trPr>
          <w:trHeight w:val="178"/>
        </w:trPr>
        <w:tc>
          <w:tcPr>
            <w:tcW w:w="240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Organization</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5"/>
                <w:szCs w:val="15"/>
                <w:color w:val="auto"/>
              </w:rPr>
            </w:pPr>
          </w:p>
        </w:tc>
        <w:tc>
          <w:tcPr>
            <w:tcW w:w="1780" w:type="dxa"/>
            <w:vAlign w:val="bottom"/>
          </w:tcPr>
          <w:p>
            <w:pPr>
              <w:spacing w:after="0" w:line="158" w:lineRule="exact"/>
              <w:rPr>
                <w:sz w:val="20"/>
                <w:szCs w:val="20"/>
                <w:color w:val="auto"/>
              </w:rPr>
            </w:pPr>
            <w:r>
              <w:rPr>
                <w:rFonts w:ascii="Arial" w:cs="Arial" w:eastAsia="Arial" w:hAnsi="Arial"/>
                <w:sz w:val="14"/>
                <w:szCs w:val="14"/>
                <w:b w:val="1"/>
                <w:bCs w:val="1"/>
                <w:color w:val="auto"/>
                <w:w w:val="93"/>
              </w:rPr>
              <w:t>of Principal Executive Office</w:t>
            </w:r>
          </w:p>
        </w:tc>
        <w:tc>
          <w:tcPr>
            <w:tcW w:w="0" w:type="dxa"/>
            <w:vAlign w:val="bottom"/>
          </w:tcPr>
          <w:p>
            <w:pPr>
              <w:spacing w:after="0"/>
              <w:rPr>
                <w:sz w:val="1"/>
                <w:szCs w:val="1"/>
                <w:color w:val="auto"/>
              </w:rPr>
            </w:pPr>
          </w:p>
        </w:tc>
      </w:tr>
      <w:tr>
        <w:trPr>
          <w:trHeight w:val="189"/>
        </w:trPr>
        <w:tc>
          <w:tcPr>
            <w:tcW w:w="692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Holdings, Inc.</w:t>
            </w:r>
          </w:p>
        </w:tc>
        <w:tc>
          <w:tcPr>
            <w:tcW w:w="10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1001 Fannin Street</w:t>
            </w:r>
          </w:p>
        </w:tc>
        <w:tc>
          <w:tcPr>
            <w:tcW w:w="0" w:type="dxa"/>
            <w:vAlign w:val="bottom"/>
          </w:tcPr>
          <w:p>
            <w:pPr>
              <w:spacing w:after="0"/>
              <w:rPr>
                <w:sz w:val="1"/>
                <w:szCs w:val="1"/>
                <w:color w:val="auto"/>
              </w:rPr>
            </w:pPr>
          </w:p>
        </w:tc>
      </w:tr>
      <w:tr>
        <w:trPr>
          <w:trHeight w:val="244"/>
        </w:trPr>
        <w:tc>
          <w:tcPr>
            <w:tcW w:w="24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36-2660763</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w w:val="97"/>
              </w:rPr>
              <w:t>Houston, Texas 77002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5" w:name="page46"/>
    <w:bookmarkEnd w:id="45"/>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General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Furnish the following information as to the trustee:</w:t>
      </w:r>
    </w:p>
    <w:p>
      <w:pPr>
        <w:spacing w:after="0" w:line="131" w:lineRule="exact"/>
        <w:rPr>
          <w:sz w:val="20"/>
          <w:szCs w:val="20"/>
          <w:color w:val="auto"/>
        </w:rPr>
      </w:pPr>
    </w:p>
    <w:p>
      <w:pPr>
        <w:ind w:left="1480" w:hanging="567"/>
        <w:spacing w:after="0"/>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3700" w:type="dxa"/>
            <w:vAlign w:val="bottom"/>
            <w:gridSpan w:val="2"/>
          </w:tcPr>
          <w:p>
            <w:pPr>
              <w:spacing w:after="0"/>
              <w:rPr>
                <w:sz w:val="20"/>
                <w:szCs w:val="20"/>
                <w:color w:val="auto"/>
              </w:rPr>
            </w:pPr>
            <w:r>
              <w:rPr>
                <w:rFonts w:ascii="Arial" w:cs="Arial" w:eastAsia="Arial" w:hAnsi="Arial"/>
                <w:sz w:val="14"/>
                <w:szCs w:val="14"/>
                <w:color w:val="auto"/>
              </w:rPr>
              <w:t>Name</w:t>
            </w:r>
          </w:p>
        </w:tc>
        <w:tc>
          <w:tcPr>
            <w:tcW w:w="500" w:type="dxa"/>
            <w:vAlign w:val="bottom"/>
          </w:tcPr>
          <w:p>
            <w:pPr>
              <w:spacing w:after="0"/>
              <w:rPr>
                <w:sz w:val="14"/>
                <w:szCs w:val="14"/>
                <w:color w:val="auto"/>
              </w:rPr>
            </w:pPr>
          </w:p>
        </w:tc>
        <w:tc>
          <w:tcPr>
            <w:tcW w:w="3560" w:type="dxa"/>
            <w:vAlign w:val="bottom"/>
          </w:tcPr>
          <w:p>
            <w:pPr>
              <w:ind w:left="1540"/>
              <w:spacing w:after="0"/>
              <w:rPr>
                <w:sz w:val="20"/>
                <w:szCs w:val="20"/>
                <w:color w:val="auto"/>
              </w:rPr>
            </w:pPr>
            <w:r>
              <w:rPr>
                <w:rFonts w:ascii="Arial" w:cs="Arial" w:eastAsia="Arial" w:hAnsi="Arial"/>
                <w:sz w:val="14"/>
                <w:szCs w:val="14"/>
                <w:color w:val="auto"/>
              </w:rPr>
              <w:t>Address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00" w:type="dxa"/>
            <w:vAlign w:val="bottom"/>
            <w:gridSpan w:val="2"/>
          </w:tcPr>
          <w:p>
            <w:pPr>
              <w:spacing w:after="0" w:line="176" w:lineRule="exact"/>
              <w:rPr>
                <w:sz w:val="20"/>
                <w:szCs w:val="20"/>
                <w:color w:val="auto"/>
              </w:rPr>
            </w:pPr>
            <w:r>
              <w:rPr>
                <w:rFonts w:ascii="Arial" w:cs="Arial" w:eastAsia="Arial" w:hAnsi="Arial"/>
                <w:sz w:val="18"/>
                <w:szCs w:val="18"/>
                <w:color w:val="auto"/>
              </w:rPr>
              <w:t>Comptroller of the Currency – United States</w:t>
            </w:r>
          </w:p>
        </w:tc>
        <w:tc>
          <w:tcPr>
            <w:tcW w:w="500" w:type="dxa"/>
            <w:vAlign w:val="bottom"/>
            <w:vMerge w:val="continue"/>
          </w:tcPr>
          <w:p>
            <w:pPr>
              <w:spacing w:after="0"/>
              <w:rPr>
                <w:sz w:val="15"/>
                <w:szCs w:val="15"/>
                <w:color w:val="auto"/>
              </w:rPr>
            </w:pPr>
          </w:p>
        </w:tc>
        <w:tc>
          <w:tcPr>
            <w:tcW w:w="3560" w:type="dxa"/>
            <w:vAlign w:val="bottom"/>
          </w:tcPr>
          <w:p>
            <w:pPr>
              <w:spacing w:after="0" w:line="176" w:lineRule="exact"/>
              <w:rPr>
                <w:sz w:val="20"/>
                <w:szCs w:val="20"/>
                <w:color w:val="auto"/>
              </w:rPr>
            </w:pPr>
            <w:r>
              <w:rPr>
                <w:rFonts w:ascii="Arial" w:cs="Arial" w:eastAsia="Arial" w:hAnsi="Arial"/>
                <w:sz w:val="18"/>
                <w:szCs w:val="18"/>
                <w:color w:val="auto"/>
              </w:rPr>
              <w:t>Washington, D.C. 20219</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Department of the Treasury</w:t>
            </w:r>
          </w:p>
        </w:tc>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Federal Reserve Bank</w:t>
            </w:r>
          </w:p>
        </w:tc>
        <w:tc>
          <w:tcPr>
            <w:tcW w:w="4060" w:type="dxa"/>
            <w:vAlign w:val="bottom"/>
            <w:gridSpan w:val="2"/>
          </w:tcPr>
          <w:p>
            <w:pPr>
              <w:ind w:left="480"/>
              <w:spacing w:after="0"/>
              <w:rPr>
                <w:sz w:val="20"/>
                <w:szCs w:val="20"/>
                <w:color w:val="auto"/>
              </w:rPr>
            </w:pPr>
            <w:r>
              <w:rPr>
                <w:rFonts w:ascii="Arial" w:cs="Arial" w:eastAsia="Arial" w:hAnsi="Arial"/>
                <w:sz w:val="18"/>
                <w:szCs w:val="18"/>
                <w:color w:val="auto"/>
              </w:rPr>
              <w:t>San Francisco, California 94105</w:t>
            </w: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4060" w:type="dxa"/>
            <w:vAlign w:val="bottom"/>
            <w:gridSpan w:val="2"/>
          </w:tcPr>
          <w:p>
            <w:pPr>
              <w:ind w:left="480"/>
              <w:spacing w:after="0"/>
              <w:rPr>
                <w:sz w:val="20"/>
                <w:szCs w:val="20"/>
                <w:color w:val="auto"/>
              </w:rPr>
            </w:pPr>
            <w:r>
              <w:rPr>
                <w:rFonts w:ascii="Arial" w:cs="Arial" w:eastAsia="Arial" w:hAnsi="Arial"/>
                <w:sz w:val="18"/>
                <w:szCs w:val="18"/>
                <w:color w:val="auto"/>
              </w:rPr>
              <w:t>Washington, D.C. 20429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500" w:right="5640" w:hanging="587"/>
        <w:spacing w:after="0" w:line="402" w:lineRule="auto"/>
        <w:tabs>
          <w:tab w:leader="none" w:pos="14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it is authorized to exercise corporate trust powers. Yes.</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Affiliations with Obligor.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List of Exhibits.</w:t>
      </w:r>
    </w:p>
    <w:p>
      <w:pPr>
        <w:spacing w:after="0" w:line="117" w:lineRule="exact"/>
        <w:rPr>
          <w:sz w:val="20"/>
          <w:szCs w:val="20"/>
          <w:color w:val="auto"/>
        </w:rPr>
      </w:pPr>
    </w:p>
    <w:p>
      <w:pPr>
        <w:ind w:left="920" w:right="680"/>
        <w:spacing w:after="0" w:line="282" w:lineRule="auto"/>
        <w:rPr>
          <w:sz w:val="20"/>
          <w:szCs w:val="20"/>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sz w:val="20"/>
          <w:szCs w:val="20"/>
          <w:color w:val="auto"/>
        </w:rPr>
      </w:pPr>
    </w:p>
    <w:p>
      <w:pPr>
        <w:ind w:left="1480" w:right="320" w:hanging="567"/>
        <w:spacing w:after="0" w:line="277"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(Exhibit 1 to Form T-1 filed pursuant to Section 305(b)(2) of the Act in connection with Registration Statement No. 333-135006-10)</w:t>
      </w:r>
    </w:p>
    <w:p>
      <w:pPr>
        <w:spacing w:after="0" w:line="75" w:lineRule="exact"/>
        <w:rPr>
          <w:rFonts w:ascii="Arial" w:cs="Arial" w:eastAsia="Arial" w:hAnsi="Arial"/>
          <w:sz w:val="18"/>
          <w:szCs w:val="18"/>
          <w:color w:val="auto"/>
        </w:rPr>
      </w:pPr>
    </w:p>
    <w:p>
      <w:pPr>
        <w:ind w:left="1480" w:right="40" w:hanging="567"/>
        <w:spacing w:after="0" w:line="277"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copy of certificate of authority of the trustee to commence business. (Exhibit 2 to Form T-1 filed with Registration Statement No. 333-121948).</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pursuant to Section 305(b)(2) of the Act in connection with Registration Statement No. 333-135006-10).</w:t>
      </w:r>
    </w:p>
    <w:p>
      <w:pPr>
        <w:spacing w:after="0" w:line="75" w:lineRule="exact"/>
        <w:rPr>
          <w:rFonts w:ascii="Arial" w:cs="Arial" w:eastAsia="Arial" w:hAnsi="Arial"/>
          <w:sz w:val="18"/>
          <w:szCs w:val="18"/>
          <w:color w:val="auto"/>
        </w:rPr>
      </w:pPr>
    </w:p>
    <w:p>
      <w:pPr>
        <w:ind w:left="1480" w:right="280" w:hanging="567"/>
        <w:spacing w:after="0" w:line="277"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pursuant to Section 305(b)(2) of the Act in connection with Registration Statement No. 333-135006-10).</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(Exhibit 6 to Form T-1 filed pursuant to Section 305(b)(2) of the Act in connection with Registration Statement No. 333-135006-10).</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27th day of October,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TRUST COMPANY, N.A.</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400, Los Angeles, CA 90071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June 30, 2015,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3640" w:type="dxa"/>
            <w:vAlign w:val="bottom"/>
            <w:gridSpan w:val="3"/>
          </w:tcPr>
          <w:p>
            <w:pPr>
              <w:jc w:val="right"/>
              <w:ind w:right="100"/>
              <w:spacing w:after="0"/>
              <w:rPr>
                <w:sz w:val="20"/>
                <w:szCs w:val="20"/>
                <w:color w:val="auto"/>
              </w:rPr>
            </w:pPr>
            <w:r>
              <w:rPr>
                <w:rFonts w:ascii="Arial" w:cs="Arial" w:eastAsia="Arial" w:hAnsi="Arial"/>
                <w:sz w:val="14"/>
                <w:szCs w:val="14"/>
                <w:color w:val="auto"/>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7120" w:type="dxa"/>
            <w:vAlign w:val="bottom"/>
            <w:tcBorders>
              <w:top w:val="single" w:sz="8" w:color="CCEEFF"/>
              <w:bottom w:val="single" w:sz="8" w:color="CCEEFF"/>
            </w:tcBorders>
            <w:shd w:val="clear" w:color="auto" w:fill="CCEEFF"/>
          </w:tcPr>
          <w:p>
            <w:pPr>
              <w:spacing w:after="0"/>
              <w:rPr>
                <w:sz w:val="15"/>
                <w:szCs w:val="15"/>
                <w:color w:val="auto"/>
              </w:rPr>
            </w:pPr>
          </w:p>
        </w:tc>
        <w:tc>
          <w:tcPr>
            <w:tcW w:w="266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7780" w:type="dxa"/>
            <w:vAlign w:val="bottom"/>
            <w:gridSpan w:val="3"/>
          </w:tcPr>
          <w:p>
            <w:pPr>
              <w:spacing w:after="0"/>
              <w:rPr>
                <w:sz w:val="20"/>
                <w:szCs w:val="20"/>
                <w:color w:val="auto"/>
              </w:rPr>
            </w:pPr>
            <w:r>
              <w:rPr>
                <w:rFonts w:ascii="Arial" w:cs="Arial" w:eastAsia="Arial" w:hAnsi="Arial"/>
                <w:sz w:val="18"/>
                <w:szCs w:val="18"/>
                <w:color w:val="auto"/>
              </w:rPr>
              <w:t>Cash and balances due from depository institutions:</w:t>
            </w:r>
          </w:p>
        </w:tc>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Noninterest-bearing balances and currency and coin</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Interest-bearing balances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215,394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Held-to-maturity securities</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Available-for-sale securities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 funds sold</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Securities purchased under agreements to resell</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Loans and leases held for sale</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net of unearned income</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Arial" w:cs="Arial" w:eastAsia="Arial" w:hAnsi="Arial"/>
                <w:sz w:val="18"/>
                <w:szCs w:val="18"/>
                <w:color w:val="auto"/>
              </w:rPr>
              <w:t>LESS: Allowance for loan and lease losses</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net of unearned income and allowance</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856,313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126,234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0" w:type="dxa"/>
            <w:vAlign w:val="bottom"/>
          </w:tcPr>
          <w:p>
            <w:pPr>
              <w:spacing w:after="0"/>
              <w:rPr>
                <w:sz w:val="6"/>
                <w:szCs w:val="6"/>
                <w:color w:val="auto"/>
              </w:rPr>
            </w:pPr>
          </w:p>
        </w:tc>
        <w:tc>
          <w:tcPr>
            <w:tcW w:w="7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$ 1,988,477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500" w:type="dxa"/>
            <w:vAlign w:val="bottom"/>
            <w:tcBorders>
              <w:bottom w:val="single" w:sz="8" w:color="CCEEFF"/>
            </w:tcBorders>
            <w:gridSpan w:val="2"/>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540" w:type="dxa"/>
            <w:vAlign w:val="bottom"/>
            <w:gridSpan w:val="4"/>
          </w:tcPr>
          <w:p>
            <w:pPr>
              <w:spacing w:after="0"/>
              <w:rPr>
                <w:sz w:val="20"/>
                <w:szCs w:val="20"/>
                <w:color w:val="auto"/>
              </w:rPr>
            </w:pPr>
            <w:r>
              <w:rPr>
                <w:rFonts w:ascii="Arial" w:cs="Arial" w:eastAsia="Arial" w:hAnsi="Arial"/>
                <w:sz w:val="18"/>
                <w:szCs w:val="18"/>
                <w:color w:val="auto"/>
              </w:rPr>
              <w:t>Deposits: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 domestic offices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Noninterest-bearing</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Interest-bearing</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ind w:left="700"/>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Federal funds purchased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Securities sold under agreements to repurchase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279,598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90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0540" w:type="dxa"/>
            <w:vAlign w:val="bottom"/>
            <w:gridSpan w:val="4"/>
          </w:tcPr>
          <w:p>
            <w:pPr>
              <w:spacing w:after="0"/>
              <w:rPr>
                <w:sz w:val="20"/>
                <w:szCs w:val="20"/>
                <w:color w:val="auto"/>
              </w:rPr>
            </w:pPr>
            <w:r>
              <w:rPr>
                <w:rFonts w:ascii="Arial" w:cs="Arial" w:eastAsia="Arial" w:hAnsi="Arial"/>
                <w:sz w:val="18"/>
                <w:szCs w:val="18"/>
                <w:color w:val="auto"/>
              </w:rPr>
              <w:t>Perpetual preferred stock and related surplus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1,122,352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780" w:type="dxa"/>
            <w:vAlign w:val="bottom"/>
          </w:tcPr>
          <w:p>
            <w:pPr>
              <w:jc w:val="right"/>
              <w:spacing w:after="0"/>
              <w:rPr>
                <w:sz w:val="20"/>
                <w:szCs w:val="20"/>
                <w:color w:val="auto"/>
              </w:rPr>
            </w:pPr>
            <w:r>
              <w:rPr>
                <w:rFonts w:ascii="Arial" w:cs="Arial" w:eastAsia="Arial" w:hAnsi="Arial"/>
                <w:sz w:val="18"/>
                <w:szCs w:val="18"/>
                <w:color w:val="auto"/>
              </w:rPr>
              <w:t>584,561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Total bank equity capital</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1,708,359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1,708,359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1,988,477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208" w:lineRule="exact"/>
        <w:rPr>
          <w:sz w:val="20"/>
          <w:szCs w:val="20"/>
          <w:color w:val="auto"/>
        </w:rPr>
      </w:pPr>
    </w:p>
    <w:p>
      <w:pPr>
        <w:ind w:left="460"/>
        <w:spacing w:after="0"/>
        <w:tabs>
          <w:tab w:leader="none" w:pos="2160" w:val="left"/>
          <w:tab w:leader="none" w:pos="2400" w:val="left"/>
        </w:tabs>
        <w:rPr>
          <w:sz w:val="20"/>
          <w:szCs w:val="20"/>
          <w:color w:val="auto"/>
        </w:rPr>
      </w:pPr>
      <w:r>
        <w:rPr>
          <w:rFonts w:ascii="Arial" w:cs="Arial" w:eastAsia="Arial" w:hAnsi="Arial"/>
          <w:sz w:val="18"/>
          <w:szCs w:val="18"/>
          <w:color w:val="auto"/>
        </w:rPr>
        <w:t>Matthew J. McNulty</w:t>
        <w:tab/>
        <w:t>)</w:t>
      </w:r>
      <w:r>
        <w:rPr>
          <w:sz w:val="20"/>
          <w:szCs w:val="20"/>
          <w:color w:val="auto"/>
        </w:rPr>
        <w:tab/>
      </w:r>
      <w:r>
        <w:rPr>
          <w:rFonts w:ascii="Arial" w:cs="Arial" w:eastAsia="Arial" w:hAnsi="Arial"/>
          <w:sz w:val="17"/>
          <w:szCs w:val="17"/>
          <w:color w:val="auto"/>
        </w:rPr>
        <w:t>CFO</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208"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sectPr>
      <w:pgSz w:w="11900" w:h="16838" w:orient="portrait"/>
      <w:cols w:equalWidth="0" w:num="3">
        <w:col w:w="2760" w:space="260"/>
        <w:col w:w="60" w:space="180"/>
        <w:col w:w="8160"/>
      </w:cols>
      <w:pgMar w:left="240" w:top="2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713"/>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5"/>
    </w:lvl>
    <w:lvl w:ilvl="1">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lvl w:ilvl="1">
      <w:lvlJc w:val="left"/>
      <w:lvlText w:val="(%2)"/>
      <w:numFmt w:val="lowerRoman"/>
      <w:start w:val="1"/>
    </w:lvl>
  </w:abstractNum>
  <w:abstractNum w:abstractNumId="31">
    <w:nsid w:val="580BD78F"/>
    <w:multiLevelType w:val="hybridMultilevel"/>
    <w:lvl w:ilvl="0">
      <w:lvlJc w:val="left"/>
      <w:lvlText w:val="(%1)"/>
      <w:numFmt w:val="lowerRoman"/>
      <w:start w:val="3"/>
    </w:lvl>
  </w:abstractNum>
  <w:abstractNum w:abstractNumId="32">
    <w:nsid w:val="153EA438"/>
    <w:multiLevelType w:val="hybridMultilevel"/>
    <w:lvl w:ilvl="0">
      <w:lvlJc w:val="left"/>
      <w:lvlText w:val="(%1)"/>
      <w:numFmt w:val="decimal"/>
      <w:start w:val="2"/>
    </w:lvl>
    <w:lvl w:ilvl="1">
      <w:lvlJc w:val="left"/>
      <w:lvlText w:val="(%2)"/>
      <w:numFmt w:val="lowerRoman"/>
      <w:start w:val="1"/>
    </w:lvl>
  </w:abstractNum>
  <w:abstractNum w:abstractNumId="33">
    <w:nsid w:val="3855585C"/>
    <w:multiLevelType w:val="hybridMultilevel"/>
    <w:lvl w:ilvl="0">
      <w:lvlJc w:val="left"/>
      <w:lvlText w:val="(%1)"/>
      <w:numFmt w:val="decimal"/>
      <w:start w:val="5"/>
    </w:lvl>
    <w:lvl w:ilvl="1">
      <w:lvlJc w:val="left"/>
      <w:lvlText w:val="(%2)"/>
      <w:numFmt w:val="lowerRoman"/>
      <w:start w:val="1"/>
    </w:lvl>
  </w:abstractNum>
  <w:abstractNum w:abstractNumId="34">
    <w:nsid w:val="70A64E2A"/>
    <w:multiLevelType w:val="hybridMultilevel"/>
    <w:lvl w:ilvl="0">
      <w:lvlJc w:val="left"/>
      <w:lvlText w:val="%1"/>
      <w:numFmt w:val="decimal"/>
      <w:start w:val="1"/>
    </w:lvl>
    <w:lvl w:ilvl="1">
      <w:lvlJc w:val="left"/>
      <w:lvlText w:val="(%2)"/>
      <w:numFmt w:val="lowerRoman"/>
      <w:start w:val="3"/>
    </w:lvl>
  </w:abstractNum>
  <w:abstractNum w:abstractNumId="35">
    <w:nsid w:val="6A2342EC"/>
    <w:multiLevelType w:val="hybridMultilevel"/>
    <w:lvl w:ilvl="0">
      <w:lvlJc w:val="left"/>
      <w:lvlText w:val="(%1)"/>
      <w:numFmt w:val="decimal"/>
      <w:start w:val="6"/>
    </w:lvl>
    <w:lvl w:ilvl="1">
      <w:lvlJc w:val="left"/>
      <w:lvlText w:val="%2"/>
      <w:numFmt w:val="lowerRoman"/>
      <w:start w:val="1"/>
    </w:lvl>
  </w:abstractNum>
  <w:abstractNum w:abstractNumId="36">
    <w:nsid w:val="2A487CB0"/>
    <w:multiLevelType w:val="hybridMultilevel"/>
    <w:lvl w:ilvl="0">
      <w:lvlJc w:val="left"/>
      <w:lvlText w:val="(%1)"/>
      <w:numFmt w:val="lowerRoman"/>
      <w:start w:val="4"/>
    </w:lvl>
  </w:abstractNum>
  <w:abstractNum w:abstractNumId="37">
    <w:nsid w:val="1D4ED43B"/>
    <w:multiLevelType w:val="hybridMultilevel"/>
    <w:lvl w:ilvl="0">
      <w:lvlJc w:val="left"/>
      <w:lvlText w:val="(%1)"/>
      <w:numFmt w:val="lowerRoman"/>
      <w:start w:val="6"/>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4"/>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2"/>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Letter"/>
      <w:start w:val="2"/>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2019-12-20T22:19:02Z</dcterms:created>
  <dcterms:modified xsi:type="dcterms:W3CDTF">2019-12-20T22:19:02Z</dcterms:modified>
</cp:coreProperties>
</file>