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8"/>
          <w:szCs w:val="18"/>
          <w:color w:val="auto"/>
        </w:rPr>
        <w:t>UNITED STATES</w:t>
      </w:r>
    </w:p>
    <w:p>
      <w:pPr>
        <w:jc w:val="center"/>
        <w:ind w:righ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32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Date of Report: August 22, 2001</w:t>
      </w:r>
    </w:p>
    <w:p>
      <w:pPr>
        <w:spacing w:after="0" w:line="200" w:lineRule="exact"/>
        <w:rPr>
          <w:sz w:val="24"/>
          <w:szCs w:val="24"/>
          <w:color w:val="auto"/>
        </w:rPr>
      </w:pPr>
    </w:p>
    <w:p>
      <w:pPr>
        <w:spacing w:after="0" w:line="204"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WASTE MANAGEMENT, INC.</w:t>
      </w:r>
    </w:p>
    <w:p>
      <w:pPr>
        <w:jc w:val="center"/>
        <w:ind w:right="232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760"/>
          </w:cols>
          <w:pgMar w:left="240" w:top="244" w:right="89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73-1309529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4220" w:space="420"/>
            <w:col w:w="2540" w:space="300"/>
            <w:col w:w="3280"/>
          </w:cols>
          <w:pgMar w:left="240" w:top="244" w:right="8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1001 Fannin Street, Suite 4000</w:t>
      </w:r>
    </w:p>
    <w:p>
      <w:pPr>
        <w:ind w:left="190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760" w:space="720"/>
            <w:col w:w="3280"/>
          </w:cols>
          <w:pgMar w:left="240" w:top="244" w:right="899"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(713) 512-6200</w:t>
      </w:r>
    </w:p>
    <w:p>
      <w:pPr>
        <w:spacing w:after="0" w:line="4"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760"/>
          </w:cols>
          <w:pgMar w:left="240" w:top="244" w:right="899"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760"/>
          </w:cols>
          <w:pgMar w:left="240" w:top="244" w:right="89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Waste Management, Inc. is a defendant in a class action pending in the United States District Court for the Southern District of Texas (In Re Waste Management, Inc. Securities Litigation, H-99-2183). Defendants filed a motion to dismiss the action on October 3, 2000. On August 16, 2001, the United States District Court for the Southern District of Texas ruled on the motion, granting in part the defendants' motion to dismiss, and granting the plaintiff leave to file an amended complaint. Copies of the Court's 191-page opinion, which discusses the ruling and the contentions in detail, can be obtained from the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22, 2001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P. Steiner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P. Steiner</w:t>
      </w:r>
    </w:p>
    <w:p>
      <w:pPr>
        <w:ind w:left="4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20"/>
        <w:spacing w:after="0"/>
        <w:rPr>
          <w:sz w:val="20"/>
          <w:szCs w:val="20"/>
          <w:color w:val="auto"/>
        </w:rPr>
      </w:pPr>
      <w:r>
        <w:rPr>
          <w:rFonts w:ascii="Courier New" w:cs="Courier New" w:eastAsia="Courier New" w:hAnsi="Courier New"/>
          <w:sz w:val="18"/>
          <w:szCs w:val="18"/>
          <w:color w:val="auto"/>
        </w:rPr>
        <w:t>General Counsel and</w:t>
      </w:r>
    </w:p>
    <w:p>
      <w:pPr>
        <w:ind w:left="420"/>
        <w:spacing w:after="0" w:line="237" w:lineRule="auto"/>
        <w:rPr>
          <w:sz w:val="20"/>
          <w:szCs w:val="20"/>
          <w:color w:val="auto"/>
        </w:rPr>
      </w:pPr>
      <w:r>
        <w:rPr>
          <w:rFonts w:ascii="Courier New" w:cs="Courier New" w:eastAsia="Courier New" w:hAnsi="Courier New"/>
          <w:sz w:val="18"/>
          <w:szCs w:val="18"/>
          <w:color w:val="auto"/>
        </w:rPr>
        <w:t>Corporate Secretary</w:t>
      </w:r>
    </w:p>
    <w:sectPr>
      <w:pgSz w:w="11900" w:h="16838" w:orient="portrait"/>
      <w:cols w:equalWidth="0" w:num="2">
        <w:col w:w="4020" w:space="720"/>
        <w:col w:w="547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2019-12-11T20:30:03Z</dcterms:created>
  <dcterms:modified xsi:type="dcterms:W3CDTF">2019-12-11T20:30:03Z</dcterms:modified>
</cp:coreProperties>
</file>